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Theme="minorEastAsia"/>
          <w:sz w:val="36"/>
          <w:szCs w:val="36"/>
        </w:rPr>
      </w:pPr>
      <w:bookmarkStart w:id="14" w:name="_GoBack"/>
      <w:bookmarkEnd w:id="14"/>
    </w:p>
    <w:p>
      <w:pPr>
        <w:rPr>
          <w:rFonts w:eastAsiaTheme="minorEastAsia"/>
          <w:sz w:val="36"/>
          <w:szCs w:val="36"/>
        </w:rPr>
      </w:pPr>
    </w:p>
    <w:p>
      <w:pPr>
        <w:rPr>
          <w:rFonts w:eastAsiaTheme="minorEastAsia"/>
          <w:sz w:val="36"/>
          <w:szCs w:val="36"/>
        </w:rPr>
      </w:pPr>
    </w:p>
    <w:p>
      <w:pPr>
        <w:adjustRightInd w:val="0"/>
        <w:snapToGrid w:val="0"/>
        <w:jc w:val="center"/>
        <w:rPr>
          <w:rFonts w:eastAsiaTheme="minorEastAsia"/>
          <w:bCs/>
          <w:sz w:val="72"/>
          <w:szCs w:val="72"/>
        </w:rPr>
      </w:pPr>
      <w:bookmarkStart w:id="0" w:name="_Toc114492900"/>
      <w:r>
        <w:rPr>
          <w:rFonts w:hint="eastAsia" w:eastAsiaTheme="minorEastAsia"/>
          <w:bCs/>
          <w:sz w:val="72"/>
          <w:szCs w:val="72"/>
        </w:rPr>
        <w:t>建设项目环境影响报告表</w:t>
      </w:r>
      <w:bookmarkEnd w:id="0"/>
    </w:p>
    <w:p>
      <w:pPr>
        <w:adjustRightInd w:val="0"/>
        <w:snapToGrid w:val="0"/>
        <w:spacing w:beforeLines="80"/>
        <w:jc w:val="center"/>
        <w:rPr>
          <w:rFonts w:eastAsiaTheme="minorEastAsia"/>
          <w:bCs/>
          <w:sz w:val="48"/>
          <w:szCs w:val="48"/>
        </w:rPr>
      </w:pPr>
      <w:r>
        <w:rPr>
          <w:rFonts w:hint="eastAsia" w:eastAsiaTheme="minorEastAsia"/>
          <w:bCs/>
          <w:sz w:val="48"/>
          <w:szCs w:val="48"/>
        </w:rPr>
        <w:t>（污染影响类）</w:t>
      </w:r>
    </w:p>
    <w:p>
      <w:pPr>
        <w:rPr>
          <w:rFonts w:eastAsiaTheme="minorEastAsia"/>
          <w:kern w:val="44"/>
        </w:rPr>
      </w:pPr>
    </w:p>
    <w:p>
      <w:pPr>
        <w:jc w:val="center"/>
        <w:rPr>
          <w:rFonts w:eastAsiaTheme="minorEastAsia"/>
          <w:sz w:val="52"/>
          <w:szCs w:val="52"/>
        </w:rPr>
      </w:pPr>
    </w:p>
    <w:p>
      <w:pPr>
        <w:ind w:firstLine="1040"/>
        <w:rPr>
          <w:rFonts w:eastAsiaTheme="minorEastAsia"/>
          <w:sz w:val="44"/>
          <w:szCs w:val="44"/>
        </w:rPr>
      </w:pPr>
    </w:p>
    <w:p>
      <w:pPr>
        <w:ind w:firstLine="1040"/>
        <w:rPr>
          <w:rFonts w:eastAsiaTheme="minorEastAsia"/>
          <w:sz w:val="44"/>
          <w:szCs w:val="44"/>
        </w:rPr>
      </w:pPr>
    </w:p>
    <w:p>
      <w:pPr>
        <w:ind w:firstLine="1040"/>
        <w:rPr>
          <w:rFonts w:eastAsiaTheme="minorEastAsia"/>
          <w:sz w:val="44"/>
          <w:szCs w:val="44"/>
        </w:rPr>
      </w:pPr>
    </w:p>
    <w:p>
      <w:pPr>
        <w:ind w:firstLine="1040"/>
        <w:rPr>
          <w:rFonts w:eastAsiaTheme="minorEastAsia"/>
          <w:sz w:val="44"/>
          <w:szCs w:val="44"/>
        </w:rPr>
      </w:pPr>
    </w:p>
    <w:p>
      <w:pPr>
        <w:ind w:firstLine="1040"/>
        <w:rPr>
          <w:rFonts w:eastAsiaTheme="minorEastAsia"/>
          <w:sz w:val="44"/>
          <w:szCs w:val="44"/>
        </w:rPr>
      </w:pPr>
    </w:p>
    <w:p>
      <w:pPr>
        <w:adjustRightInd w:val="0"/>
        <w:snapToGrid w:val="0"/>
        <w:spacing w:line="288" w:lineRule="auto"/>
        <w:ind w:left="2639" w:leftChars="495" w:hanging="1600" w:hangingChars="500"/>
        <w:rPr>
          <w:rFonts w:eastAsiaTheme="minorEastAsia"/>
          <w:spacing w:val="-20"/>
          <w:sz w:val="36"/>
          <w:szCs w:val="36"/>
          <w:u w:val="single"/>
        </w:rPr>
      </w:pPr>
      <w:bookmarkStart w:id="1" w:name="_Hlk57884087"/>
      <w:r>
        <w:rPr>
          <w:rFonts w:hint="eastAsia" w:eastAsiaTheme="minorEastAsia"/>
          <w:spacing w:val="-20"/>
          <w:sz w:val="36"/>
          <w:szCs w:val="36"/>
        </w:rPr>
        <w:t>项目名称：</w:t>
      </w:r>
      <w:r>
        <w:rPr>
          <w:rFonts w:hint="eastAsia" w:eastAsiaTheme="minorEastAsia"/>
          <w:spacing w:val="-20"/>
          <w:sz w:val="36"/>
          <w:szCs w:val="36"/>
          <w:u w:val="single"/>
        </w:rPr>
        <w:t xml:space="preserve">     </w:t>
      </w:r>
      <w:r>
        <w:rPr>
          <w:rFonts w:hint="eastAsia" w:eastAsiaTheme="minorEastAsia"/>
          <w:sz w:val="36"/>
          <w:szCs w:val="36"/>
          <w:u w:val="single"/>
        </w:rPr>
        <w:t xml:space="preserve">年拆解600台报废农机建设项目                                </w:t>
      </w:r>
    </w:p>
    <w:p>
      <w:pPr>
        <w:adjustRightInd w:val="0"/>
        <w:snapToGrid w:val="0"/>
        <w:spacing w:line="288" w:lineRule="auto"/>
        <w:ind w:left="3759" w:leftChars="495" w:hanging="2720" w:hangingChars="850"/>
        <w:rPr>
          <w:rFonts w:eastAsiaTheme="minorEastAsia"/>
          <w:spacing w:val="-20"/>
          <w:sz w:val="36"/>
          <w:szCs w:val="36"/>
          <w:u w:val="single"/>
        </w:rPr>
      </w:pPr>
      <w:r>
        <w:rPr>
          <w:rFonts w:hint="eastAsia" w:eastAsiaTheme="minorEastAsia"/>
          <w:spacing w:val="-20"/>
          <w:sz w:val="36"/>
          <w:szCs w:val="36"/>
        </w:rPr>
        <w:t>建设单位（盖章）：</w:t>
      </w:r>
      <w:r>
        <w:rPr>
          <w:rFonts w:hint="eastAsia" w:eastAsiaTheme="minorEastAsia"/>
          <w:sz w:val="36"/>
          <w:szCs w:val="36"/>
          <w:u w:val="single"/>
        </w:rPr>
        <w:t xml:space="preserve">黑龙江省牡丹江农垦北方农业机械销售有限公司              </w:t>
      </w:r>
    </w:p>
    <w:p>
      <w:pPr>
        <w:adjustRightInd w:val="0"/>
        <w:snapToGrid w:val="0"/>
        <w:spacing w:line="288" w:lineRule="auto"/>
        <w:ind w:firstLine="1040"/>
        <w:rPr>
          <w:rFonts w:eastAsiaTheme="minorEastAsia"/>
          <w:sz w:val="36"/>
          <w:szCs w:val="36"/>
          <w:u w:val="single"/>
        </w:rPr>
      </w:pPr>
      <w:r>
        <w:rPr>
          <w:rFonts w:hint="eastAsia" w:eastAsiaTheme="minorEastAsia"/>
          <w:sz w:val="36"/>
          <w:szCs w:val="36"/>
        </w:rPr>
        <w:t>编制日期：</w:t>
      </w:r>
      <w:r>
        <w:rPr>
          <w:rFonts w:eastAsiaTheme="minorEastAsia"/>
          <w:sz w:val="36"/>
          <w:szCs w:val="36"/>
          <w:u w:val="single"/>
        </w:rPr>
        <w:t xml:space="preserve">           202</w:t>
      </w:r>
      <w:r>
        <w:rPr>
          <w:rFonts w:hint="eastAsia" w:eastAsiaTheme="minorEastAsia"/>
          <w:sz w:val="36"/>
          <w:szCs w:val="36"/>
          <w:u w:val="single"/>
        </w:rPr>
        <w:t xml:space="preserve">4年12月           </w:t>
      </w:r>
    </w:p>
    <w:p>
      <w:pPr>
        <w:adjustRightInd w:val="0"/>
        <w:snapToGrid w:val="0"/>
        <w:spacing w:line="288" w:lineRule="auto"/>
        <w:ind w:firstLine="1040"/>
        <w:rPr>
          <w:rFonts w:eastAsiaTheme="minorEastAsia"/>
          <w:sz w:val="36"/>
          <w:szCs w:val="36"/>
        </w:rPr>
      </w:pPr>
    </w:p>
    <w:p>
      <w:pPr>
        <w:adjustRightInd w:val="0"/>
        <w:snapToGrid w:val="0"/>
        <w:spacing w:line="288" w:lineRule="auto"/>
        <w:ind w:firstLine="1040"/>
        <w:rPr>
          <w:rFonts w:eastAsiaTheme="minorEastAsia"/>
          <w:sz w:val="36"/>
          <w:szCs w:val="36"/>
        </w:rPr>
      </w:pPr>
    </w:p>
    <w:p>
      <w:pPr>
        <w:adjustRightInd w:val="0"/>
        <w:snapToGrid w:val="0"/>
        <w:spacing w:line="288" w:lineRule="auto"/>
        <w:ind w:firstLine="1040"/>
        <w:rPr>
          <w:rFonts w:eastAsiaTheme="minorEastAsia"/>
          <w:sz w:val="36"/>
          <w:szCs w:val="36"/>
        </w:rPr>
      </w:pPr>
    </w:p>
    <w:p>
      <w:pPr>
        <w:adjustRightInd w:val="0"/>
        <w:snapToGrid w:val="0"/>
        <w:spacing w:line="288" w:lineRule="auto"/>
        <w:rPr>
          <w:rFonts w:eastAsiaTheme="minorEastAsia"/>
          <w:sz w:val="36"/>
          <w:szCs w:val="36"/>
        </w:rPr>
      </w:pPr>
    </w:p>
    <w:bookmarkEnd w:id="1"/>
    <w:p>
      <w:pPr>
        <w:adjustRightInd w:val="0"/>
        <w:snapToGrid w:val="0"/>
        <w:spacing w:line="288" w:lineRule="auto"/>
        <w:jc w:val="center"/>
        <w:rPr>
          <w:rFonts w:eastAsiaTheme="minorEastAsia"/>
          <w:sz w:val="36"/>
          <w:szCs w:val="36"/>
        </w:rPr>
      </w:pPr>
      <w:r>
        <w:rPr>
          <w:rFonts w:hint="eastAsia" w:eastAsiaTheme="minorEastAsia"/>
          <w:sz w:val="36"/>
          <w:szCs w:val="36"/>
        </w:rPr>
        <w:t>中华人民共和国生态环境部制</w:t>
      </w:r>
    </w:p>
    <w:p>
      <w:pPr>
        <w:adjustRightInd w:val="0"/>
        <w:snapToGrid w:val="0"/>
        <w:spacing w:line="288" w:lineRule="auto"/>
        <w:jc w:val="center"/>
        <w:rPr>
          <w:rFonts w:eastAsiaTheme="minorEastAsia"/>
          <w:sz w:val="36"/>
          <w:szCs w:val="36"/>
        </w:rPr>
      </w:pPr>
    </w:p>
    <w:p>
      <w:pPr>
        <w:adjustRightInd w:val="0"/>
        <w:snapToGrid w:val="0"/>
        <w:spacing w:line="288" w:lineRule="auto"/>
        <w:rPr>
          <w:rFonts w:eastAsiaTheme="minorEastAsia"/>
          <w:sz w:val="36"/>
          <w:szCs w:val="36"/>
        </w:rPr>
      </w:pPr>
    </w:p>
    <w:p>
      <w:pPr>
        <w:adjustRightInd w:val="0"/>
        <w:snapToGrid w:val="0"/>
        <w:spacing w:line="288" w:lineRule="auto"/>
        <w:rPr>
          <w:rFonts w:eastAsiaTheme="minorEastAsia"/>
          <w:sz w:val="36"/>
          <w:szCs w:val="36"/>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r>
        <w:rPr>
          <w:rFonts w:eastAsiaTheme="minorEastAsia"/>
          <w:sz w:val="36"/>
          <w:szCs w:val="36"/>
        </w:rPr>
        <w:drawing>
          <wp:inline distT="0" distB="0" distL="0" distR="0">
            <wp:extent cx="5615940" cy="7638415"/>
            <wp:effectExtent l="38100" t="19050" r="22860" b="19556"/>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noChangeArrowheads="1"/>
                    </pic:cNvPicPr>
                  </pic:nvPicPr>
                  <pic:blipFill>
                    <a:blip r:embed="rId9"/>
                    <a:srcRect/>
                    <a:stretch>
                      <a:fillRect/>
                    </a:stretch>
                  </pic:blipFill>
                  <pic:spPr>
                    <a:xfrm>
                      <a:off x="0" y="0"/>
                      <a:ext cx="5615940" cy="7638544"/>
                    </a:xfrm>
                    <a:prstGeom prst="rect">
                      <a:avLst/>
                    </a:prstGeom>
                    <a:noFill/>
                    <a:ln w="9525">
                      <a:solidFill>
                        <a:schemeClr val="tx1"/>
                      </a:solidFill>
                      <a:miter lim="800000"/>
                      <a:headEnd/>
                      <a:tailEnd/>
                    </a:ln>
                  </pic:spPr>
                </pic:pic>
              </a:graphicData>
            </a:graphic>
          </wp:inline>
        </w:drawing>
      </w:r>
    </w:p>
    <w:p>
      <w:pPr>
        <w:pStyle w:val="16"/>
        <w:spacing w:before="0" w:beforeAutospacing="0" w:after="0" w:afterAutospacing="0" w:line="360" w:lineRule="auto"/>
        <w:contextualSpacing/>
        <w:jc w:val="center"/>
      </w:pPr>
      <w:bookmarkStart w:id="2" w:name="_Toc114492901"/>
      <w:r>
        <w:rPr>
          <w:rFonts w:hint="eastAsia" w:ascii="Times New Roman" w:hAnsi="Times New Roman" w:eastAsiaTheme="minorEastAsia"/>
          <w:snapToGrid w:val="0"/>
          <w:sz w:val="30"/>
          <w:szCs w:val="30"/>
        </w:rPr>
        <w:t>目录</w:t>
      </w:r>
      <w:bookmarkEnd w:id="2"/>
      <w:r>
        <w:rPr>
          <w:rFonts w:ascii="Times New Roman" w:hAnsi="Times New Roman" w:eastAsiaTheme="minorEastAsia"/>
          <w:snapToGrid w:val="0"/>
          <w:kern w:val="2"/>
          <w:szCs w:val="24"/>
        </w:rPr>
        <w:fldChar w:fldCharType="begin"/>
      </w:r>
      <w:r>
        <w:rPr>
          <w:rFonts w:ascii="Times New Roman" w:hAnsi="Times New Roman" w:eastAsiaTheme="minorEastAsia"/>
          <w:snapToGrid w:val="0"/>
          <w:kern w:val="2"/>
          <w:szCs w:val="24"/>
        </w:rPr>
        <w:instrText xml:space="preserve"> TOC \o "1-3" \h \z \u </w:instrText>
      </w:r>
      <w:r>
        <w:rPr>
          <w:rFonts w:ascii="Times New Roman" w:hAnsi="Times New Roman" w:eastAsiaTheme="minorEastAsia"/>
          <w:snapToGrid w:val="0"/>
          <w:kern w:val="2"/>
          <w:szCs w:val="24"/>
        </w:rPr>
        <w:fldChar w:fldCharType="separate"/>
      </w:r>
    </w:p>
    <w:p>
      <w:pPr>
        <w:pStyle w:val="14"/>
        <w:rPr>
          <w:rFonts w:asciiTheme="minorHAnsi" w:hAnsiTheme="minorHAnsi" w:eastAsiaTheme="minorEastAsia" w:cstheme="minorBidi"/>
          <w:sz w:val="24"/>
        </w:rPr>
      </w:pPr>
      <w:r>
        <w:fldChar w:fldCharType="begin"/>
      </w:r>
      <w:r>
        <w:instrText xml:space="preserve"> HYPERLINK \l "_Toc114492902" </w:instrText>
      </w:r>
      <w:r>
        <w:fldChar w:fldCharType="separate"/>
      </w:r>
      <w:r>
        <w:rPr>
          <w:rStyle w:val="19"/>
          <w:rFonts w:hint="eastAsia"/>
          <w:snapToGrid w:val="0"/>
          <w:color w:val="auto"/>
          <w:sz w:val="24"/>
        </w:rPr>
        <w:t>一、建设项目基本情况</w:t>
      </w:r>
      <w:r>
        <w:rPr>
          <w:sz w:val="24"/>
        </w:rPr>
        <w:tab/>
      </w:r>
      <w:r>
        <w:rPr>
          <w:sz w:val="24"/>
        </w:rPr>
        <w:fldChar w:fldCharType="begin"/>
      </w:r>
      <w:r>
        <w:rPr>
          <w:sz w:val="24"/>
        </w:rPr>
        <w:instrText xml:space="preserve"> PAGEREF _Toc114492902 \h </w:instrText>
      </w:r>
      <w:r>
        <w:rPr>
          <w:sz w:val="24"/>
        </w:rPr>
        <w:fldChar w:fldCharType="separate"/>
      </w:r>
      <w:r>
        <w:rPr>
          <w:sz w:val="24"/>
        </w:rPr>
        <w:t>1</w:t>
      </w:r>
      <w:r>
        <w:rPr>
          <w:sz w:val="24"/>
        </w:rPr>
        <w:fldChar w:fldCharType="end"/>
      </w:r>
      <w:r>
        <w:rPr>
          <w:sz w:val="24"/>
        </w:rPr>
        <w:fldChar w:fldCharType="end"/>
      </w:r>
    </w:p>
    <w:p>
      <w:pPr>
        <w:pStyle w:val="14"/>
        <w:rPr>
          <w:rFonts w:asciiTheme="minorHAnsi" w:hAnsiTheme="minorHAnsi" w:eastAsiaTheme="minorEastAsia" w:cstheme="minorBidi"/>
          <w:sz w:val="24"/>
        </w:rPr>
      </w:pPr>
      <w:r>
        <w:fldChar w:fldCharType="begin"/>
      </w:r>
      <w:r>
        <w:instrText xml:space="preserve"> HYPERLINK \l "_Toc114492903" </w:instrText>
      </w:r>
      <w:r>
        <w:fldChar w:fldCharType="separate"/>
      </w:r>
      <w:r>
        <w:rPr>
          <w:rStyle w:val="19"/>
          <w:rFonts w:hint="eastAsia"/>
          <w:snapToGrid w:val="0"/>
          <w:color w:val="auto"/>
          <w:sz w:val="24"/>
        </w:rPr>
        <w:t>二、建设项目工程分析</w:t>
      </w:r>
      <w:r>
        <w:rPr>
          <w:sz w:val="24"/>
        </w:rPr>
        <w:tab/>
      </w:r>
      <w:r>
        <w:rPr>
          <w:sz w:val="24"/>
        </w:rPr>
        <w:fldChar w:fldCharType="begin"/>
      </w:r>
      <w:r>
        <w:rPr>
          <w:sz w:val="24"/>
        </w:rPr>
        <w:instrText xml:space="preserve"> PAGEREF _Toc114492903 \h </w:instrText>
      </w:r>
      <w:r>
        <w:rPr>
          <w:sz w:val="24"/>
        </w:rPr>
        <w:fldChar w:fldCharType="separate"/>
      </w:r>
      <w:r>
        <w:rPr>
          <w:sz w:val="24"/>
        </w:rPr>
        <w:t>27</w:t>
      </w:r>
      <w:r>
        <w:rPr>
          <w:sz w:val="24"/>
        </w:rPr>
        <w:fldChar w:fldCharType="end"/>
      </w:r>
      <w:r>
        <w:rPr>
          <w:sz w:val="24"/>
        </w:rPr>
        <w:fldChar w:fldCharType="end"/>
      </w:r>
    </w:p>
    <w:p>
      <w:pPr>
        <w:pStyle w:val="14"/>
        <w:rPr>
          <w:rFonts w:asciiTheme="minorHAnsi" w:hAnsiTheme="minorHAnsi" w:eastAsiaTheme="minorEastAsia" w:cstheme="minorBidi"/>
          <w:sz w:val="24"/>
        </w:rPr>
      </w:pPr>
      <w:r>
        <w:fldChar w:fldCharType="begin"/>
      </w:r>
      <w:r>
        <w:instrText xml:space="preserve"> HYPERLINK \l "_Toc114492904" </w:instrText>
      </w:r>
      <w:r>
        <w:fldChar w:fldCharType="separate"/>
      </w:r>
      <w:r>
        <w:rPr>
          <w:rStyle w:val="19"/>
          <w:rFonts w:hint="eastAsia"/>
          <w:snapToGrid w:val="0"/>
          <w:color w:val="auto"/>
          <w:sz w:val="24"/>
        </w:rPr>
        <w:t>三、区域环境质量现状、环境保护目标及评价标准</w:t>
      </w:r>
      <w:r>
        <w:rPr>
          <w:sz w:val="24"/>
        </w:rPr>
        <w:tab/>
      </w:r>
      <w:r>
        <w:rPr>
          <w:sz w:val="24"/>
        </w:rPr>
        <w:fldChar w:fldCharType="begin"/>
      </w:r>
      <w:r>
        <w:rPr>
          <w:sz w:val="24"/>
        </w:rPr>
        <w:instrText xml:space="preserve"> PAGEREF _Toc114492904 \h </w:instrText>
      </w:r>
      <w:r>
        <w:rPr>
          <w:sz w:val="24"/>
        </w:rPr>
        <w:fldChar w:fldCharType="separate"/>
      </w:r>
      <w:r>
        <w:rPr>
          <w:sz w:val="24"/>
        </w:rPr>
        <w:t>38</w:t>
      </w:r>
      <w:r>
        <w:rPr>
          <w:sz w:val="24"/>
        </w:rPr>
        <w:fldChar w:fldCharType="end"/>
      </w:r>
      <w:r>
        <w:rPr>
          <w:sz w:val="24"/>
        </w:rPr>
        <w:fldChar w:fldCharType="end"/>
      </w:r>
    </w:p>
    <w:p>
      <w:pPr>
        <w:pStyle w:val="14"/>
        <w:rPr>
          <w:rFonts w:asciiTheme="minorHAnsi" w:hAnsiTheme="minorHAnsi" w:eastAsiaTheme="minorEastAsia" w:cstheme="minorBidi"/>
          <w:sz w:val="24"/>
        </w:rPr>
      </w:pPr>
      <w:r>
        <w:fldChar w:fldCharType="begin"/>
      </w:r>
      <w:r>
        <w:instrText xml:space="preserve"> HYPERLINK \l "_Toc114492905" </w:instrText>
      </w:r>
      <w:r>
        <w:fldChar w:fldCharType="separate"/>
      </w:r>
      <w:r>
        <w:rPr>
          <w:rStyle w:val="19"/>
          <w:rFonts w:hint="eastAsia"/>
          <w:snapToGrid w:val="0"/>
          <w:color w:val="auto"/>
          <w:sz w:val="24"/>
        </w:rPr>
        <w:t>四、主要环境影响和保护措施</w:t>
      </w:r>
      <w:r>
        <w:rPr>
          <w:sz w:val="24"/>
        </w:rPr>
        <w:tab/>
      </w:r>
      <w:r>
        <w:rPr>
          <w:sz w:val="24"/>
        </w:rPr>
        <w:fldChar w:fldCharType="begin"/>
      </w:r>
      <w:r>
        <w:rPr>
          <w:sz w:val="24"/>
        </w:rPr>
        <w:instrText xml:space="preserve"> PAGEREF _Toc114492905 \h </w:instrText>
      </w:r>
      <w:r>
        <w:rPr>
          <w:sz w:val="24"/>
        </w:rPr>
        <w:fldChar w:fldCharType="separate"/>
      </w:r>
      <w:r>
        <w:rPr>
          <w:sz w:val="24"/>
        </w:rPr>
        <w:t>48</w:t>
      </w:r>
      <w:r>
        <w:rPr>
          <w:sz w:val="24"/>
        </w:rPr>
        <w:fldChar w:fldCharType="end"/>
      </w:r>
      <w:r>
        <w:rPr>
          <w:sz w:val="24"/>
        </w:rPr>
        <w:fldChar w:fldCharType="end"/>
      </w:r>
    </w:p>
    <w:p>
      <w:pPr>
        <w:pStyle w:val="14"/>
        <w:rPr>
          <w:rFonts w:asciiTheme="minorHAnsi" w:hAnsiTheme="minorHAnsi" w:eastAsiaTheme="minorEastAsia" w:cstheme="minorBidi"/>
          <w:sz w:val="24"/>
        </w:rPr>
      </w:pPr>
      <w:r>
        <w:fldChar w:fldCharType="begin"/>
      </w:r>
      <w:r>
        <w:instrText xml:space="preserve"> HYPERLINK \l "_Toc114492906" </w:instrText>
      </w:r>
      <w:r>
        <w:fldChar w:fldCharType="separate"/>
      </w:r>
      <w:r>
        <w:rPr>
          <w:rStyle w:val="19"/>
          <w:rFonts w:hint="eastAsia"/>
          <w:snapToGrid w:val="0"/>
          <w:color w:val="auto"/>
          <w:sz w:val="24"/>
        </w:rPr>
        <w:t>五、环境保护措施监督检查清单</w:t>
      </w:r>
      <w:r>
        <w:rPr>
          <w:sz w:val="24"/>
        </w:rPr>
        <w:tab/>
      </w:r>
      <w:r>
        <w:rPr>
          <w:sz w:val="24"/>
        </w:rPr>
        <w:fldChar w:fldCharType="begin"/>
      </w:r>
      <w:r>
        <w:rPr>
          <w:sz w:val="24"/>
        </w:rPr>
        <w:instrText xml:space="preserve"> PAGEREF _Toc114492906 \h </w:instrText>
      </w:r>
      <w:r>
        <w:rPr>
          <w:sz w:val="24"/>
        </w:rPr>
        <w:fldChar w:fldCharType="separate"/>
      </w:r>
      <w:r>
        <w:rPr>
          <w:sz w:val="24"/>
        </w:rPr>
        <w:t>73</w:t>
      </w:r>
      <w:r>
        <w:rPr>
          <w:sz w:val="24"/>
        </w:rPr>
        <w:fldChar w:fldCharType="end"/>
      </w:r>
      <w:r>
        <w:rPr>
          <w:sz w:val="24"/>
        </w:rPr>
        <w:fldChar w:fldCharType="end"/>
      </w:r>
    </w:p>
    <w:p>
      <w:pPr>
        <w:pStyle w:val="14"/>
        <w:rPr>
          <w:rFonts w:asciiTheme="minorHAnsi" w:hAnsiTheme="minorHAnsi" w:eastAsiaTheme="minorEastAsia" w:cstheme="minorBidi"/>
          <w:sz w:val="24"/>
        </w:rPr>
      </w:pPr>
      <w:r>
        <w:fldChar w:fldCharType="begin"/>
      </w:r>
      <w:r>
        <w:instrText xml:space="preserve"> HYPERLINK \l "_Toc114492907" </w:instrText>
      </w:r>
      <w:r>
        <w:fldChar w:fldCharType="separate"/>
      </w:r>
      <w:r>
        <w:rPr>
          <w:rStyle w:val="19"/>
          <w:rFonts w:hint="eastAsia"/>
          <w:snapToGrid w:val="0"/>
          <w:color w:val="auto"/>
          <w:sz w:val="24"/>
        </w:rPr>
        <w:t>六、结论</w:t>
      </w:r>
      <w:r>
        <w:rPr>
          <w:sz w:val="24"/>
        </w:rPr>
        <w:tab/>
      </w:r>
      <w:r>
        <w:rPr>
          <w:sz w:val="24"/>
        </w:rPr>
        <w:fldChar w:fldCharType="begin"/>
      </w:r>
      <w:r>
        <w:rPr>
          <w:sz w:val="24"/>
        </w:rPr>
        <w:instrText xml:space="preserve"> PAGEREF _Toc114492907 \h </w:instrText>
      </w:r>
      <w:r>
        <w:rPr>
          <w:sz w:val="24"/>
        </w:rPr>
        <w:fldChar w:fldCharType="separate"/>
      </w:r>
      <w:r>
        <w:rPr>
          <w:sz w:val="24"/>
        </w:rPr>
        <w:t>77</w:t>
      </w:r>
      <w:r>
        <w:rPr>
          <w:sz w:val="24"/>
        </w:rPr>
        <w:fldChar w:fldCharType="end"/>
      </w:r>
      <w:r>
        <w:rPr>
          <w:sz w:val="24"/>
        </w:rPr>
        <w:fldChar w:fldCharType="end"/>
      </w:r>
    </w:p>
    <w:p>
      <w:pPr>
        <w:pStyle w:val="14"/>
        <w:rPr>
          <w:rFonts w:asciiTheme="minorHAnsi" w:hAnsiTheme="minorHAnsi" w:eastAsiaTheme="minorEastAsia" w:cstheme="minorBidi"/>
          <w:sz w:val="24"/>
        </w:rPr>
      </w:pPr>
      <w:r>
        <w:fldChar w:fldCharType="begin"/>
      </w:r>
      <w:r>
        <w:instrText xml:space="preserve"> HYPERLINK \l "_Toc114492908" </w:instrText>
      </w:r>
      <w:r>
        <w:fldChar w:fldCharType="separate"/>
      </w:r>
      <w:r>
        <w:rPr>
          <w:rStyle w:val="19"/>
          <w:rFonts w:hint="eastAsia"/>
          <w:snapToGrid w:val="0"/>
          <w:color w:val="auto"/>
          <w:sz w:val="24"/>
        </w:rPr>
        <w:t>附表</w:t>
      </w:r>
      <w:r>
        <w:rPr>
          <w:sz w:val="24"/>
        </w:rPr>
        <w:tab/>
      </w:r>
      <w:r>
        <w:rPr>
          <w:sz w:val="24"/>
        </w:rPr>
        <w:fldChar w:fldCharType="begin"/>
      </w:r>
      <w:r>
        <w:rPr>
          <w:sz w:val="24"/>
        </w:rPr>
        <w:instrText xml:space="preserve"> PAGEREF _Toc114492908 \h </w:instrText>
      </w:r>
      <w:r>
        <w:rPr>
          <w:sz w:val="24"/>
        </w:rPr>
        <w:fldChar w:fldCharType="separate"/>
      </w:r>
      <w:r>
        <w:rPr>
          <w:sz w:val="24"/>
        </w:rPr>
        <w:t>78</w:t>
      </w:r>
      <w:r>
        <w:rPr>
          <w:sz w:val="24"/>
        </w:rPr>
        <w:fldChar w:fldCharType="end"/>
      </w:r>
      <w:r>
        <w:rPr>
          <w:sz w:val="24"/>
        </w:rPr>
        <w:fldChar w:fldCharType="end"/>
      </w:r>
    </w:p>
    <w:p>
      <w:pPr>
        <w:pStyle w:val="14"/>
        <w:rPr>
          <w:rFonts w:asciiTheme="minorHAnsi" w:hAnsiTheme="minorHAnsi" w:eastAsiaTheme="minorEastAsia" w:cstheme="minorBidi"/>
          <w:sz w:val="24"/>
        </w:rPr>
      </w:pPr>
      <w:r>
        <w:fldChar w:fldCharType="begin"/>
      </w:r>
      <w:r>
        <w:instrText xml:space="preserve"> HYPERLINK \l "_Toc114492909" </w:instrText>
      </w:r>
      <w:r>
        <w:fldChar w:fldCharType="separate"/>
      </w:r>
      <w:r>
        <w:rPr>
          <w:rStyle w:val="19"/>
          <w:rFonts w:hint="eastAsia"/>
          <w:snapToGrid w:val="0"/>
          <w:color w:val="auto"/>
          <w:sz w:val="24"/>
        </w:rPr>
        <w:t>建设项目污染物排放量汇总表</w:t>
      </w:r>
      <w:r>
        <w:rPr>
          <w:sz w:val="24"/>
        </w:rPr>
        <w:tab/>
      </w:r>
      <w:r>
        <w:rPr>
          <w:sz w:val="24"/>
        </w:rPr>
        <w:fldChar w:fldCharType="begin"/>
      </w:r>
      <w:r>
        <w:rPr>
          <w:sz w:val="24"/>
        </w:rPr>
        <w:instrText xml:space="preserve"> PAGEREF _Toc114492909 \h </w:instrText>
      </w:r>
      <w:r>
        <w:rPr>
          <w:sz w:val="24"/>
        </w:rPr>
        <w:fldChar w:fldCharType="separate"/>
      </w:r>
      <w:r>
        <w:rPr>
          <w:sz w:val="24"/>
        </w:rPr>
        <w:t>78</w:t>
      </w:r>
      <w:r>
        <w:rPr>
          <w:sz w:val="24"/>
        </w:rPr>
        <w:fldChar w:fldCharType="end"/>
      </w:r>
      <w:r>
        <w:rPr>
          <w:sz w:val="24"/>
        </w:rPr>
        <w:fldChar w:fldCharType="end"/>
      </w:r>
    </w:p>
    <w:p>
      <w:pPr>
        <w:spacing w:line="360" w:lineRule="auto"/>
        <w:contextualSpacing/>
        <w:rPr>
          <w:rFonts w:eastAsiaTheme="minorEastAsia"/>
          <w:sz w:val="24"/>
        </w:rPr>
      </w:pPr>
      <w:r>
        <w:rPr>
          <w:rFonts w:eastAsiaTheme="minorEastAsia"/>
          <w:snapToGrid w:val="0"/>
          <w:sz w:val="24"/>
        </w:rPr>
        <w:fldChar w:fldCharType="end"/>
      </w:r>
      <w:r>
        <w:rPr>
          <w:rFonts w:hint="eastAsia" w:eastAsiaTheme="minorEastAsia"/>
          <w:sz w:val="24"/>
        </w:rPr>
        <w:t>附件</w:t>
      </w:r>
      <w:r>
        <w:rPr>
          <w:rFonts w:eastAsiaTheme="minorEastAsia"/>
          <w:sz w:val="24"/>
        </w:rPr>
        <w:t xml:space="preserve">1 </w:t>
      </w:r>
      <w:r>
        <w:rPr>
          <w:rFonts w:hint="eastAsia" w:eastAsiaTheme="minorEastAsia"/>
          <w:sz w:val="24"/>
        </w:rPr>
        <w:t>营业执照</w:t>
      </w:r>
    </w:p>
    <w:p>
      <w:pPr>
        <w:spacing w:line="360" w:lineRule="auto"/>
        <w:contextualSpacing/>
        <w:rPr>
          <w:rFonts w:eastAsiaTheme="minorEastAsia"/>
          <w:sz w:val="24"/>
        </w:rPr>
      </w:pPr>
      <w:r>
        <w:rPr>
          <w:rFonts w:hint="eastAsia" w:eastAsiaTheme="minorEastAsia"/>
          <w:sz w:val="24"/>
        </w:rPr>
        <w:t>附件</w:t>
      </w:r>
      <w:r>
        <w:rPr>
          <w:rFonts w:eastAsiaTheme="minorEastAsia"/>
          <w:sz w:val="24"/>
        </w:rPr>
        <w:t>2 土地证及</w:t>
      </w:r>
      <w:r>
        <w:rPr>
          <w:rFonts w:hint="eastAsia" w:eastAsiaTheme="minorEastAsia"/>
          <w:sz w:val="24"/>
        </w:rPr>
        <w:t>租赁协议</w:t>
      </w:r>
    </w:p>
    <w:p>
      <w:pPr>
        <w:spacing w:line="360" w:lineRule="auto"/>
        <w:contextualSpacing/>
        <w:rPr>
          <w:rFonts w:eastAsiaTheme="minorEastAsia"/>
          <w:sz w:val="24"/>
        </w:rPr>
      </w:pPr>
      <w:r>
        <w:rPr>
          <w:rFonts w:hint="eastAsia" w:eastAsiaTheme="minorEastAsia"/>
          <w:sz w:val="24"/>
        </w:rPr>
        <w:t>附件</w:t>
      </w:r>
      <w:r>
        <w:rPr>
          <w:rFonts w:eastAsiaTheme="minorEastAsia"/>
          <w:sz w:val="24"/>
        </w:rPr>
        <w:t xml:space="preserve">3 </w:t>
      </w:r>
      <w:r>
        <w:rPr>
          <w:rFonts w:hint="eastAsia" w:eastAsiaTheme="minorEastAsia"/>
          <w:sz w:val="24"/>
        </w:rPr>
        <w:t>现状检测报告</w:t>
      </w:r>
    </w:p>
    <w:p>
      <w:pPr>
        <w:spacing w:line="360" w:lineRule="auto"/>
        <w:contextualSpacing/>
        <w:rPr>
          <w:rFonts w:eastAsiaTheme="minorEastAsia"/>
          <w:sz w:val="24"/>
        </w:rPr>
      </w:pPr>
      <w:r>
        <w:rPr>
          <w:rFonts w:eastAsiaTheme="minorEastAsia"/>
          <w:sz w:val="24"/>
        </w:rPr>
        <w:t>附件</w:t>
      </w:r>
      <w:r>
        <w:rPr>
          <w:rFonts w:hint="eastAsia" w:eastAsiaTheme="minorEastAsia"/>
          <w:sz w:val="24"/>
        </w:rPr>
        <w:t>4生态环境分区管控分析报告</w:t>
      </w:r>
    </w:p>
    <w:p>
      <w:pPr>
        <w:spacing w:line="360" w:lineRule="auto"/>
        <w:contextualSpacing/>
        <w:rPr>
          <w:rFonts w:eastAsiaTheme="minorEastAsia"/>
          <w:sz w:val="24"/>
        </w:rPr>
      </w:pPr>
      <w:r>
        <w:rPr>
          <w:rFonts w:hint="eastAsia" w:eastAsiaTheme="minorEastAsia"/>
          <w:sz w:val="24"/>
        </w:rPr>
        <w:t>附件5公示截图</w:t>
      </w:r>
    </w:p>
    <w:p>
      <w:pPr>
        <w:spacing w:line="360" w:lineRule="auto"/>
        <w:contextualSpacing/>
        <w:rPr>
          <w:rFonts w:eastAsiaTheme="minorEastAsia"/>
          <w:sz w:val="24"/>
        </w:rPr>
      </w:pPr>
      <w:r>
        <w:rPr>
          <w:rFonts w:hint="eastAsia" w:eastAsiaTheme="minorEastAsia"/>
          <w:sz w:val="24"/>
        </w:rPr>
        <w:t>附件6污水处理协议</w:t>
      </w:r>
    </w:p>
    <w:p>
      <w:pPr>
        <w:spacing w:line="360" w:lineRule="auto"/>
        <w:contextualSpacing/>
        <w:rPr>
          <w:rFonts w:eastAsiaTheme="minorEastAsia"/>
          <w:sz w:val="24"/>
        </w:rPr>
      </w:pPr>
      <w:r>
        <w:rPr>
          <w:rFonts w:hint="eastAsia" w:eastAsiaTheme="minorEastAsia"/>
          <w:sz w:val="24"/>
        </w:rPr>
        <w:t>附图</w:t>
      </w:r>
      <w:r>
        <w:rPr>
          <w:rFonts w:eastAsiaTheme="minorEastAsia"/>
          <w:sz w:val="24"/>
        </w:rPr>
        <w:t xml:space="preserve">1 </w:t>
      </w:r>
      <w:r>
        <w:rPr>
          <w:rFonts w:hint="eastAsia" w:eastAsiaTheme="minorEastAsia"/>
          <w:sz w:val="24"/>
        </w:rPr>
        <w:t>项目地理位置图</w:t>
      </w:r>
    </w:p>
    <w:p>
      <w:pPr>
        <w:spacing w:line="360" w:lineRule="auto"/>
        <w:contextualSpacing/>
        <w:rPr>
          <w:rFonts w:eastAsiaTheme="minorEastAsia"/>
          <w:sz w:val="24"/>
        </w:rPr>
      </w:pPr>
      <w:r>
        <w:rPr>
          <w:rFonts w:hint="eastAsia" w:eastAsiaTheme="minorEastAsia"/>
          <w:sz w:val="24"/>
        </w:rPr>
        <w:t>附图</w:t>
      </w:r>
      <w:r>
        <w:rPr>
          <w:rFonts w:eastAsiaTheme="minorEastAsia"/>
          <w:sz w:val="24"/>
        </w:rPr>
        <w:t xml:space="preserve">2 </w:t>
      </w:r>
      <w:r>
        <w:rPr>
          <w:rFonts w:hint="eastAsia" w:eastAsiaTheme="minorEastAsia"/>
          <w:sz w:val="24"/>
        </w:rPr>
        <w:t>项目平面布置图</w:t>
      </w:r>
    </w:p>
    <w:p>
      <w:pPr>
        <w:spacing w:line="360" w:lineRule="auto"/>
        <w:contextualSpacing/>
        <w:rPr>
          <w:rFonts w:eastAsiaTheme="minorEastAsia"/>
          <w:sz w:val="24"/>
        </w:rPr>
      </w:pPr>
      <w:r>
        <w:rPr>
          <w:rFonts w:hint="eastAsia" w:eastAsiaTheme="minorEastAsia"/>
          <w:sz w:val="24"/>
        </w:rPr>
        <w:t>附图</w:t>
      </w:r>
      <w:r>
        <w:rPr>
          <w:rFonts w:eastAsiaTheme="minorEastAsia"/>
          <w:sz w:val="24"/>
        </w:rPr>
        <w:t>3敏感目标分布图</w:t>
      </w:r>
    </w:p>
    <w:p>
      <w:pPr>
        <w:spacing w:line="360" w:lineRule="auto"/>
        <w:contextualSpacing/>
        <w:rPr>
          <w:rFonts w:eastAsiaTheme="minorEastAsia"/>
          <w:sz w:val="24"/>
        </w:rPr>
      </w:pPr>
      <w:r>
        <w:rPr>
          <w:rFonts w:hint="eastAsia" w:eastAsiaTheme="minorEastAsia"/>
          <w:sz w:val="24"/>
        </w:rPr>
        <w:t>附图4厂区四周情况图</w:t>
      </w:r>
    </w:p>
    <w:p>
      <w:pPr>
        <w:spacing w:line="360" w:lineRule="auto"/>
        <w:contextualSpacing/>
        <w:rPr>
          <w:rFonts w:eastAsiaTheme="minorEastAsia"/>
          <w:sz w:val="24"/>
        </w:rPr>
      </w:pPr>
      <w:r>
        <w:rPr>
          <w:rFonts w:hint="eastAsia" w:eastAsiaTheme="minorEastAsia"/>
          <w:sz w:val="24"/>
        </w:rPr>
        <w:t>附图5鸡西市环境管控单元分布图</w:t>
      </w:r>
    </w:p>
    <w:p>
      <w:pPr>
        <w:spacing w:line="360" w:lineRule="auto"/>
        <w:contextualSpacing/>
        <w:rPr>
          <w:rFonts w:eastAsiaTheme="minorEastAsia"/>
          <w:sz w:val="24"/>
        </w:rPr>
      </w:pPr>
      <w:r>
        <w:rPr>
          <w:rFonts w:eastAsiaTheme="minorEastAsia"/>
          <w:sz w:val="24"/>
        </w:rPr>
        <w:t>附图</w:t>
      </w:r>
      <w:r>
        <w:rPr>
          <w:rFonts w:hint="eastAsia" w:eastAsiaTheme="minorEastAsia"/>
          <w:sz w:val="24"/>
        </w:rPr>
        <w:t>6分区防渗及</w:t>
      </w:r>
      <w:r>
        <w:rPr>
          <w:rFonts w:hint="eastAsia" w:eastAsiaTheme="minorEastAsia"/>
          <w:bCs/>
          <w:sz w:val="24"/>
        </w:rPr>
        <w:t>地下水跟踪监测布点</w:t>
      </w:r>
      <w:r>
        <w:rPr>
          <w:rFonts w:hint="eastAsia" w:eastAsiaTheme="minorEastAsia"/>
          <w:sz w:val="24"/>
        </w:rPr>
        <w:t>图</w:t>
      </w:r>
    </w:p>
    <w:p>
      <w:pPr>
        <w:spacing w:line="360" w:lineRule="auto"/>
        <w:contextualSpacing/>
        <w:rPr>
          <w:rFonts w:eastAsiaTheme="minorEastAsia"/>
          <w:bCs/>
          <w:sz w:val="24"/>
        </w:rPr>
      </w:pPr>
      <w:r>
        <w:rPr>
          <w:rFonts w:hint="eastAsia" w:eastAsiaTheme="minorEastAsia"/>
          <w:sz w:val="24"/>
        </w:rPr>
        <w:t>附图7</w:t>
      </w:r>
      <w:r>
        <w:rPr>
          <w:rFonts w:hint="eastAsia" w:eastAsiaTheme="minorEastAsia"/>
          <w:bCs/>
          <w:sz w:val="24"/>
        </w:rPr>
        <w:t>现状监测布点图</w:t>
      </w:r>
    </w:p>
    <w:p>
      <w:pPr>
        <w:spacing w:line="360" w:lineRule="auto"/>
        <w:contextualSpacing/>
        <w:rPr>
          <w:rFonts w:eastAsiaTheme="minorEastAsia"/>
          <w:sz w:val="24"/>
        </w:rPr>
      </w:pPr>
    </w:p>
    <w:p>
      <w:pPr>
        <w:spacing w:line="360" w:lineRule="auto"/>
        <w:contextualSpacing/>
        <w:rPr>
          <w:rFonts w:eastAsiaTheme="minorEastAsia"/>
          <w:sz w:val="24"/>
        </w:rPr>
      </w:pPr>
    </w:p>
    <w:p>
      <w:pPr>
        <w:contextualSpacing/>
        <w:rPr>
          <w:rFonts w:eastAsiaTheme="minorEastAsia"/>
          <w:sz w:val="24"/>
        </w:rPr>
      </w:pPr>
    </w:p>
    <w:p>
      <w:pPr>
        <w:pStyle w:val="16"/>
        <w:spacing w:before="0" w:beforeAutospacing="0" w:after="0" w:afterAutospacing="0"/>
        <w:contextualSpacing/>
        <w:outlineLvl w:val="0"/>
        <w:rPr>
          <w:rFonts w:ascii="Times New Roman" w:hAnsi="Times New Roman" w:eastAsiaTheme="minorEastAsia"/>
          <w:snapToGrid w:val="0"/>
          <w:sz w:val="30"/>
          <w:szCs w:val="30"/>
        </w:rPr>
        <w:sectPr>
          <w:footerReference r:id="rId5" w:type="default"/>
          <w:pgSz w:w="11906" w:h="16838"/>
          <w:pgMar w:top="1701" w:right="1531" w:bottom="1701" w:left="1531" w:header="851" w:footer="1077" w:gutter="0"/>
          <w:pgNumType w:start="1"/>
          <w:cols w:space="720" w:num="1"/>
          <w:docGrid w:linePitch="312" w:charSpace="0"/>
        </w:sectPr>
      </w:pPr>
    </w:p>
    <w:p>
      <w:pPr>
        <w:pStyle w:val="16"/>
        <w:jc w:val="center"/>
        <w:outlineLvl w:val="0"/>
        <w:rPr>
          <w:rFonts w:ascii="Times New Roman" w:hAnsi="Times New Roman" w:eastAsiaTheme="minorEastAsia"/>
          <w:snapToGrid w:val="0"/>
          <w:sz w:val="30"/>
          <w:szCs w:val="30"/>
        </w:rPr>
      </w:pPr>
      <w:bookmarkStart w:id="3" w:name="_Toc114492902"/>
      <w:r>
        <w:rPr>
          <w:rFonts w:hint="eastAsia" w:ascii="Times New Roman" w:hAnsi="Times New Roman" w:eastAsiaTheme="minorEastAsia"/>
          <w:snapToGrid w:val="0"/>
          <w:sz w:val="30"/>
          <w:szCs w:val="30"/>
        </w:rPr>
        <w:t>一、建设项目基本情况</w:t>
      </w:r>
      <w:bookmarkEnd w:id="3"/>
    </w:p>
    <w:tbl>
      <w:tblPr>
        <w:tblStyle w:val="21"/>
        <w:tblW w:w="936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496"/>
        <w:gridCol w:w="1879"/>
        <w:gridCol w:w="562"/>
        <w:gridCol w:w="1650"/>
        <w:gridCol w:w="303"/>
        <w:gridCol w:w="24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4"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建设项目名称</w:t>
            </w:r>
          </w:p>
        </w:tc>
        <w:tc>
          <w:tcPr>
            <w:tcW w:w="6872" w:type="dxa"/>
            <w:gridSpan w:val="5"/>
            <w:vAlign w:val="center"/>
          </w:tcPr>
          <w:p>
            <w:pPr>
              <w:adjustRightInd w:val="0"/>
              <w:snapToGrid w:val="0"/>
              <w:jc w:val="center"/>
              <w:rPr>
                <w:rFonts w:eastAsiaTheme="minorEastAsia"/>
                <w:sz w:val="24"/>
              </w:rPr>
            </w:pPr>
            <w:r>
              <w:rPr>
                <w:rFonts w:hint="eastAsia" w:eastAsiaTheme="minorEastAsia"/>
                <w:sz w:val="24"/>
              </w:rPr>
              <w:t>年拆解600台报废农机建设项目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4"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项目代码</w:t>
            </w:r>
          </w:p>
        </w:tc>
        <w:tc>
          <w:tcPr>
            <w:tcW w:w="6872" w:type="dxa"/>
            <w:gridSpan w:val="5"/>
            <w:vAlign w:val="center"/>
          </w:tcPr>
          <w:p>
            <w:pPr>
              <w:adjustRightInd w:val="0"/>
              <w:snapToGrid w:val="0"/>
              <w:jc w:val="center"/>
              <w:rPr>
                <w:rFonts w:eastAsiaTheme="minorEastAsia"/>
                <w:sz w:val="24"/>
              </w:rPr>
            </w:pPr>
            <w:r>
              <w:rPr>
                <w:rFonts w:hint="eastAsia" w:eastAsiaTheme="minor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4"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建设单位联系人</w:t>
            </w:r>
          </w:p>
        </w:tc>
        <w:tc>
          <w:tcPr>
            <w:tcW w:w="1879" w:type="dxa"/>
            <w:vAlign w:val="center"/>
          </w:tcPr>
          <w:p>
            <w:pPr>
              <w:adjustRightInd w:val="0"/>
              <w:snapToGrid w:val="0"/>
              <w:jc w:val="center"/>
              <w:rPr>
                <w:rFonts w:eastAsiaTheme="minorEastAsia"/>
                <w:sz w:val="24"/>
              </w:rPr>
            </w:pPr>
            <w:r>
              <w:rPr>
                <w:rFonts w:hint="eastAsia" w:eastAsiaTheme="minorEastAsia"/>
                <w:sz w:val="24"/>
              </w:rPr>
              <w:t>徐连松</w:t>
            </w:r>
          </w:p>
        </w:tc>
        <w:tc>
          <w:tcPr>
            <w:tcW w:w="2212" w:type="dxa"/>
            <w:gridSpan w:val="2"/>
            <w:vAlign w:val="center"/>
          </w:tcPr>
          <w:p>
            <w:pPr>
              <w:adjustRightInd w:val="0"/>
              <w:snapToGrid w:val="0"/>
              <w:jc w:val="center"/>
              <w:rPr>
                <w:rFonts w:eastAsiaTheme="minorEastAsia"/>
                <w:sz w:val="24"/>
              </w:rPr>
            </w:pPr>
            <w:r>
              <w:rPr>
                <w:rFonts w:hint="eastAsia" w:eastAsiaTheme="minorEastAsia"/>
                <w:sz w:val="24"/>
              </w:rPr>
              <w:t>联系方式</w:t>
            </w:r>
          </w:p>
        </w:tc>
        <w:tc>
          <w:tcPr>
            <w:tcW w:w="2781" w:type="dxa"/>
            <w:gridSpan w:val="2"/>
            <w:vAlign w:val="center"/>
          </w:tcPr>
          <w:p>
            <w:pPr>
              <w:adjustRightInd w:val="0"/>
              <w:snapToGrid w:val="0"/>
              <w:jc w:val="center"/>
              <w:rPr>
                <w:rFonts w:eastAsiaTheme="minorEastAsia"/>
                <w:sz w:val="24"/>
              </w:rPr>
            </w:pPr>
            <w:r>
              <w:rPr>
                <w:rFonts w:eastAsiaTheme="minorEastAsia"/>
                <w:sz w:val="24"/>
              </w:rPr>
              <w:t>13359959666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4"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建设地点</w:t>
            </w:r>
          </w:p>
        </w:tc>
        <w:tc>
          <w:tcPr>
            <w:tcW w:w="6872" w:type="dxa"/>
            <w:gridSpan w:val="5"/>
            <w:vAlign w:val="center"/>
          </w:tcPr>
          <w:p>
            <w:pPr>
              <w:adjustRightInd w:val="0"/>
              <w:snapToGrid w:val="0"/>
              <w:jc w:val="center"/>
              <w:rPr>
                <w:rFonts w:eastAsiaTheme="minorEastAsia"/>
                <w:sz w:val="24"/>
                <w:u w:val="single"/>
              </w:rPr>
            </w:pPr>
            <w:r>
              <w:rPr>
                <w:rFonts w:hint="eastAsia" w:eastAsiaTheme="minorEastAsia"/>
                <w:sz w:val="24"/>
                <w:u w:val="single"/>
              </w:rPr>
              <w:t>黑龙江省虎林市东诚镇东风村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4"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地理坐标</w:t>
            </w:r>
          </w:p>
        </w:tc>
        <w:tc>
          <w:tcPr>
            <w:tcW w:w="6872" w:type="dxa"/>
            <w:gridSpan w:val="5"/>
            <w:vAlign w:val="center"/>
          </w:tcPr>
          <w:p>
            <w:pPr>
              <w:jc w:val="center"/>
              <w:rPr>
                <w:rFonts w:eastAsiaTheme="minorEastAsia"/>
                <w:sz w:val="24"/>
              </w:rPr>
            </w:pPr>
            <w:r>
              <w:rPr>
                <w:rFonts w:hint="eastAsia" w:eastAsiaTheme="minorEastAsia"/>
                <w:sz w:val="24"/>
              </w:rPr>
              <w:t>（</w:t>
            </w:r>
            <w:r>
              <w:rPr>
                <w:rFonts w:eastAsiaTheme="minorEastAsia"/>
                <w:sz w:val="24"/>
                <w:u w:val="single"/>
              </w:rPr>
              <w:t>133</w:t>
            </w:r>
            <w:r>
              <w:rPr>
                <w:rFonts w:hint="eastAsia" w:eastAsiaTheme="minorEastAsia"/>
                <w:sz w:val="24"/>
                <w:u w:val="single"/>
              </w:rPr>
              <w:t>度1分51</w:t>
            </w:r>
            <w:r>
              <w:rPr>
                <w:rFonts w:eastAsiaTheme="minorEastAsia"/>
                <w:sz w:val="24"/>
                <w:u w:val="single"/>
              </w:rPr>
              <w:t>.</w:t>
            </w:r>
            <w:r>
              <w:rPr>
                <w:rFonts w:hint="eastAsia" w:eastAsiaTheme="minorEastAsia"/>
                <w:sz w:val="24"/>
                <w:u w:val="single"/>
              </w:rPr>
              <w:t>259秒</w:t>
            </w:r>
            <w:r>
              <w:rPr>
                <w:rFonts w:hint="eastAsia" w:eastAsiaTheme="minorEastAsia"/>
                <w:sz w:val="24"/>
              </w:rPr>
              <w:t>，</w:t>
            </w:r>
            <w:r>
              <w:rPr>
                <w:rFonts w:eastAsiaTheme="minorEastAsia"/>
                <w:sz w:val="24"/>
                <w:u w:val="single"/>
              </w:rPr>
              <w:t>45</w:t>
            </w:r>
            <w:r>
              <w:rPr>
                <w:rFonts w:hint="eastAsia" w:eastAsiaTheme="minorEastAsia"/>
                <w:sz w:val="24"/>
                <w:u w:val="single"/>
              </w:rPr>
              <w:t>度</w:t>
            </w:r>
            <w:r>
              <w:rPr>
                <w:rFonts w:eastAsiaTheme="minorEastAsia"/>
                <w:sz w:val="24"/>
                <w:u w:val="single"/>
              </w:rPr>
              <w:t>4</w:t>
            </w:r>
            <w:r>
              <w:rPr>
                <w:rFonts w:hint="eastAsia" w:eastAsiaTheme="minorEastAsia"/>
                <w:sz w:val="24"/>
                <w:u w:val="single"/>
              </w:rPr>
              <w:t>7分18</w:t>
            </w:r>
            <w:r>
              <w:rPr>
                <w:rFonts w:eastAsiaTheme="minorEastAsia"/>
                <w:sz w:val="24"/>
                <w:u w:val="single"/>
              </w:rPr>
              <w:t>.3</w:t>
            </w:r>
            <w:r>
              <w:rPr>
                <w:rFonts w:hint="eastAsia" w:eastAsiaTheme="minorEastAsia"/>
                <w:sz w:val="24"/>
                <w:u w:val="single"/>
              </w:rPr>
              <w:t>06</w:t>
            </w:r>
            <w:r>
              <w:rPr>
                <w:rFonts w:hint="eastAsia" w:eastAsiaTheme="minorEastAsia"/>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61"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国民经济</w:t>
            </w:r>
          </w:p>
          <w:p>
            <w:pPr>
              <w:adjustRightInd w:val="0"/>
              <w:snapToGrid w:val="0"/>
              <w:jc w:val="center"/>
              <w:rPr>
                <w:rFonts w:eastAsiaTheme="minorEastAsia"/>
                <w:sz w:val="24"/>
              </w:rPr>
            </w:pPr>
            <w:r>
              <w:rPr>
                <w:rFonts w:hint="eastAsia" w:eastAsiaTheme="minorEastAsia"/>
                <w:sz w:val="24"/>
              </w:rPr>
              <w:t>行业类别</w:t>
            </w:r>
          </w:p>
        </w:tc>
        <w:tc>
          <w:tcPr>
            <w:tcW w:w="2441" w:type="dxa"/>
            <w:gridSpan w:val="2"/>
            <w:vAlign w:val="center"/>
          </w:tcPr>
          <w:p>
            <w:pPr>
              <w:adjustRightInd w:val="0"/>
              <w:snapToGrid w:val="0"/>
              <w:jc w:val="center"/>
              <w:rPr>
                <w:rFonts w:eastAsiaTheme="minorEastAsia"/>
                <w:sz w:val="24"/>
              </w:rPr>
            </w:pPr>
            <w:r>
              <w:rPr>
                <w:rFonts w:eastAsiaTheme="minorEastAsia"/>
                <w:sz w:val="24"/>
              </w:rPr>
              <w:t>C4210</w:t>
            </w:r>
            <w:r>
              <w:rPr>
                <w:rFonts w:hint="eastAsia" w:eastAsiaTheme="minorEastAsia"/>
                <w:sz w:val="24"/>
              </w:rPr>
              <w:t>金属废料和碎屑加工处理</w:t>
            </w:r>
          </w:p>
        </w:tc>
        <w:tc>
          <w:tcPr>
            <w:tcW w:w="1953" w:type="dxa"/>
            <w:gridSpan w:val="2"/>
            <w:vAlign w:val="center"/>
          </w:tcPr>
          <w:p>
            <w:pPr>
              <w:adjustRightInd w:val="0"/>
              <w:snapToGrid w:val="0"/>
              <w:jc w:val="center"/>
              <w:rPr>
                <w:rFonts w:eastAsiaTheme="minorEastAsia"/>
                <w:sz w:val="24"/>
              </w:rPr>
            </w:pPr>
            <w:bookmarkStart w:id="4" w:name="_Hlk49843745"/>
            <w:r>
              <w:rPr>
                <w:rFonts w:hint="eastAsia" w:eastAsiaTheme="minorEastAsia"/>
                <w:sz w:val="24"/>
              </w:rPr>
              <w:t>建设项目</w:t>
            </w:r>
          </w:p>
          <w:bookmarkEnd w:id="4"/>
          <w:p>
            <w:pPr>
              <w:adjustRightInd w:val="0"/>
              <w:snapToGrid w:val="0"/>
              <w:jc w:val="center"/>
              <w:rPr>
                <w:rFonts w:eastAsiaTheme="minorEastAsia"/>
                <w:sz w:val="24"/>
              </w:rPr>
            </w:pPr>
            <w:r>
              <w:rPr>
                <w:rFonts w:hint="eastAsia" w:eastAsiaTheme="minorEastAsia"/>
                <w:sz w:val="24"/>
              </w:rPr>
              <w:t>行业类别</w:t>
            </w:r>
          </w:p>
        </w:tc>
        <w:tc>
          <w:tcPr>
            <w:tcW w:w="2478" w:type="dxa"/>
            <w:vAlign w:val="center"/>
          </w:tcPr>
          <w:p>
            <w:pPr>
              <w:adjustRightInd w:val="0"/>
              <w:snapToGrid w:val="0"/>
              <w:jc w:val="center"/>
              <w:rPr>
                <w:rFonts w:eastAsiaTheme="minorEastAsia"/>
                <w:sz w:val="24"/>
              </w:rPr>
            </w:pPr>
            <w:r>
              <w:rPr>
                <w:rFonts w:hint="eastAsia" w:eastAsiaTheme="minorEastAsia"/>
                <w:sz w:val="24"/>
              </w:rPr>
              <w:t>三十九、废弃资源综合利用业</w:t>
            </w:r>
            <w:r>
              <w:rPr>
                <w:rFonts w:eastAsiaTheme="minorEastAsia"/>
                <w:sz w:val="24"/>
              </w:rPr>
              <w:t>42 85.</w:t>
            </w:r>
            <w:r>
              <w:rPr>
                <w:rFonts w:hint="eastAsia" w:eastAsiaTheme="minorEastAsia"/>
                <w:sz w:val="24"/>
              </w:rPr>
              <w:t>金属废料和碎屑加工处理</w:t>
            </w:r>
            <w:r>
              <w:rPr>
                <w:rFonts w:eastAsiaTheme="minorEastAsia"/>
                <w:sz w:val="24"/>
              </w:rPr>
              <w:t xml:space="preserve">421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1219"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建设性质</w:t>
            </w:r>
          </w:p>
        </w:tc>
        <w:tc>
          <w:tcPr>
            <w:tcW w:w="2441" w:type="dxa"/>
            <w:gridSpan w:val="2"/>
            <w:vAlign w:val="center"/>
          </w:tcPr>
          <w:p>
            <w:pPr>
              <w:jc w:val="left"/>
              <w:rPr>
                <w:rFonts w:eastAsiaTheme="minorEastAsia"/>
                <w:sz w:val="24"/>
              </w:rPr>
            </w:pPr>
            <w:r>
              <w:rPr>
                <w:rFonts w:eastAsia="MS Mincho"/>
                <w:sz w:val="24"/>
              </w:rPr>
              <w:t>☑</w:t>
            </w:r>
            <w:r>
              <w:rPr>
                <w:rFonts w:hint="eastAsia" w:eastAsiaTheme="minorEastAsia"/>
                <w:sz w:val="24"/>
              </w:rPr>
              <w:t>新建（迁建）</w:t>
            </w:r>
          </w:p>
          <w:p>
            <w:pPr>
              <w:jc w:val="left"/>
              <w:rPr>
                <w:rFonts w:eastAsiaTheme="minorEastAsia"/>
                <w:sz w:val="24"/>
              </w:rPr>
            </w:pPr>
            <w:r>
              <w:rPr>
                <w:rFonts w:eastAsiaTheme="minorEastAsia"/>
                <w:sz w:val="24"/>
              </w:rPr>
              <w:sym w:font="Wingdings 2" w:char="00A3"/>
            </w:r>
            <w:r>
              <w:rPr>
                <w:rFonts w:hint="eastAsia" w:eastAsiaTheme="minorEastAsia"/>
                <w:sz w:val="24"/>
              </w:rPr>
              <w:t>改建</w:t>
            </w:r>
          </w:p>
          <w:p>
            <w:pPr>
              <w:jc w:val="left"/>
              <w:rPr>
                <w:rFonts w:eastAsiaTheme="minorEastAsia"/>
                <w:sz w:val="24"/>
              </w:rPr>
            </w:pPr>
            <w:r>
              <w:rPr>
                <w:rFonts w:eastAsiaTheme="minorEastAsia"/>
                <w:sz w:val="24"/>
              </w:rPr>
              <w:sym w:font="Wingdings 2" w:char="00A3"/>
            </w:r>
            <w:r>
              <w:rPr>
                <w:rFonts w:hint="eastAsia" w:eastAsiaTheme="minorEastAsia"/>
                <w:sz w:val="24"/>
              </w:rPr>
              <w:t>扩建</w:t>
            </w:r>
          </w:p>
          <w:p>
            <w:pPr>
              <w:jc w:val="left"/>
              <w:rPr>
                <w:rFonts w:eastAsiaTheme="minorEastAsia"/>
                <w:sz w:val="24"/>
              </w:rPr>
            </w:pPr>
            <w:r>
              <w:rPr>
                <w:rFonts w:eastAsiaTheme="minorEastAsia"/>
                <w:sz w:val="24"/>
              </w:rPr>
              <w:sym w:font="Wingdings 2" w:char="00A3"/>
            </w:r>
            <w:r>
              <w:rPr>
                <w:rFonts w:hint="eastAsia" w:eastAsiaTheme="minorEastAsia"/>
                <w:sz w:val="24"/>
              </w:rPr>
              <w:t>技术改造</w:t>
            </w:r>
          </w:p>
        </w:tc>
        <w:tc>
          <w:tcPr>
            <w:tcW w:w="1953" w:type="dxa"/>
            <w:gridSpan w:val="2"/>
            <w:vAlign w:val="center"/>
          </w:tcPr>
          <w:p>
            <w:pPr>
              <w:adjustRightInd w:val="0"/>
              <w:snapToGrid w:val="0"/>
              <w:jc w:val="center"/>
              <w:rPr>
                <w:rFonts w:eastAsiaTheme="minorEastAsia"/>
                <w:sz w:val="24"/>
              </w:rPr>
            </w:pPr>
            <w:r>
              <w:rPr>
                <w:rFonts w:hint="eastAsia" w:eastAsiaTheme="minorEastAsia"/>
                <w:sz w:val="24"/>
              </w:rPr>
              <w:t>建设项目</w:t>
            </w:r>
          </w:p>
          <w:p>
            <w:pPr>
              <w:adjustRightInd w:val="0"/>
              <w:snapToGrid w:val="0"/>
              <w:jc w:val="center"/>
              <w:rPr>
                <w:rFonts w:eastAsiaTheme="minorEastAsia"/>
                <w:sz w:val="24"/>
              </w:rPr>
            </w:pPr>
            <w:r>
              <w:rPr>
                <w:rFonts w:hint="eastAsia" w:eastAsiaTheme="minorEastAsia"/>
                <w:sz w:val="24"/>
              </w:rPr>
              <w:t>申报情形</w:t>
            </w:r>
          </w:p>
        </w:tc>
        <w:tc>
          <w:tcPr>
            <w:tcW w:w="2478" w:type="dxa"/>
            <w:vAlign w:val="center"/>
          </w:tcPr>
          <w:p>
            <w:pPr>
              <w:jc w:val="left"/>
              <w:rPr>
                <w:rFonts w:eastAsiaTheme="minorEastAsia"/>
                <w:sz w:val="24"/>
              </w:rPr>
            </w:pPr>
            <w:r>
              <w:rPr>
                <w:rFonts w:eastAsia="MS Mincho"/>
                <w:sz w:val="24"/>
              </w:rPr>
              <w:t>☑</w:t>
            </w:r>
            <w:r>
              <w:rPr>
                <w:rFonts w:hint="eastAsia" w:eastAsiaTheme="minorEastAsia"/>
                <w:sz w:val="24"/>
              </w:rPr>
              <w:t>首次申报项目</w:t>
            </w:r>
          </w:p>
          <w:p>
            <w:pPr>
              <w:jc w:val="left"/>
              <w:rPr>
                <w:rFonts w:eastAsiaTheme="minorEastAsia"/>
                <w:sz w:val="24"/>
              </w:rPr>
            </w:pPr>
            <w:r>
              <w:rPr>
                <w:rFonts w:eastAsiaTheme="minorEastAsia"/>
                <w:sz w:val="24"/>
              </w:rPr>
              <w:sym w:font="Wingdings 2" w:char="00A3"/>
            </w:r>
            <w:r>
              <w:rPr>
                <w:rFonts w:hint="eastAsia" w:eastAsiaTheme="minorEastAsia"/>
                <w:sz w:val="24"/>
              </w:rPr>
              <w:t>不予批准后再次申报项目</w:t>
            </w:r>
          </w:p>
          <w:p>
            <w:pPr>
              <w:jc w:val="left"/>
              <w:rPr>
                <w:rFonts w:eastAsiaTheme="minorEastAsia"/>
                <w:sz w:val="24"/>
              </w:rPr>
            </w:pPr>
            <w:r>
              <w:rPr>
                <w:rFonts w:eastAsiaTheme="minorEastAsia"/>
                <w:sz w:val="24"/>
              </w:rPr>
              <w:sym w:font="Wingdings 2" w:char="00A3"/>
            </w:r>
            <w:r>
              <w:rPr>
                <w:rFonts w:hint="eastAsia" w:eastAsiaTheme="minorEastAsia"/>
                <w:sz w:val="24"/>
              </w:rPr>
              <w:t>超五年重新审核项目</w:t>
            </w:r>
          </w:p>
          <w:p>
            <w:pPr>
              <w:jc w:val="left"/>
              <w:rPr>
                <w:rFonts w:eastAsiaTheme="minorEastAsia"/>
                <w:sz w:val="24"/>
              </w:rPr>
            </w:pPr>
            <w:r>
              <w:rPr>
                <w:rFonts w:eastAsiaTheme="minorEastAsia"/>
                <w:sz w:val="24"/>
              </w:rPr>
              <w:sym w:font="Wingdings 2" w:char="00A3"/>
            </w:r>
            <w:r>
              <w:rPr>
                <w:rFonts w:hint="eastAsia" w:eastAsiaTheme="minorEastAsia"/>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4"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项目审批（核准</w:t>
            </w:r>
            <w:r>
              <w:rPr>
                <w:rFonts w:eastAsiaTheme="minorEastAsia"/>
                <w:sz w:val="24"/>
              </w:rPr>
              <w:t>/</w:t>
            </w:r>
          </w:p>
          <w:p>
            <w:pPr>
              <w:adjustRightInd w:val="0"/>
              <w:snapToGrid w:val="0"/>
              <w:jc w:val="center"/>
              <w:rPr>
                <w:rFonts w:eastAsiaTheme="minorEastAsia"/>
                <w:sz w:val="24"/>
              </w:rPr>
            </w:pPr>
            <w:r>
              <w:rPr>
                <w:rFonts w:hint="eastAsia" w:eastAsiaTheme="minorEastAsia"/>
                <w:sz w:val="24"/>
              </w:rPr>
              <w:t>备案）部门（选填）</w:t>
            </w:r>
          </w:p>
        </w:tc>
        <w:tc>
          <w:tcPr>
            <w:tcW w:w="2441" w:type="dxa"/>
            <w:gridSpan w:val="2"/>
            <w:vAlign w:val="center"/>
          </w:tcPr>
          <w:p>
            <w:pPr>
              <w:adjustRightInd w:val="0"/>
              <w:snapToGrid w:val="0"/>
              <w:jc w:val="center"/>
              <w:rPr>
                <w:rFonts w:eastAsiaTheme="minorEastAsia"/>
                <w:sz w:val="24"/>
              </w:rPr>
            </w:pPr>
            <w:r>
              <w:rPr>
                <w:rFonts w:hint="eastAsia" w:eastAsiaTheme="minorEastAsia"/>
                <w:sz w:val="24"/>
              </w:rPr>
              <w:t>无</w:t>
            </w:r>
          </w:p>
        </w:tc>
        <w:tc>
          <w:tcPr>
            <w:tcW w:w="1953" w:type="dxa"/>
            <w:gridSpan w:val="2"/>
            <w:vAlign w:val="center"/>
          </w:tcPr>
          <w:p>
            <w:pPr>
              <w:adjustRightInd w:val="0"/>
              <w:snapToGrid w:val="0"/>
              <w:jc w:val="center"/>
              <w:rPr>
                <w:rFonts w:eastAsiaTheme="minorEastAsia"/>
                <w:sz w:val="24"/>
              </w:rPr>
            </w:pPr>
            <w:r>
              <w:rPr>
                <w:rFonts w:hint="eastAsia" w:eastAsiaTheme="minorEastAsia"/>
                <w:sz w:val="24"/>
              </w:rPr>
              <w:t>项目审批（核准</w:t>
            </w:r>
            <w:r>
              <w:rPr>
                <w:rFonts w:eastAsiaTheme="minorEastAsia"/>
                <w:sz w:val="24"/>
              </w:rPr>
              <w:t>/</w:t>
            </w:r>
            <w:r>
              <w:rPr>
                <w:rFonts w:hint="eastAsia" w:eastAsiaTheme="minorEastAsia"/>
                <w:sz w:val="24"/>
              </w:rPr>
              <w:t>备案）文号（选填）</w:t>
            </w:r>
          </w:p>
        </w:tc>
        <w:tc>
          <w:tcPr>
            <w:tcW w:w="2478" w:type="dxa"/>
            <w:vAlign w:val="center"/>
          </w:tcPr>
          <w:p>
            <w:pPr>
              <w:adjustRightInd w:val="0"/>
              <w:snapToGrid w:val="0"/>
              <w:jc w:val="center"/>
              <w:rPr>
                <w:rFonts w:eastAsiaTheme="minorEastAsia"/>
                <w:sz w:val="24"/>
              </w:rPr>
            </w:pPr>
            <w:r>
              <w:rPr>
                <w:rFonts w:hint="eastAsia" w:eastAsiaTheme="minor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总投资（万元）</w:t>
            </w:r>
          </w:p>
        </w:tc>
        <w:tc>
          <w:tcPr>
            <w:tcW w:w="2441" w:type="dxa"/>
            <w:gridSpan w:val="2"/>
            <w:vAlign w:val="center"/>
          </w:tcPr>
          <w:p>
            <w:pPr>
              <w:adjustRightInd w:val="0"/>
              <w:snapToGrid w:val="0"/>
              <w:jc w:val="center"/>
              <w:rPr>
                <w:rFonts w:eastAsiaTheme="minorEastAsia"/>
                <w:sz w:val="24"/>
              </w:rPr>
            </w:pPr>
            <w:r>
              <w:rPr>
                <w:rFonts w:hint="eastAsia" w:eastAsiaTheme="minorEastAsia"/>
                <w:sz w:val="24"/>
              </w:rPr>
              <w:t>2</w:t>
            </w:r>
            <w:r>
              <w:rPr>
                <w:rFonts w:eastAsiaTheme="minorEastAsia"/>
                <w:sz w:val="24"/>
              </w:rPr>
              <w:t>50</w:t>
            </w:r>
          </w:p>
        </w:tc>
        <w:tc>
          <w:tcPr>
            <w:tcW w:w="1953" w:type="dxa"/>
            <w:gridSpan w:val="2"/>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环保投资（万元）</w:t>
            </w:r>
          </w:p>
        </w:tc>
        <w:tc>
          <w:tcPr>
            <w:tcW w:w="2478" w:type="dxa"/>
            <w:vAlign w:val="center"/>
          </w:tcPr>
          <w:p>
            <w:pPr>
              <w:adjustRightInd w:val="0"/>
              <w:snapToGrid w:val="0"/>
              <w:jc w:val="center"/>
              <w:rPr>
                <w:rFonts w:eastAsiaTheme="minorEastAsia"/>
                <w:sz w:val="24"/>
              </w:rPr>
            </w:pPr>
            <w:r>
              <w:rPr>
                <w:rFonts w:hint="eastAsia" w:eastAsiaTheme="minorEastAsia"/>
                <w:sz w:val="24"/>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4"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环保投资占比（</w:t>
            </w:r>
            <w:r>
              <w:rPr>
                <w:rFonts w:eastAsiaTheme="minorEastAsia"/>
                <w:sz w:val="24"/>
              </w:rPr>
              <w:t>%</w:t>
            </w:r>
            <w:r>
              <w:rPr>
                <w:rFonts w:hint="eastAsia" w:eastAsiaTheme="minorEastAsia"/>
                <w:sz w:val="24"/>
              </w:rPr>
              <w:t>）</w:t>
            </w:r>
          </w:p>
        </w:tc>
        <w:tc>
          <w:tcPr>
            <w:tcW w:w="2441" w:type="dxa"/>
            <w:gridSpan w:val="2"/>
            <w:vAlign w:val="center"/>
          </w:tcPr>
          <w:p>
            <w:pPr>
              <w:adjustRightInd w:val="0"/>
              <w:snapToGrid w:val="0"/>
              <w:jc w:val="center"/>
              <w:rPr>
                <w:rFonts w:eastAsiaTheme="minorEastAsia"/>
                <w:sz w:val="24"/>
              </w:rPr>
            </w:pPr>
            <w:r>
              <w:rPr>
                <w:rFonts w:hint="eastAsia" w:eastAsiaTheme="minorEastAsia"/>
                <w:sz w:val="24"/>
              </w:rPr>
              <w:t>6</w:t>
            </w:r>
          </w:p>
        </w:tc>
        <w:tc>
          <w:tcPr>
            <w:tcW w:w="1953" w:type="dxa"/>
            <w:gridSpan w:val="2"/>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施工工期</w:t>
            </w:r>
          </w:p>
        </w:tc>
        <w:tc>
          <w:tcPr>
            <w:tcW w:w="2478" w:type="dxa"/>
            <w:vAlign w:val="center"/>
          </w:tcPr>
          <w:p>
            <w:pPr>
              <w:adjustRightInd w:val="0"/>
              <w:snapToGrid w:val="0"/>
              <w:jc w:val="center"/>
              <w:rPr>
                <w:rFonts w:eastAsiaTheme="minorEastAsia"/>
                <w:sz w:val="24"/>
              </w:rPr>
            </w:pPr>
            <w:r>
              <w:rPr>
                <w:rFonts w:eastAsiaTheme="minorEastAsia"/>
                <w:sz w:val="24"/>
              </w:rPr>
              <w:t>202</w:t>
            </w:r>
            <w:r>
              <w:rPr>
                <w:rFonts w:hint="eastAsia" w:eastAsiaTheme="minorEastAsia"/>
                <w:sz w:val="24"/>
              </w:rPr>
              <w:t>5</w:t>
            </w:r>
            <w:r>
              <w:rPr>
                <w:rFonts w:eastAsiaTheme="minorEastAsia"/>
                <w:sz w:val="24"/>
              </w:rPr>
              <w:t>.</w:t>
            </w:r>
            <w:r>
              <w:rPr>
                <w:rFonts w:hint="eastAsia" w:eastAsiaTheme="minorEastAsia"/>
                <w:sz w:val="24"/>
              </w:rPr>
              <w:t>04</w:t>
            </w:r>
            <w:r>
              <w:rPr>
                <w:rFonts w:eastAsiaTheme="minorEastAsia"/>
                <w:sz w:val="24"/>
              </w:rPr>
              <w:t>-202</w:t>
            </w:r>
            <w:r>
              <w:rPr>
                <w:rFonts w:hint="eastAsia" w:eastAsiaTheme="minorEastAsia"/>
                <w:sz w:val="24"/>
              </w:rPr>
              <w:t>5</w:t>
            </w:r>
            <w:r>
              <w:rPr>
                <w:rFonts w:eastAsiaTheme="minorEastAsia"/>
                <w:sz w:val="24"/>
              </w:rPr>
              <w:t>.</w:t>
            </w:r>
            <w:r>
              <w:rPr>
                <w:rFonts w:hint="eastAsia" w:eastAsiaTheme="minorEastAsia"/>
                <w:sz w:val="24"/>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97" w:hRule="atLeast"/>
          <w:jc w:val="center"/>
        </w:trPr>
        <w:tc>
          <w:tcPr>
            <w:tcW w:w="2496" w:type="dxa"/>
            <w:tcMar>
              <w:top w:w="16" w:type="dxa"/>
              <w:left w:w="16" w:type="dxa"/>
              <w:right w:w="16" w:type="dxa"/>
            </w:tcMar>
            <w:vAlign w:val="center"/>
          </w:tcPr>
          <w:p>
            <w:pPr>
              <w:adjustRightInd w:val="0"/>
              <w:snapToGrid w:val="0"/>
              <w:jc w:val="center"/>
              <w:rPr>
                <w:rFonts w:eastAsiaTheme="minorEastAsia"/>
                <w:sz w:val="24"/>
              </w:rPr>
            </w:pPr>
            <w:r>
              <w:rPr>
                <w:rFonts w:hint="eastAsia" w:eastAsiaTheme="minorEastAsia"/>
                <w:sz w:val="24"/>
              </w:rPr>
              <w:t>是否开工建设</w:t>
            </w:r>
          </w:p>
        </w:tc>
        <w:tc>
          <w:tcPr>
            <w:tcW w:w="2441" w:type="dxa"/>
            <w:gridSpan w:val="2"/>
            <w:vAlign w:val="center"/>
          </w:tcPr>
          <w:p>
            <w:pPr>
              <w:adjustRightInd w:val="0"/>
              <w:snapToGrid w:val="0"/>
              <w:rPr>
                <w:rFonts w:eastAsiaTheme="minorEastAsia"/>
                <w:sz w:val="24"/>
              </w:rPr>
            </w:pPr>
            <w:r>
              <w:rPr>
                <w:rFonts w:eastAsia="MS Mincho"/>
                <w:sz w:val="24"/>
              </w:rPr>
              <w:t>☑</w:t>
            </w:r>
            <w:r>
              <w:rPr>
                <w:rFonts w:hint="eastAsia" w:eastAsiaTheme="minorEastAsia"/>
                <w:sz w:val="24"/>
              </w:rPr>
              <w:t>否</w:t>
            </w:r>
          </w:p>
          <w:p>
            <w:pPr>
              <w:adjustRightInd w:val="0"/>
              <w:snapToGrid w:val="0"/>
              <w:rPr>
                <w:rFonts w:eastAsiaTheme="minorEastAsia"/>
                <w:sz w:val="24"/>
              </w:rPr>
            </w:pPr>
            <w:r>
              <w:rPr>
                <w:rFonts w:eastAsiaTheme="minorEastAsia"/>
                <w:sz w:val="24"/>
              </w:rPr>
              <w:sym w:font="Wingdings 2" w:char="00A3"/>
            </w:r>
            <w:r>
              <w:rPr>
                <w:rFonts w:hint="eastAsia" w:eastAsiaTheme="minorEastAsia"/>
                <w:sz w:val="24"/>
              </w:rPr>
              <w:t>是：</w:t>
            </w:r>
          </w:p>
        </w:tc>
        <w:tc>
          <w:tcPr>
            <w:tcW w:w="1953" w:type="dxa"/>
            <w:gridSpan w:val="2"/>
            <w:tcMar>
              <w:top w:w="16" w:type="dxa"/>
              <w:left w:w="16" w:type="dxa"/>
              <w:right w:w="16" w:type="dxa"/>
            </w:tcMar>
            <w:vAlign w:val="center"/>
          </w:tcPr>
          <w:p>
            <w:pPr>
              <w:adjustRightInd w:val="0"/>
              <w:snapToGrid w:val="0"/>
              <w:jc w:val="center"/>
              <w:rPr>
                <w:rFonts w:eastAsiaTheme="minorEastAsia"/>
                <w:spacing w:val="-6"/>
                <w:sz w:val="24"/>
              </w:rPr>
            </w:pPr>
            <w:r>
              <w:rPr>
                <w:rFonts w:hint="eastAsia" w:eastAsiaTheme="minorEastAsia"/>
                <w:spacing w:val="-6"/>
                <w:sz w:val="24"/>
              </w:rPr>
              <w:t>用地（用海）</w:t>
            </w:r>
          </w:p>
          <w:p>
            <w:pPr>
              <w:adjustRightInd w:val="0"/>
              <w:snapToGrid w:val="0"/>
              <w:jc w:val="center"/>
              <w:rPr>
                <w:rFonts w:eastAsiaTheme="minorEastAsia"/>
                <w:sz w:val="24"/>
              </w:rPr>
            </w:pPr>
            <w:r>
              <w:rPr>
                <w:rFonts w:hint="eastAsia" w:eastAsiaTheme="minorEastAsia"/>
                <w:spacing w:val="-6"/>
                <w:sz w:val="24"/>
              </w:rPr>
              <w:t>面积（</w:t>
            </w:r>
            <w:r>
              <w:rPr>
                <w:rFonts w:eastAsiaTheme="minorEastAsia"/>
                <w:spacing w:val="-6"/>
                <w:sz w:val="24"/>
              </w:rPr>
              <w:t>m</w:t>
            </w:r>
            <w:r>
              <w:rPr>
                <w:rFonts w:eastAsiaTheme="minorEastAsia"/>
                <w:spacing w:val="-6"/>
                <w:sz w:val="24"/>
                <w:vertAlign w:val="superscript"/>
              </w:rPr>
              <w:t>2</w:t>
            </w:r>
            <w:r>
              <w:rPr>
                <w:rFonts w:hint="eastAsia" w:eastAsiaTheme="minorEastAsia"/>
                <w:spacing w:val="-6"/>
                <w:sz w:val="24"/>
              </w:rPr>
              <w:t>）</w:t>
            </w:r>
          </w:p>
        </w:tc>
        <w:tc>
          <w:tcPr>
            <w:tcW w:w="2478" w:type="dxa"/>
            <w:vAlign w:val="center"/>
          </w:tcPr>
          <w:p>
            <w:pPr>
              <w:adjustRightInd w:val="0"/>
              <w:snapToGrid w:val="0"/>
              <w:jc w:val="center"/>
              <w:rPr>
                <w:rFonts w:eastAsiaTheme="minorEastAsia"/>
                <w:sz w:val="24"/>
              </w:rPr>
            </w:pPr>
            <w:r>
              <w:rPr>
                <w:rFonts w:hint="eastAsia" w:eastAsiaTheme="minorEastAsia"/>
                <w:sz w:val="24"/>
              </w:rPr>
              <w:t>21251.5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9" w:hRule="atLeast"/>
          <w:jc w:val="center"/>
        </w:trPr>
        <w:tc>
          <w:tcPr>
            <w:tcW w:w="2496" w:type="dxa"/>
            <w:vAlign w:val="center"/>
          </w:tcPr>
          <w:p>
            <w:pPr>
              <w:autoSpaceDE w:val="0"/>
              <w:autoSpaceDN w:val="0"/>
              <w:adjustRightInd w:val="0"/>
              <w:snapToGrid w:val="0"/>
              <w:jc w:val="center"/>
              <w:rPr>
                <w:rFonts w:eastAsiaTheme="minorEastAsia"/>
                <w:kern w:val="0"/>
                <w:sz w:val="24"/>
              </w:rPr>
            </w:pPr>
            <w:r>
              <w:rPr>
                <w:rFonts w:hint="eastAsia" w:eastAsiaTheme="minorEastAsia"/>
                <w:kern w:val="0"/>
                <w:sz w:val="24"/>
              </w:rPr>
              <w:t>专项评价设置情况</w:t>
            </w:r>
          </w:p>
        </w:tc>
        <w:tc>
          <w:tcPr>
            <w:tcW w:w="6872" w:type="dxa"/>
            <w:gridSpan w:val="5"/>
            <w:vAlign w:val="center"/>
          </w:tcPr>
          <w:p>
            <w:pPr>
              <w:autoSpaceDE w:val="0"/>
              <w:autoSpaceDN w:val="0"/>
              <w:adjustRightInd w:val="0"/>
              <w:snapToGrid w:val="0"/>
              <w:spacing w:line="360" w:lineRule="auto"/>
              <w:jc w:val="center"/>
              <w:rPr>
                <w:rFonts w:eastAsiaTheme="minorEastAsia"/>
                <w:b/>
                <w:bCs/>
                <w:kern w:val="0"/>
                <w:sz w:val="24"/>
              </w:rPr>
            </w:pPr>
            <w:r>
              <w:rPr>
                <w:rFonts w:eastAsiaTheme="minorEastAsia"/>
                <w:b/>
                <w:bCs/>
                <w:kern w:val="0"/>
                <w:sz w:val="24"/>
              </w:rPr>
              <w:t>表1-1 专项评价设置情况</w:t>
            </w:r>
          </w:p>
          <w:tbl>
            <w:tblPr>
              <w:tblStyle w:val="22"/>
              <w:tblW w:w="671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9"/>
              <w:gridCol w:w="2864"/>
              <w:gridCol w:w="1984"/>
              <w:gridCol w:w="9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jc w:val="center"/>
              </w:trPr>
              <w:tc>
                <w:tcPr>
                  <w:tcW w:w="919"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专项评价类别</w:t>
                  </w:r>
                </w:p>
              </w:tc>
              <w:tc>
                <w:tcPr>
                  <w:tcW w:w="2864"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设置原则</w:t>
                  </w:r>
                </w:p>
              </w:tc>
              <w:tc>
                <w:tcPr>
                  <w:tcW w:w="1984"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本项目情况</w:t>
                  </w:r>
                </w:p>
              </w:tc>
              <w:tc>
                <w:tcPr>
                  <w:tcW w:w="947"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是否设置专项评价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04" w:hRule="atLeast"/>
                <w:jc w:val="center"/>
              </w:trPr>
              <w:tc>
                <w:tcPr>
                  <w:tcW w:w="919"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大气</w:t>
                  </w:r>
                </w:p>
              </w:tc>
              <w:tc>
                <w:tcPr>
                  <w:tcW w:w="2864"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排放废气含有毒有害污染物、二噁英、苯并[a]芘、氰化物、氯气且厂界外500 米范围内有环境空气保护目标的建设项目</w:t>
                  </w:r>
                </w:p>
              </w:tc>
              <w:tc>
                <w:tcPr>
                  <w:tcW w:w="1984" w:type="dxa"/>
                  <w:vAlign w:val="center"/>
                </w:tcPr>
                <w:p>
                  <w:pPr>
                    <w:autoSpaceDE w:val="0"/>
                    <w:autoSpaceDN w:val="0"/>
                    <w:adjustRightInd w:val="0"/>
                    <w:snapToGrid w:val="0"/>
                    <w:jc w:val="center"/>
                    <w:rPr>
                      <w:rFonts w:eastAsiaTheme="minorEastAsia"/>
                      <w:kern w:val="0"/>
                      <w:szCs w:val="21"/>
                    </w:rPr>
                  </w:pPr>
                  <w:r>
                    <w:rPr>
                      <w:szCs w:val="21"/>
                    </w:rPr>
                    <w:t>本项目不排放废气含有毒有害污染物：二噁英、苯并[a]芘、氰化物、氯气等</w:t>
                  </w:r>
                </w:p>
              </w:tc>
              <w:tc>
                <w:tcPr>
                  <w:tcW w:w="947"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32" w:hRule="atLeast"/>
                <w:jc w:val="center"/>
              </w:trPr>
              <w:tc>
                <w:tcPr>
                  <w:tcW w:w="919"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地表水</w:t>
                  </w:r>
                </w:p>
              </w:tc>
              <w:tc>
                <w:tcPr>
                  <w:tcW w:w="2864"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新增工业废水直排建设项目（槽罐车外送污水处理厂的除外）；新增废水直排的污水集中处理厂</w:t>
                  </w:r>
                </w:p>
              </w:tc>
              <w:tc>
                <w:tcPr>
                  <w:tcW w:w="1984" w:type="dxa"/>
                  <w:vAlign w:val="center"/>
                </w:tcPr>
                <w:p>
                  <w:pPr>
                    <w:autoSpaceDE w:val="0"/>
                    <w:autoSpaceDN w:val="0"/>
                    <w:adjustRightInd w:val="0"/>
                    <w:snapToGrid w:val="0"/>
                    <w:jc w:val="center"/>
                    <w:rPr>
                      <w:szCs w:val="21"/>
                    </w:rPr>
                  </w:pPr>
                  <w:r>
                    <w:rPr>
                      <w:rFonts w:hint="eastAsia"/>
                      <w:szCs w:val="21"/>
                    </w:rPr>
                    <w:t>本项目不属于工业废水直排建设项目以及废水直排的污水集中处理厂</w:t>
                  </w:r>
                </w:p>
              </w:tc>
              <w:tc>
                <w:tcPr>
                  <w:tcW w:w="947"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jc w:val="center"/>
              </w:trPr>
              <w:tc>
                <w:tcPr>
                  <w:tcW w:w="919"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环境风险</w:t>
                  </w:r>
                </w:p>
              </w:tc>
              <w:tc>
                <w:tcPr>
                  <w:tcW w:w="2864"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有毒有害和易燃易爆危险物质存储量超过临界量的建设项目</w:t>
                  </w:r>
                </w:p>
              </w:tc>
              <w:tc>
                <w:tcPr>
                  <w:tcW w:w="1984"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本项目涉及危险物质存储量未超过临界量</w:t>
                  </w:r>
                </w:p>
              </w:tc>
              <w:tc>
                <w:tcPr>
                  <w:tcW w:w="947"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否</w:t>
                  </w:r>
                </w:p>
              </w:tc>
            </w:tr>
          </w:tbl>
          <w:p/>
          <w:p/>
          <w:p/>
          <w:p/>
          <w:p>
            <w:pPr>
              <w:autoSpaceDE w:val="0"/>
              <w:autoSpaceDN w:val="0"/>
              <w:adjustRightInd w:val="0"/>
              <w:snapToGrid w:val="0"/>
              <w:spacing w:line="360" w:lineRule="auto"/>
              <w:jc w:val="center"/>
              <w:rPr>
                <w:rFonts w:eastAsiaTheme="minorEastAsia"/>
                <w:b/>
                <w:bCs/>
                <w:kern w:val="0"/>
                <w:sz w:val="24"/>
              </w:rPr>
            </w:pPr>
            <w:r>
              <w:rPr>
                <w:rFonts w:eastAsiaTheme="minorEastAsia"/>
                <w:b/>
                <w:bCs/>
                <w:kern w:val="0"/>
                <w:sz w:val="24"/>
              </w:rPr>
              <w:t>续表1-1 专项评价设置情况</w:t>
            </w:r>
          </w:p>
          <w:tbl>
            <w:tblPr>
              <w:tblStyle w:val="22"/>
              <w:tblW w:w="671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9"/>
              <w:gridCol w:w="2864"/>
              <w:gridCol w:w="1984"/>
              <w:gridCol w:w="9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6" w:hRule="atLeast"/>
                <w:jc w:val="center"/>
              </w:trPr>
              <w:tc>
                <w:tcPr>
                  <w:tcW w:w="919"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生态</w:t>
                  </w:r>
                </w:p>
              </w:tc>
              <w:tc>
                <w:tcPr>
                  <w:tcW w:w="2864"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取水口下游500 米范围内有重要水生生物的自然产卵场、索饵场、越冬场和洄游通道的新增河道取水的污染类建设项目</w:t>
                  </w:r>
                </w:p>
              </w:tc>
              <w:tc>
                <w:tcPr>
                  <w:tcW w:w="1984" w:type="dxa"/>
                  <w:vAlign w:val="center"/>
                </w:tcPr>
                <w:p>
                  <w:pPr>
                    <w:autoSpaceDE w:val="0"/>
                    <w:autoSpaceDN w:val="0"/>
                    <w:adjustRightInd w:val="0"/>
                    <w:snapToGrid w:val="0"/>
                    <w:jc w:val="center"/>
                    <w:rPr>
                      <w:rFonts w:eastAsiaTheme="minorEastAsia"/>
                      <w:kern w:val="0"/>
                      <w:szCs w:val="21"/>
                    </w:rPr>
                  </w:pPr>
                  <w:r>
                    <w:rPr>
                      <w:szCs w:val="21"/>
                    </w:rPr>
                    <w:t>本项目不新增取水口</w:t>
                  </w:r>
                </w:p>
              </w:tc>
              <w:tc>
                <w:tcPr>
                  <w:tcW w:w="947"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6" w:hRule="atLeast"/>
                <w:jc w:val="center"/>
              </w:trPr>
              <w:tc>
                <w:tcPr>
                  <w:tcW w:w="919" w:type="dxa"/>
                  <w:vAlign w:val="center"/>
                </w:tcPr>
                <w:p>
                  <w:pPr>
                    <w:autoSpaceDE w:val="0"/>
                    <w:autoSpaceDN w:val="0"/>
                    <w:adjustRightInd w:val="0"/>
                    <w:snapToGrid w:val="0"/>
                    <w:jc w:val="center"/>
                    <w:rPr>
                      <w:rFonts w:eastAsiaTheme="minorEastAsia"/>
                      <w:kern w:val="0"/>
                      <w:szCs w:val="21"/>
                    </w:rPr>
                  </w:pPr>
                  <w:r>
                    <w:rPr>
                      <w:rFonts w:hint="eastAsia"/>
                      <w:szCs w:val="21"/>
                    </w:rPr>
                    <w:t>海洋</w:t>
                  </w:r>
                </w:p>
              </w:tc>
              <w:tc>
                <w:tcPr>
                  <w:tcW w:w="2864" w:type="dxa"/>
                  <w:vAlign w:val="center"/>
                </w:tcPr>
                <w:p>
                  <w:pPr>
                    <w:widowControl/>
                    <w:jc w:val="center"/>
                    <w:rPr>
                      <w:rFonts w:ascii="宋体" w:hAnsi="宋体" w:cs="宋体"/>
                      <w:kern w:val="0"/>
                      <w:sz w:val="24"/>
                    </w:rPr>
                  </w:pPr>
                  <w:r>
                    <w:rPr>
                      <w:rFonts w:hint="eastAsia" w:ascii="宋体" w:hAnsi="宋体" w:cs="宋体"/>
                      <w:kern w:val="0"/>
                      <w:szCs w:val="21"/>
                    </w:rPr>
                    <w:t>直接向海排放污染物的海洋工程建设项目</w:t>
                  </w:r>
                </w:p>
              </w:tc>
              <w:tc>
                <w:tcPr>
                  <w:tcW w:w="1984" w:type="dxa"/>
                  <w:vAlign w:val="center"/>
                </w:tcPr>
                <w:p>
                  <w:pPr>
                    <w:widowControl/>
                    <w:jc w:val="center"/>
                    <w:rPr>
                      <w:rFonts w:ascii="宋体" w:hAnsi="宋体" w:cs="宋体"/>
                      <w:kern w:val="0"/>
                      <w:sz w:val="24"/>
                    </w:rPr>
                  </w:pPr>
                  <w:r>
                    <w:rPr>
                      <w:rFonts w:hint="eastAsia" w:ascii="宋体" w:hAnsi="宋体" w:cs="宋体"/>
                      <w:kern w:val="0"/>
                      <w:szCs w:val="21"/>
                    </w:rPr>
                    <w:t>本项目不属于向海洋排放污染物的海洋工程建设项目</w:t>
                  </w:r>
                </w:p>
              </w:tc>
              <w:tc>
                <w:tcPr>
                  <w:tcW w:w="947" w:type="dxa"/>
                  <w:vAlign w:val="center"/>
                </w:tcPr>
                <w:p>
                  <w:pPr>
                    <w:autoSpaceDE w:val="0"/>
                    <w:autoSpaceDN w:val="0"/>
                    <w:adjustRightInd w:val="0"/>
                    <w:snapToGrid w:val="0"/>
                    <w:jc w:val="center"/>
                    <w:rPr>
                      <w:rFonts w:eastAsiaTheme="minorEastAsia"/>
                      <w:kern w:val="0"/>
                      <w:szCs w:val="21"/>
                    </w:rPr>
                  </w:pPr>
                  <w:r>
                    <w:rPr>
                      <w:rFonts w:eastAsiaTheme="minorEastAsia"/>
                      <w:kern w:val="0"/>
                      <w:szCs w:val="21"/>
                    </w:rPr>
                    <w:t>否</w:t>
                  </w:r>
                </w:p>
              </w:tc>
            </w:tr>
          </w:tbl>
          <w:p>
            <w:pPr>
              <w:spacing w:line="360" w:lineRule="auto"/>
              <w:ind w:firstLine="480" w:firstLineChars="200"/>
              <w:contextualSpacing/>
              <w:rPr>
                <w:sz w:val="24"/>
              </w:rPr>
            </w:pPr>
            <w:r>
              <w:rPr>
                <w:rFonts w:hint="eastAsia"/>
                <w:sz w:val="24"/>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w:t>
            </w:r>
          </w:p>
          <w:p>
            <w:pPr>
              <w:spacing w:line="360" w:lineRule="auto"/>
              <w:ind w:firstLine="480" w:firstLineChars="200"/>
              <w:contextualSpacing/>
              <w:rPr>
                <w:sz w:val="24"/>
              </w:rPr>
            </w:pPr>
            <w:r>
              <w:rPr>
                <w:rFonts w:hint="eastAsia"/>
                <w:sz w:val="24"/>
              </w:rPr>
              <w:t>根据《黑龙江省人民政府关于鸡西市滴道区二水源等</w:t>
            </w:r>
            <w:r>
              <w:rPr>
                <w:sz w:val="24"/>
              </w:rPr>
              <w:t>37</w:t>
            </w:r>
            <w:r>
              <w:rPr>
                <w:rFonts w:hint="eastAsia"/>
                <w:sz w:val="24"/>
              </w:rPr>
              <w:t>个集中式饮用水水源保护区及鸡东县第二、三水源保护区范围的批复》（黑政函〔</w:t>
            </w:r>
            <w:r>
              <w:rPr>
                <w:sz w:val="24"/>
              </w:rPr>
              <w:t>2014]18</w:t>
            </w:r>
            <w:r>
              <w:rPr>
                <w:rFonts w:hint="eastAsia"/>
                <w:sz w:val="24"/>
              </w:rPr>
              <w:t>号），“东城镇饮用水水源保护区范围</w:t>
            </w:r>
            <w:r>
              <w:rPr>
                <w:sz w:val="24"/>
              </w:rPr>
              <w:t>(</w:t>
            </w:r>
            <w:r>
              <w:rPr>
                <w:rFonts w:hint="eastAsia"/>
                <w:sz w:val="24"/>
              </w:rPr>
              <w:t>共</w:t>
            </w:r>
            <w:r>
              <w:rPr>
                <w:sz w:val="24"/>
              </w:rPr>
              <w:t>3</w:t>
            </w:r>
            <w:r>
              <w:rPr>
                <w:rFonts w:hint="eastAsia"/>
                <w:sz w:val="24"/>
              </w:rPr>
              <w:t>眼井，均为承压水型水源地，不设二级保护区</w:t>
            </w:r>
            <w:r>
              <w:rPr>
                <w:sz w:val="24"/>
              </w:rPr>
              <w:t>)</w:t>
            </w:r>
            <w:r>
              <w:rPr>
                <w:rFonts w:hint="eastAsia"/>
                <w:sz w:val="24"/>
              </w:rPr>
              <w:t>。一级保护区范围：分别以</w:t>
            </w:r>
            <w:r>
              <w:rPr>
                <w:sz w:val="24"/>
              </w:rPr>
              <w:t>3</w:t>
            </w:r>
            <w:r>
              <w:rPr>
                <w:rFonts w:hint="eastAsia"/>
                <w:sz w:val="24"/>
              </w:rPr>
              <w:t>眼取水井为圆心，</w:t>
            </w:r>
            <w:r>
              <w:rPr>
                <w:sz w:val="24"/>
              </w:rPr>
              <w:t>30</w:t>
            </w:r>
            <w:r>
              <w:rPr>
                <w:rFonts w:hint="eastAsia"/>
                <w:sz w:val="24"/>
              </w:rPr>
              <w:t>米为半径的圆形所围区域，面积为</w:t>
            </w:r>
            <w:r>
              <w:rPr>
                <w:sz w:val="24"/>
              </w:rPr>
              <w:t>0.0085</w:t>
            </w:r>
            <w:r>
              <w:rPr>
                <w:rFonts w:hint="eastAsia"/>
                <w:sz w:val="24"/>
              </w:rPr>
              <w:t>平方公里。”</w:t>
            </w:r>
          </w:p>
          <w:p>
            <w:pPr>
              <w:spacing w:line="360" w:lineRule="auto"/>
              <w:ind w:firstLine="480" w:firstLineChars="200"/>
              <w:contextualSpacing/>
              <w:rPr>
                <w:sz w:val="24"/>
              </w:rPr>
            </w:pPr>
            <w:r>
              <w:rPr>
                <w:rFonts w:hint="eastAsia"/>
                <w:sz w:val="24"/>
              </w:rPr>
              <w:t>由于本项目涉及东诚镇集中式饮用水水源（距离水源井约440米，距离东城镇饮用水水源保护区约410米），因此应开展地下水专项评价工作。根据《建设项目环境影响评价分类管理名录（</w:t>
            </w:r>
            <w:r>
              <w:rPr>
                <w:sz w:val="24"/>
              </w:rPr>
              <w:t>2021</w:t>
            </w:r>
            <w:r>
              <w:rPr>
                <w:rFonts w:hint="eastAsia"/>
                <w:sz w:val="24"/>
              </w:rPr>
              <w:t>年版）》，项目属于“三十九、废弃资源综合利用业</w:t>
            </w:r>
            <w:r>
              <w:rPr>
                <w:sz w:val="24"/>
              </w:rPr>
              <w:t>42</w:t>
            </w:r>
            <w:r>
              <w:rPr>
                <w:rFonts w:hint="eastAsia"/>
                <w:sz w:val="24"/>
              </w:rPr>
              <w:t>”中的“</w:t>
            </w:r>
            <w:r>
              <w:rPr>
                <w:sz w:val="24"/>
              </w:rPr>
              <w:t>85</w:t>
            </w:r>
            <w:r>
              <w:rPr>
                <w:rFonts w:hint="eastAsia"/>
                <w:sz w:val="24"/>
              </w:rPr>
              <w:t>金属废料和碎屑加工处理</w:t>
            </w:r>
            <w:r>
              <w:rPr>
                <w:sz w:val="24"/>
              </w:rPr>
              <w:t>421</w:t>
            </w:r>
            <w:r>
              <w:rPr>
                <w:rFonts w:hint="eastAsia"/>
                <w:sz w:val="24"/>
              </w:rPr>
              <w:t>；非金属废料和碎 屑加工处理</w:t>
            </w:r>
            <w:r>
              <w:rPr>
                <w:sz w:val="24"/>
              </w:rPr>
              <w:t>422</w:t>
            </w:r>
            <w:r>
              <w:rPr>
                <w:rFonts w:hint="eastAsia"/>
                <w:sz w:val="24"/>
              </w:rPr>
              <w:t>”中的“废弃电器电子产品、废机动车、废电机、废电线电缆、废钢、废铁、金属和金属化合物矿灰及残渣、有色金属废料与碎屑、废塑</w:t>
            </w:r>
            <w:r>
              <w:rPr>
                <w:sz w:val="24"/>
              </w:rPr>
              <w:t>料、废轮胎、废船、含水洗工艺的其他废料和碎屑加工处理(农业生产产生的废旧秧盘、薄膜破碎和清洗工艺的除外) ”，属于编制报告表类别，根据《环境影响评价技术导则 地下水环境》(HJ 610-2016)附录A，项目地下水环境评价项目类别为Ⅳ类，可不开展地下水环境影响评价。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06" w:hRule="atLeast"/>
          <w:jc w:val="center"/>
        </w:trPr>
        <w:tc>
          <w:tcPr>
            <w:tcW w:w="2496" w:type="dxa"/>
            <w:vAlign w:val="center"/>
          </w:tcPr>
          <w:p>
            <w:pPr>
              <w:autoSpaceDE w:val="0"/>
              <w:autoSpaceDN w:val="0"/>
              <w:adjustRightInd w:val="0"/>
              <w:snapToGrid w:val="0"/>
              <w:jc w:val="center"/>
              <w:rPr>
                <w:rFonts w:eastAsiaTheme="minorEastAsia"/>
                <w:kern w:val="0"/>
                <w:sz w:val="24"/>
              </w:rPr>
            </w:pPr>
            <w:r>
              <w:rPr>
                <w:rFonts w:hint="eastAsia" w:eastAsiaTheme="minorEastAsia"/>
                <w:sz w:val="24"/>
              </w:rPr>
              <w:t>规划情况</w:t>
            </w:r>
          </w:p>
        </w:tc>
        <w:tc>
          <w:tcPr>
            <w:tcW w:w="6872" w:type="dxa"/>
            <w:gridSpan w:val="5"/>
            <w:vAlign w:val="center"/>
          </w:tcPr>
          <w:p>
            <w:pPr>
              <w:autoSpaceDE w:val="0"/>
              <w:autoSpaceDN w:val="0"/>
              <w:adjustRightInd w:val="0"/>
              <w:snapToGrid w:val="0"/>
              <w:jc w:val="center"/>
              <w:rPr>
                <w:rFonts w:eastAsiaTheme="minorEastAsia"/>
                <w:bCs/>
                <w:kern w:val="0"/>
                <w:sz w:val="24"/>
              </w:rPr>
            </w:pPr>
            <w:r>
              <w:rPr>
                <w:rFonts w:hint="eastAsia" w:eastAsiaTheme="minorEastAsia"/>
                <w:kern w:val="0"/>
                <w:sz w:val="24"/>
              </w:rPr>
              <w:t>1、</w:t>
            </w:r>
            <w:r>
              <w:rPr>
                <w:rFonts w:eastAsiaTheme="minorEastAsia"/>
                <w:kern w:val="0"/>
                <w:sz w:val="24"/>
              </w:rPr>
              <w:t>《黑龙江省鸡西市城乡固体废物分类治理布局规划（2019-2035年）2021年修订版》、</w:t>
            </w:r>
            <w:r>
              <w:rPr>
                <w:rFonts w:hint="eastAsia" w:eastAsiaTheme="minorEastAsia"/>
                <w:bCs/>
                <w:kern w:val="0"/>
                <w:sz w:val="24"/>
              </w:rPr>
              <w:t>组织编制：鸡西市人民政府、编制单位：黑龙江省城市规划勘测设计研究院</w:t>
            </w:r>
          </w:p>
          <w:p>
            <w:pPr>
              <w:jc w:val="center"/>
              <w:rPr>
                <w:rFonts w:eastAsiaTheme="minorEastAsia"/>
                <w:kern w:val="0"/>
                <w:sz w:val="24"/>
              </w:rPr>
            </w:pPr>
            <w:r>
              <w:rPr>
                <w:rFonts w:hint="eastAsia" w:eastAsiaTheme="minorEastAsia"/>
                <w:bCs/>
                <w:kern w:val="0"/>
                <w:sz w:val="24"/>
              </w:rPr>
              <w:t>2、</w:t>
            </w:r>
            <w:r>
              <w:rPr>
                <w:rFonts w:hint="eastAsia" w:ascii="宋体" w:hAnsi="宋体" w:cs="宋体"/>
                <w:bCs/>
                <w:kern w:val="0"/>
                <w:sz w:val="24"/>
              </w:rPr>
              <w:t>《黑龙江省城乡固体废物分类治理布局规划（</w:t>
            </w:r>
            <w:r>
              <w:rPr>
                <w:bCs/>
                <w:kern w:val="0"/>
                <w:sz w:val="24"/>
              </w:rPr>
              <w:t>2019-2035</w:t>
            </w:r>
            <w:r>
              <w:rPr>
                <w:rFonts w:hint="eastAsia" w:ascii="宋体" w:hAnsi="宋体" w:cs="宋体"/>
                <w:bCs/>
                <w:kern w:val="0"/>
                <w:sz w:val="24"/>
              </w:rPr>
              <w:t>年）》（</w:t>
            </w:r>
            <w:r>
              <w:rPr>
                <w:bCs/>
                <w:kern w:val="0"/>
                <w:sz w:val="24"/>
              </w:rPr>
              <w:t>2021</w:t>
            </w:r>
            <w:r>
              <w:rPr>
                <w:rFonts w:hint="eastAsia" w:ascii="宋体" w:hAnsi="宋体" w:cs="宋体"/>
                <w:bCs/>
                <w:kern w:val="0"/>
                <w:sz w:val="24"/>
              </w:rPr>
              <w:t>年修订）、</w:t>
            </w:r>
            <w:r>
              <w:rPr>
                <w:rFonts w:hint="eastAsia" w:eastAsiaTheme="minorEastAsia"/>
                <w:bCs/>
                <w:kern w:val="0"/>
                <w:sz w:val="24"/>
              </w:rPr>
              <w:t>组织编制：黑龙江省住房和城乡建设厅、编制单位：黑龙江省城市规划勘测设计研究院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2496" w:type="dxa"/>
            <w:vAlign w:val="center"/>
          </w:tcPr>
          <w:p>
            <w:pPr>
              <w:adjustRightInd w:val="0"/>
              <w:snapToGrid w:val="0"/>
              <w:jc w:val="center"/>
              <w:rPr>
                <w:rFonts w:eastAsiaTheme="minorEastAsia"/>
                <w:sz w:val="24"/>
              </w:rPr>
            </w:pPr>
            <w:r>
              <w:rPr>
                <w:rFonts w:hint="eastAsia" w:eastAsiaTheme="minorEastAsia"/>
                <w:sz w:val="24"/>
              </w:rPr>
              <w:t>规划环境影响</w:t>
            </w:r>
          </w:p>
          <w:p>
            <w:pPr>
              <w:adjustRightInd w:val="0"/>
              <w:snapToGrid w:val="0"/>
              <w:jc w:val="center"/>
              <w:rPr>
                <w:rFonts w:eastAsiaTheme="minorEastAsia"/>
                <w:kern w:val="0"/>
                <w:sz w:val="24"/>
              </w:rPr>
            </w:pPr>
            <w:r>
              <w:rPr>
                <w:rFonts w:hint="eastAsia" w:eastAsiaTheme="minorEastAsia"/>
                <w:sz w:val="24"/>
              </w:rPr>
              <w:t>评价情况</w:t>
            </w:r>
          </w:p>
        </w:tc>
        <w:tc>
          <w:tcPr>
            <w:tcW w:w="6872" w:type="dxa"/>
            <w:gridSpan w:val="5"/>
            <w:vAlign w:val="center"/>
          </w:tcPr>
          <w:p>
            <w:pPr>
              <w:autoSpaceDE w:val="0"/>
              <w:autoSpaceDN w:val="0"/>
              <w:spacing w:line="360" w:lineRule="auto"/>
              <w:jc w:val="center"/>
              <w:rPr>
                <w:rFonts w:eastAsiaTheme="minorEastAsia"/>
                <w:kern w:val="0"/>
                <w:sz w:val="24"/>
                <w:shd w:val="clear" w:color="FFFFFF" w:fill="FFFFFF"/>
              </w:rPr>
            </w:pPr>
            <w:r>
              <w:rPr>
                <w:rFonts w:eastAsiaTheme="minorEastAsia"/>
                <w:kern w:val="0"/>
                <w:sz w:val="24"/>
                <w:shd w:val="clear" w:color="FFFFFF" w:fill="FFFFFF"/>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29" w:hRule="atLeast"/>
          <w:jc w:val="center"/>
        </w:trPr>
        <w:tc>
          <w:tcPr>
            <w:tcW w:w="2496" w:type="dxa"/>
            <w:vAlign w:val="center"/>
          </w:tcPr>
          <w:p>
            <w:pPr>
              <w:autoSpaceDE w:val="0"/>
              <w:autoSpaceDN w:val="0"/>
              <w:adjustRightInd w:val="0"/>
              <w:snapToGrid w:val="0"/>
              <w:jc w:val="center"/>
              <w:rPr>
                <w:rFonts w:eastAsiaTheme="minorEastAsia"/>
                <w:kern w:val="0"/>
                <w:sz w:val="24"/>
              </w:rPr>
            </w:pPr>
            <w:r>
              <w:rPr>
                <w:rFonts w:hint="eastAsia" w:eastAsiaTheme="minorEastAsia"/>
                <w:kern w:val="0"/>
                <w:sz w:val="24"/>
              </w:rPr>
              <w:t>规划及规划环境</w:t>
            </w:r>
          </w:p>
          <w:p>
            <w:pPr>
              <w:autoSpaceDE w:val="0"/>
              <w:autoSpaceDN w:val="0"/>
              <w:adjustRightInd w:val="0"/>
              <w:snapToGrid w:val="0"/>
              <w:jc w:val="center"/>
              <w:rPr>
                <w:rFonts w:eastAsiaTheme="minorEastAsia"/>
                <w:kern w:val="0"/>
                <w:sz w:val="24"/>
              </w:rPr>
            </w:pPr>
            <w:r>
              <w:rPr>
                <w:rFonts w:hint="eastAsia" w:eastAsiaTheme="minorEastAsia"/>
                <w:kern w:val="0"/>
                <w:sz w:val="24"/>
              </w:rPr>
              <w:t>影响评价符合性分析</w:t>
            </w:r>
          </w:p>
        </w:tc>
        <w:tc>
          <w:tcPr>
            <w:tcW w:w="6872" w:type="dxa"/>
            <w:gridSpan w:val="5"/>
            <w:vAlign w:val="center"/>
          </w:tcPr>
          <w:p>
            <w:pPr>
              <w:spacing w:line="360" w:lineRule="auto"/>
              <w:jc w:val="left"/>
              <w:rPr>
                <w:rFonts w:ascii="宋体" w:hAnsi="宋体" w:cs="宋体"/>
                <w:kern w:val="0"/>
                <w:sz w:val="24"/>
              </w:rPr>
            </w:pPr>
            <w:r>
              <w:rPr>
                <w:rFonts w:eastAsiaTheme="minorEastAsia"/>
                <w:b/>
                <w:kern w:val="0"/>
                <w:sz w:val="24"/>
                <w:szCs w:val="21"/>
              </w:rPr>
              <w:t>1</w:t>
            </w:r>
            <w:r>
              <w:rPr>
                <w:rFonts w:hint="eastAsia" w:eastAsiaTheme="minorEastAsia"/>
                <w:b/>
                <w:kern w:val="0"/>
                <w:sz w:val="24"/>
                <w:szCs w:val="21"/>
              </w:rPr>
              <w:t>、</w:t>
            </w:r>
            <w:r>
              <w:rPr>
                <w:rFonts w:hint="eastAsia" w:ascii="宋体" w:hAnsi="宋体" w:cs="宋体"/>
                <w:b/>
                <w:bCs/>
                <w:kern w:val="0"/>
                <w:sz w:val="24"/>
              </w:rPr>
              <w:t>与《黑龙江省城乡固体废物分类治理布局规划（</w:t>
            </w:r>
            <w:r>
              <w:rPr>
                <w:b/>
                <w:bCs/>
                <w:kern w:val="0"/>
                <w:sz w:val="24"/>
              </w:rPr>
              <w:t xml:space="preserve">2019-2035 </w:t>
            </w:r>
          </w:p>
          <w:p>
            <w:pPr>
              <w:spacing w:line="360" w:lineRule="auto"/>
              <w:ind w:firstLine="482" w:firstLineChars="200"/>
              <w:contextualSpacing/>
              <w:jc w:val="left"/>
              <w:rPr>
                <w:rFonts w:eastAsiaTheme="minorEastAsia"/>
                <w:b/>
                <w:kern w:val="0"/>
                <w:sz w:val="24"/>
                <w:szCs w:val="21"/>
              </w:rPr>
            </w:pPr>
            <w:r>
              <w:rPr>
                <w:rFonts w:hint="eastAsia" w:ascii="宋体" w:hAnsi="宋体" w:cs="宋体"/>
                <w:b/>
                <w:bCs/>
                <w:kern w:val="0"/>
                <w:sz w:val="24"/>
              </w:rPr>
              <w:t>年）》（</w:t>
            </w:r>
            <w:r>
              <w:rPr>
                <w:b/>
                <w:bCs/>
                <w:kern w:val="0"/>
                <w:sz w:val="24"/>
              </w:rPr>
              <w:t>2021</w:t>
            </w:r>
            <w:r>
              <w:rPr>
                <w:rFonts w:hint="eastAsia" w:ascii="宋体" w:hAnsi="宋体" w:cs="宋体"/>
                <w:b/>
                <w:bCs/>
                <w:kern w:val="0"/>
                <w:sz w:val="24"/>
              </w:rPr>
              <w:t>年修订）的符合性分析</w:t>
            </w:r>
          </w:p>
          <w:p>
            <w:pPr>
              <w:spacing w:line="360" w:lineRule="auto"/>
              <w:ind w:firstLine="480" w:firstLineChars="200"/>
              <w:contextualSpacing/>
              <w:rPr>
                <w:sz w:val="24"/>
              </w:rPr>
            </w:pPr>
            <w:r>
              <w:rPr>
                <w:rFonts w:hint="eastAsia"/>
                <w:sz w:val="24"/>
              </w:rPr>
              <w:t>《黑龙江省城乡固体废物分类治理布局规划（</w:t>
            </w:r>
            <w:r>
              <w:rPr>
                <w:sz w:val="24"/>
              </w:rPr>
              <w:t>2019-2035</w:t>
            </w:r>
            <w:r>
              <w:rPr>
                <w:rFonts w:hint="eastAsia"/>
                <w:sz w:val="24"/>
              </w:rPr>
              <w:t>年）》 中关于一般工业治理布局规划，规划提出一般工业固体废物实现源头大幅减量，充分资源化利用和安全处置。实现工业绿色生产，推动大宗工业固体废物贮存处置总量趋零增长；非法转移倾倒固体废物事件零发生；全过程规范化管理，构建全过程信息化监管体系。近期一般工业固体综合利用率近期达到</w:t>
            </w:r>
            <w:r>
              <w:rPr>
                <w:sz w:val="24"/>
              </w:rPr>
              <w:t>73%</w:t>
            </w:r>
            <w:r>
              <w:rPr>
                <w:rFonts w:hint="eastAsia"/>
                <w:sz w:val="24"/>
              </w:rPr>
              <w:t>，中期达到</w:t>
            </w:r>
            <w:r>
              <w:rPr>
                <w:sz w:val="24"/>
              </w:rPr>
              <w:t>79%</w:t>
            </w:r>
            <w:r>
              <w:rPr>
                <w:rFonts w:hint="eastAsia"/>
                <w:sz w:val="24"/>
              </w:rPr>
              <w:t>，远期达到</w:t>
            </w:r>
            <w:r>
              <w:rPr>
                <w:sz w:val="24"/>
              </w:rPr>
              <w:t>90%</w:t>
            </w:r>
            <w:r>
              <w:rPr>
                <w:rFonts w:hint="eastAsia"/>
                <w:sz w:val="24"/>
              </w:rPr>
              <w:t>。规划中提出“一般工业固体废物应优先采用资源化循环利用治理方案，进行循环回收资源再利用和综合利用处理，达到综合利用目标要求。其余进行分类处置，达到环保标准要求”，“全省建立起较为完善的危险废物收集、贮存、运输、利用和处置体系，危险废物利用处置设施布局趋于合理，危险废物规范化管理水平、环境监管能力明显提升，基本实现全省危险废物的安全利用和处置”。</w:t>
            </w:r>
          </w:p>
          <w:p>
            <w:pPr>
              <w:spacing w:line="360" w:lineRule="auto"/>
              <w:ind w:firstLine="480" w:firstLineChars="200"/>
              <w:contextualSpacing/>
              <w:rPr>
                <w:sz w:val="24"/>
              </w:rPr>
            </w:pPr>
            <w:r>
              <w:rPr>
                <w:rFonts w:hint="eastAsia"/>
                <w:sz w:val="24"/>
              </w:rPr>
              <w:t>全省共划分</w:t>
            </w:r>
            <w:r>
              <w:rPr>
                <w:sz w:val="24"/>
              </w:rPr>
              <w:t>7</w:t>
            </w:r>
            <w:r>
              <w:rPr>
                <w:rFonts w:hint="eastAsia"/>
                <w:sz w:val="24"/>
              </w:rPr>
              <w:t>个一般工业固体废物综合利用区域，分别位于哈尔滨市、伊春市、鸡西市、黑河市、大庆市、鹤岗市、双鸭山市，各区域建有多个静脉产业园区，在各静脉产业园区均建设一般工业固体废物综合利用设施（除双鸭山市四方台静脉产业园区），一般工业固体废物根据收集经济半径就近输送至各静脉产业园区和综合利用设施进行综合利用。大规模企业可在产地附近建设综合利用设施项目。鸡西市中期规划</w:t>
            </w:r>
            <w:r>
              <w:rPr>
                <w:sz w:val="24"/>
              </w:rPr>
              <w:t>1</w:t>
            </w:r>
            <w:r>
              <w:rPr>
                <w:rFonts w:hint="eastAsia"/>
                <w:sz w:val="24"/>
              </w:rPr>
              <w:t>座一般工业固体废物综合利用设施，处理规模为</w:t>
            </w:r>
            <w:r>
              <w:rPr>
                <w:sz w:val="24"/>
              </w:rPr>
              <w:t>300</w:t>
            </w:r>
            <w:r>
              <w:rPr>
                <w:rFonts w:hint="eastAsia"/>
                <w:sz w:val="24"/>
              </w:rPr>
              <w:t>万吨</w:t>
            </w:r>
            <w:r>
              <w:rPr>
                <w:sz w:val="24"/>
              </w:rPr>
              <w:t>/</w:t>
            </w:r>
            <w:r>
              <w:rPr>
                <w:rFonts w:hint="eastAsia"/>
                <w:sz w:val="24"/>
              </w:rPr>
              <w:t>年，投资为</w:t>
            </w:r>
            <w:r>
              <w:rPr>
                <w:sz w:val="24"/>
              </w:rPr>
              <w:t>3.3</w:t>
            </w:r>
            <w:r>
              <w:rPr>
                <w:rFonts w:hint="eastAsia"/>
                <w:sz w:val="24"/>
              </w:rPr>
              <w:t>亿元。选址位于煤矿主产区附近，主要处理尾矿和煤矸石。远期一般工业固体废物综合利用设施再增加</w:t>
            </w:r>
            <w:r>
              <w:rPr>
                <w:sz w:val="24"/>
              </w:rPr>
              <w:t>500</w:t>
            </w:r>
            <w:r>
              <w:rPr>
                <w:rFonts w:hint="eastAsia"/>
                <w:sz w:val="24"/>
              </w:rPr>
              <w:t>万吨</w:t>
            </w:r>
            <w:r>
              <w:rPr>
                <w:sz w:val="24"/>
              </w:rPr>
              <w:t>/</w:t>
            </w:r>
            <w:r>
              <w:rPr>
                <w:rFonts w:hint="eastAsia"/>
                <w:sz w:val="24"/>
              </w:rPr>
              <w:t>年的处理能力，投资为</w:t>
            </w:r>
            <w:r>
              <w:rPr>
                <w:sz w:val="24"/>
              </w:rPr>
              <w:t>5</w:t>
            </w:r>
            <w:r>
              <w:rPr>
                <w:rFonts w:hint="eastAsia"/>
                <w:sz w:val="24"/>
              </w:rPr>
              <w:t>亿元。选址位于发电厂附近，主要处理炉渣和粉煤灰，还可以选址在煤矿主产区，主要处理尾矿和煤矸石。</w:t>
            </w:r>
          </w:p>
          <w:p>
            <w:pPr>
              <w:spacing w:line="360" w:lineRule="auto"/>
              <w:ind w:firstLine="480" w:firstLineChars="200"/>
              <w:contextualSpacing/>
              <w:rPr>
                <w:sz w:val="24"/>
              </w:rPr>
            </w:pPr>
            <w:r>
              <w:rPr>
                <w:rFonts w:hint="eastAsia"/>
                <w:sz w:val="24"/>
              </w:rPr>
              <w:t xml:space="preserve">本项目主要将报废农机进行回收拆解利用，通过拆解，切割等工艺将报废农机拆解成各零部件材料，将拆解产物中一般工业固体废物分类回收利用，危险废物分类暂存，委托具有相关资质的单位回收处理。本项目的建设可以满足废旧资源的综合利用的要求，符合规划中提出的“一般工业固体废物应优先采用资源化循环利用治理方案，进行循环回收资源再利用和综合利用处理，达到综合利用目标要求”。项目的建成将推进废旧资源利用项目拆解的报废车均由鸡西市、虎林市周边产生，本项目建设符合《规划》的要求。 </w:t>
            </w:r>
          </w:p>
          <w:p>
            <w:pPr>
              <w:spacing w:line="360" w:lineRule="auto"/>
              <w:ind w:firstLine="480" w:firstLineChars="200"/>
              <w:contextualSpacing/>
              <w:rPr>
                <w:sz w:val="24"/>
              </w:rPr>
            </w:pPr>
            <w:r>
              <w:rPr>
                <w:rFonts w:hint="eastAsia"/>
                <w:sz w:val="24"/>
              </w:rPr>
              <w:t>综上，本项目符合《黑龙江省鸡西市城乡固体废物分类治理专项规划（</w:t>
            </w:r>
            <w:r>
              <w:rPr>
                <w:sz w:val="24"/>
              </w:rPr>
              <w:t xml:space="preserve">2019-2035 </w:t>
            </w:r>
            <w:r>
              <w:rPr>
                <w:rFonts w:hint="eastAsia"/>
                <w:sz w:val="24"/>
              </w:rPr>
              <w:t>年）》要求。</w:t>
            </w:r>
          </w:p>
          <w:p>
            <w:pPr>
              <w:spacing w:line="360" w:lineRule="auto"/>
              <w:ind w:firstLine="482" w:firstLineChars="200"/>
              <w:contextualSpacing/>
              <w:rPr>
                <w:rFonts w:eastAsiaTheme="minorEastAsia"/>
                <w:b/>
                <w:kern w:val="0"/>
                <w:sz w:val="24"/>
                <w:szCs w:val="21"/>
              </w:rPr>
            </w:pPr>
            <w:r>
              <w:rPr>
                <w:rFonts w:hint="eastAsia" w:eastAsiaTheme="minorEastAsia"/>
                <w:b/>
                <w:kern w:val="0"/>
                <w:sz w:val="24"/>
                <w:szCs w:val="21"/>
              </w:rPr>
              <w:t>2、与</w:t>
            </w:r>
            <w:r>
              <w:rPr>
                <w:rFonts w:eastAsiaTheme="minorEastAsia"/>
                <w:b/>
                <w:kern w:val="0"/>
                <w:sz w:val="24"/>
                <w:szCs w:val="21"/>
              </w:rPr>
              <w:t>《</w:t>
            </w:r>
            <w:r>
              <w:rPr>
                <w:rFonts w:hint="eastAsia" w:eastAsiaTheme="minorEastAsia"/>
                <w:b/>
                <w:kern w:val="0"/>
                <w:sz w:val="24"/>
                <w:szCs w:val="21"/>
              </w:rPr>
              <w:t>黑龙江省鸡西市城乡固体废物分类治理布局规划（2019-2035年</w:t>
            </w:r>
            <w:r>
              <w:rPr>
                <w:rFonts w:eastAsiaTheme="minorEastAsia"/>
                <w:b/>
                <w:kern w:val="0"/>
                <w:sz w:val="24"/>
                <w:szCs w:val="21"/>
              </w:rPr>
              <w:t>》</w:t>
            </w:r>
            <w:r>
              <w:rPr>
                <w:rFonts w:hint="eastAsia" w:eastAsiaTheme="minorEastAsia"/>
                <w:b/>
                <w:kern w:val="0"/>
                <w:sz w:val="24"/>
                <w:szCs w:val="21"/>
              </w:rPr>
              <w:t>的符合性分析</w:t>
            </w:r>
          </w:p>
          <w:p>
            <w:pPr>
              <w:spacing w:line="360" w:lineRule="auto"/>
              <w:ind w:firstLine="480" w:firstLineChars="200"/>
              <w:contextualSpacing/>
              <w:rPr>
                <w:sz w:val="24"/>
              </w:rPr>
            </w:pPr>
            <w:r>
              <w:rPr>
                <w:rFonts w:hint="eastAsia"/>
                <w:sz w:val="24"/>
              </w:rPr>
              <w:t>《黑龙江省鸡西市城乡固体废物分类治理布局规划（2019-2035年》</w:t>
            </w:r>
            <w:r>
              <w:rPr>
                <w:sz w:val="24"/>
              </w:rPr>
              <w:t>中分别对静脉产业园布局、生活垃圾治理设施布局、餐厨垃圾治理布局、危险废物治理布局、医疗废物治理布局、建筑垃圾治理布局、一般工业固体废物治理布局分别给出了布局规划，</w:t>
            </w:r>
            <w:r>
              <w:rPr>
                <w:rFonts w:hint="eastAsia"/>
                <w:sz w:val="24"/>
              </w:rPr>
              <w:t>鸡西市中期规划</w:t>
            </w:r>
            <w:r>
              <w:rPr>
                <w:sz w:val="24"/>
              </w:rPr>
              <w:t xml:space="preserve">1 </w:t>
            </w:r>
            <w:r>
              <w:rPr>
                <w:rFonts w:hint="eastAsia"/>
                <w:sz w:val="24"/>
              </w:rPr>
              <w:t>座一般工业固体废物综合利用设施，处理规模为</w:t>
            </w:r>
            <w:r>
              <w:rPr>
                <w:sz w:val="24"/>
              </w:rPr>
              <w:t>300</w:t>
            </w:r>
            <w:r>
              <w:rPr>
                <w:rFonts w:hint="eastAsia"/>
                <w:sz w:val="24"/>
              </w:rPr>
              <w:t>万吨</w:t>
            </w:r>
            <w:r>
              <w:rPr>
                <w:sz w:val="24"/>
              </w:rPr>
              <w:t>/</w:t>
            </w:r>
            <w:r>
              <w:rPr>
                <w:rFonts w:hint="eastAsia"/>
                <w:sz w:val="24"/>
              </w:rPr>
              <w:t>年，投资为</w:t>
            </w:r>
            <w:r>
              <w:rPr>
                <w:sz w:val="24"/>
              </w:rPr>
              <w:t>3.3</w:t>
            </w:r>
            <w:r>
              <w:rPr>
                <w:rFonts w:hint="eastAsia"/>
                <w:sz w:val="24"/>
              </w:rPr>
              <w:t>亿元。选址位于煤矿主产区附近，主要处理尾矿和煤矸石。远期一般工业固体废物综合利用设施再增加</w:t>
            </w:r>
            <w:r>
              <w:rPr>
                <w:sz w:val="24"/>
              </w:rPr>
              <w:t>500</w:t>
            </w:r>
            <w:r>
              <w:rPr>
                <w:rFonts w:hint="eastAsia"/>
                <w:sz w:val="24"/>
              </w:rPr>
              <w:t>万吨</w:t>
            </w:r>
            <w:r>
              <w:rPr>
                <w:sz w:val="24"/>
              </w:rPr>
              <w:t>/</w:t>
            </w:r>
            <w:r>
              <w:rPr>
                <w:rFonts w:hint="eastAsia"/>
                <w:sz w:val="24"/>
              </w:rPr>
              <w:t>年的处理能力，投资为</w:t>
            </w:r>
            <w:r>
              <w:rPr>
                <w:sz w:val="24"/>
              </w:rPr>
              <w:t>5</w:t>
            </w:r>
            <w:r>
              <w:rPr>
                <w:rFonts w:hint="eastAsia"/>
                <w:sz w:val="24"/>
              </w:rPr>
              <w:t>亿元。选址位于发电厂附近，主要处理炉渣和粉煤灰，还可以选址在煤矿主产区，主要处理尾矿和煤矸石。</w:t>
            </w:r>
          </w:p>
          <w:p>
            <w:pPr>
              <w:spacing w:line="360" w:lineRule="auto"/>
              <w:ind w:firstLine="480" w:firstLineChars="200"/>
              <w:contextualSpacing/>
              <w:rPr>
                <w:sz w:val="24"/>
              </w:rPr>
            </w:pPr>
            <w:r>
              <w:rPr>
                <w:sz w:val="24"/>
              </w:rPr>
              <w:t>本项目</w:t>
            </w:r>
            <w:r>
              <w:rPr>
                <w:rFonts w:hint="eastAsia"/>
                <w:sz w:val="24"/>
              </w:rPr>
              <w:t>位于黑龙江省虎林市东诚镇东风村</w:t>
            </w:r>
            <w:r>
              <w:rPr>
                <w:sz w:val="24"/>
              </w:rPr>
              <w:t>，</w:t>
            </w:r>
            <w:r>
              <w:rPr>
                <w:rFonts w:hint="eastAsia"/>
                <w:sz w:val="24"/>
              </w:rPr>
              <w:t>建成后年回收拆解6</w:t>
            </w:r>
            <w:r>
              <w:rPr>
                <w:sz w:val="24"/>
              </w:rPr>
              <w:t>00</w:t>
            </w:r>
            <w:r>
              <w:rPr>
                <w:rFonts w:hint="eastAsia"/>
                <w:sz w:val="24"/>
              </w:rPr>
              <w:t>台报废农机，预计于2025年投产，属于中期一般工业固体废物综合利用设施，</w:t>
            </w:r>
            <w:r>
              <w:rPr>
                <w:sz w:val="24"/>
              </w:rPr>
              <w:t>符合《黑龙江省鸡西市城乡固体废物分类治理布局规划（2019-2035年）》。</w:t>
            </w:r>
          </w:p>
          <w:p>
            <w:pPr>
              <w:widowControl/>
              <w:spacing w:line="360" w:lineRule="auto"/>
              <w:jc w:val="left"/>
              <w:rPr>
                <w:kern w:val="0"/>
                <w:sz w:val="24"/>
              </w:rPr>
            </w:pPr>
            <w:r>
              <w:rPr>
                <w:b/>
                <w:bCs/>
                <w:kern w:val="0"/>
                <w:sz w:val="24"/>
              </w:rPr>
              <w:t>3</w:t>
            </w:r>
            <w:r>
              <w:rPr>
                <w:rFonts w:eastAsiaTheme="minorEastAsia"/>
                <w:b/>
                <w:kern w:val="0"/>
                <w:sz w:val="24"/>
                <w:szCs w:val="21"/>
              </w:rPr>
              <w:t xml:space="preserve">、与《虎林市国土空间总体规划》（2021-2035）符合性分析 </w:t>
            </w:r>
          </w:p>
          <w:p>
            <w:pPr>
              <w:spacing w:line="360" w:lineRule="auto"/>
              <w:ind w:firstLine="480" w:firstLineChars="200"/>
              <w:contextualSpacing/>
              <w:rPr>
                <w:sz w:val="24"/>
              </w:rPr>
            </w:pPr>
            <w:r>
              <w:rPr>
                <w:sz w:val="24"/>
              </w:rPr>
              <w:t>《虎林市国土空间总体规划》（2021-2035）提出的规划原则为“严格落实上级规划的管控性要求和约束性指标，在资源环境承载能力与国土空间开发适宜性评价的基础上，优先划定不能进行开发建设空间范围，严守生态安全、粮食安全保护底线，统筹山水林田湖草系统治理，加强生态保护与生态建设，坚持走生产发展、生活富裕、生态良好的文明发展道路，强化虎林城市核心优势和竞争力，展示生态文明建设新形象。”规划目标为“2025年：完善公共服务设施，发展绿色食品、北药基地、加强物流通道及铁路、公路建设，提升虎林综合职能首位度，打造黑龙江省东部延边经济增长极。2035年：打造对俄贸易重要进出口节点城市，中俄跨境集群联动枢纽，黑龙江东部最美县城、兴边富民示范区和红色旅游特色康养宜居新城。205</w:t>
            </w:r>
            <w:r>
              <w:rPr>
                <w:rFonts w:hint="eastAsia"/>
                <w:sz w:val="24"/>
              </w:rPr>
              <w:t>0</w:t>
            </w:r>
            <w:r>
              <w:rPr>
                <w:sz w:val="24"/>
              </w:rPr>
              <w:t>年：建设成为具有影响力的生态宜居新型城镇化示范城市；营造彰显东方生态文明范式的魅力家园。建设成为城乡协同发展，生态环境、绿色发</w:t>
            </w:r>
            <w:r>
              <w:rPr>
                <w:rFonts w:eastAsiaTheme="minorEastAsia"/>
                <w:kern w:val="0"/>
                <w:sz w:val="24"/>
                <w:szCs w:val="21"/>
              </w:rPr>
              <w:t xml:space="preserve">展水平领先的可持续发展新虎林。”生态保护格局：坚持节约优先、保护优先、自然恢复为主，实施重点区域的天然林保护与修复、内涝和蓄滞洪区治理恢复、湿地保护恢复、矿山生环境修复与治理、水土流失综合治理、防沙治沙等生态系统保护和修复重大工程，促进生态系统良性循环。加强规划分区引导和用途管控，严格落实生态保护、耕地保护、城镇开发等空间管控，减少人类活动对自然空间的占用。严格控制水域面积，水体不受污染保护环境，强化绿化。 </w:t>
            </w:r>
          </w:p>
          <w:p>
            <w:pPr>
              <w:spacing w:line="360" w:lineRule="auto"/>
              <w:ind w:firstLine="480" w:firstLineChars="200"/>
              <w:contextualSpacing/>
              <w:jc w:val="left"/>
              <w:rPr>
                <w:rFonts w:eastAsiaTheme="minorEastAsia"/>
                <w:kern w:val="0"/>
                <w:sz w:val="24"/>
                <w:szCs w:val="21"/>
              </w:rPr>
            </w:pPr>
            <w:r>
              <w:rPr>
                <w:rFonts w:eastAsiaTheme="minorEastAsia"/>
                <w:kern w:val="0"/>
                <w:sz w:val="24"/>
                <w:szCs w:val="21"/>
              </w:rPr>
              <w:t>本项目租赁已有的工业用地进行开发建设，不占用耕地等土地，对拆解车间和危废贮存库产生的颗粒物和非甲烷总烃，分别采用布袋除尘和活性炭等措施，使其达标排放，初期雨水经油水分离器处理后拉运至八五六农场污水处理厂，生活垃圾由市政清运，一般固废综合利用或回收处置等，危险废物分类暂存于危险废物贮存库专用容器中，定期交由有资质单位回收处置，厂区设置分区防渗，因此本项目采取上述措施保证各项污染物能够达标排放。因此，本项目符合《虎林市国土空间总体规划》（2021-2035）规划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21" w:hRule="atLeast"/>
          <w:jc w:val="center"/>
        </w:trPr>
        <w:tc>
          <w:tcPr>
            <w:tcW w:w="2496" w:type="dxa"/>
            <w:vAlign w:val="center"/>
          </w:tcPr>
          <w:p>
            <w:pPr>
              <w:autoSpaceDE w:val="0"/>
              <w:autoSpaceDN w:val="0"/>
              <w:adjustRightInd w:val="0"/>
              <w:snapToGrid w:val="0"/>
              <w:jc w:val="center"/>
              <w:rPr>
                <w:rFonts w:eastAsiaTheme="minorEastAsia"/>
                <w:kern w:val="0"/>
                <w:sz w:val="24"/>
              </w:rPr>
            </w:pPr>
            <w:r>
              <w:rPr>
                <w:rFonts w:hint="eastAsia" w:eastAsiaTheme="minorEastAsia"/>
                <w:kern w:val="0"/>
                <w:sz w:val="24"/>
              </w:rPr>
              <w:t>其他符合性</w:t>
            </w:r>
          </w:p>
          <w:p>
            <w:pPr>
              <w:autoSpaceDE w:val="0"/>
              <w:autoSpaceDN w:val="0"/>
              <w:adjustRightInd w:val="0"/>
              <w:snapToGrid w:val="0"/>
              <w:jc w:val="center"/>
              <w:rPr>
                <w:rFonts w:eastAsiaTheme="minorEastAsia"/>
                <w:kern w:val="0"/>
                <w:sz w:val="24"/>
              </w:rPr>
            </w:pPr>
            <w:r>
              <w:rPr>
                <w:rFonts w:hint="eastAsia" w:eastAsiaTheme="minorEastAsia"/>
                <w:kern w:val="0"/>
                <w:sz w:val="24"/>
              </w:rPr>
              <w:t>分析</w:t>
            </w:r>
          </w:p>
        </w:tc>
        <w:tc>
          <w:tcPr>
            <w:tcW w:w="6872" w:type="dxa"/>
            <w:gridSpan w:val="5"/>
            <w:vAlign w:val="center"/>
          </w:tcPr>
          <w:p>
            <w:pPr>
              <w:spacing w:line="360" w:lineRule="auto"/>
              <w:ind w:firstLine="482" w:firstLineChars="200"/>
              <w:jc w:val="left"/>
              <w:rPr>
                <w:rFonts w:eastAsiaTheme="minorEastAsia"/>
                <w:b/>
                <w:kern w:val="0"/>
                <w:sz w:val="24"/>
                <w:szCs w:val="21"/>
              </w:rPr>
            </w:pPr>
            <w:r>
              <w:rPr>
                <w:rFonts w:eastAsiaTheme="minorEastAsia"/>
                <w:b/>
                <w:kern w:val="0"/>
                <w:sz w:val="24"/>
                <w:szCs w:val="21"/>
              </w:rPr>
              <w:t>1</w:t>
            </w:r>
            <w:r>
              <w:rPr>
                <w:rFonts w:hint="eastAsia" w:eastAsiaTheme="minorEastAsia"/>
                <w:b/>
                <w:kern w:val="0"/>
                <w:sz w:val="24"/>
                <w:szCs w:val="21"/>
              </w:rPr>
              <w:t>、与</w:t>
            </w:r>
            <w:r>
              <w:rPr>
                <w:rFonts w:eastAsiaTheme="minorEastAsia"/>
                <w:b/>
                <w:kern w:val="0"/>
                <w:sz w:val="24"/>
                <w:szCs w:val="21"/>
              </w:rPr>
              <w:t>“</w:t>
            </w:r>
            <w:r>
              <w:rPr>
                <w:rFonts w:hint="eastAsia" w:eastAsiaTheme="minorEastAsia"/>
                <w:b/>
                <w:kern w:val="0"/>
                <w:sz w:val="24"/>
                <w:szCs w:val="21"/>
              </w:rPr>
              <w:t>三线一单</w:t>
            </w:r>
            <w:r>
              <w:rPr>
                <w:rFonts w:eastAsiaTheme="minorEastAsia"/>
                <w:b/>
                <w:kern w:val="0"/>
                <w:sz w:val="24"/>
                <w:szCs w:val="21"/>
              </w:rPr>
              <w:t>”</w:t>
            </w:r>
            <w:r>
              <w:rPr>
                <w:rFonts w:hint="eastAsia" w:eastAsiaTheme="minorEastAsia"/>
                <w:b/>
                <w:kern w:val="0"/>
                <w:sz w:val="24"/>
                <w:szCs w:val="21"/>
              </w:rPr>
              <w:t>符合性分析</w:t>
            </w:r>
          </w:p>
          <w:p>
            <w:pPr>
              <w:spacing w:line="360" w:lineRule="auto"/>
              <w:ind w:firstLine="480" w:firstLineChars="200"/>
              <w:contextualSpacing/>
              <w:jc w:val="left"/>
              <w:rPr>
                <w:rFonts w:eastAsiaTheme="minorEastAsia"/>
                <w:kern w:val="0"/>
                <w:sz w:val="24"/>
                <w:szCs w:val="21"/>
              </w:rPr>
            </w:pPr>
            <w:r>
              <w:rPr>
                <w:rFonts w:hint="eastAsia" w:eastAsiaTheme="minorEastAsia"/>
                <w:kern w:val="0"/>
                <w:sz w:val="24"/>
                <w:szCs w:val="21"/>
              </w:rPr>
              <w:t>根据《鸡西市人民政府关于实施</w:t>
            </w:r>
            <w:r>
              <w:rPr>
                <w:rFonts w:eastAsiaTheme="minorEastAsia"/>
                <w:kern w:val="0"/>
                <w:sz w:val="24"/>
                <w:szCs w:val="21"/>
              </w:rPr>
              <w:t>“</w:t>
            </w:r>
            <w:r>
              <w:rPr>
                <w:rFonts w:hint="eastAsia" w:eastAsiaTheme="minorEastAsia"/>
                <w:kern w:val="0"/>
                <w:sz w:val="24"/>
                <w:szCs w:val="21"/>
              </w:rPr>
              <w:t>三线一单</w:t>
            </w:r>
            <w:r>
              <w:rPr>
                <w:rFonts w:eastAsiaTheme="minorEastAsia"/>
                <w:kern w:val="0"/>
                <w:sz w:val="24"/>
                <w:szCs w:val="21"/>
              </w:rPr>
              <w:t>”</w:t>
            </w:r>
            <w:r>
              <w:rPr>
                <w:rFonts w:hint="eastAsia" w:eastAsiaTheme="minorEastAsia"/>
                <w:kern w:val="0"/>
                <w:sz w:val="24"/>
                <w:szCs w:val="21"/>
              </w:rPr>
              <w:t>生态环境分区管控的意见》</w:t>
            </w:r>
            <w:r>
              <w:rPr>
                <w:rFonts w:hint="eastAsia" w:eastAsiaTheme="minorEastAsia"/>
                <w:sz w:val="24"/>
              </w:rPr>
              <w:t>（鸡政发〔</w:t>
            </w:r>
            <w:r>
              <w:rPr>
                <w:rFonts w:eastAsiaTheme="minorEastAsia"/>
                <w:sz w:val="24"/>
              </w:rPr>
              <w:t>2021</w:t>
            </w:r>
            <w:r>
              <w:rPr>
                <w:rFonts w:hint="eastAsia" w:eastAsiaTheme="minorEastAsia"/>
                <w:sz w:val="24"/>
              </w:rPr>
              <w:t>〕</w:t>
            </w:r>
            <w:r>
              <w:rPr>
                <w:rFonts w:eastAsiaTheme="minorEastAsia"/>
                <w:sz w:val="24"/>
              </w:rPr>
              <w:t>7</w:t>
            </w:r>
            <w:r>
              <w:rPr>
                <w:rFonts w:hint="eastAsia" w:eastAsiaTheme="minorEastAsia"/>
                <w:sz w:val="24"/>
              </w:rPr>
              <w:t>号）及《鸡西市生态环境准入清单（2023年版）》</w:t>
            </w:r>
            <w:r>
              <w:rPr>
                <w:rFonts w:hint="eastAsia" w:eastAsiaTheme="minorEastAsia"/>
                <w:kern w:val="0"/>
                <w:sz w:val="24"/>
                <w:szCs w:val="21"/>
              </w:rPr>
              <w:t>规定，结合本项目生产工艺、排污状况和区域环境及环境质量现状进行调查的基础上，本工程与</w:t>
            </w:r>
            <w:r>
              <w:rPr>
                <w:rFonts w:eastAsiaTheme="minorEastAsia"/>
                <w:kern w:val="0"/>
                <w:sz w:val="24"/>
                <w:szCs w:val="21"/>
              </w:rPr>
              <w:t>“</w:t>
            </w:r>
            <w:r>
              <w:rPr>
                <w:rFonts w:hint="eastAsia" w:eastAsiaTheme="minorEastAsia"/>
                <w:kern w:val="0"/>
                <w:sz w:val="24"/>
                <w:szCs w:val="21"/>
              </w:rPr>
              <w:t>三线一单</w:t>
            </w:r>
            <w:r>
              <w:rPr>
                <w:rFonts w:eastAsiaTheme="minorEastAsia"/>
                <w:kern w:val="0"/>
                <w:sz w:val="24"/>
                <w:szCs w:val="21"/>
              </w:rPr>
              <w:t>”</w:t>
            </w:r>
            <w:r>
              <w:rPr>
                <w:rFonts w:hint="eastAsia" w:eastAsiaTheme="minorEastAsia"/>
                <w:kern w:val="0"/>
                <w:sz w:val="24"/>
                <w:szCs w:val="21"/>
              </w:rPr>
              <w:t>符合性情况如下：</w:t>
            </w:r>
          </w:p>
          <w:p>
            <w:pPr>
              <w:widowControl/>
              <w:spacing w:line="360" w:lineRule="auto"/>
              <w:ind w:firstLine="482" w:firstLineChars="200"/>
              <w:jc w:val="left"/>
              <w:rPr>
                <w:rFonts w:eastAsiaTheme="minorEastAsia"/>
                <w:b/>
                <w:sz w:val="24"/>
              </w:rPr>
            </w:pPr>
            <w:r>
              <w:rPr>
                <w:rFonts w:hint="eastAsia" w:eastAsiaTheme="minorEastAsia"/>
                <w:b/>
                <w:sz w:val="24"/>
              </w:rPr>
              <w:t>（</w:t>
            </w:r>
            <w:r>
              <w:rPr>
                <w:rFonts w:eastAsiaTheme="minorEastAsia"/>
                <w:b/>
                <w:sz w:val="24"/>
              </w:rPr>
              <w:t>1</w:t>
            </w:r>
            <w:r>
              <w:rPr>
                <w:rFonts w:hint="eastAsia" w:eastAsiaTheme="minorEastAsia"/>
                <w:b/>
                <w:sz w:val="24"/>
              </w:rPr>
              <w:t>）生态保护红线符合性分析</w:t>
            </w:r>
          </w:p>
          <w:p>
            <w:pPr>
              <w:widowControl/>
              <w:spacing w:line="360" w:lineRule="auto"/>
              <w:ind w:firstLine="480" w:firstLineChars="200"/>
              <w:rPr>
                <w:rFonts w:eastAsiaTheme="minorEastAsia"/>
                <w:sz w:val="24"/>
              </w:rPr>
            </w:pPr>
            <w:r>
              <w:rPr>
                <w:rFonts w:hint="eastAsia" w:eastAsiaTheme="minorEastAsia"/>
                <w:sz w:val="24"/>
              </w:rPr>
              <w:t>本项目位于</w:t>
            </w:r>
            <w:r>
              <w:rPr>
                <w:rFonts w:hint="eastAsia" w:eastAsiaTheme="minorEastAsia"/>
                <w:bCs/>
                <w:sz w:val="24"/>
              </w:rPr>
              <w:t>黑龙江省虎林市东诚镇东风村，</w:t>
            </w:r>
            <w:r>
              <w:rPr>
                <w:rFonts w:hint="eastAsia"/>
                <w:bCs/>
                <w:kern w:val="0"/>
                <w:sz w:val="24"/>
                <w:szCs w:val="21"/>
              </w:rPr>
              <w:t>根据“黑龙江省生态环境分区管控数据应用平台”查询结果及黑龙江省“三线一单信息服务”</w:t>
            </w:r>
            <w:r>
              <w:rPr>
                <w:bCs/>
                <w:kern w:val="0"/>
                <w:sz w:val="24"/>
                <w:szCs w:val="21"/>
              </w:rPr>
              <w:t>APP</w:t>
            </w:r>
            <w:r>
              <w:rPr>
                <w:rFonts w:hint="eastAsia" w:eastAsiaTheme="minorEastAsia"/>
                <w:sz w:val="24"/>
              </w:rPr>
              <w:t>，本项目不在生态红线范围内。</w:t>
            </w:r>
          </w:p>
          <w:p>
            <w:pPr>
              <w:widowControl/>
              <w:spacing w:line="360" w:lineRule="auto"/>
              <w:ind w:firstLine="482" w:firstLineChars="200"/>
              <w:rPr>
                <w:rFonts w:eastAsiaTheme="minorEastAsia"/>
                <w:b/>
                <w:sz w:val="24"/>
              </w:rPr>
            </w:pPr>
            <w:r>
              <w:rPr>
                <w:rFonts w:hint="eastAsia" w:eastAsiaTheme="minorEastAsia"/>
                <w:b/>
                <w:sz w:val="24"/>
              </w:rPr>
              <w:t>（</w:t>
            </w:r>
            <w:r>
              <w:rPr>
                <w:rFonts w:eastAsiaTheme="minorEastAsia"/>
                <w:b/>
                <w:sz w:val="24"/>
              </w:rPr>
              <w:t>2</w:t>
            </w:r>
            <w:r>
              <w:rPr>
                <w:rFonts w:hint="eastAsia" w:eastAsiaTheme="minorEastAsia"/>
                <w:b/>
                <w:sz w:val="24"/>
              </w:rPr>
              <w:t>）环境质量底线符合性分析</w:t>
            </w:r>
          </w:p>
          <w:p>
            <w:pPr>
              <w:widowControl/>
              <w:spacing w:line="360" w:lineRule="auto"/>
              <w:ind w:firstLine="480" w:firstLineChars="200"/>
              <w:rPr>
                <w:rFonts w:eastAsiaTheme="minorEastAsia"/>
                <w:sz w:val="24"/>
              </w:rPr>
            </w:pPr>
            <w:r>
              <w:rPr>
                <w:rFonts w:hAnsiTheme="minorEastAsia" w:eastAsiaTheme="minorEastAsia"/>
                <w:sz w:val="24"/>
              </w:rPr>
              <w:t>①</w:t>
            </w:r>
            <w:r>
              <w:rPr>
                <w:rFonts w:hint="eastAsia" w:eastAsiaTheme="minorEastAsia"/>
                <w:sz w:val="24"/>
              </w:rPr>
              <w:t>大气</w:t>
            </w:r>
          </w:p>
          <w:p>
            <w:pPr>
              <w:widowControl/>
              <w:spacing w:line="360" w:lineRule="auto"/>
              <w:ind w:firstLine="480" w:firstLineChars="200"/>
              <w:rPr>
                <w:rFonts w:eastAsiaTheme="minorEastAsia"/>
                <w:sz w:val="24"/>
              </w:rPr>
            </w:pPr>
            <w:r>
              <w:rPr>
                <w:rFonts w:hAnsiTheme="minorEastAsia" w:eastAsiaTheme="minorEastAsia"/>
                <w:sz w:val="24"/>
              </w:rPr>
              <w:t>根据</w:t>
            </w:r>
            <w:r>
              <w:rPr>
                <w:rFonts w:hAnsiTheme="minorEastAsia" w:eastAsiaTheme="minorEastAsia"/>
                <w:bCs/>
                <w:sz w:val="24"/>
              </w:rPr>
              <w:t>《</w:t>
            </w:r>
            <w:r>
              <w:rPr>
                <w:rFonts w:hint="eastAsia" w:hAnsiTheme="minorEastAsia" w:eastAsiaTheme="minorEastAsia"/>
                <w:bCs/>
                <w:sz w:val="24"/>
              </w:rPr>
              <w:t>2023年黑龙江省生态环境质量状况</w:t>
            </w:r>
            <w:r>
              <w:rPr>
                <w:rFonts w:hAnsiTheme="minorEastAsia" w:eastAsiaTheme="minorEastAsia"/>
                <w:bCs/>
                <w:sz w:val="24"/>
              </w:rPr>
              <w:t>》</w:t>
            </w:r>
            <w:r>
              <w:rPr>
                <w:rFonts w:hAnsiTheme="minorEastAsia" w:eastAsiaTheme="minorEastAsia"/>
                <w:sz w:val="24"/>
              </w:rPr>
              <w:t>，</w:t>
            </w:r>
            <w:r>
              <w:rPr>
                <w:rFonts w:hint="eastAsia" w:hAnsiTheme="minorEastAsia" w:eastAsiaTheme="minorEastAsia"/>
                <w:sz w:val="24"/>
              </w:rPr>
              <w:t>鸡西市2023年</w:t>
            </w:r>
            <w:r>
              <w:rPr>
                <w:rFonts w:hAnsiTheme="minorEastAsia" w:eastAsiaTheme="minorEastAsia"/>
                <w:sz w:val="24"/>
              </w:rPr>
              <w:t>空气质量级别达二级标准，鸡西市环境质量现状为达标区</w:t>
            </w:r>
            <w:r>
              <w:rPr>
                <w:rFonts w:hint="eastAsia"/>
                <w:bCs/>
                <w:kern w:val="0"/>
                <w:sz w:val="24"/>
                <w:szCs w:val="21"/>
              </w:rPr>
              <w:t>，根据“黑龙江省生态环境分区管控数据应用平台”查询结果，</w:t>
            </w:r>
            <w:r>
              <w:rPr>
                <w:sz w:val="24"/>
              </w:rPr>
              <w:t>本项目位于</w:t>
            </w:r>
            <w:r>
              <w:rPr>
                <w:rFonts w:hint="eastAsia"/>
                <w:sz w:val="24"/>
              </w:rPr>
              <w:t>虎林市大气环境一般管控区</w:t>
            </w:r>
            <w:r>
              <w:rPr>
                <w:kern w:val="0"/>
                <w:sz w:val="24"/>
              </w:rPr>
              <w:t>。</w:t>
            </w:r>
            <w:r>
              <w:rPr>
                <w:rFonts w:eastAsiaTheme="minorEastAsia"/>
                <w:sz w:val="24"/>
              </w:rPr>
              <w:t>本项目</w:t>
            </w:r>
            <w:r>
              <w:rPr>
                <w:rFonts w:eastAsiaTheme="minorEastAsia"/>
                <w:bCs/>
                <w:kern w:val="0"/>
                <w:sz w:val="24"/>
              </w:rPr>
              <w:t>切割区采用集气罩集中收集经布袋除尘器处理后由15m高1#排气筒排放，</w:t>
            </w:r>
            <w:r>
              <w:rPr>
                <w:rFonts w:eastAsiaTheme="minorEastAsia"/>
                <w:kern w:val="0"/>
                <w:sz w:val="24"/>
              </w:rPr>
              <w:t>收集效率90%，处理效率9</w:t>
            </w:r>
            <w:r>
              <w:rPr>
                <w:rFonts w:hint="eastAsia" w:eastAsiaTheme="minorEastAsia"/>
                <w:kern w:val="0"/>
                <w:sz w:val="24"/>
              </w:rPr>
              <w:t>9</w:t>
            </w:r>
            <w:r>
              <w:rPr>
                <w:rFonts w:eastAsiaTheme="minorEastAsia"/>
                <w:kern w:val="0"/>
                <w:sz w:val="24"/>
              </w:rPr>
              <w:t>%</w:t>
            </w:r>
            <w:r>
              <w:rPr>
                <w:rFonts w:eastAsiaTheme="minorEastAsia"/>
                <w:bCs/>
                <w:sz w:val="24"/>
              </w:rPr>
              <w:t>，</w:t>
            </w:r>
            <w:r>
              <w:rPr>
                <w:rFonts w:eastAsiaTheme="minorEastAsia"/>
                <w:sz w:val="24"/>
              </w:rPr>
              <w:t>未收集颗粒物以无组织形式排放</w:t>
            </w:r>
            <w:r>
              <w:rPr>
                <w:rFonts w:hint="eastAsia" w:eastAsiaTheme="minorEastAsia"/>
                <w:sz w:val="24"/>
              </w:rPr>
              <w:t>；</w:t>
            </w:r>
            <w:r>
              <w:rPr>
                <w:rFonts w:eastAsiaTheme="minorEastAsia"/>
                <w:bCs/>
                <w:sz w:val="24"/>
              </w:rPr>
              <w:t>油液排空区采用集气罩集中收集经二级活性炭吸附装置处理后由15m高2#排气筒排放，</w:t>
            </w:r>
            <w:r>
              <w:rPr>
                <w:rFonts w:eastAsiaTheme="minorEastAsia"/>
                <w:kern w:val="0"/>
                <w:sz w:val="24"/>
              </w:rPr>
              <w:t>收集效率90%，处理效率</w:t>
            </w:r>
            <w:r>
              <w:rPr>
                <w:rFonts w:hint="eastAsia" w:eastAsiaTheme="minorEastAsia"/>
                <w:kern w:val="0"/>
                <w:sz w:val="24"/>
              </w:rPr>
              <w:t>75</w:t>
            </w:r>
            <w:r>
              <w:rPr>
                <w:rFonts w:eastAsiaTheme="minorEastAsia"/>
                <w:kern w:val="0"/>
                <w:sz w:val="24"/>
              </w:rPr>
              <w:t>%</w:t>
            </w:r>
            <w:r>
              <w:rPr>
                <w:rFonts w:eastAsiaTheme="minorEastAsia"/>
                <w:sz w:val="24"/>
              </w:rPr>
              <w:t>，未收集VOCs以无组织形式排放</w:t>
            </w:r>
            <w:r>
              <w:rPr>
                <w:rFonts w:hint="eastAsia" w:eastAsiaTheme="minorEastAsia"/>
                <w:sz w:val="24"/>
              </w:rPr>
              <w:t>；</w:t>
            </w:r>
            <w:r>
              <w:rPr>
                <w:rFonts w:eastAsiaTheme="minorEastAsia"/>
                <w:kern w:val="0"/>
                <w:sz w:val="24"/>
              </w:rPr>
              <w:t>危险废物贮存库采取负压收集方式，</w:t>
            </w:r>
            <w:r>
              <w:rPr>
                <w:rFonts w:eastAsiaTheme="minorEastAsia"/>
                <w:bCs/>
                <w:sz w:val="24"/>
              </w:rPr>
              <w:t>经二级活性炭吸附装置处理后由15m高</w:t>
            </w:r>
            <w:r>
              <w:rPr>
                <w:rFonts w:hint="eastAsia" w:eastAsiaTheme="minorEastAsia"/>
                <w:bCs/>
                <w:sz w:val="24"/>
              </w:rPr>
              <w:t>3</w:t>
            </w:r>
            <w:r>
              <w:rPr>
                <w:rFonts w:eastAsiaTheme="minorEastAsia"/>
                <w:bCs/>
                <w:sz w:val="24"/>
              </w:rPr>
              <w:t>#排气筒排放，</w:t>
            </w:r>
            <w:r>
              <w:rPr>
                <w:rFonts w:eastAsiaTheme="minorEastAsia"/>
                <w:kern w:val="0"/>
                <w:sz w:val="24"/>
              </w:rPr>
              <w:t>收集效率90%，处理效率</w:t>
            </w:r>
            <w:r>
              <w:rPr>
                <w:rFonts w:hint="eastAsia" w:eastAsiaTheme="minorEastAsia"/>
                <w:kern w:val="0"/>
                <w:sz w:val="24"/>
              </w:rPr>
              <w:t>75</w:t>
            </w:r>
            <w:r>
              <w:rPr>
                <w:rFonts w:eastAsiaTheme="minorEastAsia"/>
                <w:kern w:val="0"/>
                <w:sz w:val="24"/>
              </w:rPr>
              <w:t>%</w:t>
            </w:r>
            <w:r>
              <w:rPr>
                <w:rFonts w:eastAsiaTheme="minorEastAsia"/>
                <w:sz w:val="24"/>
              </w:rPr>
              <w:t>，未收集VOCs以无组织形式排放</w:t>
            </w:r>
            <w:r>
              <w:rPr>
                <w:rFonts w:eastAsiaTheme="minorEastAsia"/>
                <w:bCs/>
                <w:sz w:val="24"/>
              </w:rPr>
              <w:t>，</w:t>
            </w:r>
            <w:r>
              <w:rPr>
                <w:rFonts w:hint="eastAsia" w:eastAsiaTheme="minorEastAsia"/>
                <w:sz w:val="24"/>
              </w:rPr>
              <w:t>不会对大气环境质量现状造成不良影响，能够满足黑龙江省大气环境质量底线要求。</w:t>
            </w:r>
          </w:p>
          <w:p>
            <w:pPr>
              <w:widowControl/>
              <w:spacing w:line="360" w:lineRule="auto"/>
              <w:ind w:firstLine="480" w:firstLineChars="200"/>
              <w:rPr>
                <w:rFonts w:eastAsiaTheme="minorEastAsia"/>
                <w:sz w:val="24"/>
              </w:rPr>
            </w:pPr>
            <w:r>
              <w:rPr>
                <w:rFonts w:hAnsiTheme="minorEastAsia" w:eastAsiaTheme="minorEastAsia"/>
                <w:sz w:val="24"/>
              </w:rPr>
              <w:t>②</w:t>
            </w:r>
            <w:r>
              <w:rPr>
                <w:rFonts w:hint="eastAsia" w:eastAsiaTheme="minorEastAsia"/>
                <w:sz w:val="24"/>
              </w:rPr>
              <w:t>水环境</w:t>
            </w:r>
          </w:p>
          <w:p>
            <w:pPr>
              <w:widowControl/>
              <w:spacing w:line="360" w:lineRule="auto"/>
              <w:ind w:firstLine="480" w:firstLineChars="200"/>
              <w:rPr>
                <w:sz w:val="24"/>
              </w:rPr>
            </w:pPr>
            <w:r>
              <w:rPr>
                <w:rFonts w:eastAsiaTheme="minorEastAsia"/>
                <w:bCs/>
                <w:kern w:val="0"/>
                <w:sz w:val="24"/>
                <w:lang w:bidi="zh-CN"/>
              </w:rPr>
              <w:t>本项目涉及的地表水体为穆棱河，所在断面为鸡东大桥至穆棱河河口断面，根据《水利部国家发展和改革委员会环境保护部关于印发全国重要江河湖泊水功能区划（2011-2030 年）的通知》穆棱河水体功能类别为III类水体，执行《地表水环境质量标准》（GB3838-2002）中III类标准。</w:t>
            </w:r>
            <w:r>
              <w:rPr>
                <w:rFonts w:hint="eastAsia"/>
                <w:bCs/>
                <w:kern w:val="0"/>
                <w:sz w:val="24"/>
                <w:szCs w:val="21"/>
              </w:rPr>
              <w:t>根据“黑龙江省生态环境分区管控数据应用平台”查询结果，</w:t>
            </w:r>
            <w:r>
              <w:rPr>
                <w:sz w:val="24"/>
              </w:rPr>
              <w:t>本项目位于</w:t>
            </w:r>
            <w:r>
              <w:rPr>
                <w:rFonts w:hint="eastAsia"/>
                <w:sz w:val="24"/>
              </w:rPr>
              <w:t>水环境农业污染重点管控区</w:t>
            </w:r>
            <w:r>
              <w:rPr>
                <w:sz w:val="24"/>
              </w:rPr>
              <w:t>。</w:t>
            </w:r>
            <w:r>
              <w:rPr>
                <w:rFonts w:hint="eastAsia" w:eastAsiaTheme="minorEastAsia"/>
                <w:sz w:val="24"/>
              </w:rPr>
              <w:t>本项目无生产废水；生活污水排入防渗旱厕，定期清掏，外运堆肥，不外排。</w:t>
            </w:r>
            <w:r>
              <w:rPr>
                <w:rFonts w:hint="eastAsia" w:eastAsiaTheme="minorEastAsia"/>
                <w:bCs/>
                <w:sz w:val="24"/>
              </w:rPr>
              <w:t>本项目采用雨污分流制，</w:t>
            </w:r>
            <w:r>
              <w:rPr>
                <w:rFonts w:hint="eastAsia" w:eastAsiaTheme="minorEastAsia"/>
                <w:sz w:val="24"/>
              </w:rPr>
              <w:t>项目厂区内地面及道路全部硬化，在污染区四周设置环形导流沟，初期雨水进入厂区东侧的</w:t>
            </w:r>
            <w:r>
              <w:rPr>
                <w:rFonts w:hint="eastAsia" w:eastAsiaTheme="minorEastAsia"/>
                <w:bCs/>
                <w:sz w:val="24"/>
              </w:rPr>
              <w:t>20m</w:t>
            </w:r>
            <w:r>
              <w:rPr>
                <w:rFonts w:hint="eastAsia" w:eastAsiaTheme="minorEastAsia"/>
                <w:bCs/>
                <w:sz w:val="24"/>
                <w:vertAlign w:val="superscript"/>
              </w:rPr>
              <w:t>3</w:t>
            </w:r>
            <w:r>
              <w:rPr>
                <w:rFonts w:hint="eastAsia" w:eastAsiaTheme="minorEastAsia"/>
                <w:sz w:val="24"/>
              </w:rPr>
              <w:t>收集池，</w:t>
            </w:r>
            <w:r>
              <w:rPr>
                <w:rFonts w:hint="eastAsia" w:eastAsiaTheme="minorEastAsia"/>
                <w:bCs/>
                <w:sz w:val="24"/>
              </w:rPr>
              <w:t>经油水分离器处理后进入100m</w:t>
            </w:r>
            <w:r>
              <w:rPr>
                <w:rFonts w:hint="eastAsia" w:eastAsiaTheme="minorEastAsia"/>
                <w:bCs/>
                <w:sz w:val="24"/>
                <w:vertAlign w:val="superscript"/>
              </w:rPr>
              <w:t>3</w:t>
            </w:r>
            <w:r>
              <w:rPr>
                <w:rFonts w:hint="eastAsia" w:eastAsiaTheme="minorEastAsia"/>
                <w:bCs/>
                <w:sz w:val="24"/>
              </w:rPr>
              <w:t>暂存池，每收集一次初期雨水后采用罐车拉运至八五六农场污水处理厂，经处理后污水排放浓度达到《城镇污水处理厂污染物排放标准》（</w:t>
            </w:r>
            <w:r>
              <w:rPr>
                <w:rFonts w:eastAsiaTheme="minorEastAsia"/>
                <w:bCs/>
                <w:sz w:val="24"/>
              </w:rPr>
              <w:t>GB18918-2002</w:t>
            </w:r>
            <w:r>
              <w:rPr>
                <w:rFonts w:hint="eastAsia" w:eastAsiaTheme="minorEastAsia"/>
                <w:bCs/>
                <w:sz w:val="24"/>
              </w:rPr>
              <w:t>）一级</w:t>
            </w:r>
            <w:r>
              <w:rPr>
                <w:rFonts w:eastAsiaTheme="minorEastAsia"/>
                <w:bCs/>
                <w:sz w:val="24"/>
              </w:rPr>
              <w:t>A</w:t>
            </w:r>
            <w:r>
              <w:rPr>
                <w:rFonts w:hint="eastAsia" w:eastAsiaTheme="minorEastAsia"/>
                <w:bCs/>
                <w:sz w:val="24"/>
              </w:rPr>
              <w:t>标准后排入穆棱河</w:t>
            </w:r>
            <w:r>
              <w:rPr>
                <w:rFonts w:hint="eastAsia" w:eastAsiaTheme="minorEastAsia"/>
                <w:sz w:val="24"/>
              </w:rPr>
              <w:t>，</w:t>
            </w:r>
            <w:r>
              <w:rPr>
                <w:rFonts w:hAnsiTheme="minorEastAsia" w:eastAsiaTheme="minorEastAsia"/>
                <w:kern w:val="0"/>
                <w:sz w:val="24"/>
              </w:rPr>
              <w:t>因此不会加重区域水环境污染程度</w:t>
            </w:r>
            <w:r>
              <w:rPr>
                <w:rFonts w:hint="eastAsia" w:eastAsiaTheme="minorEastAsia"/>
                <w:sz w:val="24"/>
              </w:rPr>
              <w:t>，因此符合黑龙江省水环境质量底线要求。</w:t>
            </w:r>
          </w:p>
          <w:p>
            <w:pPr>
              <w:widowControl/>
              <w:spacing w:line="360" w:lineRule="auto"/>
              <w:ind w:firstLine="482" w:firstLineChars="200"/>
              <w:rPr>
                <w:rFonts w:eastAsiaTheme="minorEastAsia"/>
                <w:b/>
                <w:sz w:val="24"/>
              </w:rPr>
            </w:pPr>
            <w:r>
              <w:rPr>
                <w:rFonts w:hint="eastAsia" w:eastAsiaTheme="minorEastAsia"/>
                <w:b/>
                <w:sz w:val="24"/>
              </w:rPr>
              <w:t>（</w:t>
            </w:r>
            <w:r>
              <w:rPr>
                <w:rFonts w:eastAsiaTheme="minorEastAsia"/>
                <w:b/>
                <w:sz w:val="24"/>
              </w:rPr>
              <w:t>3</w:t>
            </w:r>
            <w:r>
              <w:rPr>
                <w:rFonts w:hint="eastAsia" w:eastAsiaTheme="minorEastAsia"/>
                <w:b/>
                <w:sz w:val="24"/>
              </w:rPr>
              <w:t>）资源利用上线符合性分析</w:t>
            </w:r>
          </w:p>
          <w:p>
            <w:pPr>
              <w:widowControl/>
              <w:spacing w:line="360" w:lineRule="auto"/>
              <w:ind w:firstLine="480" w:firstLineChars="200"/>
              <w:rPr>
                <w:rFonts w:eastAsiaTheme="minorEastAsia"/>
                <w:sz w:val="24"/>
              </w:rPr>
            </w:pPr>
            <w:r>
              <w:rPr>
                <w:rFonts w:hint="eastAsia"/>
                <w:bCs/>
                <w:kern w:val="0"/>
                <w:sz w:val="24"/>
                <w:szCs w:val="21"/>
              </w:rPr>
              <w:t>根据“黑龙江省生态环境分区管控数据应用平台”查询结果，</w:t>
            </w:r>
            <w:r>
              <w:rPr>
                <w:sz w:val="24"/>
              </w:rPr>
              <w:t>本项目位于</w:t>
            </w:r>
            <w:r>
              <w:rPr>
                <w:rFonts w:hint="eastAsia"/>
                <w:sz w:val="24"/>
              </w:rPr>
              <w:t>虎林市地下水环境一般管控区，不</w:t>
            </w:r>
            <w:r>
              <w:rPr>
                <w:sz w:val="24"/>
              </w:rPr>
              <w:t>位于</w:t>
            </w:r>
            <w:r>
              <w:rPr>
                <w:rFonts w:hint="eastAsia"/>
                <w:sz w:val="24"/>
              </w:rPr>
              <w:t>虎林市区高污染</w:t>
            </w:r>
            <w:r>
              <w:rPr>
                <w:sz w:val="24"/>
              </w:rPr>
              <w:t>燃料禁燃区</w:t>
            </w:r>
            <w:r>
              <w:rPr>
                <w:kern w:val="0"/>
                <w:sz w:val="24"/>
              </w:rPr>
              <w:t>。</w:t>
            </w:r>
            <w:r>
              <w:rPr>
                <w:rFonts w:hint="eastAsia" w:eastAsiaTheme="minorEastAsia"/>
                <w:sz w:val="24"/>
              </w:rPr>
              <w:t>本项目用水由村政自来水提供，本项目不属于高水耗，高能耗行业，本项目不使用燃料，生产无需用水，仅生活用水；本项目选址土地为工业用地，不占用基本农田和黑土地。综上，本项目符合黑龙江省能源、水资源、土地资源等资源利用上线要求。</w:t>
            </w:r>
          </w:p>
          <w:p>
            <w:pPr>
              <w:widowControl/>
              <w:spacing w:line="360" w:lineRule="auto"/>
              <w:ind w:firstLine="482" w:firstLineChars="200"/>
              <w:rPr>
                <w:rFonts w:eastAsiaTheme="minorEastAsia"/>
                <w:b/>
                <w:sz w:val="24"/>
              </w:rPr>
            </w:pPr>
            <w:r>
              <w:rPr>
                <w:rFonts w:hint="eastAsia" w:eastAsiaTheme="minorEastAsia"/>
                <w:b/>
                <w:sz w:val="24"/>
              </w:rPr>
              <w:t>（</w:t>
            </w:r>
            <w:r>
              <w:rPr>
                <w:rFonts w:eastAsiaTheme="minorEastAsia"/>
                <w:b/>
                <w:sz w:val="24"/>
              </w:rPr>
              <w:t>4</w:t>
            </w:r>
            <w:r>
              <w:rPr>
                <w:rFonts w:hint="eastAsia" w:eastAsiaTheme="minorEastAsia"/>
                <w:b/>
                <w:sz w:val="24"/>
              </w:rPr>
              <w:t>）环境准入清单符合性分析</w:t>
            </w:r>
          </w:p>
          <w:p>
            <w:pPr>
              <w:widowControl/>
              <w:spacing w:line="360" w:lineRule="auto"/>
              <w:ind w:firstLine="480" w:firstLineChars="200"/>
              <w:rPr>
                <w:rFonts w:hint="eastAsia" w:eastAsiaTheme="minorEastAsia"/>
                <w:sz w:val="24"/>
              </w:rPr>
            </w:pPr>
            <w:r>
              <w:rPr>
                <w:rFonts w:hint="eastAsia" w:eastAsiaTheme="minorEastAsia"/>
                <w:sz w:val="24"/>
              </w:rPr>
              <w:t>本项目位于</w:t>
            </w:r>
            <w:r>
              <w:rPr>
                <w:rFonts w:hint="eastAsia" w:eastAsiaTheme="minorEastAsia"/>
                <w:bCs/>
                <w:sz w:val="24"/>
              </w:rPr>
              <w:t>黑龙江省虎林市东诚镇东风村</w:t>
            </w:r>
            <w:r>
              <w:rPr>
                <w:rFonts w:hint="eastAsia" w:eastAsiaTheme="minorEastAsia"/>
                <w:sz w:val="24"/>
              </w:rPr>
              <w:t>，根据《关于实施</w:t>
            </w:r>
            <w:r>
              <w:rPr>
                <w:rFonts w:eastAsiaTheme="minorEastAsia"/>
                <w:sz w:val="24"/>
              </w:rPr>
              <w:t>“</w:t>
            </w:r>
            <w:r>
              <w:rPr>
                <w:rFonts w:hint="eastAsia" w:eastAsiaTheme="minorEastAsia"/>
                <w:sz w:val="24"/>
              </w:rPr>
              <w:t>三线一单</w:t>
            </w:r>
            <w:r>
              <w:rPr>
                <w:rFonts w:eastAsiaTheme="minorEastAsia"/>
                <w:sz w:val="24"/>
              </w:rPr>
              <w:t>”</w:t>
            </w:r>
            <w:r>
              <w:rPr>
                <w:rFonts w:hint="eastAsia" w:eastAsiaTheme="minorEastAsia"/>
                <w:sz w:val="24"/>
              </w:rPr>
              <w:t>生态环境分区管控的意见》（鸡政发〔</w:t>
            </w:r>
            <w:r>
              <w:rPr>
                <w:rFonts w:eastAsiaTheme="minorEastAsia"/>
                <w:sz w:val="24"/>
              </w:rPr>
              <w:t>2021</w:t>
            </w:r>
            <w:r>
              <w:rPr>
                <w:rFonts w:hint="eastAsia" w:eastAsiaTheme="minorEastAsia"/>
                <w:sz w:val="24"/>
              </w:rPr>
              <w:t>〕</w:t>
            </w:r>
            <w:r>
              <w:rPr>
                <w:rFonts w:eastAsiaTheme="minorEastAsia"/>
                <w:sz w:val="24"/>
              </w:rPr>
              <w:t>7</w:t>
            </w:r>
            <w:r>
              <w:rPr>
                <w:rFonts w:hint="eastAsia" w:eastAsiaTheme="minorEastAsia"/>
                <w:sz w:val="24"/>
              </w:rPr>
              <w:t>号）、《鸡西市生态环境准入清单（2023年版）》</w:t>
            </w:r>
            <w:r>
              <w:rPr>
                <w:sz w:val="24"/>
              </w:rPr>
              <w:t>和黑龙江省生态环境分区管控数据应用平台查询结果，</w:t>
            </w:r>
            <w:r>
              <w:rPr>
                <w:rFonts w:hint="eastAsia" w:eastAsiaTheme="minorEastAsia"/>
                <w:sz w:val="24"/>
              </w:rPr>
              <w:t>本项目环境管控单元名称为虎林市城镇空间和虎林市水环境农业污染重点管控区，具体管控要求及符合性分析见下表。</w:t>
            </w: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widowControl/>
              <w:spacing w:line="360" w:lineRule="auto"/>
              <w:ind w:firstLine="480" w:firstLineChars="200"/>
              <w:rPr>
                <w:rFonts w:hint="eastAsia" w:eastAsiaTheme="minorEastAsia"/>
                <w:sz w:val="24"/>
              </w:rPr>
            </w:pPr>
          </w:p>
          <w:p>
            <w:pPr>
              <w:autoSpaceDE w:val="0"/>
              <w:autoSpaceDN w:val="0"/>
              <w:spacing w:line="360" w:lineRule="auto"/>
              <w:contextualSpacing/>
              <w:jc w:val="center"/>
              <w:rPr>
                <w:rFonts w:eastAsiaTheme="minorEastAsia"/>
                <w:b/>
                <w:sz w:val="24"/>
              </w:rPr>
            </w:pPr>
            <w:r>
              <w:rPr>
                <w:rFonts w:hint="eastAsia" w:eastAsiaTheme="minorEastAsia"/>
                <w:b/>
                <w:sz w:val="24"/>
              </w:rPr>
              <w:t>表</w:t>
            </w:r>
            <w:r>
              <w:rPr>
                <w:rFonts w:eastAsiaTheme="minorEastAsia"/>
                <w:b/>
                <w:sz w:val="24"/>
              </w:rPr>
              <w:t>1-</w:t>
            </w:r>
            <w:r>
              <w:rPr>
                <w:rFonts w:hint="eastAsia" w:eastAsiaTheme="minorEastAsia"/>
                <w:b/>
                <w:sz w:val="24"/>
              </w:rPr>
              <w:t>2</w:t>
            </w:r>
            <w:r>
              <w:rPr>
                <w:rFonts w:eastAsiaTheme="minorEastAsia"/>
                <w:b/>
                <w:sz w:val="24"/>
              </w:rPr>
              <w:t xml:space="preserve"> </w:t>
            </w:r>
            <w:r>
              <w:rPr>
                <w:rFonts w:hint="eastAsia" w:eastAsiaTheme="minorEastAsia"/>
                <w:b/>
                <w:sz w:val="24"/>
              </w:rPr>
              <w:t>生态环境准入清单管控要求符合性分析</w:t>
            </w:r>
          </w:p>
          <w:tbl>
            <w:tblPr>
              <w:tblStyle w:val="22"/>
              <w:tblpPr w:leftFromText="180" w:rightFromText="180" w:vertAnchor="text" w:tblpXSpec="center" w:tblpY="1"/>
              <w:tblOverlap w:val="never"/>
              <w:tblW w:w="665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705"/>
              <w:gridCol w:w="710"/>
              <w:gridCol w:w="429"/>
              <w:gridCol w:w="3119"/>
              <w:gridCol w:w="9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Align w:val="center"/>
                </w:tcPr>
                <w:p>
                  <w:pPr>
                    <w:jc w:val="center"/>
                    <w:rPr>
                      <w:rFonts w:eastAsiaTheme="minorEastAsia"/>
                      <w:szCs w:val="21"/>
                    </w:rPr>
                  </w:pPr>
                  <w:r>
                    <w:rPr>
                      <w:rFonts w:hint="eastAsia" w:eastAsiaTheme="minorEastAsia"/>
                      <w:szCs w:val="21"/>
                    </w:rPr>
                    <w:t>环境管控单元编码</w:t>
                  </w:r>
                </w:p>
              </w:tc>
              <w:tc>
                <w:tcPr>
                  <w:tcW w:w="705" w:type="dxa"/>
                  <w:vAlign w:val="center"/>
                </w:tcPr>
                <w:p>
                  <w:pPr>
                    <w:jc w:val="center"/>
                    <w:rPr>
                      <w:rFonts w:eastAsiaTheme="minorEastAsia"/>
                      <w:szCs w:val="21"/>
                    </w:rPr>
                  </w:pPr>
                  <w:r>
                    <w:rPr>
                      <w:rFonts w:hint="eastAsia" w:eastAsiaTheme="minorEastAsia"/>
                      <w:szCs w:val="21"/>
                    </w:rPr>
                    <w:t>环境管控单元名称</w:t>
                  </w:r>
                </w:p>
              </w:tc>
              <w:tc>
                <w:tcPr>
                  <w:tcW w:w="710" w:type="dxa"/>
                  <w:vAlign w:val="center"/>
                </w:tcPr>
                <w:p>
                  <w:pPr>
                    <w:jc w:val="center"/>
                    <w:rPr>
                      <w:rFonts w:eastAsiaTheme="minorEastAsia"/>
                      <w:szCs w:val="21"/>
                    </w:rPr>
                  </w:pPr>
                  <w:r>
                    <w:rPr>
                      <w:rFonts w:hint="eastAsia" w:eastAsiaTheme="minorEastAsia"/>
                      <w:szCs w:val="21"/>
                    </w:rPr>
                    <w:t>管控单元类别</w:t>
                  </w:r>
                </w:p>
              </w:tc>
              <w:tc>
                <w:tcPr>
                  <w:tcW w:w="3548" w:type="dxa"/>
                  <w:gridSpan w:val="2"/>
                  <w:vAlign w:val="center"/>
                </w:tcPr>
                <w:p>
                  <w:pPr>
                    <w:jc w:val="center"/>
                    <w:rPr>
                      <w:rFonts w:eastAsiaTheme="minorEastAsia"/>
                      <w:szCs w:val="21"/>
                    </w:rPr>
                  </w:pPr>
                  <w:r>
                    <w:rPr>
                      <w:rFonts w:hint="eastAsia" w:eastAsiaTheme="minorEastAsia"/>
                      <w:kern w:val="0"/>
                      <w:szCs w:val="21"/>
                    </w:rPr>
                    <w:t>管控要求</w:t>
                  </w:r>
                </w:p>
              </w:tc>
              <w:tc>
                <w:tcPr>
                  <w:tcW w:w="984" w:type="dxa"/>
                  <w:vAlign w:val="center"/>
                </w:tcPr>
                <w:p>
                  <w:pPr>
                    <w:jc w:val="center"/>
                    <w:rPr>
                      <w:rFonts w:eastAsiaTheme="minorEastAsia"/>
                      <w:szCs w:val="21"/>
                    </w:rPr>
                  </w:pPr>
                  <w:r>
                    <w:rPr>
                      <w:rFonts w:hint="eastAsia" w:eastAsiaTheme="minorEastAsia"/>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0" w:hRule="atLeast"/>
              </w:trPr>
              <w:tc>
                <w:tcPr>
                  <w:tcW w:w="709" w:type="dxa"/>
                  <w:vMerge w:val="restart"/>
                  <w:vAlign w:val="center"/>
                </w:tcPr>
                <w:p>
                  <w:pPr>
                    <w:jc w:val="center"/>
                    <w:rPr>
                      <w:rFonts w:eastAsiaTheme="minorEastAsia"/>
                      <w:szCs w:val="21"/>
                    </w:rPr>
                  </w:pPr>
                  <w:r>
                    <w:rPr>
                      <w:rFonts w:eastAsiaTheme="minorEastAsia"/>
                      <w:szCs w:val="21"/>
                    </w:rPr>
                    <w:t>ZH2303812000</w:t>
                  </w:r>
                  <w:r>
                    <w:rPr>
                      <w:rFonts w:hint="eastAsia" w:eastAsiaTheme="minorEastAsia"/>
                      <w:szCs w:val="21"/>
                    </w:rPr>
                    <w:t>2</w:t>
                  </w:r>
                </w:p>
              </w:tc>
              <w:tc>
                <w:tcPr>
                  <w:tcW w:w="705" w:type="dxa"/>
                  <w:vMerge w:val="restart"/>
                  <w:vAlign w:val="center"/>
                </w:tcPr>
                <w:p>
                  <w:pPr>
                    <w:jc w:val="center"/>
                    <w:rPr>
                      <w:rFonts w:eastAsiaTheme="minorEastAsia"/>
                      <w:szCs w:val="21"/>
                    </w:rPr>
                  </w:pPr>
                  <w:r>
                    <w:rPr>
                      <w:rFonts w:hint="eastAsia" w:eastAsiaTheme="minorEastAsia"/>
                      <w:szCs w:val="21"/>
                    </w:rPr>
                    <w:t>虎林市城</w:t>
                  </w:r>
                </w:p>
                <w:p>
                  <w:pPr>
                    <w:jc w:val="center"/>
                    <w:rPr>
                      <w:rFonts w:eastAsiaTheme="minorEastAsia"/>
                      <w:szCs w:val="21"/>
                    </w:rPr>
                  </w:pPr>
                  <w:r>
                    <w:rPr>
                      <w:rFonts w:hint="eastAsia" w:eastAsiaTheme="minorEastAsia"/>
                      <w:szCs w:val="21"/>
                    </w:rPr>
                    <w:t>镇空间</w:t>
                  </w:r>
                </w:p>
              </w:tc>
              <w:tc>
                <w:tcPr>
                  <w:tcW w:w="710" w:type="dxa"/>
                  <w:vMerge w:val="restart"/>
                  <w:vAlign w:val="center"/>
                </w:tcPr>
                <w:p>
                  <w:pPr>
                    <w:jc w:val="center"/>
                    <w:rPr>
                      <w:rFonts w:eastAsiaTheme="minorEastAsia"/>
                      <w:szCs w:val="21"/>
                    </w:rPr>
                  </w:pPr>
                  <w:r>
                    <w:rPr>
                      <w:rFonts w:hint="eastAsia" w:eastAsiaTheme="minorEastAsia"/>
                      <w:szCs w:val="21"/>
                    </w:rPr>
                    <w:t>重点管控单元</w:t>
                  </w:r>
                </w:p>
              </w:tc>
              <w:tc>
                <w:tcPr>
                  <w:tcW w:w="429" w:type="dxa"/>
                  <w:vAlign w:val="center"/>
                </w:tcPr>
                <w:p>
                  <w:pPr>
                    <w:jc w:val="center"/>
                    <w:rPr>
                      <w:rFonts w:eastAsiaTheme="minorEastAsia"/>
                      <w:szCs w:val="21"/>
                    </w:rPr>
                  </w:pPr>
                  <w:r>
                    <w:rPr>
                      <w:rFonts w:hint="eastAsia" w:eastAsiaTheme="minorEastAsia"/>
                      <w:szCs w:val="21"/>
                    </w:rPr>
                    <w:t>空间布局约束</w:t>
                  </w:r>
                </w:p>
              </w:tc>
              <w:tc>
                <w:tcPr>
                  <w:tcW w:w="3119" w:type="dxa"/>
                  <w:vAlign w:val="center"/>
                </w:tcPr>
                <w:p>
                  <w:pPr>
                    <w:jc w:val="center"/>
                    <w:rPr>
                      <w:rFonts w:eastAsiaTheme="minorEastAsia"/>
                      <w:szCs w:val="21"/>
                    </w:rPr>
                  </w:pPr>
                  <w:r>
                    <w:rPr>
                      <w:rFonts w:eastAsiaTheme="minorEastAsia"/>
                      <w:szCs w:val="21"/>
                    </w:rPr>
                    <w:t>1.</w:t>
                  </w:r>
                  <w:r>
                    <w:rPr>
                      <w:rFonts w:hint="eastAsia" w:eastAsiaTheme="minorEastAsia"/>
                      <w:szCs w:val="21"/>
                    </w:rPr>
                    <w:t>严禁在人口密集区新建危险化学品生产项目，城镇人口密集区危险化学品生产企业应搬迁改造。</w:t>
                  </w:r>
                </w:p>
                <w:p>
                  <w:pPr>
                    <w:jc w:val="center"/>
                    <w:rPr>
                      <w:rFonts w:eastAsiaTheme="minorEastAsia"/>
                      <w:szCs w:val="21"/>
                    </w:rPr>
                  </w:pPr>
                  <w:r>
                    <w:rPr>
                      <w:rFonts w:eastAsiaTheme="minorEastAsia"/>
                      <w:szCs w:val="21"/>
                    </w:rPr>
                    <w:t>2.</w:t>
                  </w:r>
                  <w:r>
                    <w:rPr>
                      <w:rFonts w:hint="eastAsia" w:eastAsiaTheme="minorEastAsia"/>
                      <w:szCs w:val="21"/>
                    </w:rPr>
                    <w:t>禁止在城镇居民区、文化教育科学研究区等人口集中区域建设畜禽养殖场、养殖小区。</w:t>
                  </w:r>
                </w:p>
                <w:p>
                  <w:pPr>
                    <w:rPr>
                      <w:rFonts w:ascii="宋体" w:hAnsi="宋体" w:cs="宋体"/>
                      <w:kern w:val="0"/>
                      <w:sz w:val="24"/>
                    </w:rPr>
                  </w:pPr>
                  <w:r>
                    <w:rPr>
                      <w:rFonts w:hint="eastAsia" w:eastAsiaTheme="minorEastAsia"/>
                      <w:szCs w:val="21"/>
                    </w:rPr>
                    <w:t>3</w:t>
                  </w:r>
                  <w:r>
                    <w:rPr>
                      <w:rFonts w:eastAsiaTheme="minorEastAsia"/>
                      <w:szCs w:val="21"/>
                    </w:rPr>
                    <w:t>.</w:t>
                  </w:r>
                  <w:r>
                    <w:rPr>
                      <w:rFonts w:hint="eastAsia" w:ascii="宋体" w:hAnsi="宋体" w:cs="宋体"/>
                      <w:kern w:val="0"/>
                      <w:szCs w:val="21"/>
                    </w:rPr>
                    <w:t>科学划定畜禽养殖禁养区</w:t>
                  </w:r>
                  <w:r>
                    <w:rPr>
                      <w:rFonts w:hint="eastAsia" w:eastAsiaTheme="minorEastAsia"/>
                      <w:szCs w:val="21"/>
                    </w:rPr>
                    <w:t>。</w:t>
                  </w:r>
                </w:p>
                <w:p>
                  <w:pPr>
                    <w:jc w:val="center"/>
                    <w:rPr>
                      <w:rFonts w:eastAsiaTheme="minorEastAsia"/>
                      <w:szCs w:val="21"/>
                    </w:rPr>
                  </w:pPr>
                  <w:r>
                    <w:rPr>
                      <w:rFonts w:hint="eastAsia" w:eastAsiaTheme="minorEastAsia"/>
                      <w:szCs w:val="21"/>
                    </w:rPr>
                    <w:t>4</w:t>
                  </w:r>
                  <w:r>
                    <w:rPr>
                      <w:rFonts w:eastAsiaTheme="minorEastAsia"/>
                      <w:szCs w:val="21"/>
                    </w:rPr>
                    <w:t>.</w:t>
                  </w:r>
                  <w:r>
                    <w:rPr>
                      <w:rFonts w:hint="eastAsia" w:ascii="宋体" w:hAnsi="宋体" w:cs="宋体"/>
                      <w:kern w:val="0"/>
                      <w:szCs w:val="21"/>
                    </w:rPr>
                    <w:t>加快农业结构调整。松嫩平原和三江平原等地下水易受污染地区优先种植需肥需药量低、环境效益突出的农作物；在西部干旱区发展谷子、高粱等耐旱杂粮种植；在北 部四、五积温区开展米豆麦轮作，促进化肥需求低的农作物面积恢复性增长</w:t>
                  </w:r>
                  <w:r>
                    <w:rPr>
                      <w:rFonts w:hint="eastAsia" w:eastAsiaTheme="minorEastAsia"/>
                      <w:szCs w:val="21"/>
                    </w:rPr>
                    <w:t>。</w:t>
                  </w:r>
                </w:p>
              </w:tc>
              <w:tc>
                <w:tcPr>
                  <w:tcW w:w="984" w:type="dxa"/>
                  <w:vAlign w:val="center"/>
                </w:tcPr>
                <w:p>
                  <w:pPr>
                    <w:jc w:val="center"/>
                    <w:rPr>
                      <w:rFonts w:eastAsiaTheme="minorEastAsia"/>
                      <w:kern w:val="0"/>
                      <w:szCs w:val="21"/>
                    </w:rPr>
                  </w:pPr>
                  <w:r>
                    <w:rPr>
                      <w:rFonts w:hint="eastAsia" w:eastAsiaTheme="minorEastAsia"/>
                      <w:kern w:val="0"/>
                      <w:szCs w:val="21"/>
                    </w:rPr>
                    <w:t>本项目为农机拆解项目。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0" w:hRule="atLeast"/>
              </w:trPr>
              <w:tc>
                <w:tcPr>
                  <w:tcW w:w="709" w:type="dxa"/>
                  <w:vMerge w:val="continue"/>
                  <w:vAlign w:val="center"/>
                </w:tcPr>
                <w:p>
                  <w:pPr>
                    <w:jc w:val="center"/>
                    <w:rPr>
                      <w:rFonts w:eastAsiaTheme="minorEastAsia"/>
                      <w:szCs w:val="21"/>
                    </w:rPr>
                  </w:pPr>
                </w:p>
              </w:tc>
              <w:tc>
                <w:tcPr>
                  <w:tcW w:w="705" w:type="dxa"/>
                  <w:vMerge w:val="continue"/>
                  <w:vAlign w:val="center"/>
                </w:tcPr>
                <w:p>
                  <w:pPr>
                    <w:jc w:val="center"/>
                    <w:rPr>
                      <w:rFonts w:eastAsiaTheme="minorEastAsia"/>
                      <w:szCs w:val="21"/>
                    </w:rPr>
                  </w:pPr>
                </w:p>
              </w:tc>
              <w:tc>
                <w:tcPr>
                  <w:tcW w:w="710" w:type="dxa"/>
                  <w:vMerge w:val="continue"/>
                  <w:vAlign w:val="center"/>
                </w:tcPr>
                <w:p>
                  <w:pPr>
                    <w:jc w:val="center"/>
                    <w:rPr>
                      <w:rFonts w:eastAsiaTheme="minorEastAsia"/>
                      <w:szCs w:val="21"/>
                    </w:rPr>
                  </w:pPr>
                </w:p>
              </w:tc>
              <w:tc>
                <w:tcPr>
                  <w:tcW w:w="429" w:type="dxa"/>
                  <w:vAlign w:val="center"/>
                </w:tcPr>
                <w:p>
                  <w:pPr>
                    <w:jc w:val="center"/>
                    <w:rPr>
                      <w:rFonts w:eastAsiaTheme="minorEastAsia"/>
                      <w:szCs w:val="21"/>
                    </w:rPr>
                  </w:pPr>
                  <w:r>
                    <w:rPr>
                      <w:rFonts w:hint="eastAsia" w:eastAsiaTheme="minorEastAsia"/>
                      <w:szCs w:val="21"/>
                    </w:rPr>
                    <w:t>污染物排放管控</w:t>
                  </w:r>
                </w:p>
              </w:tc>
              <w:tc>
                <w:tcPr>
                  <w:tcW w:w="3119" w:type="dxa"/>
                  <w:vAlign w:val="center"/>
                </w:tcPr>
                <w:p>
                  <w:pPr>
                    <w:rPr>
                      <w:rFonts w:ascii="宋体" w:hAnsi="宋体" w:cs="宋体"/>
                      <w:kern w:val="0"/>
                      <w:sz w:val="24"/>
                    </w:rPr>
                  </w:pPr>
                  <w:r>
                    <w:rPr>
                      <w:rFonts w:eastAsiaTheme="minorEastAsia"/>
                      <w:szCs w:val="21"/>
                    </w:rPr>
                    <w:t>1.</w:t>
                  </w:r>
                  <w:r>
                    <w:rPr>
                      <w:rFonts w:hint="eastAsia"/>
                      <w:szCs w:val="21"/>
                    </w:rPr>
                    <w:t>加快65t/h 以上燃煤锅炉（含电力）超低排放改造。2. 支持规模化畜禽养殖场(小区)开展标准化改造和建设，提高畜禽污收集和处理机械化水平，实施雨污分流、粪污资源化利用，控制畜禽养殖污染排放。3.畜禽养殖户应当及时对畜禽粪便、污水进行收集、贮存、清运，或者进行无害化处理。县级人民政府应当组织对本行政区域的畜禽散养密集区畜禽粪便、污水进行集中处理利用，督促乡镇人民政府建设或者配备污染防治配套设施4.</w:t>
                  </w:r>
                  <w:r>
                    <w:rPr>
                      <w:rFonts w:hint="eastAsia" w:ascii="宋体" w:hAnsi="宋体" w:cs="宋体"/>
                      <w:kern w:val="0"/>
                      <w:szCs w:val="21"/>
                    </w:rPr>
                    <w:t>全面加强农业面源污染防控，科学合理使用农业投入品，提高使用效率，减少农业内源性污染。</w:t>
                  </w:r>
                </w:p>
              </w:tc>
              <w:tc>
                <w:tcPr>
                  <w:tcW w:w="984" w:type="dxa"/>
                  <w:vAlign w:val="center"/>
                </w:tcPr>
                <w:p>
                  <w:pPr>
                    <w:jc w:val="center"/>
                    <w:rPr>
                      <w:rFonts w:eastAsiaTheme="minorEastAsia"/>
                      <w:kern w:val="0"/>
                      <w:szCs w:val="21"/>
                    </w:rPr>
                  </w:pPr>
                  <w:r>
                    <w:rPr>
                      <w:rFonts w:hint="eastAsia" w:eastAsiaTheme="minorEastAsia"/>
                      <w:kern w:val="0"/>
                      <w:szCs w:val="21"/>
                    </w:rPr>
                    <w:t>本项目为农机拆解项目。不使用燃料</w:t>
                  </w:r>
                  <w:r>
                    <w:rPr>
                      <w:rFonts w:hint="eastAsia" w:eastAsiaTheme="minorEastAsia"/>
                      <w:bCs/>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0" w:hRule="atLeast"/>
              </w:trPr>
              <w:tc>
                <w:tcPr>
                  <w:tcW w:w="709" w:type="dxa"/>
                  <w:vMerge w:val="continue"/>
                  <w:vAlign w:val="center"/>
                </w:tcPr>
                <w:p>
                  <w:pPr>
                    <w:jc w:val="center"/>
                    <w:rPr>
                      <w:rFonts w:eastAsiaTheme="minorEastAsia"/>
                      <w:szCs w:val="21"/>
                    </w:rPr>
                  </w:pPr>
                </w:p>
              </w:tc>
              <w:tc>
                <w:tcPr>
                  <w:tcW w:w="705" w:type="dxa"/>
                  <w:vMerge w:val="continue"/>
                  <w:vAlign w:val="center"/>
                </w:tcPr>
                <w:p>
                  <w:pPr>
                    <w:pStyle w:val="62"/>
                    <w:rPr>
                      <w:rFonts w:hint="default" w:ascii="Times New Roman" w:hAnsi="Times New Roman" w:eastAsiaTheme="minorEastAsia"/>
                      <w:sz w:val="21"/>
                    </w:rPr>
                  </w:pPr>
                </w:p>
              </w:tc>
              <w:tc>
                <w:tcPr>
                  <w:tcW w:w="710" w:type="dxa"/>
                  <w:vMerge w:val="continue"/>
                  <w:vAlign w:val="center"/>
                </w:tcPr>
                <w:p>
                  <w:pPr>
                    <w:jc w:val="center"/>
                    <w:rPr>
                      <w:rFonts w:eastAsiaTheme="minorEastAsia"/>
                    </w:rPr>
                  </w:pPr>
                </w:p>
              </w:tc>
              <w:tc>
                <w:tcPr>
                  <w:tcW w:w="429" w:type="dxa"/>
                  <w:vAlign w:val="center"/>
                </w:tcPr>
                <w:p>
                  <w:pPr>
                    <w:jc w:val="center"/>
                    <w:rPr>
                      <w:rFonts w:eastAsiaTheme="minorEastAsia"/>
                      <w:szCs w:val="21"/>
                    </w:rPr>
                  </w:pPr>
                  <w:r>
                    <w:rPr>
                      <w:rFonts w:hint="eastAsia" w:eastAsiaTheme="minorEastAsia"/>
                      <w:szCs w:val="21"/>
                    </w:rPr>
                    <w:t>环境风险防控</w:t>
                  </w:r>
                </w:p>
              </w:tc>
              <w:tc>
                <w:tcPr>
                  <w:tcW w:w="3119" w:type="dxa"/>
                  <w:vAlign w:val="center"/>
                </w:tcPr>
                <w:p>
                  <w:pPr>
                    <w:jc w:val="center"/>
                    <w:rPr>
                      <w:rFonts w:eastAsiaTheme="minorEastAsia"/>
                      <w:szCs w:val="21"/>
                    </w:rPr>
                  </w:pPr>
                  <w:r>
                    <w:rPr>
                      <w:rFonts w:hint="eastAsia" w:eastAsiaTheme="minorEastAsia"/>
                      <w:szCs w:val="21"/>
                    </w:rPr>
                    <w:t>化工园区与城市建成区、人员密集场所、重要设施、敏感目标等应当保持规定的安全距离，相对封闭，不应保留常住居民，非关联企业和产业要逐步搬迁或退出，妥善防范化解</w:t>
                  </w:r>
                  <w:r>
                    <w:rPr>
                      <w:rFonts w:eastAsiaTheme="minorEastAsia"/>
                      <w:szCs w:val="21"/>
                    </w:rPr>
                    <w:t>“</w:t>
                  </w:r>
                  <w:r>
                    <w:rPr>
                      <w:rFonts w:hint="eastAsia" w:eastAsiaTheme="minorEastAsia"/>
                      <w:szCs w:val="21"/>
                    </w:rPr>
                    <w:t>临避</w:t>
                  </w:r>
                  <w:r>
                    <w:rPr>
                      <w:rFonts w:eastAsiaTheme="minorEastAsia"/>
                      <w:szCs w:val="21"/>
                    </w:rPr>
                    <w:t>”</w:t>
                  </w:r>
                  <w:r>
                    <w:rPr>
                      <w:rFonts w:hint="eastAsia" w:eastAsiaTheme="minorEastAsia"/>
                      <w:szCs w:val="21"/>
                    </w:rPr>
                    <w:t>问题。严禁在松花江干流及一级支流沿岸</w:t>
                  </w:r>
                  <w:r>
                    <w:rPr>
                      <w:rFonts w:eastAsiaTheme="minorEastAsia"/>
                      <w:szCs w:val="21"/>
                    </w:rPr>
                    <w:t>1</w:t>
                  </w:r>
                  <w:r>
                    <w:rPr>
                      <w:rFonts w:hint="eastAsia" w:eastAsiaTheme="minorEastAsia"/>
                      <w:szCs w:val="21"/>
                    </w:rPr>
                    <w:t>公里范围内布局化工园区。</w:t>
                  </w:r>
                </w:p>
              </w:tc>
              <w:tc>
                <w:tcPr>
                  <w:tcW w:w="984" w:type="dxa"/>
                  <w:vAlign w:val="center"/>
                </w:tcPr>
                <w:p>
                  <w:pPr>
                    <w:jc w:val="center"/>
                    <w:rPr>
                      <w:rFonts w:eastAsiaTheme="minorEastAsia"/>
                      <w:kern w:val="0"/>
                      <w:szCs w:val="21"/>
                    </w:rPr>
                  </w:pPr>
                  <w:r>
                    <w:rPr>
                      <w:rFonts w:eastAsiaTheme="minorEastAsia"/>
                      <w:kern w:val="0"/>
                      <w:szCs w:val="21"/>
                    </w:rPr>
                    <w:t>/</w:t>
                  </w:r>
                </w:p>
              </w:tc>
            </w:tr>
          </w:tbl>
          <w:p>
            <w:pPr>
              <w:autoSpaceDE w:val="0"/>
              <w:autoSpaceDN w:val="0"/>
              <w:spacing w:line="360" w:lineRule="auto"/>
              <w:contextualSpacing/>
              <w:jc w:val="center"/>
              <w:rPr>
                <w:rFonts w:eastAsiaTheme="minorEastAsia"/>
                <w:b/>
                <w:sz w:val="24"/>
              </w:rPr>
            </w:pPr>
            <w:r>
              <w:rPr>
                <w:rFonts w:hint="eastAsia" w:eastAsiaTheme="minorEastAsia"/>
                <w:b/>
                <w:sz w:val="24"/>
              </w:rPr>
              <w:t>续表</w:t>
            </w:r>
            <w:r>
              <w:rPr>
                <w:rFonts w:eastAsiaTheme="minorEastAsia"/>
                <w:b/>
                <w:sz w:val="24"/>
              </w:rPr>
              <w:t>1-</w:t>
            </w:r>
            <w:r>
              <w:rPr>
                <w:rFonts w:hint="eastAsia" w:eastAsiaTheme="minorEastAsia"/>
                <w:b/>
                <w:sz w:val="24"/>
              </w:rPr>
              <w:t>2</w:t>
            </w:r>
            <w:r>
              <w:rPr>
                <w:rFonts w:eastAsiaTheme="minorEastAsia"/>
                <w:b/>
                <w:sz w:val="24"/>
              </w:rPr>
              <w:t xml:space="preserve"> </w:t>
            </w:r>
            <w:r>
              <w:rPr>
                <w:rFonts w:hint="eastAsia" w:eastAsiaTheme="minorEastAsia"/>
                <w:b/>
                <w:sz w:val="24"/>
              </w:rPr>
              <w:t>生态环境准入清单管控要求符合性分析</w:t>
            </w:r>
          </w:p>
          <w:tbl>
            <w:tblPr>
              <w:tblStyle w:val="22"/>
              <w:tblpPr w:leftFromText="180" w:rightFromText="180" w:vertAnchor="text" w:tblpXSpec="center" w:tblpY="1"/>
              <w:tblOverlap w:val="never"/>
              <w:tblW w:w="665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705"/>
              <w:gridCol w:w="710"/>
              <w:gridCol w:w="429"/>
              <w:gridCol w:w="3119"/>
              <w:gridCol w:w="9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0" w:hRule="atLeast"/>
              </w:trPr>
              <w:tc>
                <w:tcPr>
                  <w:tcW w:w="709" w:type="dxa"/>
                  <w:vAlign w:val="center"/>
                </w:tcPr>
                <w:p>
                  <w:pPr>
                    <w:jc w:val="center"/>
                    <w:rPr>
                      <w:rFonts w:eastAsiaTheme="minorEastAsia"/>
                      <w:szCs w:val="21"/>
                    </w:rPr>
                  </w:pPr>
                  <w:r>
                    <w:rPr>
                      <w:rFonts w:eastAsiaTheme="minorEastAsia"/>
                      <w:szCs w:val="21"/>
                    </w:rPr>
                    <w:t>ZH2303812000</w:t>
                  </w:r>
                  <w:r>
                    <w:rPr>
                      <w:rFonts w:hint="eastAsia" w:eastAsiaTheme="minorEastAsia"/>
                      <w:szCs w:val="21"/>
                    </w:rPr>
                    <w:t>2</w:t>
                  </w:r>
                </w:p>
              </w:tc>
              <w:tc>
                <w:tcPr>
                  <w:tcW w:w="705" w:type="dxa"/>
                  <w:vAlign w:val="center"/>
                </w:tcPr>
                <w:p>
                  <w:pPr>
                    <w:jc w:val="center"/>
                    <w:rPr>
                      <w:rFonts w:eastAsiaTheme="minorEastAsia"/>
                      <w:szCs w:val="21"/>
                    </w:rPr>
                  </w:pPr>
                  <w:r>
                    <w:rPr>
                      <w:rFonts w:hint="eastAsia" w:eastAsiaTheme="minorEastAsia"/>
                      <w:szCs w:val="21"/>
                    </w:rPr>
                    <w:t>虎林市城</w:t>
                  </w:r>
                </w:p>
                <w:p>
                  <w:pPr>
                    <w:jc w:val="center"/>
                    <w:rPr>
                      <w:rFonts w:eastAsiaTheme="minorEastAsia"/>
                      <w:szCs w:val="21"/>
                    </w:rPr>
                  </w:pPr>
                  <w:r>
                    <w:rPr>
                      <w:rFonts w:hint="eastAsia" w:eastAsiaTheme="minorEastAsia"/>
                      <w:szCs w:val="21"/>
                    </w:rPr>
                    <w:t>镇空间</w:t>
                  </w:r>
                </w:p>
              </w:tc>
              <w:tc>
                <w:tcPr>
                  <w:tcW w:w="710" w:type="dxa"/>
                  <w:vAlign w:val="center"/>
                </w:tcPr>
                <w:p>
                  <w:pPr>
                    <w:jc w:val="center"/>
                    <w:rPr>
                      <w:rFonts w:eastAsiaTheme="minorEastAsia"/>
                      <w:szCs w:val="21"/>
                    </w:rPr>
                  </w:pPr>
                  <w:r>
                    <w:rPr>
                      <w:rFonts w:hint="eastAsia" w:eastAsiaTheme="minorEastAsia"/>
                      <w:szCs w:val="21"/>
                    </w:rPr>
                    <w:t>重点管控单元</w:t>
                  </w:r>
                </w:p>
              </w:tc>
              <w:tc>
                <w:tcPr>
                  <w:tcW w:w="429" w:type="dxa"/>
                  <w:vAlign w:val="center"/>
                </w:tcPr>
                <w:p>
                  <w:pPr>
                    <w:jc w:val="center"/>
                    <w:rPr>
                      <w:rFonts w:eastAsiaTheme="minorEastAsia"/>
                      <w:szCs w:val="21"/>
                    </w:rPr>
                  </w:pPr>
                  <w:r>
                    <w:rPr>
                      <w:rFonts w:hint="eastAsia" w:eastAsiaTheme="minorEastAsia"/>
                      <w:szCs w:val="21"/>
                    </w:rPr>
                    <w:t>资源利用效率要求</w:t>
                  </w:r>
                </w:p>
              </w:tc>
              <w:tc>
                <w:tcPr>
                  <w:tcW w:w="3119" w:type="dxa"/>
                  <w:vAlign w:val="center"/>
                </w:tcPr>
                <w:p>
                  <w:pPr>
                    <w:jc w:val="center"/>
                    <w:rPr>
                      <w:rFonts w:eastAsiaTheme="minorEastAsia"/>
                      <w:szCs w:val="21"/>
                    </w:rPr>
                  </w:pPr>
                  <w:r>
                    <w:rPr>
                      <w:rFonts w:eastAsiaTheme="minorEastAsia"/>
                      <w:szCs w:val="21"/>
                    </w:rPr>
                    <w:t>1.</w:t>
                  </w:r>
                  <w:r>
                    <w:rPr>
                      <w:rFonts w:hint="eastAsia" w:eastAsiaTheme="minorEastAsia"/>
                      <w:szCs w:val="21"/>
                    </w:rPr>
                    <w:t>推进污水再生利用设施建设。</w:t>
                  </w:r>
                  <w:r>
                    <w:rPr>
                      <w:rFonts w:eastAsiaTheme="minorEastAsia"/>
                      <w:szCs w:val="21"/>
                    </w:rPr>
                    <w:t>2.</w:t>
                  </w:r>
                  <w:r>
                    <w:rPr>
                      <w:rFonts w:hint="eastAsia" w:eastAsiaTheme="minorEastAsia"/>
                      <w:szCs w:val="21"/>
                    </w:rPr>
                    <w:t>公共建筑必须采用节水器具，限期淘汰公共建筑中不符合节水标准的水嘴、便器水箱等生活用水器具。</w:t>
                  </w:r>
                </w:p>
              </w:tc>
              <w:tc>
                <w:tcPr>
                  <w:tcW w:w="984" w:type="dxa"/>
                  <w:vAlign w:val="center"/>
                </w:tcPr>
                <w:p>
                  <w:pPr>
                    <w:jc w:val="center"/>
                    <w:rPr>
                      <w:rFonts w:eastAsiaTheme="minorEastAsia"/>
                      <w:kern w:val="0"/>
                      <w:szCs w:val="21"/>
                    </w:rPr>
                  </w:pPr>
                  <w:r>
                    <w:rPr>
                      <w:rFonts w:hint="eastAsia" w:eastAsiaTheme="minorEastAsia"/>
                      <w:szCs w:val="21"/>
                    </w:rPr>
                    <w:t>本项目生活污水排入防渗旱厕，定期清掏，外运堆肥，不外排。</w:t>
                  </w:r>
                  <w:r>
                    <w:rPr>
                      <w:rFonts w:hint="eastAsia" w:eastAsiaTheme="minorEastAsia"/>
                      <w:bCs/>
                      <w:szCs w:val="21"/>
                    </w:rPr>
                    <w:t>本项目</w:t>
                  </w:r>
                  <w:r>
                    <w:rPr>
                      <w:rFonts w:hint="eastAsia" w:eastAsiaTheme="minorEastAsia"/>
                      <w:szCs w:val="21"/>
                    </w:rPr>
                    <w:t>初期雨水</w:t>
                  </w:r>
                  <w:r>
                    <w:rPr>
                      <w:rFonts w:hint="eastAsia" w:eastAsiaTheme="minorEastAsia"/>
                      <w:bCs/>
                      <w:szCs w:val="21"/>
                    </w:rPr>
                    <w:t>经油水分离器处理后采用罐车拉运至八五六农场污水处理厂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0" w:hRule="atLeast"/>
              </w:trPr>
              <w:tc>
                <w:tcPr>
                  <w:tcW w:w="709" w:type="dxa"/>
                  <w:vMerge w:val="restart"/>
                  <w:vAlign w:val="center"/>
                </w:tcPr>
                <w:p>
                  <w:pPr>
                    <w:jc w:val="center"/>
                    <w:rPr>
                      <w:rFonts w:eastAsiaTheme="minorEastAsia"/>
                      <w:szCs w:val="21"/>
                    </w:rPr>
                  </w:pPr>
                  <w:r>
                    <w:rPr>
                      <w:rFonts w:eastAsiaTheme="minorEastAsia"/>
                      <w:szCs w:val="21"/>
                    </w:rPr>
                    <w:t>ZH2303812000</w:t>
                  </w:r>
                  <w:r>
                    <w:rPr>
                      <w:rFonts w:hint="eastAsia" w:eastAsiaTheme="minorEastAsia"/>
                      <w:szCs w:val="21"/>
                    </w:rPr>
                    <w:t>3</w:t>
                  </w:r>
                </w:p>
              </w:tc>
              <w:tc>
                <w:tcPr>
                  <w:tcW w:w="705" w:type="dxa"/>
                  <w:vMerge w:val="restart"/>
                  <w:vAlign w:val="center"/>
                </w:tcPr>
                <w:p>
                  <w:pPr>
                    <w:pStyle w:val="62"/>
                    <w:rPr>
                      <w:rFonts w:hint="default" w:ascii="Times New Roman" w:hAnsi="Times New Roman" w:eastAsiaTheme="minorEastAsia"/>
                      <w:sz w:val="21"/>
                      <w:szCs w:val="21"/>
                    </w:rPr>
                  </w:pPr>
                  <w:r>
                    <w:rPr>
                      <w:rFonts w:eastAsiaTheme="minorEastAsia"/>
                      <w:sz w:val="21"/>
                      <w:szCs w:val="21"/>
                    </w:rPr>
                    <w:t>虎林市水环境农业污染重点管控区</w:t>
                  </w:r>
                </w:p>
              </w:tc>
              <w:tc>
                <w:tcPr>
                  <w:tcW w:w="710" w:type="dxa"/>
                  <w:vMerge w:val="restart"/>
                  <w:vAlign w:val="center"/>
                </w:tcPr>
                <w:p>
                  <w:pPr>
                    <w:jc w:val="center"/>
                    <w:rPr>
                      <w:rFonts w:eastAsiaTheme="minorEastAsia"/>
                      <w:szCs w:val="21"/>
                    </w:rPr>
                  </w:pPr>
                  <w:r>
                    <w:rPr>
                      <w:rFonts w:hint="eastAsia" w:eastAsiaTheme="minorEastAsia"/>
                      <w:szCs w:val="21"/>
                    </w:rPr>
                    <w:t>重点管控单元</w:t>
                  </w:r>
                </w:p>
              </w:tc>
              <w:tc>
                <w:tcPr>
                  <w:tcW w:w="429" w:type="dxa"/>
                  <w:vAlign w:val="center"/>
                </w:tcPr>
                <w:p>
                  <w:pPr>
                    <w:jc w:val="center"/>
                    <w:rPr>
                      <w:rFonts w:eastAsiaTheme="minorEastAsia"/>
                      <w:szCs w:val="21"/>
                    </w:rPr>
                  </w:pPr>
                  <w:r>
                    <w:rPr>
                      <w:rFonts w:hint="eastAsia" w:eastAsiaTheme="minorEastAsia"/>
                      <w:szCs w:val="21"/>
                    </w:rPr>
                    <w:t>空间布局约束</w:t>
                  </w:r>
                </w:p>
              </w:tc>
              <w:tc>
                <w:tcPr>
                  <w:tcW w:w="3119" w:type="dxa"/>
                  <w:vAlign w:val="center"/>
                </w:tcPr>
                <w:p>
                  <w:pPr>
                    <w:rPr>
                      <w:rFonts w:ascii="宋体" w:hAnsi="宋体" w:cs="宋体"/>
                      <w:kern w:val="0"/>
                      <w:szCs w:val="21"/>
                    </w:rPr>
                  </w:pPr>
                  <w:r>
                    <w:rPr>
                      <w:rFonts w:hint="eastAsia" w:eastAsiaTheme="minorEastAsia"/>
                      <w:szCs w:val="21"/>
                    </w:rPr>
                    <w:t>1</w:t>
                  </w:r>
                  <w:r>
                    <w:rPr>
                      <w:rFonts w:eastAsiaTheme="minorEastAsia"/>
                      <w:szCs w:val="21"/>
                    </w:rPr>
                    <w:t>.</w:t>
                  </w:r>
                  <w:r>
                    <w:rPr>
                      <w:rFonts w:hint="eastAsia" w:ascii="宋体" w:hAnsi="宋体" w:cs="宋体"/>
                      <w:kern w:val="0"/>
                      <w:szCs w:val="21"/>
                    </w:rPr>
                    <w:t>科学划定畜禽养殖禁养区</w:t>
                  </w:r>
                  <w:r>
                    <w:rPr>
                      <w:rFonts w:hint="eastAsia" w:eastAsiaTheme="minorEastAsia"/>
                      <w:szCs w:val="21"/>
                    </w:rPr>
                    <w:t>。</w:t>
                  </w:r>
                </w:p>
                <w:p>
                  <w:pPr>
                    <w:jc w:val="center"/>
                    <w:rPr>
                      <w:rFonts w:eastAsiaTheme="minorEastAsia"/>
                      <w:szCs w:val="21"/>
                    </w:rPr>
                  </w:pPr>
                  <w:r>
                    <w:rPr>
                      <w:rFonts w:hint="eastAsia" w:eastAsiaTheme="minorEastAsia"/>
                      <w:szCs w:val="21"/>
                    </w:rPr>
                    <w:t>2</w:t>
                  </w:r>
                  <w:r>
                    <w:rPr>
                      <w:rFonts w:eastAsiaTheme="minorEastAsia"/>
                      <w:szCs w:val="21"/>
                    </w:rPr>
                    <w:t>.</w:t>
                  </w:r>
                  <w:r>
                    <w:rPr>
                      <w:rFonts w:hint="eastAsia" w:ascii="宋体" w:hAnsi="宋体" w:cs="宋体"/>
                      <w:kern w:val="0"/>
                      <w:szCs w:val="21"/>
                    </w:rPr>
                    <w:t>加快农业结构调整。松嫩平原和三江平原等地下水易受污染地区优先种植需肥需药量低、环境效益突出的农作物；在西部干旱区发展谷子、高粱等耐旱杂粮种植；在北 部四、五积温区开展米豆麦轮作，促进化肥需求低的农作物面积恢复性增长</w:t>
                  </w:r>
                  <w:r>
                    <w:rPr>
                      <w:rFonts w:hint="eastAsia" w:eastAsiaTheme="minorEastAsia"/>
                      <w:szCs w:val="21"/>
                    </w:rPr>
                    <w:t>。</w:t>
                  </w:r>
                </w:p>
              </w:tc>
              <w:tc>
                <w:tcPr>
                  <w:tcW w:w="984" w:type="dxa"/>
                  <w:vAlign w:val="center"/>
                </w:tcPr>
                <w:p>
                  <w:pPr>
                    <w:jc w:val="center"/>
                    <w:rPr>
                      <w:rFonts w:eastAsiaTheme="minorEastAsia"/>
                      <w:szCs w:val="21"/>
                    </w:rPr>
                  </w:pPr>
                  <w:r>
                    <w:rPr>
                      <w:rFonts w:hint="eastAsia" w:eastAsiaTheme="minorEastAsia"/>
                      <w:kern w:val="0"/>
                      <w:szCs w:val="21"/>
                    </w:rPr>
                    <w:t>本项目为农机拆解项目。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0" w:hRule="atLeast"/>
              </w:trPr>
              <w:tc>
                <w:tcPr>
                  <w:tcW w:w="709" w:type="dxa"/>
                  <w:vMerge w:val="continue"/>
                  <w:vAlign w:val="center"/>
                </w:tcPr>
                <w:p>
                  <w:pPr>
                    <w:jc w:val="center"/>
                    <w:rPr>
                      <w:rFonts w:eastAsiaTheme="minorEastAsia"/>
                      <w:szCs w:val="21"/>
                    </w:rPr>
                  </w:pPr>
                </w:p>
              </w:tc>
              <w:tc>
                <w:tcPr>
                  <w:tcW w:w="705" w:type="dxa"/>
                  <w:vMerge w:val="continue"/>
                  <w:vAlign w:val="center"/>
                </w:tcPr>
                <w:p>
                  <w:pPr>
                    <w:pStyle w:val="62"/>
                    <w:rPr>
                      <w:rFonts w:hint="default" w:eastAsiaTheme="minorEastAsia"/>
                      <w:sz w:val="21"/>
                      <w:szCs w:val="21"/>
                    </w:rPr>
                  </w:pPr>
                </w:p>
              </w:tc>
              <w:tc>
                <w:tcPr>
                  <w:tcW w:w="710" w:type="dxa"/>
                  <w:vMerge w:val="continue"/>
                  <w:vAlign w:val="center"/>
                </w:tcPr>
                <w:p>
                  <w:pPr>
                    <w:jc w:val="center"/>
                    <w:rPr>
                      <w:rFonts w:eastAsiaTheme="minorEastAsia"/>
                      <w:szCs w:val="21"/>
                    </w:rPr>
                  </w:pPr>
                </w:p>
              </w:tc>
              <w:tc>
                <w:tcPr>
                  <w:tcW w:w="429" w:type="dxa"/>
                  <w:vAlign w:val="center"/>
                </w:tcPr>
                <w:p>
                  <w:pPr>
                    <w:jc w:val="center"/>
                    <w:rPr>
                      <w:rFonts w:eastAsiaTheme="minorEastAsia"/>
                      <w:szCs w:val="21"/>
                    </w:rPr>
                  </w:pPr>
                  <w:r>
                    <w:rPr>
                      <w:rFonts w:hint="eastAsia" w:eastAsiaTheme="minorEastAsia"/>
                      <w:szCs w:val="21"/>
                    </w:rPr>
                    <w:t>污染物排放管控</w:t>
                  </w:r>
                </w:p>
              </w:tc>
              <w:tc>
                <w:tcPr>
                  <w:tcW w:w="3119" w:type="dxa"/>
                  <w:vAlign w:val="center"/>
                </w:tcPr>
                <w:p>
                  <w:pPr>
                    <w:rPr>
                      <w:rFonts w:eastAsiaTheme="minorEastAsia"/>
                      <w:szCs w:val="21"/>
                    </w:rPr>
                  </w:pPr>
                  <w:r>
                    <w:rPr>
                      <w:rFonts w:hint="eastAsia"/>
                      <w:szCs w:val="21"/>
                    </w:rPr>
                    <w:t>1.支持规模化畜禽养殖场(小区)开展标准化改造和建设，提高畜禽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w:t>
                  </w:r>
                  <w:r>
                    <w:rPr>
                      <w:rFonts w:hint="eastAsia" w:ascii="宋体" w:hAnsi="宋体" w:cs="宋体"/>
                      <w:kern w:val="0"/>
                      <w:szCs w:val="21"/>
                    </w:rPr>
                    <w:t>全面加强农业面源污染防控，科学合理使用农业投入品，提高使用效率，减少农业内源性污染。</w:t>
                  </w:r>
                </w:p>
              </w:tc>
              <w:tc>
                <w:tcPr>
                  <w:tcW w:w="984" w:type="dxa"/>
                  <w:vAlign w:val="center"/>
                </w:tcPr>
                <w:p>
                  <w:pPr>
                    <w:jc w:val="center"/>
                    <w:rPr>
                      <w:rFonts w:eastAsiaTheme="minorEastAsia"/>
                      <w:szCs w:val="21"/>
                    </w:rPr>
                  </w:pPr>
                  <w:r>
                    <w:rPr>
                      <w:rFonts w:hint="eastAsia" w:eastAsiaTheme="minorEastAsia"/>
                      <w:kern w:val="0"/>
                      <w:szCs w:val="21"/>
                    </w:rPr>
                    <w:t>本项目为农机拆解项目。</w:t>
                  </w:r>
                </w:p>
              </w:tc>
            </w:tr>
          </w:tbl>
          <w:p>
            <w:pPr>
              <w:autoSpaceDE w:val="0"/>
              <w:autoSpaceDN w:val="0"/>
              <w:spacing w:line="360" w:lineRule="auto"/>
              <w:ind w:firstLine="480" w:firstLineChars="200"/>
              <w:contextualSpacing/>
              <w:jc w:val="left"/>
              <w:rPr>
                <w:rFonts w:eastAsiaTheme="minorEastAsia"/>
                <w:kern w:val="0"/>
                <w:sz w:val="24"/>
                <w:szCs w:val="21"/>
              </w:rPr>
            </w:pPr>
            <w:r>
              <w:rPr>
                <w:rFonts w:hint="eastAsia" w:eastAsiaTheme="minorEastAsia"/>
                <w:kern w:val="0"/>
                <w:sz w:val="24"/>
                <w:szCs w:val="21"/>
              </w:rPr>
              <w:t>本项目采取了有效、可行的污染治理措施，各项污染物均可达标排放，本项目建设对周围环境影响较小，因此本项目符合《鸡西市人民政府关于实施</w:t>
            </w:r>
            <w:r>
              <w:rPr>
                <w:rFonts w:eastAsiaTheme="minorEastAsia"/>
                <w:kern w:val="0"/>
                <w:sz w:val="24"/>
                <w:szCs w:val="21"/>
              </w:rPr>
              <w:t>“</w:t>
            </w:r>
            <w:r>
              <w:rPr>
                <w:rFonts w:hint="eastAsia" w:eastAsiaTheme="minorEastAsia"/>
                <w:kern w:val="0"/>
                <w:sz w:val="24"/>
                <w:szCs w:val="21"/>
              </w:rPr>
              <w:t>三线一单</w:t>
            </w:r>
            <w:r>
              <w:rPr>
                <w:rFonts w:eastAsiaTheme="minorEastAsia"/>
                <w:kern w:val="0"/>
                <w:sz w:val="24"/>
                <w:szCs w:val="21"/>
              </w:rPr>
              <w:t>”</w:t>
            </w:r>
            <w:r>
              <w:rPr>
                <w:rFonts w:hint="eastAsia" w:eastAsiaTheme="minorEastAsia"/>
                <w:kern w:val="0"/>
                <w:sz w:val="24"/>
                <w:szCs w:val="21"/>
              </w:rPr>
              <w:t>生态环境分区管控的意见》（鸡政发〔</w:t>
            </w:r>
            <w:r>
              <w:rPr>
                <w:rFonts w:eastAsiaTheme="minorEastAsia"/>
                <w:kern w:val="0"/>
                <w:sz w:val="24"/>
                <w:szCs w:val="21"/>
              </w:rPr>
              <w:t>2021</w:t>
            </w:r>
            <w:r>
              <w:rPr>
                <w:rFonts w:hint="eastAsia" w:eastAsiaTheme="minorEastAsia"/>
                <w:kern w:val="0"/>
                <w:sz w:val="24"/>
                <w:szCs w:val="21"/>
              </w:rPr>
              <w:t>〕</w:t>
            </w:r>
            <w:r>
              <w:rPr>
                <w:rFonts w:eastAsiaTheme="minorEastAsia"/>
                <w:kern w:val="0"/>
                <w:sz w:val="24"/>
                <w:szCs w:val="21"/>
              </w:rPr>
              <w:t>7</w:t>
            </w:r>
            <w:r>
              <w:rPr>
                <w:rFonts w:hint="eastAsia" w:eastAsiaTheme="minorEastAsia"/>
                <w:kern w:val="0"/>
                <w:sz w:val="24"/>
                <w:szCs w:val="21"/>
              </w:rPr>
              <w:t>号）及</w:t>
            </w:r>
            <w:r>
              <w:rPr>
                <w:rFonts w:hint="eastAsia" w:eastAsiaTheme="minorEastAsia"/>
                <w:sz w:val="24"/>
              </w:rPr>
              <w:t>《鸡西市生态环境准入清单（2023年版）》要求</w:t>
            </w:r>
            <w:r>
              <w:rPr>
                <w:rFonts w:hint="eastAsia" w:eastAsiaTheme="minorEastAsia"/>
                <w:kern w:val="0"/>
                <w:sz w:val="24"/>
                <w:szCs w:val="21"/>
              </w:rPr>
              <w:t>。</w:t>
            </w:r>
          </w:p>
          <w:p>
            <w:pPr>
              <w:autoSpaceDE w:val="0"/>
              <w:autoSpaceDN w:val="0"/>
              <w:spacing w:line="360" w:lineRule="auto"/>
              <w:contextualSpacing/>
              <w:jc w:val="center"/>
              <w:rPr>
                <w:rFonts w:eastAsiaTheme="minorEastAsia"/>
                <w:b/>
                <w:bCs/>
                <w:kern w:val="0"/>
                <w:sz w:val="24"/>
                <w:szCs w:val="21"/>
              </w:rPr>
            </w:pPr>
            <w:r>
              <w:rPr>
                <w:rFonts w:eastAsiaTheme="minorEastAsia"/>
                <w:b/>
                <w:bCs/>
                <w:kern w:val="0"/>
                <w:sz w:val="24"/>
                <w:szCs w:val="21"/>
              </w:rPr>
              <w:drawing>
                <wp:inline distT="0" distB="0" distL="0" distR="0">
                  <wp:extent cx="3155315" cy="2638425"/>
                  <wp:effectExtent l="19050" t="19050" r="26035" b="28157"/>
                  <wp:docPr id="2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8"/>
                          <pic:cNvPicPr>
                            <a:picLocks noChangeAspect="1" noChangeArrowheads="1"/>
                          </pic:cNvPicPr>
                        </pic:nvPicPr>
                        <pic:blipFill>
                          <a:blip r:embed="rId10"/>
                          <a:srcRect/>
                          <a:stretch>
                            <a:fillRect/>
                          </a:stretch>
                        </pic:blipFill>
                        <pic:spPr>
                          <a:xfrm>
                            <a:off x="0" y="0"/>
                            <a:ext cx="3157219" cy="2640435"/>
                          </a:xfrm>
                          <a:prstGeom prst="rect">
                            <a:avLst/>
                          </a:prstGeom>
                          <a:noFill/>
                          <a:ln w="9525">
                            <a:solidFill>
                              <a:schemeClr val="tx1"/>
                            </a:solidFill>
                            <a:miter lim="800000"/>
                            <a:headEnd/>
                            <a:tailEnd/>
                          </a:ln>
                        </pic:spPr>
                      </pic:pic>
                    </a:graphicData>
                  </a:graphic>
                </wp:inline>
              </w:drawing>
            </w:r>
          </w:p>
          <w:p>
            <w:pPr>
              <w:autoSpaceDE w:val="0"/>
              <w:autoSpaceDN w:val="0"/>
              <w:spacing w:line="360" w:lineRule="auto"/>
              <w:contextualSpacing/>
              <w:jc w:val="center"/>
              <w:rPr>
                <w:rFonts w:eastAsiaTheme="minorEastAsia"/>
                <w:b/>
                <w:bCs/>
                <w:kern w:val="0"/>
                <w:sz w:val="24"/>
                <w:szCs w:val="21"/>
              </w:rPr>
            </w:pPr>
            <w:r>
              <w:rPr>
                <w:rFonts w:eastAsiaTheme="minorEastAsia"/>
                <w:b/>
                <w:bCs/>
                <w:kern w:val="0"/>
                <w:sz w:val="24"/>
                <w:szCs w:val="21"/>
              </w:rPr>
              <w:drawing>
                <wp:inline distT="0" distB="0" distL="0" distR="0">
                  <wp:extent cx="3189605" cy="2724150"/>
                  <wp:effectExtent l="19050" t="19050" r="10277" b="19050"/>
                  <wp:docPr id="2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
                          <pic:cNvPicPr>
                            <a:picLocks noChangeAspect="1" noChangeArrowheads="1"/>
                          </pic:cNvPicPr>
                        </pic:nvPicPr>
                        <pic:blipFill>
                          <a:blip r:embed="rId11"/>
                          <a:srcRect/>
                          <a:stretch>
                            <a:fillRect/>
                          </a:stretch>
                        </pic:blipFill>
                        <pic:spPr>
                          <a:xfrm>
                            <a:off x="0" y="0"/>
                            <a:ext cx="3193969" cy="2727435"/>
                          </a:xfrm>
                          <a:prstGeom prst="rect">
                            <a:avLst/>
                          </a:prstGeom>
                          <a:noFill/>
                          <a:ln w="9525">
                            <a:solidFill>
                              <a:schemeClr val="tx1"/>
                            </a:solidFill>
                            <a:miter lim="800000"/>
                            <a:headEnd/>
                            <a:tailEnd/>
                          </a:ln>
                        </pic:spPr>
                      </pic:pic>
                    </a:graphicData>
                  </a:graphic>
                </wp:inline>
              </w:drawing>
            </w:r>
          </w:p>
          <w:p>
            <w:pPr>
              <w:autoSpaceDE w:val="0"/>
              <w:autoSpaceDN w:val="0"/>
              <w:spacing w:line="360" w:lineRule="auto"/>
              <w:contextualSpacing/>
              <w:jc w:val="center"/>
              <w:rPr>
                <w:rFonts w:eastAsiaTheme="minorEastAsia"/>
                <w:b/>
                <w:bCs/>
                <w:kern w:val="0"/>
                <w:sz w:val="24"/>
                <w:szCs w:val="21"/>
              </w:rPr>
            </w:pPr>
            <w:r>
              <w:rPr>
                <w:rFonts w:hint="eastAsia" w:eastAsiaTheme="minorEastAsia"/>
                <w:b/>
                <w:sz w:val="24"/>
              </w:rPr>
              <w:t>图</w:t>
            </w:r>
            <w:r>
              <w:rPr>
                <w:rFonts w:eastAsiaTheme="minorEastAsia"/>
                <w:b/>
                <w:sz w:val="24"/>
              </w:rPr>
              <w:t>1-1 黑龙江省生态环境分区管控数据应用平台查询截图</w:t>
            </w:r>
          </w:p>
          <w:p>
            <w:pPr>
              <w:autoSpaceDE w:val="0"/>
              <w:autoSpaceDN w:val="0"/>
              <w:adjustRightInd w:val="0"/>
              <w:snapToGrid w:val="0"/>
              <w:spacing w:line="360" w:lineRule="auto"/>
              <w:ind w:firstLine="482" w:firstLineChars="200"/>
              <w:jc w:val="left"/>
              <w:rPr>
                <w:rFonts w:eastAsiaTheme="minorEastAsia"/>
                <w:b/>
                <w:kern w:val="0"/>
                <w:sz w:val="24"/>
                <w:szCs w:val="21"/>
              </w:rPr>
            </w:pPr>
            <w:r>
              <w:rPr>
                <w:rFonts w:eastAsiaTheme="minorEastAsia"/>
                <w:b/>
                <w:kern w:val="0"/>
                <w:sz w:val="24"/>
                <w:szCs w:val="21"/>
              </w:rPr>
              <w:t>2</w:t>
            </w:r>
            <w:r>
              <w:rPr>
                <w:rFonts w:hint="eastAsia" w:eastAsiaTheme="minorEastAsia"/>
                <w:b/>
                <w:kern w:val="0"/>
                <w:sz w:val="24"/>
                <w:szCs w:val="21"/>
              </w:rPr>
              <w:t>、</w:t>
            </w:r>
            <w:r>
              <w:rPr>
                <w:rFonts w:hint="eastAsia" w:eastAsiaTheme="minorEastAsia"/>
                <w:b/>
                <w:bCs/>
                <w:kern w:val="0"/>
                <w:sz w:val="24"/>
                <w:szCs w:val="21"/>
              </w:rPr>
              <w:t>产业政策符合性分析</w:t>
            </w:r>
          </w:p>
          <w:p>
            <w:pPr>
              <w:autoSpaceDE w:val="0"/>
              <w:autoSpaceDN w:val="0"/>
              <w:adjustRightInd w:val="0"/>
              <w:snapToGrid w:val="0"/>
              <w:spacing w:line="360" w:lineRule="auto"/>
              <w:ind w:firstLine="480" w:firstLineChars="200"/>
              <w:jc w:val="left"/>
              <w:rPr>
                <w:sz w:val="24"/>
              </w:rPr>
            </w:pPr>
            <w:r>
              <w:rPr>
                <w:sz w:val="24"/>
              </w:rPr>
              <w:t>根据《产业结构调整指导目录（2024年本）》，</w:t>
            </w:r>
            <w:r>
              <w:rPr>
                <w:rFonts w:hint="eastAsia"/>
                <w:sz w:val="24"/>
              </w:rPr>
              <w:t>本项目不属于第二类</w:t>
            </w:r>
            <w:r>
              <w:rPr>
                <w:sz w:val="24"/>
              </w:rPr>
              <w:t>“</w:t>
            </w:r>
            <w:r>
              <w:rPr>
                <w:rFonts w:hint="eastAsia"/>
                <w:sz w:val="24"/>
              </w:rPr>
              <w:t>限制类</w:t>
            </w:r>
            <w:r>
              <w:rPr>
                <w:sz w:val="24"/>
              </w:rPr>
              <w:t>”</w:t>
            </w:r>
            <w:r>
              <w:rPr>
                <w:rFonts w:hint="eastAsia"/>
                <w:sz w:val="24"/>
              </w:rPr>
              <w:t>及第三类</w:t>
            </w:r>
            <w:r>
              <w:rPr>
                <w:sz w:val="24"/>
              </w:rPr>
              <w:t>“</w:t>
            </w:r>
            <w:r>
              <w:rPr>
                <w:rFonts w:hint="eastAsia"/>
                <w:sz w:val="24"/>
              </w:rPr>
              <w:t>淘汰类</w:t>
            </w:r>
            <w:r>
              <w:rPr>
                <w:sz w:val="24"/>
              </w:rPr>
              <w:t>”</w:t>
            </w:r>
            <w:r>
              <w:rPr>
                <w:rFonts w:hint="eastAsia"/>
                <w:sz w:val="24"/>
              </w:rPr>
              <w:t>建设项目，属于第一类</w:t>
            </w:r>
            <w:r>
              <w:rPr>
                <w:sz w:val="24"/>
              </w:rPr>
              <w:t>“</w:t>
            </w:r>
            <w:r>
              <w:rPr>
                <w:rFonts w:hint="eastAsia"/>
                <w:sz w:val="24"/>
              </w:rPr>
              <w:t>鼓励类</w:t>
            </w:r>
            <w:r>
              <w:rPr>
                <w:sz w:val="24"/>
              </w:rPr>
              <w:t>”</w:t>
            </w:r>
            <w:r>
              <w:rPr>
                <w:rFonts w:hint="eastAsia"/>
                <w:sz w:val="24"/>
              </w:rPr>
              <w:t xml:space="preserve">（四十二、环境保护与资源节约综合利用 </w:t>
            </w:r>
            <w:r>
              <w:rPr>
                <w:sz w:val="24"/>
              </w:rPr>
              <w:t>9.</w:t>
            </w:r>
            <w:r>
              <w:rPr>
                <w:rFonts w:hint="eastAsia"/>
                <w:sz w:val="24"/>
              </w:rPr>
              <w:t>再制造：报废汽车、退役民用飞机、工程机械、矿山机械、农业机械、机床、文办设备及耗材、盾构机、航空发动机、工业机器人、火车内燃机车等废旧设备及零部件拆解、再利用、再制造）项目</w:t>
            </w:r>
            <w:r>
              <w:rPr>
                <w:bCs/>
                <w:sz w:val="24"/>
              </w:rPr>
              <w:t>，符合国家产业政策</w:t>
            </w:r>
            <w:r>
              <w:rPr>
                <w:rFonts w:hint="eastAsia" w:eastAsiaTheme="minorEastAsia"/>
                <w:sz w:val="24"/>
              </w:rPr>
              <w:t>。</w:t>
            </w:r>
          </w:p>
          <w:p>
            <w:pPr>
              <w:autoSpaceDE w:val="0"/>
              <w:autoSpaceDN w:val="0"/>
              <w:adjustRightInd w:val="0"/>
              <w:snapToGrid w:val="0"/>
              <w:spacing w:line="360" w:lineRule="auto"/>
              <w:ind w:firstLine="482" w:firstLineChars="200"/>
              <w:jc w:val="left"/>
              <w:rPr>
                <w:rFonts w:eastAsiaTheme="minorEastAsia"/>
                <w:b/>
                <w:kern w:val="0"/>
                <w:sz w:val="24"/>
                <w:szCs w:val="21"/>
              </w:rPr>
            </w:pPr>
            <w:r>
              <w:rPr>
                <w:rFonts w:eastAsiaTheme="minorEastAsia"/>
                <w:b/>
                <w:kern w:val="0"/>
                <w:sz w:val="24"/>
                <w:szCs w:val="21"/>
              </w:rPr>
              <w:t>3</w:t>
            </w:r>
            <w:r>
              <w:rPr>
                <w:rFonts w:hint="eastAsia" w:eastAsiaTheme="minorEastAsia"/>
                <w:b/>
                <w:kern w:val="0"/>
                <w:sz w:val="24"/>
                <w:szCs w:val="21"/>
              </w:rPr>
              <w:t>、选址合理性分析</w:t>
            </w:r>
          </w:p>
          <w:p>
            <w:pPr>
              <w:spacing w:line="360" w:lineRule="auto"/>
              <w:ind w:firstLine="480" w:firstLineChars="200"/>
              <w:contextualSpacing/>
              <w:rPr>
                <w:rFonts w:eastAsiaTheme="minorEastAsia"/>
                <w:bCs/>
                <w:kern w:val="0"/>
                <w:sz w:val="24"/>
                <w:szCs w:val="21"/>
              </w:rPr>
            </w:pPr>
            <w:r>
              <w:rPr>
                <w:rFonts w:hint="eastAsia" w:eastAsiaTheme="minorEastAsia"/>
                <w:kern w:val="0"/>
                <w:sz w:val="24"/>
                <w:szCs w:val="21"/>
              </w:rPr>
              <w:t>（</w:t>
            </w:r>
            <w:r>
              <w:rPr>
                <w:rFonts w:eastAsiaTheme="minorEastAsia"/>
                <w:kern w:val="0"/>
                <w:sz w:val="24"/>
                <w:szCs w:val="21"/>
              </w:rPr>
              <w:t>1</w:t>
            </w:r>
            <w:r>
              <w:rPr>
                <w:rFonts w:hint="eastAsia" w:eastAsiaTheme="minorEastAsia"/>
                <w:kern w:val="0"/>
                <w:sz w:val="24"/>
                <w:szCs w:val="21"/>
              </w:rPr>
              <w:t>）本项目位于</w:t>
            </w:r>
            <w:r>
              <w:rPr>
                <w:rFonts w:hint="eastAsia" w:eastAsiaTheme="minorEastAsia"/>
                <w:bCs/>
                <w:sz w:val="24"/>
              </w:rPr>
              <w:t>黑龙江省虎林市东诚镇东风村</w:t>
            </w:r>
            <w:r>
              <w:rPr>
                <w:rFonts w:hint="eastAsia" w:eastAsiaTheme="minorEastAsia"/>
                <w:bCs/>
                <w:kern w:val="0"/>
                <w:sz w:val="24"/>
                <w:szCs w:val="21"/>
              </w:rPr>
              <w:t>，用地性质为工业用地，符合当地土地利用规划。厂区东侧及南侧为东风村居民、西侧为虎林市高信芽豆有限公司、北侧为S201省道，隔路为虎林市鼎卓汽车修配厂</w:t>
            </w:r>
            <w:r>
              <w:rPr>
                <w:rFonts w:hint="eastAsia" w:eastAsiaTheme="minorEastAsia"/>
                <w:sz w:val="24"/>
              </w:rPr>
              <w:t>。厂区四周照片见附图4。</w:t>
            </w:r>
          </w:p>
          <w:p>
            <w:pPr>
              <w:autoSpaceDE w:val="0"/>
              <w:autoSpaceDN w:val="0"/>
              <w:adjustRightInd w:val="0"/>
              <w:snapToGrid w:val="0"/>
              <w:spacing w:line="360" w:lineRule="auto"/>
              <w:ind w:firstLine="480" w:firstLineChars="200"/>
              <w:jc w:val="left"/>
              <w:rPr>
                <w:rFonts w:eastAsiaTheme="minorEastAsia"/>
                <w:bCs/>
                <w:kern w:val="0"/>
                <w:sz w:val="24"/>
                <w:szCs w:val="21"/>
              </w:rPr>
            </w:pPr>
            <w:r>
              <w:rPr>
                <w:rFonts w:hint="eastAsia" w:eastAsiaTheme="minorEastAsia"/>
                <w:bCs/>
                <w:kern w:val="0"/>
                <w:sz w:val="24"/>
                <w:szCs w:val="21"/>
              </w:rPr>
              <w:t>（</w:t>
            </w:r>
            <w:r>
              <w:rPr>
                <w:rFonts w:eastAsiaTheme="minorEastAsia"/>
                <w:bCs/>
                <w:kern w:val="0"/>
                <w:sz w:val="24"/>
                <w:szCs w:val="21"/>
              </w:rPr>
              <w:t>2</w:t>
            </w:r>
            <w:r>
              <w:rPr>
                <w:rFonts w:hint="eastAsia" w:eastAsiaTheme="minorEastAsia"/>
                <w:bCs/>
                <w:kern w:val="0"/>
                <w:sz w:val="24"/>
                <w:szCs w:val="21"/>
              </w:rPr>
              <w:t>）项目运营过程中产生的设备噪声、颗粒物、</w:t>
            </w:r>
            <w:r>
              <w:rPr>
                <w:rFonts w:eastAsiaTheme="minorEastAsia"/>
                <w:bCs/>
                <w:kern w:val="0"/>
                <w:sz w:val="24"/>
                <w:szCs w:val="21"/>
              </w:rPr>
              <w:t>VOCs等</w:t>
            </w:r>
            <w:r>
              <w:rPr>
                <w:rFonts w:hint="eastAsia" w:eastAsiaTheme="minorEastAsia"/>
                <w:bCs/>
                <w:kern w:val="0"/>
                <w:sz w:val="24"/>
                <w:szCs w:val="21"/>
              </w:rPr>
              <w:t>对周围环境将产生一定影响，但通过采取相应的环保措施可使该项目的环境影响降低。</w:t>
            </w:r>
          </w:p>
          <w:p>
            <w:pPr>
              <w:spacing w:line="360" w:lineRule="auto"/>
              <w:ind w:firstLine="480" w:firstLineChars="200"/>
              <w:contextualSpacing/>
              <w:rPr>
                <w:rFonts w:eastAsiaTheme="minorEastAsia"/>
                <w:bCs/>
                <w:kern w:val="0"/>
                <w:sz w:val="24"/>
                <w:szCs w:val="21"/>
              </w:rPr>
            </w:pPr>
            <w:r>
              <w:rPr>
                <w:rFonts w:hint="eastAsia" w:eastAsiaTheme="minorEastAsia"/>
                <w:bCs/>
                <w:kern w:val="0"/>
                <w:sz w:val="24"/>
                <w:szCs w:val="21"/>
              </w:rPr>
              <w:t>在落实本报告提出的污染防治措施前提，确保各项污染物稳定达标排放，选址可行。</w:t>
            </w:r>
          </w:p>
          <w:p>
            <w:pPr>
              <w:autoSpaceDE w:val="0"/>
              <w:autoSpaceDN w:val="0"/>
              <w:adjustRightInd w:val="0"/>
              <w:snapToGrid w:val="0"/>
              <w:spacing w:line="360" w:lineRule="auto"/>
              <w:ind w:firstLine="482" w:firstLineChars="200"/>
              <w:jc w:val="left"/>
              <w:rPr>
                <w:rFonts w:eastAsiaTheme="minorEastAsia"/>
                <w:b/>
                <w:kern w:val="0"/>
                <w:sz w:val="24"/>
                <w:szCs w:val="21"/>
              </w:rPr>
            </w:pPr>
            <w:r>
              <w:rPr>
                <w:rFonts w:eastAsiaTheme="minorEastAsia"/>
                <w:b/>
                <w:kern w:val="0"/>
                <w:sz w:val="24"/>
                <w:szCs w:val="21"/>
              </w:rPr>
              <w:t>4</w:t>
            </w:r>
            <w:r>
              <w:rPr>
                <w:rFonts w:hint="eastAsia" w:eastAsiaTheme="minorEastAsia"/>
                <w:b/>
                <w:kern w:val="0"/>
                <w:sz w:val="24"/>
                <w:szCs w:val="21"/>
              </w:rPr>
              <w:t>、本项目与《报废机动车拆解企业污染控制技术规范》（</w:t>
            </w:r>
            <w:r>
              <w:rPr>
                <w:rFonts w:eastAsiaTheme="minorEastAsia"/>
                <w:b/>
                <w:kern w:val="0"/>
                <w:sz w:val="24"/>
                <w:szCs w:val="21"/>
              </w:rPr>
              <w:t>HJ 348—2022</w:t>
            </w:r>
            <w:r>
              <w:rPr>
                <w:rFonts w:hint="eastAsia" w:eastAsiaTheme="minorEastAsia"/>
                <w:b/>
                <w:kern w:val="0"/>
                <w:sz w:val="24"/>
                <w:szCs w:val="21"/>
              </w:rPr>
              <w:t>）符合性分析（本项目为农机拆解，参照执行）</w:t>
            </w:r>
          </w:p>
          <w:p>
            <w:pPr>
              <w:spacing w:line="360" w:lineRule="auto"/>
              <w:ind w:firstLine="482" w:firstLineChars="200"/>
              <w:contextualSpacing/>
              <w:jc w:val="center"/>
              <w:rPr>
                <w:rFonts w:eastAsiaTheme="minorEastAsia"/>
                <w:b/>
                <w:sz w:val="24"/>
              </w:rPr>
            </w:pPr>
            <w:r>
              <w:rPr>
                <w:rFonts w:hint="eastAsia" w:eastAsiaTheme="minorEastAsia"/>
                <w:b/>
                <w:sz w:val="24"/>
              </w:rPr>
              <w:t>表</w:t>
            </w:r>
            <w:r>
              <w:rPr>
                <w:rFonts w:eastAsiaTheme="minorEastAsia"/>
                <w:b/>
                <w:sz w:val="24"/>
              </w:rPr>
              <w:t>1-</w:t>
            </w:r>
            <w:r>
              <w:rPr>
                <w:rFonts w:hint="eastAsia" w:eastAsiaTheme="minorEastAsia"/>
                <w:b/>
                <w:sz w:val="24"/>
              </w:rPr>
              <w:t>3</w:t>
            </w:r>
            <w:r>
              <w:rPr>
                <w:rFonts w:eastAsiaTheme="minorEastAsia"/>
                <w:b/>
                <w:sz w:val="24"/>
              </w:rPr>
              <w:t xml:space="preserve"> </w:t>
            </w:r>
            <w:r>
              <w:rPr>
                <w:rFonts w:hint="eastAsia" w:eastAsiaTheme="minorEastAsia"/>
                <w:b/>
                <w:sz w:val="24"/>
              </w:rPr>
              <w:t>项目与</w:t>
            </w:r>
            <w:r>
              <w:rPr>
                <w:rFonts w:hint="eastAsia" w:eastAsiaTheme="minorEastAsia"/>
                <w:b/>
                <w:kern w:val="0"/>
                <w:sz w:val="24"/>
                <w:szCs w:val="21"/>
              </w:rPr>
              <w:t>《报废机动车拆解企业污染控制技术规范》（</w:t>
            </w:r>
            <w:r>
              <w:rPr>
                <w:rFonts w:eastAsiaTheme="minorEastAsia"/>
                <w:b/>
                <w:kern w:val="0"/>
                <w:sz w:val="24"/>
                <w:szCs w:val="21"/>
              </w:rPr>
              <w:t>HJ 348—2022</w:t>
            </w:r>
            <w:r>
              <w:rPr>
                <w:rFonts w:hint="eastAsia" w:eastAsiaTheme="minorEastAsia"/>
                <w:b/>
                <w:kern w:val="0"/>
                <w:sz w:val="24"/>
                <w:szCs w:val="21"/>
              </w:rPr>
              <w:t>）</w:t>
            </w:r>
            <w:r>
              <w:rPr>
                <w:rFonts w:hint="eastAsia" w:eastAsiaTheme="minorEastAsia"/>
                <w:b/>
                <w:sz w:val="24"/>
              </w:rPr>
              <w:t>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3375"/>
              <w:gridCol w:w="2268"/>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序号</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规范要求</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本项目情况</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1</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报废机动车的拆解应遵循减量化、资源化和无害化的原则。报废机动车回收拆解企业应优先采用资源回收率高、污染物排放量少的工艺和设备，防范二次污染，实现减污降碳协同增效</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本项目遵循减量化、资源化和无害化的原则，优先采用资源回收率高、污染物排放量少的工艺和设备，防范二次污染，实现减污降碳协同增效。</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2</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报废机动车拆解建设项目选址不应位于国务院和国务院有关主管部门及省、自治区、直辖市人民政府划定的生态保护红线区域、永久基本农田和其他需要特别保护的区域内</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本项目位于</w:t>
                  </w:r>
                  <w:r>
                    <w:rPr>
                      <w:rFonts w:hint="eastAsia" w:eastAsiaTheme="minorEastAsia"/>
                      <w:bCs/>
                      <w:szCs w:val="21"/>
                    </w:rPr>
                    <w:t>黑龙江省虎林市东诚镇东风村，不在</w:t>
                  </w:r>
                  <w:r>
                    <w:rPr>
                      <w:rFonts w:hint="eastAsia"/>
                      <w:szCs w:val="21"/>
                    </w:rPr>
                    <w:t>生态保护红线区域、永久基本农田和其他需要特别保护的区域内。</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3</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报废机动车回收拆解企业应具备集中的运营场地，并实行封闭式规范管理</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本项目拆解作业场地（包括拆解和存储场地）面积约为7200</w:t>
                  </w:r>
                  <w:r>
                    <w:rPr>
                      <w:rFonts w:eastAsiaTheme="minorEastAsia"/>
                      <w:szCs w:val="21"/>
                    </w:rPr>
                    <w:t>m</w:t>
                  </w:r>
                  <w:r>
                    <w:rPr>
                      <w:rFonts w:eastAsiaTheme="minorEastAsia"/>
                      <w:szCs w:val="21"/>
                      <w:vertAlign w:val="superscript"/>
                    </w:rPr>
                    <w:t>2</w:t>
                  </w:r>
                  <w:r>
                    <w:rPr>
                      <w:rFonts w:hint="eastAsia" w:eastAsiaTheme="minorEastAsia"/>
                      <w:szCs w:val="21"/>
                    </w:rPr>
                    <w:t>，拆解在全封闭车间内进行</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bl>
          <w:p/>
          <w:p>
            <w:pPr>
              <w:spacing w:line="360" w:lineRule="auto"/>
              <w:ind w:firstLine="482" w:firstLineChars="200"/>
              <w:contextualSpacing/>
              <w:jc w:val="center"/>
              <w:rPr>
                <w:rFonts w:eastAsiaTheme="minorEastAsia"/>
                <w:b/>
                <w:sz w:val="24"/>
              </w:rPr>
            </w:pPr>
            <w:r>
              <w:rPr>
                <w:rFonts w:hint="eastAsia" w:eastAsiaTheme="minorEastAsia"/>
                <w:b/>
                <w:sz w:val="24"/>
              </w:rPr>
              <w:t>续表</w:t>
            </w:r>
            <w:r>
              <w:rPr>
                <w:rFonts w:eastAsiaTheme="minorEastAsia"/>
                <w:b/>
                <w:sz w:val="24"/>
              </w:rPr>
              <w:t>1-</w:t>
            </w:r>
            <w:r>
              <w:rPr>
                <w:rFonts w:hint="eastAsia" w:eastAsiaTheme="minorEastAsia"/>
                <w:b/>
                <w:sz w:val="24"/>
              </w:rPr>
              <w:t>3</w:t>
            </w:r>
            <w:r>
              <w:rPr>
                <w:rFonts w:eastAsiaTheme="minorEastAsia"/>
                <w:b/>
                <w:sz w:val="24"/>
              </w:rPr>
              <w:t xml:space="preserve"> </w:t>
            </w:r>
            <w:r>
              <w:rPr>
                <w:rFonts w:hint="eastAsia" w:eastAsiaTheme="minorEastAsia"/>
                <w:b/>
                <w:sz w:val="24"/>
              </w:rPr>
              <w:t>项目与</w:t>
            </w:r>
            <w:r>
              <w:rPr>
                <w:rFonts w:hint="eastAsia" w:eastAsiaTheme="minorEastAsia"/>
                <w:b/>
                <w:kern w:val="0"/>
                <w:sz w:val="24"/>
                <w:szCs w:val="21"/>
              </w:rPr>
              <w:t>《报废机动车拆解企业污染控制技术规范》（</w:t>
            </w:r>
            <w:r>
              <w:rPr>
                <w:rFonts w:eastAsiaTheme="minorEastAsia"/>
                <w:b/>
                <w:kern w:val="0"/>
                <w:sz w:val="24"/>
                <w:szCs w:val="21"/>
              </w:rPr>
              <w:t>HJ 348—2022</w:t>
            </w:r>
            <w:r>
              <w:rPr>
                <w:rFonts w:hint="eastAsia" w:eastAsiaTheme="minorEastAsia"/>
                <w:b/>
                <w:kern w:val="0"/>
                <w:sz w:val="24"/>
                <w:szCs w:val="21"/>
              </w:rPr>
              <w:t>）</w:t>
            </w:r>
            <w:r>
              <w:rPr>
                <w:rFonts w:hint="eastAsia" w:eastAsiaTheme="minorEastAsia"/>
                <w:b/>
                <w:sz w:val="24"/>
              </w:rPr>
              <w:t>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3375"/>
              <w:gridCol w:w="2268"/>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4</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报废机动车回收拆解企业应依照《报废机动车回收管理办法实施细则》等相关要求向机动车生产企业获取报废机动车拆解指导手册等相关技术信息，依规开展报废机动车拆解工作</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本项目依照《报废机动车回收管理办法实施细则》等相关要求向机动车生产企业获取报废机动车拆解指导手册等相关技术信息，依规开展报废机动车拆解工作。</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5</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报废机动车回收拆解企业应依据</w:t>
                  </w:r>
                  <w:r>
                    <w:rPr>
                      <w:szCs w:val="21"/>
                    </w:rPr>
                    <w:t>GB22128</w:t>
                  </w:r>
                  <w:r>
                    <w:rPr>
                      <w:rFonts w:hint="eastAsia"/>
                      <w:szCs w:val="21"/>
                    </w:rPr>
                    <w:t>等相关规定开展拆解作业。不应露天拆解报废机动车，拆解产物不应露天堆放，不应对大气、土壤、地表水和地下水造成污染。</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本项目满足《报废农业机械回收拆解技术规范》（</w:t>
                  </w:r>
                  <w:r>
                    <w:rPr>
                      <w:rFonts w:eastAsiaTheme="minorEastAsia"/>
                      <w:szCs w:val="21"/>
                    </w:rPr>
                    <w:t>NY/T 2900-2016</w:t>
                  </w:r>
                  <w:r>
                    <w:rPr>
                      <w:rFonts w:hint="eastAsia" w:eastAsiaTheme="minorEastAsia"/>
                      <w:szCs w:val="21"/>
                    </w:rPr>
                    <w:t>）要求，拆解在全封闭车间内进行且防渗处理，</w:t>
                  </w:r>
                  <w:r>
                    <w:rPr>
                      <w:rFonts w:hint="eastAsia"/>
                      <w:szCs w:val="21"/>
                    </w:rPr>
                    <w:t>不会对大气、土壤、地表水和地下水造成污染。</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6</w:t>
                  </w:r>
                </w:p>
              </w:tc>
              <w:tc>
                <w:tcPr>
                  <w:tcW w:w="3375" w:type="dxa"/>
                  <w:shd w:val="clear" w:color="auto" w:fill="auto"/>
                  <w:vAlign w:val="center"/>
                </w:tcPr>
                <w:p>
                  <w:pPr>
                    <w:widowControl/>
                    <w:jc w:val="left"/>
                    <w:rPr>
                      <w:kern w:val="0"/>
                      <w:sz w:val="24"/>
                    </w:rPr>
                  </w:pPr>
                  <w:r>
                    <w:rPr>
                      <w:rFonts w:hint="eastAsia" w:hAnsi="宋体"/>
                      <w:kern w:val="0"/>
                      <w:szCs w:val="21"/>
                    </w:rPr>
                    <w:t>报废机动车回收拆解企业应划分不同的功能区，包括办公区和作业区。作业区应包括：</w:t>
                  </w:r>
                </w:p>
                <w:p>
                  <w:pPr>
                    <w:widowControl/>
                    <w:jc w:val="left"/>
                    <w:rPr>
                      <w:kern w:val="0"/>
                      <w:sz w:val="24"/>
                    </w:rPr>
                  </w:pPr>
                  <w:r>
                    <w:rPr>
                      <w:kern w:val="0"/>
                      <w:szCs w:val="21"/>
                    </w:rPr>
                    <w:t>a</w:t>
                  </w:r>
                  <w:r>
                    <w:rPr>
                      <w:rFonts w:hint="eastAsia" w:hAnsi="宋体"/>
                      <w:kern w:val="0"/>
                      <w:szCs w:val="21"/>
                    </w:rPr>
                    <w:t>）整车贮存区（分为传统燃料机动车区和电动汽车区）；</w:t>
                  </w:r>
                  <w:r>
                    <w:rPr>
                      <w:kern w:val="0"/>
                      <w:szCs w:val="21"/>
                    </w:rPr>
                    <w:t>b</w:t>
                  </w:r>
                  <w:r>
                    <w:rPr>
                      <w:rFonts w:hint="eastAsia" w:hAnsi="宋体"/>
                      <w:kern w:val="0"/>
                      <w:szCs w:val="21"/>
                    </w:rPr>
                    <w:t>）动力蓄电池拆卸区；</w:t>
                  </w:r>
                  <w:r>
                    <w:rPr>
                      <w:kern w:val="0"/>
                      <w:szCs w:val="21"/>
                    </w:rPr>
                    <w:t>c</w:t>
                  </w:r>
                  <w:r>
                    <w:rPr>
                      <w:rFonts w:hint="eastAsia" w:hAnsi="宋体"/>
                      <w:kern w:val="0"/>
                      <w:szCs w:val="21"/>
                    </w:rPr>
                    <w:t>）铅蓄电池拆卸区；</w:t>
                  </w:r>
                  <w:r>
                    <w:rPr>
                      <w:kern w:val="0"/>
                      <w:szCs w:val="21"/>
                    </w:rPr>
                    <w:t>d</w:t>
                  </w:r>
                  <w:r>
                    <w:rPr>
                      <w:rFonts w:hint="eastAsia" w:hAnsi="宋体"/>
                      <w:kern w:val="0"/>
                      <w:szCs w:val="21"/>
                    </w:rPr>
                    <w:t>）电池分类贮存区；</w:t>
                  </w:r>
                  <w:r>
                    <w:rPr>
                      <w:kern w:val="0"/>
                      <w:szCs w:val="21"/>
                    </w:rPr>
                    <w:t xml:space="preserve"> e</w:t>
                  </w:r>
                  <w:r>
                    <w:rPr>
                      <w:rFonts w:hint="eastAsia" w:hAnsi="宋体"/>
                      <w:kern w:val="0"/>
                      <w:szCs w:val="21"/>
                    </w:rPr>
                    <w:t>）拆解区；</w:t>
                  </w:r>
                  <w:r>
                    <w:rPr>
                      <w:kern w:val="0"/>
                      <w:szCs w:val="21"/>
                    </w:rPr>
                    <w:t>f</w:t>
                  </w:r>
                  <w:r>
                    <w:rPr>
                      <w:rFonts w:hint="eastAsia" w:hAnsi="宋体"/>
                      <w:kern w:val="0"/>
                      <w:szCs w:val="21"/>
                    </w:rPr>
                    <w:t>）产品（半成品；不包括电池）贮存区；</w:t>
                  </w:r>
                  <w:r>
                    <w:rPr>
                      <w:kern w:val="0"/>
                      <w:szCs w:val="21"/>
                    </w:rPr>
                    <w:t>g</w:t>
                  </w:r>
                  <w:r>
                    <w:rPr>
                      <w:rFonts w:hint="eastAsia" w:hAnsi="宋体"/>
                      <w:kern w:val="0"/>
                      <w:szCs w:val="21"/>
                    </w:rPr>
                    <w:t>）破碎分选区；</w:t>
                  </w:r>
                  <w:r>
                    <w:rPr>
                      <w:kern w:val="0"/>
                      <w:szCs w:val="21"/>
                    </w:rPr>
                    <w:t>h</w:t>
                  </w:r>
                  <w:r>
                    <w:rPr>
                      <w:rFonts w:hint="eastAsia" w:hAnsi="宋体"/>
                      <w:kern w:val="0"/>
                      <w:szCs w:val="21"/>
                    </w:rPr>
                    <w:t>）一般工业固体废物贮存区；</w:t>
                  </w:r>
                  <w:r>
                    <w:rPr>
                      <w:kern w:val="0"/>
                      <w:szCs w:val="21"/>
                    </w:rPr>
                    <w:t>i</w:t>
                  </w:r>
                  <w:r>
                    <w:rPr>
                      <w:rFonts w:hint="eastAsia" w:hAnsi="宋体"/>
                      <w:kern w:val="0"/>
                      <w:szCs w:val="21"/>
                    </w:rPr>
                    <w:t>）危险废物贮存区。</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本项目设置办公室和作业区，</w:t>
                  </w:r>
                  <w:r>
                    <w:rPr>
                      <w:rFonts w:hint="eastAsia" w:hAnsi="宋体"/>
                      <w:kern w:val="0"/>
                      <w:szCs w:val="21"/>
                    </w:rPr>
                    <w:t>作业区包括：拆解车间（内设铅蓄电池拆卸区、拆解区、油液排空区、切割区）、停车场、产品贮存间、危险废物贮存库。</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bl>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r>
              <w:rPr>
                <w:rFonts w:hint="eastAsia" w:eastAsiaTheme="minorEastAsia"/>
                <w:b/>
                <w:sz w:val="24"/>
              </w:rPr>
              <w:t>续表</w:t>
            </w:r>
            <w:r>
              <w:rPr>
                <w:rFonts w:eastAsiaTheme="minorEastAsia"/>
                <w:b/>
                <w:sz w:val="24"/>
              </w:rPr>
              <w:t>1-</w:t>
            </w:r>
            <w:r>
              <w:rPr>
                <w:rFonts w:hint="eastAsia" w:eastAsiaTheme="minorEastAsia"/>
                <w:b/>
                <w:sz w:val="24"/>
              </w:rPr>
              <w:t>3</w:t>
            </w:r>
            <w:r>
              <w:rPr>
                <w:rFonts w:eastAsiaTheme="minorEastAsia"/>
                <w:b/>
                <w:sz w:val="24"/>
              </w:rPr>
              <w:t xml:space="preserve"> </w:t>
            </w:r>
            <w:r>
              <w:rPr>
                <w:rFonts w:hint="eastAsia" w:eastAsiaTheme="minorEastAsia"/>
                <w:b/>
                <w:sz w:val="24"/>
              </w:rPr>
              <w:t>项目与</w:t>
            </w:r>
            <w:r>
              <w:rPr>
                <w:rFonts w:hint="eastAsia" w:eastAsiaTheme="minorEastAsia"/>
                <w:b/>
                <w:kern w:val="0"/>
                <w:sz w:val="24"/>
                <w:szCs w:val="21"/>
              </w:rPr>
              <w:t>《报废机动车拆解企业污染控制技术规范》（</w:t>
            </w:r>
            <w:r>
              <w:rPr>
                <w:rFonts w:eastAsiaTheme="minorEastAsia"/>
                <w:b/>
                <w:kern w:val="0"/>
                <w:sz w:val="24"/>
                <w:szCs w:val="21"/>
              </w:rPr>
              <w:t>HJ 348—2022</w:t>
            </w:r>
            <w:r>
              <w:rPr>
                <w:rFonts w:hint="eastAsia" w:eastAsiaTheme="minorEastAsia"/>
                <w:b/>
                <w:kern w:val="0"/>
                <w:sz w:val="24"/>
                <w:szCs w:val="21"/>
              </w:rPr>
              <w:t>）</w:t>
            </w:r>
            <w:r>
              <w:rPr>
                <w:rFonts w:hint="eastAsia" w:eastAsiaTheme="minorEastAsia"/>
                <w:b/>
                <w:sz w:val="24"/>
              </w:rPr>
              <w:t>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3375"/>
              <w:gridCol w:w="2268"/>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7</w:t>
                  </w:r>
                </w:p>
              </w:tc>
              <w:tc>
                <w:tcPr>
                  <w:tcW w:w="3375" w:type="dxa"/>
                  <w:shd w:val="clear" w:color="auto" w:fill="auto"/>
                  <w:vAlign w:val="center"/>
                </w:tcPr>
                <w:p>
                  <w:pPr>
                    <w:widowControl/>
                    <w:jc w:val="left"/>
                    <w:rPr>
                      <w:kern w:val="0"/>
                      <w:sz w:val="24"/>
                    </w:rPr>
                  </w:pPr>
                  <w:r>
                    <w:rPr>
                      <w:rFonts w:hint="eastAsia" w:hAnsi="宋体"/>
                      <w:kern w:val="0"/>
                      <w:szCs w:val="21"/>
                    </w:rPr>
                    <w:t>报废机动车回收拆解企业厂区内功能区的设计和建设应满足以下要求：</w:t>
                  </w:r>
                </w:p>
                <w:p>
                  <w:pPr>
                    <w:widowControl/>
                    <w:jc w:val="left"/>
                    <w:rPr>
                      <w:kern w:val="0"/>
                      <w:sz w:val="24"/>
                    </w:rPr>
                  </w:pPr>
                  <w:r>
                    <w:rPr>
                      <w:kern w:val="0"/>
                      <w:szCs w:val="21"/>
                    </w:rPr>
                    <w:t>a</w:t>
                  </w:r>
                  <w:r>
                    <w:rPr>
                      <w:rFonts w:hint="eastAsia" w:hAnsi="宋体"/>
                      <w:kern w:val="0"/>
                      <w:szCs w:val="21"/>
                    </w:rPr>
                    <w:t>）作业区面积大小和功能区划分应满足拆解作业的需要；</w:t>
                  </w:r>
                  <w:r>
                    <w:rPr>
                      <w:kern w:val="0"/>
                      <w:szCs w:val="21"/>
                    </w:rPr>
                    <w:t xml:space="preserve"> b</w:t>
                  </w:r>
                  <w:r>
                    <w:rPr>
                      <w:rFonts w:hint="eastAsia" w:hAnsi="宋体"/>
                      <w:kern w:val="0"/>
                      <w:szCs w:val="21"/>
                    </w:rPr>
                    <w:t>）不同的功能区应具有明显的标识；</w:t>
                  </w:r>
                  <w:r>
                    <w:rPr>
                      <w:kern w:val="0"/>
                      <w:szCs w:val="21"/>
                    </w:rPr>
                    <w:t>c</w:t>
                  </w:r>
                  <w:r>
                    <w:rPr>
                      <w:rFonts w:hint="eastAsia" w:hAnsi="宋体"/>
                      <w:kern w:val="0"/>
                      <w:szCs w:val="21"/>
                    </w:rPr>
                    <w:t>）作业区应具有防渗地面和油水收集设施，地面应符合</w:t>
                  </w:r>
                  <w:r>
                    <w:rPr>
                      <w:kern w:val="0"/>
                      <w:szCs w:val="21"/>
                    </w:rPr>
                    <w:t xml:space="preserve"> GB 50037</w:t>
                  </w:r>
                  <w:r>
                    <w:rPr>
                      <w:rFonts w:hint="eastAsia" w:hAnsi="宋体"/>
                      <w:kern w:val="0"/>
                      <w:szCs w:val="21"/>
                    </w:rPr>
                    <w:t>的防油渗地面要求；</w:t>
                  </w:r>
                </w:p>
                <w:p>
                  <w:pPr>
                    <w:widowControl/>
                    <w:jc w:val="left"/>
                    <w:rPr>
                      <w:kern w:val="0"/>
                      <w:sz w:val="24"/>
                    </w:rPr>
                  </w:pPr>
                  <w:r>
                    <w:rPr>
                      <w:kern w:val="0"/>
                      <w:szCs w:val="21"/>
                    </w:rPr>
                    <w:t>d</w:t>
                  </w:r>
                  <w:r>
                    <w:rPr>
                      <w:rFonts w:hint="eastAsia" w:hAnsi="宋体"/>
                      <w:kern w:val="0"/>
                      <w:szCs w:val="21"/>
                    </w:rPr>
                    <w:t>）作业区地面混凝土强度等级不低于</w:t>
                  </w:r>
                  <w:r>
                    <w:rPr>
                      <w:kern w:val="0"/>
                      <w:szCs w:val="21"/>
                    </w:rPr>
                    <w:t>C20</w:t>
                  </w:r>
                  <w:r>
                    <w:rPr>
                      <w:rFonts w:hint="eastAsia" w:hAnsi="宋体"/>
                      <w:kern w:val="0"/>
                      <w:szCs w:val="21"/>
                    </w:rPr>
                    <w:t>，厚度不低于</w:t>
                  </w:r>
                  <w:r>
                    <w:rPr>
                      <w:kern w:val="0"/>
                      <w:szCs w:val="21"/>
                    </w:rPr>
                    <w:t>150 mm</w:t>
                  </w:r>
                  <w:r>
                    <w:rPr>
                      <w:rFonts w:hint="eastAsia" w:hAnsi="宋体"/>
                      <w:kern w:val="0"/>
                      <w:szCs w:val="21"/>
                    </w:rPr>
                    <w:t>，其中物流通道路面和拆解作业区域强度不低于</w:t>
                  </w:r>
                  <w:r>
                    <w:rPr>
                      <w:kern w:val="0"/>
                      <w:szCs w:val="21"/>
                    </w:rPr>
                    <w:t>C30</w:t>
                  </w:r>
                  <w:r>
                    <w:rPr>
                      <w:rFonts w:hint="eastAsia" w:hAnsi="宋体"/>
                      <w:kern w:val="0"/>
                      <w:szCs w:val="21"/>
                    </w:rPr>
                    <w:t>，厚度不低于</w:t>
                  </w:r>
                  <w:r>
                    <w:rPr>
                      <w:kern w:val="0"/>
                      <w:szCs w:val="21"/>
                    </w:rPr>
                    <w:t>200mm</w:t>
                  </w:r>
                  <w:r>
                    <w:rPr>
                      <w:rFonts w:hint="eastAsia" w:hAnsi="宋体"/>
                      <w:kern w:val="0"/>
                      <w:szCs w:val="21"/>
                    </w:rPr>
                    <w:t>。大型拆解设备承重区域的硬化标准参照设备工艺要求执行；</w:t>
                  </w:r>
                  <w:r>
                    <w:rPr>
                      <w:kern w:val="0"/>
                      <w:szCs w:val="21"/>
                    </w:rPr>
                    <w:t>e</w:t>
                  </w:r>
                  <w:r>
                    <w:rPr>
                      <w:rFonts w:hint="eastAsia" w:hAnsi="宋体"/>
                      <w:kern w:val="0"/>
                      <w:szCs w:val="21"/>
                    </w:rPr>
                    <w:t>）拆解区应为封闭或半封闭建筑物；</w:t>
                  </w:r>
                  <w:r>
                    <w:rPr>
                      <w:kern w:val="0"/>
                      <w:szCs w:val="21"/>
                    </w:rPr>
                    <w:t xml:space="preserve"> f</w:t>
                  </w:r>
                  <w:r>
                    <w:rPr>
                      <w:rFonts w:hint="eastAsia" w:hAnsi="宋体"/>
                      <w:kern w:val="0"/>
                      <w:szCs w:val="21"/>
                    </w:rPr>
                    <w:t>）破碎分选区应设在封闭区内，控制工业废气、粉尘和噪声污染；</w:t>
                  </w:r>
                  <w:r>
                    <w:rPr>
                      <w:kern w:val="0"/>
                      <w:szCs w:val="21"/>
                    </w:rPr>
                    <w:t>g</w:t>
                  </w:r>
                  <w:r>
                    <w:rPr>
                      <w:rFonts w:hint="eastAsia" w:hAnsi="宋体"/>
                      <w:kern w:val="0"/>
                      <w:szCs w:val="21"/>
                    </w:rPr>
                    <w:t>）危险废物贮存区应设置液体导流和收集装置，地面应无液体积聚，如有冲洗废水应纳入废水收集处理设施处理；</w:t>
                  </w:r>
                </w:p>
                <w:p>
                  <w:pPr>
                    <w:widowControl/>
                    <w:jc w:val="left"/>
                    <w:rPr>
                      <w:kern w:val="0"/>
                      <w:sz w:val="24"/>
                    </w:rPr>
                  </w:pPr>
                  <w:r>
                    <w:rPr>
                      <w:kern w:val="0"/>
                      <w:szCs w:val="21"/>
                    </w:rPr>
                    <w:t>h</w:t>
                  </w:r>
                  <w:r>
                    <w:rPr>
                      <w:rFonts w:hint="eastAsia" w:hAnsi="宋体"/>
                      <w:kern w:val="0"/>
                      <w:szCs w:val="21"/>
                    </w:rPr>
                    <w:t>）不同种类的危险废物应单独收集、分类存放，中间有明显间隔；贮存场所应设置警示标识，同时还应满足</w:t>
                  </w:r>
                  <w:r>
                    <w:rPr>
                      <w:kern w:val="0"/>
                      <w:szCs w:val="21"/>
                    </w:rPr>
                    <w:t xml:space="preserve">GB 18597 </w:t>
                  </w:r>
                  <w:r>
                    <w:rPr>
                      <w:rFonts w:hint="eastAsia" w:hAnsi="宋体"/>
                      <w:kern w:val="0"/>
                      <w:szCs w:val="21"/>
                    </w:rPr>
                    <w:t>中其他相关要求；</w:t>
                  </w:r>
                  <w:r>
                    <w:rPr>
                      <w:kern w:val="0"/>
                      <w:szCs w:val="21"/>
                    </w:rPr>
                    <w:t>i</w:t>
                  </w:r>
                  <w:r>
                    <w:rPr>
                      <w:rFonts w:hint="eastAsia" w:hAnsi="宋体"/>
                      <w:kern w:val="0"/>
                      <w:szCs w:val="21"/>
                    </w:rPr>
                    <w:t>）铅蓄电池的拆卸、贮存区的地面应做防酸、防腐、防渗及硬化处理，同时还应满足</w:t>
                  </w:r>
                  <w:r>
                    <w:rPr>
                      <w:kern w:val="0"/>
                      <w:szCs w:val="21"/>
                    </w:rPr>
                    <w:t xml:space="preserve">HJ 519 </w:t>
                  </w:r>
                  <w:r>
                    <w:rPr>
                      <w:rFonts w:hint="eastAsia" w:hAnsi="宋体"/>
                      <w:kern w:val="0"/>
                      <w:szCs w:val="21"/>
                    </w:rPr>
                    <w:t>中其他相关要求；</w:t>
                  </w:r>
                  <w:r>
                    <w:rPr>
                      <w:kern w:val="0"/>
                      <w:szCs w:val="21"/>
                    </w:rPr>
                    <w:t>j</w:t>
                  </w:r>
                  <w:r>
                    <w:rPr>
                      <w:rFonts w:hint="eastAsia" w:hAnsi="宋体"/>
                      <w:kern w:val="0"/>
                      <w:szCs w:val="21"/>
                    </w:rPr>
                    <w:t>）动力蓄电池拆卸、贮存区应满足</w:t>
                  </w:r>
                  <w:r>
                    <w:rPr>
                      <w:kern w:val="0"/>
                      <w:szCs w:val="21"/>
                    </w:rPr>
                    <w:t xml:space="preserve"> HJ 1186 </w:t>
                  </w:r>
                  <w:r>
                    <w:rPr>
                      <w:rFonts w:hint="eastAsia" w:hAnsi="宋体"/>
                      <w:kern w:val="0"/>
                      <w:szCs w:val="21"/>
                    </w:rPr>
                    <w:t>中的相关要求，地面应采用环氧地坪等硬化措施，地面应做防酸、防腐、防渗、硬化及绝缘处理；</w:t>
                  </w:r>
                </w:p>
                <w:p>
                  <w:pPr>
                    <w:widowControl/>
                    <w:jc w:val="left"/>
                    <w:rPr>
                      <w:kern w:val="0"/>
                      <w:sz w:val="24"/>
                    </w:rPr>
                  </w:pPr>
                  <w:r>
                    <w:rPr>
                      <w:kern w:val="0"/>
                      <w:szCs w:val="21"/>
                    </w:rPr>
                    <w:t>k</w:t>
                  </w:r>
                  <w:r>
                    <w:rPr>
                      <w:rFonts w:hint="eastAsia" w:hAnsi="宋体"/>
                      <w:kern w:val="0"/>
                      <w:szCs w:val="21"/>
                    </w:rPr>
                    <w:t>）各贮存区应在显着位置设置标识，标明贮存物的类别、名称、规格、注意事项等，根据其特性合理划分贮存区域，采取必要的隔离措施。</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b/>
                      <w:szCs w:val="21"/>
                    </w:rPr>
                  </w:pPr>
                  <w:r>
                    <w:rPr>
                      <w:rFonts w:hint="eastAsia" w:eastAsiaTheme="minorEastAsia"/>
                      <w:szCs w:val="21"/>
                    </w:rPr>
                    <w:t>本项目功能分区</w:t>
                  </w:r>
                  <w:r>
                    <w:rPr>
                      <w:rFonts w:hint="eastAsia" w:hAnsi="宋体"/>
                      <w:kern w:val="0"/>
                      <w:szCs w:val="21"/>
                    </w:rPr>
                    <w:t>满足拆解作业的需要；不同分区设置明显标识，标明贮存物的类别、名称、规格、注意事项等；拆解车间地面设置防油渗隔离层，拆解车间地面混凝土强度等级不低于</w:t>
                  </w:r>
                  <w:r>
                    <w:rPr>
                      <w:kern w:val="0"/>
                      <w:szCs w:val="21"/>
                    </w:rPr>
                    <w:t>C20</w:t>
                  </w:r>
                  <w:r>
                    <w:rPr>
                      <w:rFonts w:hint="eastAsia" w:hAnsi="宋体"/>
                      <w:kern w:val="0"/>
                      <w:szCs w:val="21"/>
                    </w:rPr>
                    <w:t>，厚度不低于</w:t>
                  </w:r>
                  <w:r>
                    <w:rPr>
                      <w:kern w:val="0"/>
                      <w:szCs w:val="21"/>
                    </w:rPr>
                    <w:t>150 mm</w:t>
                  </w:r>
                  <w:r>
                    <w:rPr>
                      <w:rFonts w:hint="eastAsia" w:hAnsi="宋体"/>
                      <w:kern w:val="0"/>
                      <w:szCs w:val="21"/>
                    </w:rPr>
                    <w:t>，其中物流通道路面和拆解区域强度不低于</w:t>
                  </w:r>
                  <w:r>
                    <w:rPr>
                      <w:kern w:val="0"/>
                      <w:szCs w:val="21"/>
                    </w:rPr>
                    <w:t>C30</w:t>
                  </w:r>
                  <w:r>
                    <w:rPr>
                      <w:rFonts w:hint="eastAsia" w:hAnsi="宋体"/>
                      <w:kern w:val="0"/>
                      <w:szCs w:val="21"/>
                    </w:rPr>
                    <w:t>，厚度不低于</w:t>
                  </w:r>
                  <w:r>
                    <w:rPr>
                      <w:kern w:val="0"/>
                      <w:szCs w:val="21"/>
                    </w:rPr>
                    <w:t>200mm</w:t>
                  </w:r>
                  <w:r>
                    <w:rPr>
                      <w:rFonts w:hint="eastAsia" w:hAnsi="宋体"/>
                      <w:kern w:val="0"/>
                      <w:szCs w:val="21"/>
                    </w:rPr>
                    <w:t>，</w:t>
                  </w:r>
                  <w:r>
                    <w:rPr>
                      <w:rFonts w:hint="eastAsia" w:hAnsi="宋体"/>
                      <w:bCs/>
                      <w:kern w:val="0"/>
                      <w:szCs w:val="21"/>
                    </w:rPr>
                    <w:t>防渗技术要求达到等效粘土防渗层</w:t>
                  </w:r>
                  <w:r>
                    <w:rPr>
                      <w:rFonts w:hint="eastAsia"/>
                      <w:bCs/>
                      <w:kern w:val="0"/>
                      <w:szCs w:val="21"/>
                    </w:rPr>
                    <w:t>Mb≥1.5m</w:t>
                  </w:r>
                  <w:r>
                    <w:rPr>
                      <w:rFonts w:hint="eastAsia" w:hAnsi="宋体"/>
                      <w:bCs/>
                      <w:kern w:val="0"/>
                      <w:szCs w:val="21"/>
                    </w:rPr>
                    <w:t>，</w:t>
                  </w:r>
                  <w:r>
                    <w:rPr>
                      <w:rFonts w:hint="eastAsia"/>
                      <w:bCs/>
                      <w:kern w:val="0"/>
                      <w:szCs w:val="21"/>
                    </w:rPr>
                    <w:t>K≤1×10</w:t>
                  </w:r>
                  <w:r>
                    <w:rPr>
                      <w:bCs/>
                      <w:kern w:val="0"/>
                      <w:szCs w:val="21"/>
                      <w:vertAlign w:val="superscript"/>
                    </w:rPr>
                    <w:t>-7</w:t>
                  </w:r>
                  <w:r>
                    <w:rPr>
                      <w:bCs/>
                      <w:kern w:val="0"/>
                      <w:szCs w:val="21"/>
                    </w:rPr>
                    <w:t>cm/s</w:t>
                  </w:r>
                  <w:r>
                    <w:rPr>
                      <w:rFonts w:hint="eastAsia" w:hAnsi="宋体"/>
                      <w:kern w:val="0"/>
                      <w:szCs w:val="21"/>
                    </w:rPr>
                    <w:t>；拆解车间</w:t>
                  </w:r>
                  <w:r>
                    <w:rPr>
                      <w:rFonts w:hint="eastAsia" w:eastAsiaTheme="minorEastAsia"/>
                      <w:szCs w:val="21"/>
                    </w:rPr>
                    <w:t>全</w:t>
                  </w:r>
                  <w:r>
                    <w:rPr>
                      <w:rFonts w:hint="eastAsia" w:hAnsi="宋体"/>
                      <w:kern w:val="0"/>
                      <w:szCs w:val="21"/>
                    </w:rPr>
                    <w:t>封闭；危险废物贮存库设置围堰、液体导流和收集装置，不同种类的危险废物单独收集、分类存放，中间有明显间隔；设置警示标识，地面做防酸、防腐、防渗处理，</w:t>
                  </w:r>
                  <w:r>
                    <w:rPr>
                      <w:rFonts w:hint="eastAsia" w:hAnsi="宋体"/>
                      <w:bCs/>
                      <w:kern w:val="0"/>
                      <w:szCs w:val="21"/>
                    </w:rPr>
                    <w:t>地面与裙脚采用</w:t>
                  </w:r>
                  <w:r>
                    <w:rPr>
                      <w:rFonts w:hAnsi="宋体"/>
                      <w:bCs/>
                      <w:kern w:val="0"/>
                      <w:szCs w:val="21"/>
                    </w:rPr>
                    <w:t>2mm</w:t>
                  </w:r>
                  <w:r>
                    <w:rPr>
                      <w:rFonts w:hint="eastAsia" w:hAnsi="宋体"/>
                      <w:bCs/>
                      <w:kern w:val="0"/>
                      <w:szCs w:val="21"/>
                    </w:rPr>
                    <w:t>厚的高密度聚乙烯土工膜及混凝土地面，渗透系数</w:t>
                  </w:r>
                  <w:r>
                    <w:rPr>
                      <w:rFonts w:hAnsi="宋体"/>
                      <w:bCs/>
                      <w:kern w:val="0"/>
                      <w:szCs w:val="21"/>
                    </w:rPr>
                    <w:t>≤1×10</w:t>
                  </w:r>
                  <w:r>
                    <w:rPr>
                      <w:rFonts w:hAnsi="宋体"/>
                      <w:bCs/>
                      <w:kern w:val="0"/>
                      <w:szCs w:val="21"/>
                      <w:vertAlign w:val="superscript"/>
                    </w:rPr>
                    <w:t>-10</w:t>
                  </w:r>
                  <w:r>
                    <w:rPr>
                      <w:rFonts w:hAnsi="宋体"/>
                      <w:bCs/>
                      <w:kern w:val="0"/>
                      <w:szCs w:val="21"/>
                    </w:rPr>
                    <w:t>cm/s</w:t>
                  </w:r>
                  <w:r>
                    <w:rPr>
                      <w:rFonts w:hint="eastAsia" w:hAnsi="宋体"/>
                      <w:kern w:val="0"/>
                      <w:szCs w:val="21"/>
                    </w:rPr>
                    <w:t>。</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8</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报废机动车回收拆解企业内的道路应采取硬化措施，如出现破损应及时维修。</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本项目厂区</w:t>
                  </w:r>
                  <w:r>
                    <w:rPr>
                      <w:rFonts w:hint="eastAsia"/>
                      <w:szCs w:val="21"/>
                    </w:rPr>
                    <w:t>道路硬化。</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bl>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r>
              <w:rPr>
                <w:rFonts w:hint="eastAsia" w:eastAsiaTheme="minorEastAsia"/>
                <w:b/>
                <w:sz w:val="24"/>
              </w:rPr>
              <w:t>续表</w:t>
            </w:r>
            <w:r>
              <w:rPr>
                <w:rFonts w:eastAsiaTheme="minorEastAsia"/>
                <w:b/>
                <w:sz w:val="24"/>
              </w:rPr>
              <w:t>1-</w:t>
            </w:r>
            <w:r>
              <w:rPr>
                <w:rFonts w:hint="eastAsia" w:eastAsiaTheme="minorEastAsia"/>
                <w:b/>
                <w:sz w:val="24"/>
              </w:rPr>
              <w:t>3</w:t>
            </w:r>
            <w:r>
              <w:rPr>
                <w:rFonts w:eastAsiaTheme="minorEastAsia"/>
                <w:b/>
                <w:sz w:val="24"/>
              </w:rPr>
              <w:t xml:space="preserve"> </w:t>
            </w:r>
            <w:r>
              <w:rPr>
                <w:rFonts w:hint="eastAsia" w:eastAsiaTheme="minorEastAsia"/>
                <w:b/>
                <w:sz w:val="24"/>
              </w:rPr>
              <w:t>项目与</w:t>
            </w:r>
            <w:r>
              <w:rPr>
                <w:rFonts w:hint="eastAsia" w:eastAsiaTheme="minorEastAsia"/>
                <w:b/>
                <w:kern w:val="0"/>
                <w:sz w:val="24"/>
                <w:szCs w:val="21"/>
              </w:rPr>
              <w:t>《报废机动车拆解企业污染控制技术规范》（</w:t>
            </w:r>
            <w:r>
              <w:rPr>
                <w:rFonts w:eastAsiaTheme="minorEastAsia"/>
                <w:b/>
                <w:kern w:val="0"/>
                <w:sz w:val="24"/>
                <w:szCs w:val="21"/>
              </w:rPr>
              <w:t>HJ 348—2022</w:t>
            </w:r>
            <w:r>
              <w:rPr>
                <w:rFonts w:hint="eastAsia" w:eastAsiaTheme="minorEastAsia"/>
                <w:b/>
                <w:kern w:val="0"/>
                <w:sz w:val="24"/>
                <w:szCs w:val="21"/>
              </w:rPr>
              <w:t>）</w:t>
            </w:r>
            <w:r>
              <w:rPr>
                <w:rFonts w:hint="eastAsia" w:eastAsiaTheme="minorEastAsia"/>
                <w:b/>
                <w:sz w:val="24"/>
              </w:rPr>
              <w:t>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3375"/>
              <w:gridCol w:w="2268"/>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9</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报废机动车回收拆解企业应做到雨污分流，在作业区内产生的初期雨水、清洗水和其他非生活废水应设置专门的收集设施和污水处理设施。厂区内应按照</w:t>
                  </w:r>
                  <w:r>
                    <w:rPr>
                      <w:szCs w:val="21"/>
                    </w:rPr>
                    <w:t>GB/T50483</w:t>
                  </w:r>
                  <w:r>
                    <w:rPr>
                      <w:rFonts w:hint="eastAsia"/>
                      <w:szCs w:val="21"/>
                    </w:rPr>
                    <w:t>的要求设置初期雨水收集池。</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本项目无生产废水；生活污水排入防渗旱厕，定期清掏，外运堆肥，不外排。</w:t>
                  </w:r>
                  <w:r>
                    <w:rPr>
                      <w:rFonts w:hint="eastAsia" w:eastAsiaTheme="minorEastAsia"/>
                      <w:bCs/>
                      <w:szCs w:val="21"/>
                    </w:rPr>
                    <w:t>本项目采用雨污分流制，</w:t>
                  </w:r>
                  <w:r>
                    <w:rPr>
                      <w:rFonts w:hint="eastAsia" w:eastAsiaTheme="minorEastAsia"/>
                      <w:szCs w:val="21"/>
                    </w:rPr>
                    <w:t>项目厂区内地面及道路全部硬化，在污染区四周设置环形导流沟，初期雨水进入厂区东侧的</w:t>
                  </w:r>
                  <w:r>
                    <w:rPr>
                      <w:rFonts w:hint="eastAsia" w:eastAsiaTheme="minorEastAsia"/>
                      <w:bCs/>
                      <w:szCs w:val="21"/>
                    </w:rPr>
                    <w:t>20m</w:t>
                  </w:r>
                  <w:r>
                    <w:rPr>
                      <w:rFonts w:hint="eastAsia" w:eastAsiaTheme="minorEastAsia"/>
                      <w:bCs/>
                      <w:szCs w:val="21"/>
                      <w:vertAlign w:val="superscript"/>
                    </w:rPr>
                    <w:t>3</w:t>
                  </w:r>
                  <w:r>
                    <w:rPr>
                      <w:rFonts w:hint="eastAsia" w:eastAsiaTheme="minorEastAsia"/>
                      <w:szCs w:val="21"/>
                    </w:rPr>
                    <w:t>收集池，</w:t>
                  </w:r>
                  <w:r>
                    <w:rPr>
                      <w:rFonts w:hint="eastAsia" w:eastAsiaTheme="minorEastAsia"/>
                      <w:bCs/>
                      <w:szCs w:val="21"/>
                    </w:rPr>
                    <w:t>经油水分离器处理后进入100m</w:t>
                  </w:r>
                  <w:r>
                    <w:rPr>
                      <w:rFonts w:hint="eastAsia" w:eastAsiaTheme="minorEastAsia"/>
                      <w:bCs/>
                      <w:szCs w:val="21"/>
                      <w:vertAlign w:val="superscript"/>
                    </w:rPr>
                    <w:t>3</w:t>
                  </w:r>
                  <w:r>
                    <w:rPr>
                      <w:rFonts w:hint="eastAsia" w:eastAsiaTheme="minorEastAsia"/>
                      <w:bCs/>
                      <w:szCs w:val="21"/>
                    </w:rPr>
                    <w:t>暂存池，每收集一次初期雨水后采用罐车拉运至八五六农场污水处理厂。</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10</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传统燃料报废机动车在开展拆解作业前，应抽排下列气体及液体：燃油、发动机油、变速器</w:t>
                  </w:r>
                  <w:r>
                    <w:rPr>
                      <w:szCs w:val="21"/>
                    </w:rPr>
                    <w:t>/</w:t>
                  </w:r>
                  <w:r>
                    <w:rPr>
                      <w:rFonts w:hint="eastAsia"/>
                      <w:szCs w:val="21"/>
                    </w:rPr>
                    <w:t>齿轮箱（包括后差速器和</w:t>
                  </w:r>
                  <w:r>
                    <w:rPr>
                      <w:szCs w:val="21"/>
                    </w:rPr>
                    <w:t>/</w:t>
                  </w:r>
                  <w:r>
                    <w:rPr>
                      <w:rFonts w:hint="eastAsia"/>
                      <w:szCs w:val="21"/>
                    </w:rPr>
                    <w:t>或分动器）油、动力转向油、制动液等石油基油或者液态合成润滑剂、冷却液、挡风玻璃清洗液、制冷剂等，并使用专用容器回收贮存。操作场所应有防漏、截流和清污措施，抽排挥发性油液时应通过油气回收装置吸收拆解区域内的挥发性气体。防止上述气体及液体遗撒或泄漏。</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b/>
                      <w:szCs w:val="21"/>
                    </w:rPr>
                  </w:pPr>
                  <w:r>
                    <w:rPr>
                      <w:rFonts w:hint="eastAsia" w:eastAsiaTheme="minorEastAsia"/>
                      <w:szCs w:val="21"/>
                    </w:rPr>
                    <w:t>本项目报废农机在开展拆解作业前，抽排防冻液、燃油、润滑油、变速器机油、差速器油、动力转向油，并使用专用容器回收贮存。</w:t>
                  </w:r>
                  <w:r>
                    <w:rPr>
                      <w:rFonts w:eastAsiaTheme="minorEastAsia"/>
                      <w:szCs w:val="21"/>
                    </w:rPr>
                    <w:t>本项目</w:t>
                  </w:r>
                  <w:r>
                    <w:rPr>
                      <w:rFonts w:eastAsiaTheme="minorEastAsia"/>
                      <w:bCs/>
                      <w:szCs w:val="21"/>
                    </w:rPr>
                    <w:t>油液排空区采用集气罩集中收集经二级活性炭吸附装置处理后由15m高2#排气筒排放，</w:t>
                  </w:r>
                  <w:r>
                    <w:rPr>
                      <w:rFonts w:eastAsiaTheme="minorEastAsia"/>
                      <w:kern w:val="0"/>
                      <w:szCs w:val="21"/>
                    </w:rPr>
                    <w:t>收集效率90%，处理效率</w:t>
                  </w:r>
                  <w:r>
                    <w:rPr>
                      <w:rFonts w:hint="eastAsia" w:eastAsiaTheme="minorEastAsia"/>
                      <w:kern w:val="0"/>
                      <w:szCs w:val="21"/>
                    </w:rPr>
                    <w:t>75</w:t>
                  </w:r>
                  <w:r>
                    <w:rPr>
                      <w:rFonts w:eastAsiaTheme="minorEastAsia"/>
                      <w:kern w:val="0"/>
                      <w:szCs w:val="21"/>
                    </w:rPr>
                    <w:t>%，</w:t>
                  </w:r>
                  <w:r>
                    <w:rPr>
                      <w:rFonts w:eastAsiaTheme="minorEastAsia"/>
                      <w:szCs w:val="21"/>
                    </w:rPr>
                    <w:t>未收集VOCs以无组织形式排放，</w:t>
                  </w:r>
                  <w:r>
                    <w:rPr>
                      <w:rFonts w:eastAsiaTheme="minorEastAsia"/>
                      <w:kern w:val="0"/>
                      <w:szCs w:val="21"/>
                    </w:rPr>
                    <w:t>危险废物贮存库采取负压收集方式，经二级活性炭吸附装置处理后由15m高3#排气筒排放，收集效率90%，处理效率</w:t>
                  </w:r>
                  <w:r>
                    <w:rPr>
                      <w:rFonts w:hint="eastAsia" w:eastAsiaTheme="minorEastAsia"/>
                      <w:kern w:val="0"/>
                      <w:szCs w:val="21"/>
                    </w:rPr>
                    <w:t>75</w:t>
                  </w:r>
                  <w:r>
                    <w:rPr>
                      <w:rFonts w:eastAsiaTheme="minorEastAsia"/>
                      <w:kern w:val="0"/>
                      <w:szCs w:val="21"/>
                    </w:rPr>
                    <w:t>%，未收集VOCs以无组织形式排放</w:t>
                  </w:r>
                  <w:r>
                    <w:rPr>
                      <w:rFonts w:eastAsiaTheme="minorEastAsia"/>
                      <w:bCs/>
                      <w:szCs w:val="21"/>
                    </w:rPr>
                    <w:t>；</w:t>
                  </w:r>
                  <w:r>
                    <w:rPr>
                      <w:rFonts w:eastAsiaTheme="minorEastAsia"/>
                      <w:bCs/>
                      <w:kern w:val="0"/>
                      <w:szCs w:val="21"/>
                    </w:rPr>
                    <w:t>切割区采用集气罩集中收集经布袋除尘器处理后由15m高1#排气筒排放，</w:t>
                  </w:r>
                  <w:r>
                    <w:rPr>
                      <w:rFonts w:eastAsiaTheme="minorEastAsia"/>
                      <w:kern w:val="0"/>
                      <w:szCs w:val="21"/>
                    </w:rPr>
                    <w:t>收集效率90%，处理效率9</w:t>
                  </w:r>
                  <w:r>
                    <w:rPr>
                      <w:rFonts w:hint="eastAsia" w:eastAsiaTheme="minorEastAsia"/>
                      <w:kern w:val="0"/>
                      <w:szCs w:val="21"/>
                    </w:rPr>
                    <w:t>9</w:t>
                  </w:r>
                  <w:r>
                    <w:rPr>
                      <w:rFonts w:eastAsiaTheme="minorEastAsia"/>
                      <w:kern w:val="0"/>
                      <w:szCs w:val="21"/>
                    </w:rPr>
                    <w:t>%</w:t>
                  </w:r>
                  <w:r>
                    <w:rPr>
                      <w:rFonts w:eastAsiaTheme="minorEastAsia"/>
                      <w:bCs/>
                      <w:szCs w:val="21"/>
                    </w:rPr>
                    <w:t>，</w:t>
                  </w:r>
                  <w:r>
                    <w:rPr>
                      <w:rFonts w:eastAsiaTheme="minorEastAsia"/>
                      <w:szCs w:val="21"/>
                    </w:rPr>
                    <w:t>未收集颗粒物以无组织形式排放</w:t>
                  </w:r>
                  <w:r>
                    <w:rPr>
                      <w:rFonts w:hint="eastAsia" w:eastAsiaTheme="minorEastAsia"/>
                      <w:szCs w:val="21"/>
                    </w:rPr>
                    <w:t>。</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bl>
          <w:p>
            <w:pPr>
              <w:spacing w:line="360" w:lineRule="auto"/>
              <w:ind w:firstLine="482" w:firstLineChars="200"/>
              <w:contextualSpacing/>
              <w:jc w:val="center"/>
              <w:rPr>
                <w:rFonts w:eastAsiaTheme="minorEastAsia"/>
                <w:b/>
                <w:sz w:val="24"/>
              </w:rPr>
            </w:pPr>
          </w:p>
          <w:p>
            <w:pPr>
              <w:spacing w:line="360" w:lineRule="auto"/>
              <w:ind w:firstLine="482" w:firstLineChars="200"/>
              <w:contextualSpacing/>
              <w:jc w:val="center"/>
              <w:rPr>
                <w:rFonts w:eastAsiaTheme="minorEastAsia"/>
                <w:b/>
                <w:sz w:val="24"/>
              </w:rPr>
            </w:pPr>
            <w:r>
              <w:rPr>
                <w:rFonts w:hint="eastAsia" w:eastAsiaTheme="minorEastAsia"/>
                <w:b/>
                <w:sz w:val="24"/>
              </w:rPr>
              <w:t>续表</w:t>
            </w:r>
            <w:r>
              <w:rPr>
                <w:rFonts w:eastAsiaTheme="minorEastAsia"/>
                <w:b/>
                <w:sz w:val="24"/>
              </w:rPr>
              <w:t>1-</w:t>
            </w:r>
            <w:r>
              <w:rPr>
                <w:rFonts w:hint="eastAsia" w:eastAsiaTheme="minorEastAsia"/>
                <w:b/>
                <w:sz w:val="24"/>
              </w:rPr>
              <w:t>3</w:t>
            </w:r>
            <w:r>
              <w:rPr>
                <w:rFonts w:eastAsiaTheme="minorEastAsia"/>
                <w:b/>
                <w:sz w:val="24"/>
              </w:rPr>
              <w:t xml:space="preserve"> </w:t>
            </w:r>
            <w:r>
              <w:rPr>
                <w:rFonts w:hint="eastAsia" w:eastAsiaTheme="minorEastAsia"/>
                <w:b/>
                <w:sz w:val="24"/>
              </w:rPr>
              <w:t>项目与</w:t>
            </w:r>
            <w:r>
              <w:rPr>
                <w:rFonts w:hint="eastAsia" w:eastAsiaTheme="minorEastAsia"/>
                <w:b/>
                <w:kern w:val="0"/>
                <w:sz w:val="24"/>
                <w:szCs w:val="21"/>
              </w:rPr>
              <w:t>《报废机动车拆解企业污染控制技术规范》（</w:t>
            </w:r>
            <w:r>
              <w:rPr>
                <w:rFonts w:eastAsiaTheme="minorEastAsia"/>
                <w:b/>
                <w:kern w:val="0"/>
                <w:sz w:val="24"/>
                <w:szCs w:val="21"/>
              </w:rPr>
              <w:t>HJ 348—2022</w:t>
            </w:r>
            <w:r>
              <w:rPr>
                <w:rFonts w:hint="eastAsia" w:eastAsiaTheme="minorEastAsia"/>
                <w:b/>
                <w:kern w:val="0"/>
                <w:sz w:val="24"/>
                <w:szCs w:val="21"/>
              </w:rPr>
              <w:t>）</w:t>
            </w:r>
            <w:r>
              <w:rPr>
                <w:rFonts w:hint="eastAsia" w:eastAsiaTheme="minorEastAsia"/>
                <w:b/>
                <w:sz w:val="24"/>
              </w:rPr>
              <w:t>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3375"/>
              <w:gridCol w:w="2268"/>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49"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11</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拆解产生的废铅蓄电池、废矿物油、废电路板、废尾气净化催化剂以及含有或沾染危险废物的废弃包装物、容器等依据《国家危险废物名录》属于危险废物的，应按照危险废物贮存管理相关要求进行分区、分类贮存。废弃含油抹布和劳保用品宜集中收集。</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bCs/>
                      <w:szCs w:val="21"/>
                    </w:rPr>
                    <w:t>本项目产生的废铅酸蓄电池（类别：</w:t>
                  </w:r>
                  <w:r>
                    <w:rPr>
                      <w:rFonts w:eastAsiaTheme="minorEastAsia"/>
                      <w:bCs/>
                      <w:szCs w:val="21"/>
                    </w:rPr>
                    <w:t>HW31</w:t>
                  </w:r>
                  <w:r>
                    <w:rPr>
                      <w:rFonts w:hint="eastAsia" w:eastAsiaTheme="minorEastAsia"/>
                      <w:bCs/>
                      <w:szCs w:val="21"/>
                    </w:rPr>
                    <w:t>，代码：</w:t>
                  </w:r>
                  <w:r>
                    <w:rPr>
                      <w:rFonts w:eastAsiaTheme="minorEastAsia"/>
                      <w:bCs/>
                      <w:szCs w:val="21"/>
                    </w:rPr>
                    <w:t>900-052-31</w:t>
                  </w:r>
                  <w:r>
                    <w:rPr>
                      <w:rFonts w:hint="eastAsia" w:eastAsiaTheme="minorEastAsia"/>
                      <w:bCs/>
                      <w:szCs w:val="21"/>
                    </w:rPr>
                    <w:t>）、废柴油、废液压油、废润滑油废飞油液（类别：</w:t>
                  </w:r>
                  <w:r>
                    <w:rPr>
                      <w:rFonts w:eastAsiaTheme="minorEastAsia"/>
                      <w:bCs/>
                      <w:szCs w:val="21"/>
                    </w:rPr>
                    <w:t>HW08</w:t>
                  </w:r>
                  <w:r>
                    <w:rPr>
                      <w:rFonts w:hint="eastAsia" w:eastAsiaTheme="minorEastAsia"/>
                      <w:bCs/>
                      <w:szCs w:val="21"/>
                    </w:rPr>
                    <w:t>，代码：</w:t>
                  </w:r>
                  <w:r>
                    <w:rPr>
                      <w:rFonts w:eastAsiaTheme="minorEastAsia"/>
                      <w:bCs/>
                      <w:szCs w:val="21"/>
                    </w:rPr>
                    <w:t>900-199-08</w:t>
                  </w:r>
                  <w:r>
                    <w:rPr>
                      <w:rFonts w:hint="eastAsia" w:eastAsiaTheme="minorEastAsia"/>
                      <w:bCs/>
                      <w:szCs w:val="21"/>
                    </w:rPr>
                    <w:t>）、含油抹布及手套（类别：</w:t>
                  </w:r>
                  <w:r>
                    <w:rPr>
                      <w:rFonts w:eastAsiaTheme="minorEastAsia"/>
                      <w:bCs/>
                      <w:szCs w:val="21"/>
                    </w:rPr>
                    <w:t>HW49</w:t>
                  </w:r>
                  <w:r>
                    <w:rPr>
                      <w:rFonts w:hint="eastAsia" w:eastAsiaTheme="minorEastAsia"/>
                      <w:bCs/>
                      <w:szCs w:val="21"/>
                    </w:rPr>
                    <w:t>，代码：</w:t>
                  </w:r>
                  <w:r>
                    <w:rPr>
                      <w:rFonts w:eastAsiaTheme="minorEastAsia"/>
                      <w:bCs/>
                      <w:szCs w:val="21"/>
                    </w:rPr>
                    <w:t>900-041-49</w:t>
                  </w:r>
                  <w:r>
                    <w:rPr>
                      <w:rFonts w:hint="eastAsia" w:eastAsiaTheme="minorEastAsia"/>
                      <w:bCs/>
                      <w:szCs w:val="21"/>
                    </w:rPr>
                    <w:t>）、油泥（类别：</w:t>
                  </w:r>
                  <w:r>
                    <w:rPr>
                      <w:rFonts w:eastAsiaTheme="minorEastAsia"/>
                      <w:bCs/>
                      <w:szCs w:val="21"/>
                    </w:rPr>
                    <w:t>HW08</w:t>
                  </w:r>
                  <w:r>
                    <w:rPr>
                      <w:rFonts w:hint="eastAsia" w:eastAsiaTheme="minorEastAsia"/>
                      <w:bCs/>
                      <w:szCs w:val="21"/>
                    </w:rPr>
                    <w:t>，代码：</w:t>
                  </w:r>
                  <w:r>
                    <w:rPr>
                      <w:rFonts w:eastAsiaTheme="minorEastAsia"/>
                      <w:bCs/>
                      <w:szCs w:val="21"/>
                    </w:rPr>
                    <w:t>900-210-08</w:t>
                  </w:r>
                  <w:r>
                    <w:rPr>
                      <w:rFonts w:hint="eastAsia" w:eastAsiaTheme="minorEastAsia"/>
                      <w:bCs/>
                      <w:szCs w:val="21"/>
                    </w:rPr>
                    <w:t>）、废防冻液、废冷却液（类别：</w:t>
                  </w:r>
                  <w:r>
                    <w:rPr>
                      <w:rFonts w:eastAsiaTheme="minorEastAsia"/>
                      <w:bCs/>
                      <w:szCs w:val="21"/>
                    </w:rPr>
                    <w:t>HW49</w:t>
                  </w:r>
                  <w:r>
                    <w:rPr>
                      <w:rFonts w:hint="eastAsia" w:eastAsiaTheme="minorEastAsia"/>
                      <w:bCs/>
                      <w:szCs w:val="21"/>
                    </w:rPr>
                    <w:t>，代码：</w:t>
                  </w:r>
                  <w:r>
                    <w:rPr>
                      <w:rFonts w:eastAsiaTheme="minorEastAsia"/>
                      <w:bCs/>
                      <w:szCs w:val="21"/>
                    </w:rPr>
                    <w:t>900-404-49</w:t>
                  </w:r>
                  <w:r>
                    <w:rPr>
                      <w:rFonts w:hint="eastAsia" w:eastAsiaTheme="minorEastAsia"/>
                      <w:bCs/>
                      <w:szCs w:val="21"/>
                    </w:rPr>
                    <w:t>）废活性炭（类别：HW49，代码：900-039-49）</w:t>
                  </w:r>
                  <w:r>
                    <w:rPr>
                      <w:rFonts w:hint="eastAsia" w:eastAsiaTheme="minorEastAsia"/>
                      <w:bCs/>
                    </w:rPr>
                    <w:t>、</w:t>
                  </w:r>
                  <w:r>
                    <w:rPr>
                      <w:rFonts w:hint="eastAsia" w:hAnsiTheme="minorEastAsia" w:eastAsiaTheme="minorEastAsia"/>
                    </w:rPr>
                    <w:t>机油过滤器</w:t>
                  </w:r>
                  <w:r>
                    <w:rPr>
                      <w:rFonts w:hint="eastAsia" w:eastAsiaTheme="minorEastAsia"/>
                      <w:bCs/>
                    </w:rPr>
                    <w:t>（类别：</w:t>
                  </w:r>
                  <w:r>
                    <w:rPr>
                      <w:rFonts w:eastAsiaTheme="minorEastAsia"/>
                      <w:bCs/>
                    </w:rPr>
                    <w:t>HW08</w:t>
                  </w:r>
                  <w:r>
                    <w:rPr>
                      <w:rFonts w:hint="eastAsia" w:eastAsiaTheme="minorEastAsia"/>
                      <w:bCs/>
                    </w:rPr>
                    <w:t>，代码：900-213-08）</w:t>
                  </w:r>
                  <w:r>
                    <w:rPr>
                      <w:rFonts w:hint="eastAsia" w:eastAsiaTheme="minorEastAsia"/>
                    </w:rPr>
                    <w:t>经收集后暂存于危险废物贮存库，定期交有资质单位处理</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12</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报废机动车回收拆解企业厂区收集的初期雨水、清洗水和其他非生活废水等应通过收集管道（井）等收集后进入污水处理设施进行处理，达到国家和地方的污染物排放标准后方可排放。</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bCs/>
                      <w:szCs w:val="21"/>
                    </w:rPr>
                    <w:t>本项目采用雨污分流制，</w:t>
                  </w:r>
                  <w:r>
                    <w:rPr>
                      <w:rFonts w:hint="eastAsia" w:eastAsiaTheme="minorEastAsia"/>
                      <w:szCs w:val="21"/>
                    </w:rPr>
                    <w:t>项目厂区内地面及道路全部硬化，在污染区四周设置环形导流沟，初期雨水进入厂区东侧的</w:t>
                  </w:r>
                  <w:r>
                    <w:rPr>
                      <w:rFonts w:hint="eastAsia" w:eastAsiaTheme="minorEastAsia"/>
                      <w:bCs/>
                      <w:szCs w:val="21"/>
                    </w:rPr>
                    <w:t>20m</w:t>
                  </w:r>
                  <w:r>
                    <w:rPr>
                      <w:rFonts w:hint="eastAsia" w:eastAsiaTheme="minorEastAsia"/>
                      <w:bCs/>
                      <w:szCs w:val="21"/>
                      <w:vertAlign w:val="superscript"/>
                    </w:rPr>
                    <w:t>3</w:t>
                  </w:r>
                  <w:r>
                    <w:rPr>
                      <w:rFonts w:hint="eastAsia" w:eastAsiaTheme="minorEastAsia"/>
                      <w:szCs w:val="21"/>
                    </w:rPr>
                    <w:t>收集池，</w:t>
                  </w:r>
                  <w:r>
                    <w:rPr>
                      <w:rFonts w:hint="eastAsia" w:eastAsiaTheme="minorEastAsia"/>
                      <w:bCs/>
                      <w:szCs w:val="21"/>
                    </w:rPr>
                    <w:t>经油水分离器处理后进入100m</w:t>
                  </w:r>
                  <w:r>
                    <w:rPr>
                      <w:rFonts w:hint="eastAsia" w:eastAsiaTheme="minorEastAsia"/>
                      <w:bCs/>
                      <w:szCs w:val="21"/>
                      <w:vertAlign w:val="superscript"/>
                    </w:rPr>
                    <w:t>3</w:t>
                  </w:r>
                  <w:r>
                    <w:rPr>
                      <w:rFonts w:hint="eastAsia" w:eastAsiaTheme="minorEastAsia"/>
                      <w:bCs/>
                      <w:szCs w:val="21"/>
                    </w:rPr>
                    <w:t>暂存池，每收集一次初期雨水后采用罐车拉运至八五六农场污水处理厂，经处理后污水排放浓度达到《城镇污水处理厂污染物排放标准》（</w:t>
                  </w:r>
                  <w:r>
                    <w:rPr>
                      <w:rFonts w:eastAsiaTheme="minorEastAsia"/>
                      <w:bCs/>
                      <w:szCs w:val="21"/>
                    </w:rPr>
                    <w:t>GB18918-2002</w:t>
                  </w:r>
                  <w:r>
                    <w:rPr>
                      <w:rFonts w:hint="eastAsia" w:eastAsiaTheme="minorEastAsia"/>
                      <w:bCs/>
                      <w:szCs w:val="21"/>
                    </w:rPr>
                    <w:t>）一级</w:t>
                  </w:r>
                  <w:r>
                    <w:rPr>
                      <w:rFonts w:eastAsiaTheme="minorEastAsia"/>
                      <w:bCs/>
                      <w:szCs w:val="21"/>
                    </w:rPr>
                    <w:t>A</w:t>
                  </w:r>
                  <w:r>
                    <w:rPr>
                      <w:rFonts w:hint="eastAsia" w:eastAsiaTheme="minorEastAsia"/>
                      <w:bCs/>
                      <w:szCs w:val="21"/>
                    </w:rPr>
                    <w:t>标准后排入穆棱河。</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13</w:t>
                  </w:r>
                </w:p>
              </w:tc>
              <w:tc>
                <w:tcPr>
                  <w:tcW w:w="3375"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szCs w:val="21"/>
                    </w:rPr>
                    <w:t>报废机动车回收拆解企业应在厂区及易产生粉尘的生产环节采取有效防尘、降尘、集尘措施，拆解过程产生的粉尘等应收集净化后排放。</w:t>
                  </w:r>
                </w:p>
              </w:tc>
              <w:tc>
                <w:tcPr>
                  <w:tcW w:w="226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w:t>
                  </w:r>
                  <w:r>
                    <w:rPr>
                      <w:rFonts w:eastAsiaTheme="minorEastAsia"/>
                      <w:bCs/>
                      <w:szCs w:val="21"/>
                    </w:rPr>
                    <w:t>切割区采用集气罩集中收集经布袋除尘器处理后由15m高1#排气筒排放，收集效率90%，处理效率9</w:t>
                  </w:r>
                  <w:r>
                    <w:rPr>
                      <w:rFonts w:hint="eastAsia" w:eastAsiaTheme="minorEastAsia"/>
                      <w:bCs/>
                      <w:szCs w:val="21"/>
                    </w:rPr>
                    <w:t>9</w:t>
                  </w:r>
                  <w:r>
                    <w:rPr>
                      <w:rFonts w:eastAsiaTheme="minorEastAsia"/>
                      <w:bCs/>
                      <w:szCs w:val="21"/>
                    </w:rPr>
                    <w:t>%，未收集颗粒物以无组织形式排放</w:t>
                  </w:r>
                  <w:r>
                    <w:rPr>
                      <w:rFonts w:hint="eastAsia" w:eastAsiaTheme="minorEastAsia"/>
                      <w:szCs w:val="21"/>
                    </w:rPr>
                    <w:t>。</w:t>
                  </w:r>
                </w:p>
              </w:tc>
              <w:tc>
                <w:tcPr>
                  <w:tcW w:w="636"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bl>
          <w:p>
            <w:pPr>
              <w:autoSpaceDE w:val="0"/>
              <w:autoSpaceDN w:val="0"/>
              <w:adjustRightInd w:val="0"/>
              <w:snapToGrid w:val="0"/>
              <w:spacing w:line="360" w:lineRule="auto"/>
              <w:ind w:firstLine="482" w:firstLineChars="200"/>
              <w:jc w:val="left"/>
              <w:rPr>
                <w:rFonts w:eastAsiaTheme="minorEastAsia"/>
                <w:b/>
                <w:kern w:val="0"/>
                <w:sz w:val="24"/>
                <w:szCs w:val="21"/>
              </w:rPr>
            </w:pPr>
            <w:r>
              <w:rPr>
                <w:rFonts w:eastAsiaTheme="minorEastAsia"/>
                <w:b/>
                <w:kern w:val="0"/>
                <w:sz w:val="24"/>
                <w:szCs w:val="21"/>
              </w:rPr>
              <w:t>5</w:t>
            </w:r>
            <w:r>
              <w:rPr>
                <w:rFonts w:hint="eastAsia" w:eastAsiaTheme="minorEastAsia"/>
                <w:b/>
                <w:kern w:val="0"/>
                <w:sz w:val="24"/>
                <w:szCs w:val="21"/>
              </w:rPr>
              <w:t>、本项目与《报废农业机械回收拆解技术规范》（</w:t>
            </w:r>
            <w:r>
              <w:rPr>
                <w:rFonts w:eastAsiaTheme="minorEastAsia"/>
                <w:b/>
                <w:bCs/>
                <w:kern w:val="0"/>
                <w:sz w:val="24"/>
                <w:szCs w:val="21"/>
              </w:rPr>
              <w:t>NY/T2900-2022</w:t>
            </w:r>
            <w:r>
              <w:rPr>
                <w:rFonts w:hint="eastAsia" w:eastAsiaTheme="minorEastAsia"/>
                <w:b/>
                <w:kern w:val="0"/>
                <w:sz w:val="24"/>
                <w:szCs w:val="21"/>
              </w:rPr>
              <w:t>）符合性分析</w:t>
            </w:r>
          </w:p>
          <w:p>
            <w:pPr>
              <w:autoSpaceDE w:val="0"/>
              <w:autoSpaceDN w:val="0"/>
              <w:adjustRightInd w:val="0"/>
              <w:snapToGrid w:val="0"/>
              <w:spacing w:line="360" w:lineRule="auto"/>
              <w:jc w:val="center"/>
              <w:rPr>
                <w:rFonts w:eastAsiaTheme="minorEastAsia"/>
                <w:b/>
                <w:kern w:val="0"/>
                <w:sz w:val="24"/>
                <w:szCs w:val="21"/>
              </w:rPr>
            </w:pPr>
            <w:r>
              <w:rPr>
                <w:rFonts w:hint="eastAsia" w:eastAsiaTheme="minorEastAsia"/>
                <w:b/>
                <w:sz w:val="24"/>
              </w:rPr>
              <w:t>表</w:t>
            </w:r>
            <w:r>
              <w:rPr>
                <w:rFonts w:eastAsiaTheme="minorEastAsia"/>
                <w:b/>
                <w:sz w:val="24"/>
              </w:rPr>
              <w:t>1-</w:t>
            </w:r>
            <w:r>
              <w:rPr>
                <w:rFonts w:hint="eastAsia" w:eastAsiaTheme="minorEastAsia"/>
                <w:b/>
                <w:sz w:val="24"/>
              </w:rPr>
              <w:t>4</w:t>
            </w:r>
            <w:r>
              <w:rPr>
                <w:rFonts w:eastAsiaTheme="minorEastAsia"/>
                <w:b/>
                <w:sz w:val="24"/>
              </w:rPr>
              <w:t xml:space="preserve"> </w:t>
            </w:r>
            <w:r>
              <w:rPr>
                <w:rFonts w:hint="eastAsia" w:eastAsiaTheme="minorEastAsia"/>
                <w:b/>
                <w:sz w:val="24"/>
              </w:rPr>
              <w:t>项目与《报废农业机械回收拆解技术规范》符合性分析</w:t>
            </w:r>
          </w:p>
          <w:tbl>
            <w:tblPr>
              <w:tblStyle w:val="21"/>
              <w:tblpPr w:leftFromText="180" w:rightFromText="180" w:vertAnchor="text" w:tblpY="1"/>
              <w:tblOverlap w:val="never"/>
              <w:tblW w:w="676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2949"/>
              <w:gridCol w:w="2552"/>
              <w:gridCol w:w="778"/>
              <w:gridCol w:w="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序号</w:t>
                  </w:r>
                </w:p>
              </w:tc>
              <w:tc>
                <w:tcPr>
                  <w:tcW w:w="2949"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规范要求</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本项目情况</w:t>
                  </w:r>
                </w:p>
              </w:tc>
              <w:tc>
                <w:tcPr>
                  <w:tcW w:w="77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1</w:t>
                  </w:r>
                </w:p>
              </w:tc>
              <w:tc>
                <w:tcPr>
                  <w:tcW w:w="2949"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报废农业机械回收拆解应严格遵循安全环保和循环利用的原则进行。回收拆解报废农业机械应按检查和登记→拆解前存储→拆解→拆解后存储和处置的流程作业。</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项目报废农机拆解按检查和登记→拆解前存储→拆解→拆解后存储和处置的流程作业。</w:t>
                  </w:r>
                </w:p>
              </w:tc>
              <w:tc>
                <w:tcPr>
                  <w:tcW w:w="810" w:type="dxa"/>
                  <w:gridSpan w:val="2"/>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2</w:t>
                  </w:r>
                </w:p>
              </w:tc>
              <w:tc>
                <w:tcPr>
                  <w:tcW w:w="2949" w:type="dxa"/>
                  <w:shd w:val="clear" w:color="auto" w:fill="auto"/>
                  <w:vAlign w:val="center"/>
                </w:tcPr>
                <w:p>
                  <w:pPr>
                    <w:pStyle w:val="5"/>
                    <w:widowControl/>
                    <w:adjustRightInd w:val="0"/>
                    <w:snapToGrid w:val="0"/>
                    <w:ind w:firstLine="210"/>
                    <w:jc w:val="center"/>
                    <w:rPr>
                      <w:rFonts w:eastAsiaTheme="minorEastAsia"/>
                      <w:szCs w:val="21"/>
                    </w:rPr>
                  </w:pPr>
                  <w:r>
                    <w:rPr>
                      <w:rFonts w:hint="eastAsia" w:eastAsiaTheme="minorEastAsia"/>
                      <w:szCs w:val="21"/>
                    </w:rPr>
                    <w:t>企业应具有专业技术人员，其专业能力应能达到规范拆解、环保作业、安全操作（含危险物质收集存储、运输）等相应要求。国家相关法规有持证上岗规定的，相关岗位的操作人员应遵守规定持证上岗。</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本工程专业技术人员8人，其专业技能均能满足规范拆解、环保作业、安全操作等要求，持证上岗。</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3</w:t>
                  </w:r>
                </w:p>
              </w:tc>
              <w:tc>
                <w:tcPr>
                  <w:tcW w:w="2949" w:type="dxa"/>
                  <w:shd w:val="clear" w:color="auto" w:fill="auto"/>
                  <w:vAlign w:val="center"/>
                </w:tcPr>
                <w:p>
                  <w:pPr>
                    <w:pStyle w:val="5"/>
                    <w:widowControl/>
                    <w:adjustRightInd w:val="0"/>
                    <w:snapToGrid w:val="0"/>
                    <w:ind w:firstLine="210"/>
                    <w:jc w:val="center"/>
                    <w:rPr>
                      <w:rFonts w:eastAsiaTheme="minorEastAsia"/>
                      <w:szCs w:val="21"/>
                    </w:rPr>
                  </w:pPr>
                  <w:r>
                    <w:rPr>
                      <w:rFonts w:hint="eastAsia" w:eastAsiaTheme="minorEastAsia"/>
                      <w:szCs w:val="21"/>
                    </w:rPr>
                    <w:t>报废农业机械拆解作业场地应有独立的拆解区、产品及拆解后物料储存区、固体废物或危险废物料储存控制区等各功能区，各功能区场地面积应与拆解能力相匹配 ， 场 地 总 面 积 宜 不 低 于2000m</w:t>
                  </w:r>
                  <w:r>
                    <w:rPr>
                      <w:rFonts w:hint="eastAsia" w:eastAsiaTheme="minorEastAsia"/>
                      <w:szCs w:val="21"/>
                      <w:vertAlign w:val="superscript"/>
                    </w:rPr>
                    <w:t>2</w:t>
                  </w:r>
                  <w:r>
                    <w:rPr>
                      <w:rFonts w:hint="eastAsia" w:eastAsiaTheme="minorEastAsia"/>
                      <w:szCs w:val="21"/>
                    </w:rPr>
                    <w:t xml:space="preserve">，作业场地(包括拆解和储存场地)面积不低于场地总面积的 </w:t>
                  </w:r>
                  <w:r>
                    <w:rPr>
                      <w:rFonts w:eastAsiaTheme="minorEastAsia"/>
                      <w:szCs w:val="21"/>
                    </w:rPr>
                    <w:t>70%</w:t>
                  </w:r>
                  <w:r>
                    <w:rPr>
                      <w:rFonts w:hint="eastAsia" w:eastAsiaTheme="minorEastAsia"/>
                      <w:szCs w:val="21"/>
                    </w:rPr>
                    <w:t>。报废农机回收拆解企业应通过环境影响评价，选址合理。</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本项目拆解作业场地（包括拆解和存储场地）面积约为7200</w:t>
                  </w:r>
                  <w:r>
                    <w:rPr>
                      <w:rFonts w:eastAsiaTheme="minorEastAsia"/>
                      <w:szCs w:val="21"/>
                    </w:rPr>
                    <w:t>m</w:t>
                  </w:r>
                  <w:r>
                    <w:rPr>
                      <w:rFonts w:eastAsiaTheme="minorEastAsia"/>
                      <w:szCs w:val="21"/>
                      <w:vertAlign w:val="superscript"/>
                    </w:rPr>
                    <w:t>2</w:t>
                  </w:r>
                  <w:r>
                    <w:rPr>
                      <w:rFonts w:hint="eastAsia" w:eastAsiaTheme="minorEastAsia"/>
                      <w:szCs w:val="21"/>
                    </w:rPr>
                    <w:t>，拆解在全封闭车间内进行。作业场地(包括拆解和储存场地)面积为14920</w:t>
                  </w:r>
                  <w:r>
                    <w:rPr>
                      <w:rFonts w:eastAsiaTheme="minorEastAsia"/>
                      <w:szCs w:val="21"/>
                    </w:rPr>
                    <w:t>m</w:t>
                  </w:r>
                  <w:r>
                    <w:rPr>
                      <w:rFonts w:eastAsiaTheme="minorEastAsia"/>
                      <w:szCs w:val="21"/>
                      <w:vertAlign w:val="superscript"/>
                    </w:rPr>
                    <w:t>2</w:t>
                  </w:r>
                  <w:r>
                    <w:rPr>
                      <w:rFonts w:hint="eastAsia" w:eastAsiaTheme="minorEastAsia"/>
                      <w:szCs w:val="21"/>
                    </w:rPr>
                    <w:t>，场地总面积为21251.5</w:t>
                  </w:r>
                  <w:r>
                    <w:rPr>
                      <w:rFonts w:eastAsiaTheme="minorEastAsia"/>
                      <w:szCs w:val="21"/>
                    </w:rPr>
                    <w:t>m</w:t>
                  </w:r>
                  <w:r>
                    <w:rPr>
                      <w:rFonts w:eastAsiaTheme="minorEastAsia"/>
                      <w:szCs w:val="21"/>
                      <w:vertAlign w:val="superscript"/>
                    </w:rPr>
                    <w:t>2</w:t>
                  </w:r>
                  <w:r>
                    <w:rPr>
                      <w:rFonts w:hint="eastAsia" w:eastAsiaTheme="minorEastAsia"/>
                      <w:szCs w:val="21"/>
                    </w:rPr>
                    <w:t>，不低于场地总面积的</w:t>
                  </w:r>
                  <w:r>
                    <w:rPr>
                      <w:rFonts w:eastAsiaTheme="minorEastAsia"/>
                      <w:szCs w:val="21"/>
                    </w:rPr>
                    <w:t>70%</w:t>
                  </w:r>
                  <w:r>
                    <w:rPr>
                      <w:rFonts w:hint="eastAsia" w:eastAsiaTheme="minorEastAsia"/>
                      <w:szCs w:val="21"/>
                    </w:rPr>
                    <w:t>。</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4</w:t>
                  </w:r>
                </w:p>
              </w:tc>
              <w:tc>
                <w:tcPr>
                  <w:tcW w:w="2949" w:type="dxa"/>
                  <w:shd w:val="clear" w:color="auto" w:fill="auto"/>
                  <w:vAlign w:val="center"/>
                </w:tcPr>
                <w:p>
                  <w:pPr>
                    <w:pStyle w:val="5"/>
                    <w:widowControl/>
                    <w:adjustRightInd w:val="0"/>
                    <w:snapToGrid w:val="0"/>
                    <w:ind w:firstLine="0" w:firstLineChars="0"/>
                    <w:jc w:val="center"/>
                    <w:rPr>
                      <w:rFonts w:eastAsiaTheme="minorEastAsia"/>
                      <w:szCs w:val="21"/>
                    </w:rPr>
                  </w:pPr>
                  <w:r>
                    <w:rPr>
                      <w:rFonts w:hint="eastAsia" w:eastAsiaTheme="minorEastAsia"/>
                      <w:szCs w:val="21"/>
                    </w:rPr>
                    <w:t>拆解区、产品及拆解后物料储存区、体废物或危险废物储存控制区功能设计符合拆解能力，标识明显，具有防风、防雨和防雷功能。并满GB18599规定的要求。固体废物储存场地应具有满足GB18599要求的一般工业固废储存设施和满足GB18597要求的危险废物储存设施。</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本项目功能分区</w:t>
                  </w:r>
                  <w:r>
                    <w:rPr>
                      <w:rFonts w:hint="eastAsia" w:hAnsi="宋体"/>
                      <w:kern w:val="0"/>
                      <w:szCs w:val="21"/>
                    </w:rPr>
                    <w:t>满足拆解作业的需要；不同分区设置明显标识，标明贮存物的类别、名称、规格、注意事项等，</w:t>
                  </w:r>
                  <w:r>
                    <w:rPr>
                      <w:rFonts w:hint="eastAsia" w:eastAsiaTheme="minorEastAsia"/>
                      <w:szCs w:val="21"/>
                    </w:rPr>
                    <w:t>具有防风、防雨和防雷功能</w:t>
                  </w:r>
                  <w:r>
                    <w:rPr>
                      <w:rFonts w:hint="eastAsia" w:hAnsi="宋体"/>
                      <w:kern w:val="0"/>
                      <w:szCs w:val="21"/>
                    </w:rPr>
                    <w:t>；</w:t>
                  </w:r>
                  <w:r>
                    <w:rPr>
                      <w:rFonts w:hint="eastAsia" w:eastAsiaTheme="minorEastAsia"/>
                      <w:szCs w:val="21"/>
                    </w:rPr>
                    <w:t>并满GB18599规定的要求。固体废物储存场地应具有满足GB18599要求的一般工业固废储存设施和满足GB18597要求的危险废物储存设施。</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bl>
          <w:p/>
          <w:p/>
          <w:p/>
          <w:p/>
          <w:p>
            <w:pPr>
              <w:rPr>
                <w:rFonts w:eastAsiaTheme="minorEastAsia"/>
              </w:rPr>
            </w:pPr>
            <w:r>
              <w:rPr>
                <w:rFonts w:hint="eastAsia" w:eastAsiaTheme="minorEastAsia"/>
                <w:b/>
                <w:sz w:val="24"/>
              </w:rPr>
              <w:t>续表</w:t>
            </w:r>
            <w:r>
              <w:rPr>
                <w:rFonts w:eastAsiaTheme="minorEastAsia"/>
                <w:b/>
                <w:sz w:val="24"/>
              </w:rPr>
              <w:t>1-</w:t>
            </w:r>
            <w:r>
              <w:rPr>
                <w:rFonts w:hint="eastAsia" w:eastAsiaTheme="minorEastAsia"/>
                <w:b/>
                <w:sz w:val="24"/>
              </w:rPr>
              <w:t>4</w:t>
            </w:r>
            <w:r>
              <w:rPr>
                <w:rFonts w:eastAsiaTheme="minorEastAsia"/>
                <w:b/>
                <w:sz w:val="24"/>
              </w:rPr>
              <w:t xml:space="preserve"> </w:t>
            </w:r>
            <w:r>
              <w:rPr>
                <w:rFonts w:hint="eastAsia" w:eastAsiaTheme="minorEastAsia"/>
                <w:b/>
                <w:sz w:val="24"/>
              </w:rPr>
              <w:t>项目与《报废农业机械回收拆解技术规范》符合性分析</w:t>
            </w:r>
          </w:p>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2949"/>
              <w:gridCol w:w="2552"/>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5</w:t>
                  </w:r>
                </w:p>
              </w:tc>
              <w:tc>
                <w:tcPr>
                  <w:tcW w:w="2949" w:type="dxa"/>
                  <w:shd w:val="clear" w:color="auto" w:fill="auto"/>
                  <w:vAlign w:val="center"/>
                </w:tcPr>
                <w:p>
                  <w:pPr>
                    <w:pStyle w:val="5"/>
                    <w:widowControl/>
                    <w:adjustRightInd w:val="0"/>
                    <w:snapToGrid w:val="0"/>
                    <w:ind w:firstLine="0" w:firstLineChars="0"/>
                    <w:jc w:val="center"/>
                    <w:rPr>
                      <w:rFonts w:eastAsiaTheme="minorEastAsia"/>
                      <w:szCs w:val="21"/>
                    </w:rPr>
                  </w:pPr>
                  <w:r>
                    <w:rPr>
                      <w:rFonts w:hint="eastAsia" w:eastAsiaTheme="minorEastAsia"/>
                      <w:szCs w:val="21"/>
                    </w:rPr>
                    <w:t>拆解车间应为封闭或半封闭车间，通风、光线良好，地面硬化且防渗漏，安全防范设施齐全；存储场地(包括临时存储)的地面应硬化并防渗漏。所有场所应满足GB50037规定的防漏要求。</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本项目拆解作业场地（包括拆解和存储场地）面积约为7200</w:t>
                  </w:r>
                  <w:r>
                    <w:rPr>
                      <w:rFonts w:eastAsiaTheme="minorEastAsia"/>
                      <w:szCs w:val="21"/>
                    </w:rPr>
                    <w:t>m</w:t>
                  </w:r>
                  <w:r>
                    <w:rPr>
                      <w:rFonts w:eastAsiaTheme="minorEastAsia"/>
                      <w:szCs w:val="21"/>
                      <w:vertAlign w:val="superscript"/>
                    </w:rPr>
                    <w:t>2</w:t>
                  </w:r>
                  <w:r>
                    <w:rPr>
                      <w:rFonts w:hint="eastAsia" w:eastAsiaTheme="minorEastAsia"/>
                      <w:szCs w:val="21"/>
                    </w:rPr>
                    <w:t>，拆解在全封闭车间内进行；拆解车间地面设置防油渗隔离层，拆解车间地面混凝土强度等级不低于</w:t>
                  </w:r>
                  <w:r>
                    <w:rPr>
                      <w:rFonts w:eastAsiaTheme="minorEastAsia"/>
                      <w:szCs w:val="21"/>
                    </w:rPr>
                    <w:t>C20</w:t>
                  </w:r>
                  <w:r>
                    <w:rPr>
                      <w:rFonts w:hint="eastAsia" w:eastAsiaTheme="minorEastAsia"/>
                      <w:szCs w:val="21"/>
                    </w:rPr>
                    <w:t>，厚度不低于</w:t>
                  </w:r>
                  <w:r>
                    <w:rPr>
                      <w:rFonts w:eastAsiaTheme="minorEastAsia"/>
                      <w:szCs w:val="21"/>
                    </w:rPr>
                    <w:t>150 mm</w:t>
                  </w:r>
                  <w:r>
                    <w:rPr>
                      <w:rFonts w:hint="eastAsia" w:eastAsiaTheme="minorEastAsia"/>
                      <w:szCs w:val="21"/>
                    </w:rPr>
                    <w:t>，其中物流通道路面和拆解区域强度不低于</w:t>
                  </w:r>
                  <w:r>
                    <w:rPr>
                      <w:rFonts w:eastAsiaTheme="minorEastAsia"/>
                      <w:szCs w:val="21"/>
                    </w:rPr>
                    <w:t>C30</w:t>
                  </w:r>
                  <w:r>
                    <w:rPr>
                      <w:rFonts w:hint="eastAsia" w:eastAsiaTheme="minorEastAsia"/>
                      <w:szCs w:val="21"/>
                    </w:rPr>
                    <w:t>，厚度不低于</w:t>
                  </w:r>
                  <w:r>
                    <w:rPr>
                      <w:rFonts w:eastAsiaTheme="minorEastAsia"/>
                      <w:szCs w:val="21"/>
                    </w:rPr>
                    <w:t>200mm</w:t>
                  </w:r>
                  <w:r>
                    <w:rPr>
                      <w:rFonts w:hint="eastAsia" w:eastAsiaTheme="minorEastAsia"/>
                      <w:szCs w:val="21"/>
                    </w:rPr>
                    <w:t>，</w:t>
                  </w:r>
                  <w:r>
                    <w:rPr>
                      <w:rFonts w:hint="eastAsia" w:eastAsiaTheme="minorEastAsia"/>
                      <w:bCs/>
                      <w:szCs w:val="21"/>
                    </w:rPr>
                    <w:t>防渗技术要求达到等效粘土防渗层Mb≥1.5m，K≤1×10</w:t>
                  </w:r>
                  <w:r>
                    <w:rPr>
                      <w:rFonts w:eastAsiaTheme="minorEastAsia"/>
                      <w:bCs/>
                      <w:szCs w:val="21"/>
                      <w:vertAlign w:val="superscript"/>
                    </w:rPr>
                    <w:t>-7</w:t>
                  </w:r>
                  <w:r>
                    <w:rPr>
                      <w:rFonts w:eastAsiaTheme="minorEastAsia"/>
                      <w:bCs/>
                      <w:szCs w:val="21"/>
                    </w:rPr>
                    <w:t>cm/s；停车场</w:t>
                  </w:r>
                  <w:r>
                    <w:rPr>
                      <w:rFonts w:hint="eastAsia" w:eastAsiaTheme="minorEastAsia"/>
                      <w:szCs w:val="21"/>
                    </w:rPr>
                    <w:t>地面</w:t>
                  </w:r>
                  <w:r>
                    <w:rPr>
                      <w:rFonts w:hint="eastAsia" w:eastAsiaTheme="minorEastAsia"/>
                      <w:bCs/>
                      <w:szCs w:val="21"/>
                    </w:rPr>
                    <w:t>采用粘土、抗渗混凝土、高密度聚乙烯（</w:t>
                  </w:r>
                  <w:r>
                    <w:rPr>
                      <w:rFonts w:eastAsiaTheme="minorEastAsia"/>
                      <w:bCs/>
                      <w:szCs w:val="21"/>
                    </w:rPr>
                    <w:t>HDPE</w:t>
                  </w:r>
                  <w:r>
                    <w:rPr>
                      <w:rFonts w:hint="eastAsia" w:eastAsiaTheme="minorEastAsia"/>
                      <w:bCs/>
                      <w:szCs w:val="21"/>
                    </w:rPr>
                    <w:t>）膜或其他防渗性能等效的材料，防渗技术要求达到等效粘土防渗层Mb≥1.5m，K≤1×10</w:t>
                  </w:r>
                  <w:r>
                    <w:rPr>
                      <w:rFonts w:eastAsiaTheme="minorEastAsia"/>
                      <w:bCs/>
                      <w:szCs w:val="21"/>
                      <w:vertAlign w:val="superscript"/>
                    </w:rPr>
                    <w:t>-7</w:t>
                  </w:r>
                  <w:r>
                    <w:rPr>
                      <w:rFonts w:eastAsiaTheme="minorEastAsia"/>
                      <w:bCs/>
                      <w:szCs w:val="21"/>
                    </w:rPr>
                    <w:t>cm/s。</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6</w:t>
                  </w:r>
                </w:p>
              </w:tc>
              <w:tc>
                <w:tcPr>
                  <w:tcW w:w="2949"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报废农业机械拆解企业应具备必要的设备，包括但不限于农业机械称重设备、起重运输设备、剪断设备、切割设备、专业容器等，在排空易燃易爆及有毒有害液体、气体物品时，应使用专用设备处理且工作环境安全可靠。</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根据建设项目生产设备可知本项目配备有必要的拆解设备。</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7</w:t>
                  </w:r>
                </w:p>
              </w:tc>
              <w:tc>
                <w:tcPr>
                  <w:tcW w:w="2949" w:type="dxa"/>
                  <w:shd w:val="clear" w:color="auto" w:fill="auto"/>
                  <w:vAlign w:val="center"/>
                </w:tcPr>
                <w:p>
                  <w:pPr>
                    <w:pStyle w:val="5"/>
                    <w:adjustRightInd w:val="0"/>
                    <w:snapToGrid w:val="0"/>
                    <w:ind w:firstLine="210"/>
                    <w:jc w:val="center"/>
                    <w:rPr>
                      <w:rFonts w:eastAsiaTheme="minorEastAsia"/>
                      <w:szCs w:val="21"/>
                    </w:rPr>
                  </w:pPr>
                  <w:r>
                    <w:rPr>
                      <w:rFonts w:hint="eastAsia" w:eastAsiaTheme="minorEastAsia"/>
                      <w:szCs w:val="21"/>
                    </w:rPr>
                    <w:t>应具备环保设备，包括但不限于专用废液收集容器、油水分离器、专用制冷液收集容器、蓄电池</w:t>
                  </w:r>
                  <w:r>
                    <w:rPr>
                      <w:rFonts w:eastAsiaTheme="minorEastAsia"/>
                      <w:szCs w:val="21"/>
                    </w:rPr>
                    <w:t xml:space="preserve">/ </w:t>
                  </w:r>
                  <w:r>
                    <w:rPr>
                      <w:rFonts w:hint="eastAsia" w:eastAsiaTheme="minorEastAsia"/>
                      <w:szCs w:val="21"/>
                    </w:rPr>
                    <w:t>锂电池</w:t>
                  </w:r>
                  <w:r>
                    <w:rPr>
                      <w:rFonts w:eastAsiaTheme="minorEastAsia"/>
                      <w:szCs w:val="21"/>
                    </w:rPr>
                    <w:t>/</w:t>
                  </w:r>
                  <w:r>
                    <w:rPr>
                      <w:rFonts w:hint="eastAsia" w:eastAsiaTheme="minorEastAsia"/>
                      <w:szCs w:val="21"/>
                    </w:rPr>
                    <w:t>氢燃料电池等专用收集容器。</w:t>
                  </w:r>
                </w:p>
              </w:tc>
              <w:tc>
                <w:tcPr>
                  <w:tcW w:w="2552" w:type="dxa"/>
                  <w:shd w:val="clear" w:color="auto" w:fill="auto"/>
                  <w:vAlign w:val="center"/>
                </w:tcPr>
                <w:p>
                  <w:pPr>
                    <w:pStyle w:val="5"/>
                    <w:adjustRightInd w:val="0"/>
                    <w:snapToGrid w:val="0"/>
                    <w:ind w:firstLine="0" w:firstLineChars="0"/>
                    <w:rPr>
                      <w:rFonts w:eastAsiaTheme="minorEastAsia"/>
                      <w:szCs w:val="21"/>
                    </w:rPr>
                  </w:pPr>
                  <w:r>
                    <w:rPr>
                      <w:rFonts w:hint="eastAsia" w:eastAsiaTheme="minorEastAsia"/>
                      <w:szCs w:val="21"/>
                    </w:rPr>
                    <w:t>本项目具备废油液专用储罐、油水分离器、废蓄电池专用存储区耐酸容器、废防冻液专用储罐等专门收集容器。满足项目需求。</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8</w:t>
                  </w:r>
                </w:p>
              </w:tc>
              <w:tc>
                <w:tcPr>
                  <w:tcW w:w="2949" w:type="dxa"/>
                  <w:shd w:val="clear" w:color="auto" w:fill="auto"/>
                  <w:vAlign w:val="center"/>
                </w:tcPr>
                <w:p>
                  <w:pPr>
                    <w:pStyle w:val="5"/>
                    <w:adjustRightInd w:val="0"/>
                    <w:snapToGrid w:val="0"/>
                    <w:ind w:firstLine="0" w:firstLineChars="0"/>
                    <w:jc w:val="center"/>
                    <w:rPr>
                      <w:rFonts w:eastAsiaTheme="minorEastAsia"/>
                      <w:szCs w:val="21"/>
                    </w:rPr>
                  </w:pPr>
                  <w:r>
                    <w:rPr>
                      <w:rFonts w:hint="eastAsia" w:eastAsiaTheme="minorEastAsia"/>
                      <w:szCs w:val="21"/>
                    </w:rPr>
                    <w:t>在报废农业机械拆解及主要总成 解体销毁过程中，至少对回收确 认、零部件拆解、对机体等零部 件拆分或压扁破碎</w:t>
                  </w:r>
                  <w:r>
                    <w:rPr>
                      <w:rFonts w:eastAsiaTheme="minorEastAsia"/>
                      <w:szCs w:val="21"/>
                    </w:rPr>
                    <w:t>3</w:t>
                  </w:r>
                  <w:r>
                    <w:rPr>
                      <w:rFonts w:hint="eastAsia" w:eastAsiaTheme="minorEastAsia"/>
                      <w:szCs w:val="21"/>
                    </w:rPr>
                    <w:t>个环节进 行录像监控，应剪辑保留</w:t>
                  </w:r>
                  <w:r>
                    <w:rPr>
                      <w:rFonts w:eastAsiaTheme="minorEastAsia"/>
                      <w:szCs w:val="21"/>
                    </w:rPr>
                    <w:t>10 s</w:t>
                  </w:r>
                  <w:r>
                    <w:rPr>
                      <w:rFonts w:hint="eastAsia" w:eastAsiaTheme="minorEastAsia"/>
                      <w:szCs w:val="21"/>
                    </w:rPr>
                    <w:t>以上的重要时段视频资料进行存 档，同时拍摄</w:t>
                  </w:r>
                  <w:r>
                    <w:rPr>
                      <w:rFonts w:eastAsiaTheme="minorEastAsia"/>
                      <w:szCs w:val="21"/>
                    </w:rPr>
                    <w:t>(</w:t>
                  </w:r>
                  <w:r>
                    <w:rPr>
                      <w:rFonts w:hint="eastAsia" w:eastAsiaTheme="minorEastAsia"/>
                      <w:szCs w:val="21"/>
                    </w:rPr>
                    <w:t>或截图</w:t>
                  </w:r>
                  <w:r>
                    <w:rPr>
                      <w:rFonts w:eastAsiaTheme="minorEastAsia"/>
                      <w:szCs w:val="21"/>
                    </w:rPr>
                    <w:t>)</w:t>
                  </w:r>
                  <w:r>
                    <w:rPr>
                      <w:rFonts w:hint="eastAsia" w:eastAsiaTheme="minorEastAsia"/>
                      <w:szCs w:val="21"/>
                    </w:rPr>
                    <w:t xml:space="preserve">机体解体销毁前、中、后的照片各 </w:t>
                  </w:r>
                  <w:r>
                    <w:rPr>
                      <w:rFonts w:eastAsiaTheme="minorEastAsia"/>
                      <w:szCs w:val="21"/>
                    </w:rPr>
                    <w:t xml:space="preserve">1 </w:t>
                  </w:r>
                  <w:r>
                    <w:rPr>
                      <w:rFonts w:hint="eastAsia" w:eastAsiaTheme="minorEastAsia"/>
                      <w:szCs w:val="21"/>
                    </w:rPr>
                    <w:t>张。相关信息的保存期限不应少于</w:t>
                  </w:r>
                  <w:r>
                    <w:rPr>
                      <w:rFonts w:eastAsiaTheme="minorEastAsia"/>
                      <w:szCs w:val="21"/>
                    </w:rPr>
                    <w:t>5</w:t>
                  </w:r>
                  <w:r>
                    <w:rPr>
                      <w:rFonts w:hint="eastAsia" w:eastAsiaTheme="minorEastAsia"/>
                      <w:szCs w:val="21"/>
                    </w:rPr>
                    <w:t>年。</w:t>
                  </w:r>
                </w:p>
              </w:tc>
              <w:tc>
                <w:tcPr>
                  <w:tcW w:w="2552" w:type="dxa"/>
                  <w:shd w:val="clear" w:color="auto" w:fill="auto"/>
                  <w:vAlign w:val="center"/>
                </w:tcPr>
                <w:p>
                  <w:pPr>
                    <w:pStyle w:val="5"/>
                    <w:widowControl/>
                    <w:adjustRightInd w:val="0"/>
                    <w:snapToGrid w:val="0"/>
                    <w:ind w:firstLine="0" w:firstLineChars="0"/>
                    <w:rPr>
                      <w:rFonts w:eastAsiaTheme="minorEastAsia"/>
                      <w:szCs w:val="21"/>
                    </w:rPr>
                  </w:pPr>
                  <w:r>
                    <w:rPr>
                      <w:rFonts w:hint="eastAsia" w:eastAsiaTheme="minorEastAsia"/>
                      <w:szCs w:val="21"/>
                    </w:rPr>
                    <w:t>建设单位将在每个环节保留10s以上的视频资料或解体销毁前、中、后各照片1张。相关信息的保存期限不应少于5年。</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bl>
          <w:p/>
          <w:p/>
          <w:p/>
          <w:p>
            <w:pPr>
              <w:rPr>
                <w:rFonts w:eastAsiaTheme="minorEastAsia"/>
              </w:rPr>
            </w:pPr>
            <w:r>
              <w:rPr>
                <w:rFonts w:hint="eastAsia" w:eastAsiaTheme="minorEastAsia"/>
                <w:b/>
                <w:sz w:val="24"/>
              </w:rPr>
              <w:t>续表</w:t>
            </w:r>
            <w:r>
              <w:rPr>
                <w:rFonts w:eastAsiaTheme="minorEastAsia"/>
                <w:b/>
                <w:sz w:val="24"/>
              </w:rPr>
              <w:t>1-</w:t>
            </w:r>
            <w:r>
              <w:rPr>
                <w:rFonts w:hint="eastAsia" w:eastAsiaTheme="minorEastAsia"/>
                <w:b/>
                <w:sz w:val="24"/>
              </w:rPr>
              <w:t>4</w:t>
            </w:r>
            <w:r>
              <w:rPr>
                <w:rFonts w:eastAsiaTheme="minorEastAsia"/>
                <w:b/>
                <w:sz w:val="24"/>
              </w:rPr>
              <w:t xml:space="preserve"> </w:t>
            </w:r>
            <w:r>
              <w:rPr>
                <w:rFonts w:hint="eastAsia" w:eastAsiaTheme="minorEastAsia"/>
                <w:b/>
                <w:sz w:val="24"/>
              </w:rPr>
              <w:t>项目与《报废农业机械回收拆解技术规范》符合性分析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2949"/>
              <w:gridCol w:w="2552"/>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9</w:t>
                  </w:r>
                </w:p>
              </w:tc>
              <w:tc>
                <w:tcPr>
                  <w:tcW w:w="2949" w:type="dxa"/>
                  <w:shd w:val="clear" w:color="auto" w:fill="auto"/>
                  <w:vAlign w:val="center"/>
                </w:tcPr>
                <w:p>
                  <w:pPr>
                    <w:pStyle w:val="5"/>
                    <w:adjustRightInd w:val="0"/>
                    <w:snapToGrid w:val="0"/>
                    <w:ind w:firstLine="0" w:firstLineChars="0"/>
                    <w:jc w:val="center"/>
                    <w:rPr>
                      <w:rFonts w:eastAsiaTheme="minorEastAsia"/>
                      <w:szCs w:val="21"/>
                    </w:rPr>
                  </w:pPr>
                  <w:r>
                    <w:rPr>
                      <w:rFonts w:hint="eastAsia" w:eastAsiaTheme="minorEastAsia"/>
                      <w:szCs w:val="21"/>
                    </w:rPr>
                    <w:t>拆 解 区 环 境 噪 声 限 值 应 符 合GB12348 规定的三类声环境功能区的要求。拆解时存在有害气体或易燃气体，应做好导流和无害处理。</w:t>
                  </w:r>
                </w:p>
              </w:tc>
              <w:tc>
                <w:tcPr>
                  <w:tcW w:w="2552" w:type="dxa"/>
                  <w:shd w:val="clear" w:color="auto" w:fill="auto"/>
                  <w:vAlign w:val="center"/>
                </w:tcPr>
                <w:p>
                  <w:pPr>
                    <w:widowControl/>
                    <w:jc w:val="left"/>
                    <w:rPr>
                      <w:rFonts w:ascii="宋体" w:hAnsi="宋体" w:cs="宋体"/>
                      <w:kern w:val="0"/>
                      <w:sz w:val="24"/>
                    </w:rPr>
                  </w:pPr>
                  <w:r>
                    <w:rPr>
                      <w:rFonts w:hint="eastAsia" w:ascii="宋体" w:hAnsi="宋体" w:cs="宋体"/>
                      <w:kern w:val="0"/>
                      <w:szCs w:val="21"/>
                    </w:rPr>
                    <w:t xml:space="preserve">本项目采取选用低噪声设 </w:t>
                  </w:r>
                </w:p>
                <w:p>
                  <w:pPr>
                    <w:widowControl/>
                    <w:jc w:val="center"/>
                    <w:rPr>
                      <w:rFonts w:ascii="宋体" w:hAnsi="宋体" w:cs="宋体"/>
                      <w:kern w:val="0"/>
                      <w:sz w:val="24"/>
                    </w:rPr>
                  </w:pPr>
                  <w:r>
                    <w:rPr>
                      <w:rFonts w:hint="eastAsia" w:ascii="宋体" w:hAnsi="宋体" w:cs="宋体"/>
                      <w:kern w:val="0"/>
                      <w:szCs w:val="21"/>
                    </w:rPr>
                    <w:t>备，通过厂房隔声、基础减振等措施，噪声能够达标排放。本项目切割工段产生颗粒物通过布袋除尘处理、排空油箱产生的非甲烷总烃经过集气罩和活性炭吸附后均能实现达标排放。</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10</w:t>
                  </w:r>
                </w:p>
              </w:tc>
              <w:tc>
                <w:tcPr>
                  <w:tcW w:w="2949" w:type="dxa"/>
                  <w:shd w:val="clear" w:color="auto" w:fill="auto"/>
                  <w:vAlign w:val="center"/>
                </w:tcPr>
                <w:p>
                  <w:pPr>
                    <w:widowControl/>
                    <w:jc w:val="left"/>
                    <w:rPr>
                      <w:rFonts w:ascii="宋体" w:hAnsi="宋体" w:cs="宋体"/>
                      <w:kern w:val="0"/>
                      <w:sz w:val="24"/>
                    </w:rPr>
                  </w:pPr>
                  <w:r>
                    <w:rPr>
                      <w:rFonts w:hint="eastAsia" w:ascii="宋体" w:hAnsi="宋体" w:cs="宋体"/>
                      <w:kern w:val="0"/>
                      <w:szCs w:val="21"/>
                    </w:rPr>
                    <w:t>应建立报废农业机械回收拆解档案和数据库，对回收报废的农业机械逐台登记</w:t>
                  </w:r>
                  <w:r>
                    <w:rPr>
                      <w:kern w:val="0"/>
                      <w:szCs w:val="21"/>
                    </w:rPr>
                    <w:t>;</w:t>
                  </w:r>
                  <w:r>
                    <w:rPr>
                      <w:rFonts w:hint="eastAsia" w:ascii="宋体" w:hAnsi="宋体" w:cs="宋体"/>
                      <w:kern w:val="0"/>
                      <w:szCs w:val="21"/>
                    </w:rPr>
                    <w:t>记录农业机械和所有者信息，信息主要包括</w:t>
                  </w:r>
                  <w:r>
                    <w:rPr>
                      <w:kern w:val="0"/>
                      <w:szCs w:val="21"/>
                    </w:rPr>
                    <w:t>:</w:t>
                  </w:r>
                  <w:r>
                    <w:rPr>
                      <w:rFonts w:hint="eastAsia" w:ascii="宋体" w:hAnsi="宋体" w:cs="宋体"/>
                      <w:kern w:val="0"/>
                      <w:szCs w:val="21"/>
                    </w:rPr>
                    <w:t>机主</w:t>
                  </w:r>
                  <w:r>
                    <w:rPr>
                      <w:kern w:val="0"/>
                      <w:szCs w:val="21"/>
                    </w:rPr>
                    <w:t>(</w:t>
                  </w:r>
                  <w:r>
                    <w:rPr>
                      <w:rFonts w:hint="eastAsia" w:ascii="宋体" w:hAnsi="宋体" w:cs="宋体"/>
                      <w:kern w:val="0"/>
                      <w:szCs w:val="21"/>
                    </w:rPr>
                    <w:t>单位或个人</w:t>
                  </w:r>
                  <w:r>
                    <w:rPr>
                      <w:kern w:val="0"/>
                      <w:szCs w:val="21"/>
                    </w:rPr>
                    <w:t>)</w:t>
                  </w:r>
                  <w:r>
                    <w:rPr>
                      <w:rFonts w:hint="eastAsia" w:ascii="宋体" w:hAnsi="宋体" w:cs="宋体"/>
                      <w:kern w:val="0"/>
                      <w:szCs w:val="21"/>
                    </w:rPr>
                    <w:t>名称、证件号码、牌照号码</w:t>
                  </w:r>
                  <w:r>
                    <w:rPr>
                      <w:kern w:val="0"/>
                      <w:szCs w:val="21"/>
                    </w:rPr>
                    <w:t>(</w:t>
                  </w:r>
                  <w:r>
                    <w:rPr>
                      <w:rFonts w:hint="eastAsia" w:ascii="宋体" w:hAnsi="宋体" w:cs="宋体"/>
                      <w:kern w:val="0"/>
                      <w:szCs w:val="21"/>
                    </w:rPr>
                    <w:t>适用时</w:t>
                  </w:r>
                  <w:r>
                    <w:rPr>
                      <w:kern w:val="0"/>
                      <w:szCs w:val="21"/>
                    </w:rPr>
                    <w:t>)</w:t>
                  </w:r>
                  <w:r>
                    <w:rPr>
                      <w:rFonts w:hint="eastAsia" w:ascii="宋体" w:hAnsi="宋体" w:cs="宋体"/>
                      <w:kern w:val="0"/>
                      <w:szCs w:val="21"/>
                    </w:rPr>
                    <w:t>、品牌型号、机架号、发动机号、出厂年份、接收或收购日期等</w:t>
                  </w:r>
                  <w:r>
                    <w:rPr>
                      <w:kern w:val="0"/>
                      <w:szCs w:val="21"/>
                    </w:rPr>
                    <w:t>;</w:t>
                  </w:r>
                  <w:r>
                    <w:rPr>
                      <w:rFonts w:hint="eastAsia" w:ascii="宋体" w:hAnsi="宋体" w:cs="宋体"/>
                      <w:kern w:val="0"/>
                      <w:szCs w:val="21"/>
                    </w:rPr>
                    <w:t>记录回收、拆解、废弃物处理及拆解后零部件、材料和废弃物的数量</w:t>
                  </w:r>
                  <w:r>
                    <w:rPr>
                      <w:kern w:val="0"/>
                      <w:szCs w:val="21"/>
                    </w:rPr>
                    <w:t>/</w:t>
                  </w:r>
                  <w:r>
                    <w:rPr>
                      <w:rFonts w:hint="eastAsia" w:ascii="宋体" w:hAnsi="宋体" w:cs="宋体"/>
                      <w:kern w:val="0"/>
                      <w:szCs w:val="21"/>
                    </w:rPr>
                    <w:t>重量和流向等，并做好标识，处理批次和拆解数量与重量应统一</w:t>
                  </w:r>
                  <w:r>
                    <w:rPr>
                      <w:kern w:val="0"/>
                      <w:szCs w:val="21"/>
                    </w:rPr>
                    <w:t>；</w:t>
                  </w:r>
                  <w:r>
                    <w:rPr>
                      <w:rFonts w:hint="eastAsia" w:ascii="宋体" w:hAnsi="宋体" w:cs="宋体"/>
                      <w:kern w:val="0"/>
                      <w:szCs w:val="21"/>
                    </w:rPr>
                    <w:t>纸质档案保存期限不应少于</w:t>
                  </w:r>
                  <w:r>
                    <w:rPr>
                      <w:kern w:val="0"/>
                      <w:szCs w:val="21"/>
                    </w:rPr>
                    <w:t>3</w:t>
                  </w:r>
                  <w:r>
                    <w:rPr>
                      <w:rFonts w:hint="eastAsia" w:ascii="宋体" w:hAnsi="宋体" w:cs="宋体"/>
                      <w:kern w:val="0"/>
                      <w:szCs w:val="21"/>
                    </w:rPr>
                    <w:t xml:space="preserve">年，备份的电子档案和数据库，保存期限 </w:t>
                  </w:r>
                </w:p>
                <w:p>
                  <w:pPr>
                    <w:pStyle w:val="5"/>
                    <w:adjustRightInd w:val="0"/>
                    <w:snapToGrid w:val="0"/>
                    <w:ind w:firstLine="0" w:firstLineChars="0"/>
                    <w:jc w:val="center"/>
                    <w:rPr>
                      <w:rFonts w:eastAsiaTheme="minorEastAsia"/>
                      <w:szCs w:val="21"/>
                    </w:rPr>
                  </w:pPr>
                  <w:r>
                    <w:rPr>
                      <w:rFonts w:hint="eastAsia" w:ascii="宋体" w:hAnsi="宋体" w:cs="宋体"/>
                      <w:kern w:val="0"/>
                      <w:szCs w:val="21"/>
                    </w:rPr>
                    <w:t>不应少于</w:t>
                  </w:r>
                  <w:r>
                    <w:rPr>
                      <w:kern w:val="0"/>
                      <w:szCs w:val="21"/>
                    </w:rPr>
                    <w:t>5</w:t>
                  </w:r>
                  <w:r>
                    <w:rPr>
                      <w:rFonts w:hint="eastAsia" w:ascii="宋体" w:hAnsi="宋体" w:cs="宋体"/>
                      <w:kern w:val="0"/>
                      <w:szCs w:val="21"/>
                    </w:rPr>
                    <w:t>年。</w:t>
                  </w:r>
                </w:p>
              </w:tc>
              <w:tc>
                <w:tcPr>
                  <w:tcW w:w="2552" w:type="dxa"/>
                  <w:shd w:val="clear" w:color="auto" w:fill="auto"/>
                  <w:vAlign w:val="center"/>
                </w:tcPr>
                <w:p>
                  <w:pPr>
                    <w:widowControl/>
                    <w:jc w:val="center"/>
                    <w:rPr>
                      <w:rFonts w:ascii="宋体" w:hAnsi="宋体" w:cs="宋体"/>
                      <w:kern w:val="0"/>
                      <w:sz w:val="24"/>
                    </w:rPr>
                  </w:pPr>
                  <w:r>
                    <w:rPr>
                      <w:rFonts w:hint="eastAsia" w:ascii="宋体" w:hAnsi="宋体" w:cs="宋体"/>
                      <w:kern w:val="0"/>
                      <w:szCs w:val="21"/>
                    </w:rPr>
                    <w:t>企业建成后设置专门人员进行固体废物管理和系统上报工作。</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12"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11</w:t>
                  </w:r>
                </w:p>
              </w:tc>
              <w:tc>
                <w:tcPr>
                  <w:tcW w:w="2949" w:type="dxa"/>
                  <w:shd w:val="clear" w:color="auto" w:fill="auto"/>
                  <w:vAlign w:val="center"/>
                </w:tcPr>
                <w:p>
                  <w:pPr>
                    <w:widowControl/>
                    <w:jc w:val="center"/>
                    <w:rPr>
                      <w:rFonts w:ascii="宋体" w:hAnsi="宋体" w:cs="宋体"/>
                      <w:kern w:val="0"/>
                      <w:sz w:val="24"/>
                    </w:rPr>
                  </w:pPr>
                  <w:r>
                    <w:rPr>
                      <w:rFonts w:hint="eastAsia" w:ascii="宋体" w:hAnsi="宋体" w:cs="宋体"/>
                      <w:kern w:val="0"/>
                      <w:szCs w:val="21"/>
                    </w:rPr>
                    <w:t>预拆解需先对报废农业机械进行清洁处理，去除机械外部的非原机所属的覆盖物。</w:t>
                  </w:r>
                </w:p>
              </w:tc>
              <w:tc>
                <w:tcPr>
                  <w:tcW w:w="2552" w:type="dxa"/>
                  <w:shd w:val="clear" w:color="auto" w:fill="auto"/>
                  <w:vAlign w:val="center"/>
                </w:tcPr>
                <w:p>
                  <w:pPr>
                    <w:widowControl/>
                    <w:jc w:val="center"/>
                    <w:rPr>
                      <w:rFonts w:ascii="宋体" w:hAnsi="宋体" w:cs="宋体"/>
                      <w:kern w:val="0"/>
                      <w:sz w:val="24"/>
                    </w:rPr>
                  </w:pPr>
                  <w:r>
                    <w:rPr>
                      <w:rFonts w:hint="eastAsia" w:ascii="宋体" w:hAnsi="宋体" w:cs="宋体"/>
                      <w:kern w:val="0"/>
                      <w:szCs w:val="21"/>
                    </w:rPr>
                    <w:t>本项目拆解前需要对报废农业机动车进行清洁处理，去除机械外部的非原机所属的覆盖物</w:t>
                  </w:r>
                  <w:r>
                    <w:rPr>
                      <w:rFonts w:hint="eastAsia" w:eastAsiaTheme="minorEastAsia"/>
                      <w:szCs w:val="21"/>
                    </w:rPr>
                    <w:t>。</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12"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12</w:t>
                  </w:r>
                </w:p>
              </w:tc>
              <w:tc>
                <w:tcPr>
                  <w:tcW w:w="2949" w:type="dxa"/>
                  <w:shd w:val="clear" w:color="auto" w:fill="auto"/>
                  <w:vAlign w:val="center"/>
                </w:tcPr>
                <w:p>
                  <w:pPr>
                    <w:widowControl/>
                    <w:jc w:val="center"/>
                    <w:rPr>
                      <w:rFonts w:ascii="宋体" w:hAnsi="宋体" w:cs="宋体"/>
                      <w:kern w:val="0"/>
                      <w:sz w:val="24"/>
                    </w:rPr>
                  </w:pPr>
                  <w:r>
                    <w:rPr>
                      <w:rFonts w:hint="eastAsia" w:ascii="宋体" w:hAnsi="宋体" w:cs="宋体"/>
                      <w:kern w:val="0"/>
                      <w:szCs w:val="21"/>
                    </w:rPr>
                    <w:t xml:space="preserve">固体废物储存：固体废物的储存应符合 </w:t>
                  </w:r>
                  <w:r>
                    <w:rPr>
                      <w:kern w:val="0"/>
                      <w:szCs w:val="21"/>
                    </w:rPr>
                    <w:t>GB18599</w:t>
                  </w:r>
                  <w:r>
                    <w:rPr>
                      <w:rFonts w:hint="eastAsia" w:ascii="宋体" w:hAnsi="宋体" w:cs="宋体"/>
                      <w:kern w:val="0"/>
                      <w:szCs w:val="21"/>
                    </w:rPr>
                    <w:t>、</w:t>
                  </w:r>
                  <w:r>
                    <w:rPr>
                      <w:kern w:val="0"/>
                      <w:szCs w:val="21"/>
                    </w:rPr>
                    <w:t xml:space="preserve">GB18597 </w:t>
                  </w:r>
                  <w:r>
                    <w:rPr>
                      <w:rFonts w:hint="eastAsia" w:ascii="宋体" w:hAnsi="宋体" w:cs="宋体"/>
                      <w:kern w:val="0"/>
                      <w:szCs w:val="21"/>
                    </w:rPr>
                    <w:t>和</w:t>
                  </w:r>
                  <w:r>
                    <w:rPr>
                      <w:kern w:val="0"/>
                      <w:szCs w:val="21"/>
                    </w:rPr>
                    <w:t xml:space="preserve">HJ2025 </w:t>
                  </w:r>
                  <w:r>
                    <w:rPr>
                      <w:rFonts w:hint="eastAsia" w:ascii="宋体" w:hAnsi="宋体" w:cs="宋体"/>
                      <w:kern w:val="0"/>
                      <w:szCs w:val="21"/>
                    </w:rPr>
                    <w:t>的规定。一般工业固体废物 储 存 设 施 及 包 装 物 应 按 照</w:t>
                  </w:r>
                  <w:r>
                    <w:rPr>
                      <w:kern w:val="0"/>
                      <w:szCs w:val="21"/>
                    </w:rPr>
                    <w:t xml:space="preserve">GB15562.2 </w:t>
                  </w:r>
                  <w:r>
                    <w:rPr>
                      <w:rFonts w:hint="eastAsia" w:ascii="宋体" w:hAnsi="宋体" w:cs="宋体"/>
                      <w:kern w:val="0"/>
                      <w:szCs w:val="21"/>
                    </w:rPr>
                    <w:t xml:space="preserve">的规定进行标识，危险废物储存设施及包装物的标志应符合 </w:t>
                  </w:r>
                  <w:r>
                    <w:rPr>
                      <w:kern w:val="0"/>
                      <w:szCs w:val="21"/>
                    </w:rPr>
                    <w:t xml:space="preserve">GB18597 </w:t>
                  </w:r>
                  <w:r>
                    <w:rPr>
                      <w:rFonts w:hint="eastAsia" w:ascii="宋体" w:hAnsi="宋体" w:cs="宋体"/>
                      <w:kern w:val="0"/>
                      <w:szCs w:val="21"/>
                    </w:rPr>
                    <w:t xml:space="preserve">和 </w:t>
                  </w:r>
                  <w:r>
                    <w:rPr>
                      <w:kern w:val="0"/>
                      <w:szCs w:val="21"/>
                    </w:rPr>
                    <w:t xml:space="preserve">HJ2025 </w:t>
                  </w:r>
                  <w:r>
                    <w:rPr>
                      <w:rFonts w:hint="eastAsia" w:ascii="宋体" w:hAnsi="宋体" w:cs="宋体"/>
                      <w:kern w:val="0"/>
                      <w:szCs w:val="21"/>
                    </w:rPr>
                    <w:t>的规定。所有固体废物避免混合、混放。妥善处置固体废物，不应非法转移、倾倒、利用和处置。废弃电器、铅酸蓄电池储存场地不得有明火。容器和装置要防漏和防止洒溅，并对其进行日常性检查。对拆解后的所有固体废物分类储存和标识。</w:t>
                  </w:r>
                </w:p>
              </w:tc>
              <w:tc>
                <w:tcPr>
                  <w:tcW w:w="2552" w:type="dxa"/>
                  <w:shd w:val="clear" w:color="auto" w:fill="auto"/>
                  <w:vAlign w:val="center"/>
                </w:tcPr>
                <w:p>
                  <w:pPr>
                    <w:widowControl/>
                    <w:jc w:val="center"/>
                    <w:rPr>
                      <w:rFonts w:ascii="宋体" w:hAnsi="宋体" w:cs="宋体"/>
                      <w:kern w:val="0"/>
                      <w:sz w:val="24"/>
                    </w:rPr>
                  </w:pPr>
                  <w:r>
                    <w:rPr>
                      <w:rFonts w:hint="eastAsia" w:ascii="宋体" w:hAnsi="宋体" w:cs="宋体"/>
                      <w:kern w:val="0"/>
                      <w:szCs w:val="21"/>
                    </w:rPr>
                    <w:t xml:space="preserve">本项目拆解后产生的有毒有害 的 危 险 废 物 按 照 </w:t>
                  </w:r>
                  <w:r>
                    <w:rPr>
                      <w:kern w:val="0"/>
                      <w:szCs w:val="21"/>
                    </w:rPr>
                    <w:t>GB18597</w:t>
                  </w:r>
                  <w:r>
                    <w:rPr>
                      <w:rFonts w:hint="eastAsia" w:ascii="宋体" w:hAnsi="宋体" w:cs="宋体"/>
                      <w:kern w:val="0"/>
                      <w:szCs w:val="21"/>
                    </w:rPr>
                    <w:t>、</w:t>
                  </w:r>
                  <w:r>
                    <w:rPr>
                      <w:kern w:val="0"/>
                      <w:szCs w:val="21"/>
                    </w:rPr>
                    <w:t>HJ2025</w:t>
                  </w:r>
                  <w:r>
                    <w:rPr>
                      <w:rFonts w:hint="eastAsia" w:ascii="宋体" w:hAnsi="宋体" w:cs="宋体"/>
                      <w:kern w:val="0"/>
                      <w:szCs w:val="21"/>
                    </w:rPr>
                    <w:t xml:space="preserve">的规定进行存储和处置，危险废物交由有相应资质的单位进行处置，一般固废按照 </w:t>
                  </w:r>
                  <w:r>
                    <w:rPr>
                      <w:kern w:val="0"/>
                      <w:szCs w:val="21"/>
                    </w:rPr>
                    <w:t xml:space="preserve">GB18599 </w:t>
                  </w:r>
                  <w:r>
                    <w:rPr>
                      <w:rFonts w:hint="eastAsia" w:ascii="宋体" w:hAnsi="宋体" w:cs="宋体"/>
                      <w:kern w:val="0"/>
                      <w:szCs w:val="21"/>
                    </w:rPr>
                    <w:t>的规定进行存储和处置。一般工业固体废物与危险废物储存设施和包装物按规定设置标志。危险废物均置于专用储存容器中存放。所有固体废物均不混合混放</w:t>
                  </w:r>
                  <w:r>
                    <w:rPr>
                      <w:rFonts w:hint="eastAsia" w:eastAsiaTheme="minorEastAsia"/>
                      <w:szCs w:val="21"/>
                    </w:rPr>
                    <w:t>。</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bl>
          <w:p/>
          <w:p/>
          <w:p>
            <w:pPr>
              <w:rPr>
                <w:rFonts w:eastAsiaTheme="minorEastAsia"/>
              </w:rPr>
            </w:pPr>
            <w:r>
              <w:rPr>
                <w:rFonts w:hint="eastAsia" w:eastAsiaTheme="minorEastAsia"/>
                <w:b/>
                <w:sz w:val="24"/>
              </w:rPr>
              <w:t>续表</w:t>
            </w:r>
            <w:r>
              <w:rPr>
                <w:rFonts w:eastAsiaTheme="minorEastAsia"/>
                <w:b/>
                <w:sz w:val="24"/>
              </w:rPr>
              <w:t>1-</w:t>
            </w:r>
            <w:r>
              <w:rPr>
                <w:rFonts w:hint="eastAsia" w:eastAsiaTheme="minorEastAsia"/>
                <w:b/>
                <w:sz w:val="24"/>
              </w:rPr>
              <w:t>4</w:t>
            </w:r>
            <w:r>
              <w:rPr>
                <w:rFonts w:eastAsiaTheme="minorEastAsia"/>
                <w:b/>
                <w:sz w:val="24"/>
              </w:rPr>
              <w:t xml:space="preserve"> </w:t>
            </w:r>
            <w:r>
              <w:rPr>
                <w:rFonts w:hint="eastAsia" w:eastAsiaTheme="minorEastAsia"/>
                <w:b/>
                <w:sz w:val="24"/>
              </w:rPr>
              <w:t>项目与《报废农业机械回收拆解技术规范》符合性分析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2949"/>
              <w:gridCol w:w="2552"/>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21"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13</w:t>
                  </w:r>
                </w:p>
              </w:tc>
              <w:tc>
                <w:tcPr>
                  <w:tcW w:w="2949" w:type="dxa"/>
                  <w:shd w:val="clear" w:color="auto" w:fill="auto"/>
                  <w:vAlign w:val="center"/>
                </w:tcPr>
                <w:p>
                  <w:pPr>
                    <w:widowControl/>
                    <w:jc w:val="center"/>
                    <w:rPr>
                      <w:rFonts w:ascii="宋体" w:hAnsi="宋体" w:cs="宋体"/>
                      <w:kern w:val="0"/>
                      <w:sz w:val="24"/>
                    </w:rPr>
                  </w:pPr>
                  <w:r>
                    <w:rPr>
                      <w:rFonts w:hint="eastAsia" w:ascii="宋体" w:hAnsi="宋体" w:cs="宋体"/>
                      <w:kern w:val="0"/>
                      <w:szCs w:val="21"/>
                    </w:rPr>
                    <w:t xml:space="preserve">专用密闭容器存储，防漏、防洒溅、防挥发，并交给核发的废液回收处理企业；拆解后的可再利用零部件存储前，应做清洗和防锈等处理后在室内存储，并标明“回用件”；拆解后的所有的零部件、材料、废物，应按照 </w:t>
                  </w:r>
                  <w:r>
                    <w:rPr>
                      <w:kern w:val="0"/>
                      <w:szCs w:val="21"/>
                    </w:rPr>
                    <w:t xml:space="preserve">GB18484 </w:t>
                  </w:r>
                  <w:r>
                    <w:rPr>
                      <w:rFonts w:hint="eastAsia" w:ascii="宋体" w:hAnsi="宋体" w:cs="宋体"/>
                      <w:kern w:val="0"/>
                      <w:szCs w:val="21"/>
                    </w:rPr>
                    <w:t>的规定分类存储和标识，废物不得焚烧、丢弃；对列入国家危险</w:t>
                  </w:r>
                </w:p>
                <w:p>
                  <w:pPr>
                    <w:widowControl/>
                    <w:jc w:val="center"/>
                    <w:rPr>
                      <w:rFonts w:ascii="宋体" w:hAnsi="宋体" w:cs="宋体"/>
                      <w:kern w:val="0"/>
                      <w:sz w:val="24"/>
                    </w:rPr>
                  </w:pPr>
                  <w:r>
                    <w:rPr>
                      <w:rFonts w:hint="eastAsia" w:ascii="宋体" w:hAnsi="宋体" w:cs="宋体"/>
                      <w:kern w:val="0"/>
                      <w:szCs w:val="21"/>
                    </w:rPr>
                    <w:t>废 物 名 录 的 危 险 废 物 应 按 照</w:t>
                  </w:r>
                  <w:r>
                    <w:rPr>
                      <w:kern w:val="0"/>
                      <w:szCs w:val="21"/>
                    </w:rPr>
                    <w:t xml:space="preserve">GB18599 </w:t>
                  </w:r>
                  <w:r>
                    <w:rPr>
                      <w:rFonts w:hint="eastAsia" w:ascii="宋体" w:hAnsi="宋体" w:cs="宋体"/>
                      <w:kern w:val="0"/>
                      <w:szCs w:val="21"/>
                    </w:rPr>
                    <w:t>的规定进行储存和污染控制管理；拆解后有毒有害的危险 废 物 的 存 储 和 处 置 应 符 合</w:t>
                  </w:r>
                  <w:r>
                    <w:rPr>
                      <w:kern w:val="0"/>
                      <w:szCs w:val="21"/>
                    </w:rPr>
                    <w:t xml:space="preserve">GB18597 </w:t>
                  </w:r>
                  <w:r>
                    <w:rPr>
                      <w:rFonts w:hint="eastAsia" w:ascii="宋体" w:hAnsi="宋体" w:cs="宋体"/>
                      <w:kern w:val="0"/>
                      <w:szCs w:val="21"/>
                    </w:rPr>
                    <w:t>的规定，危险废物应交由具有相应资质的企业进行处置；动力蓄电池、电子元器件拆解后应单独存放，对锂电池进行整体拆解存放，做好防止自燃措施，并交由有资质的处置企业进行回收处理</w:t>
                  </w:r>
                  <w:r>
                    <w:rPr>
                      <w:kern w:val="0"/>
                      <w:szCs w:val="21"/>
                    </w:rPr>
                    <w:t>.</w:t>
                  </w:r>
                  <w:r>
                    <w:rPr>
                      <w:rFonts w:hint="eastAsia" w:ascii="宋体" w:hAnsi="宋体" w:cs="宋体"/>
                      <w:kern w:val="0"/>
                      <w:szCs w:val="21"/>
                    </w:rPr>
                    <w:t>电子元器件应交由有废电器资质企业拆解，不可自行拆解。</w:t>
                  </w:r>
                </w:p>
              </w:tc>
              <w:tc>
                <w:tcPr>
                  <w:tcW w:w="2552" w:type="dxa"/>
                  <w:shd w:val="clear" w:color="auto" w:fill="auto"/>
                  <w:vAlign w:val="center"/>
                </w:tcPr>
                <w:p>
                  <w:pPr>
                    <w:widowControl/>
                    <w:jc w:val="center"/>
                    <w:rPr>
                      <w:rFonts w:ascii="宋体" w:hAnsi="宋体" w:cs="宋体"/>
                      <w:kern w:val="0"/>
                      <w:sz w:val="24"/>
                    </w:rPr>
                  </w:pPr>
                  <w:r>
                    <w:rPr>
                      <w:rFonts w:hint="eastAsia" w:ascii="宋体" w:hAnsi="宋体" w:cs="宋体"/>
                      <w:kern w:val="0"/>
                      <w:szCs w:val="21"/>
                    </w:rPr>
                    <w:t>本项目废液使用专用密闭容器存储，防漏、防洒溅、防挥发，暂存于危险废物贮存库，定期委托有资质单位进行处理；本项目拆解下来的各种可回收利用物品和零部件，包括废钢铁、废塑料、废玻璃、废橡胶等仅拆下，不进行拆解，定期外售；拆解后一般固体废物的存储和处置应按照</w:t>
                  </w:r>
                  <w:r>
                    <w:rPr>
                      <w:kern w:val="0"/>
                      <w:szCs w:val="21"/>
                    </w:rPr>
                    <w:t>GB18599</w:t>
                  </w:r>
                  <w:r>
                    <w:rPr>
                      <w:rFonts w:hint="eastAsia" w:ascii="宋体" w:hAnsi="宋体" w:cs="宋体"/>
                      <w:kern w:val="0"/>
                      <w:szCs w:val="21"/>
                    </w:rPr>
                    <w:t>的规定执行；拆解后有毒有害的危险废物的存储和处置应按照</w:t>
                  </w:r>
                  <w:r>
                    <w:rPr>
                      <w:kern w:val="0"/>
                      <w:szCs w:val="21"/>
                    </w:rPr>
                    <w:t>GB18597</w:t>
                  </w:r>
                  <w:r>
                    <w:rPr>
                      <w:rFonts w:hint="eastAsia" w:ascii="宋体" w:hAnsi="宋体" w:cs="宋体"/>
                      <w:kern w:val="0"/>
                      <w:szCs w:val="21"/>
                    </w:rPr>
                    <w:t>的规定执行，危险废物应交由具有相应资质的单位进行处置</w:t>
                  </w:r>
                  <w:r>
                    <w:rPr>
                      <w:rFonts w:hint="eastAsia" w:eastAsiaTheme="minorEastAsia"/>
                      <w:szCs w:val="21"/>
                    </w:rPr>
                    <w:t>。</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bl>
          <w:p>
            <w:pPr>
              <w:autoSpaceDE w:val="0"/>
              <w:autoSpaceDN w:val="0"/>
              <w:adjustRightInd w:val="0"/>
              <w:snapToGrid w:val="0"/>
              <w:spacing w:line="360" w:lineRule="auto"/>
              <w:ind w:firstLine="482" w:firstLineChars="200"/>
              <w:jc w:val="left"/>
              <w:rPr>
                <w:rFonts w:eastAsiaTheme="minorEastAsia"/>
                <w:b/>
                <w:kern w:val="0"/>
                <w:sz w:val="24"/>
                <w:szCs w:val="21"/>
              </w:rPr>
            </w:pPr>
            <w:r>
              <w:rPr>
                <w:rFonts w:hint="eastAsia" w:eastAsiaTheme="minorEastAsia"/>
                <w:b/>
                <w:kern w:val="0"/>
                <w:sz w:val="24"/>
                <w:szCs w:val="21"/>
              </w:rPr>
              <w:t>5、本项目与《黑龙江省大气污染防治条例》符合性分析</w:t>
            </w:r>
          </w:p>
          <w:p>
            <w:pPr>
              <w:spacing w:line="360" w:lineRule="auto"/>
              <w:ind w:firstLine="480" w:firstLineChars="200"/>
              <w:contextualSpacing/>
              <w:rPr>
                <w:rFonts w:eastAsiaTheme="minorEastAsia"/>
                <w:bCs/>
                <w:kern w:val="0"/>
                <w:sz w:val="24"/>
                <w:szCs w:val="21"/>
              </w:rPr>
            </w:pPr>
            <w:r>
              <w:rPr>
                <w:rFonts w:hint="eastAsia" w:eastAsiaTheme="minorEastAsia"/>
                <w:bCs/>
                <w:kern w:val="0"/>
                <w:sz w:val="24"/>
                <w:szCs w:val="21"/>
              </w:rPr>
              <w:t>产生含挥发性有机物废气的活动，未按照规定采取污染防治措施的，由县级以上生态环境主管部门责令改正。</w:t>
            </w:r>
          </w:p>
          <w:p>
            <w:pPr>
              <w:spacing w:line="360" w:lineRule="auto"/>
              <w:ind w:firstLine="480" w:firstLineChars="200"/>
              <w:contextualSpacing/>
              <w:rPr>
                <w:rFonts w:eastAsiaTheme="minorEastAsia"/>
                <w:bCs/>
                <w:kern w:val="0"/>
                <w:sz w:val="24"/>
                <w:szCs w:val="21"/>
              </w:rPr>
            </w:pPr>
            <w:r>
              <w:rPr>
                <w:rFonts w:eastAsiaTheme="minorEastAsia"/>
                <w:bCs/>
                <w:kern w:val="0"/>
                <w:sz w:val="24"/>
                <w:szCs w:val="21"/>
              </w:rPr>
              <w:t>本项目油液排空区采用集气罩集中收集经二级活性炭吸附装置处理后由15m高2#排气筒排放，收集效率90%，</w:t>
            </w:r>
            <w:r>
              <w:rPr>
                <w:rFonts w:eastAsiaTheme="minorEastAsia"/>
                <w:kern w:val="0"/>
                <w:sz w:val="24"/>
              </w:rPr>
              <w:t>处理效率</w:t>
            </w:r>
            <w:r>
              <w:rPr>
                <w:rFonts w:hint="eastAsia" w:eastAsiaTheme="minorEastAsia"/>
                <w:kern w:val="0"/>
                <w:sz w:val="24"/>
              </w:rPr>
              <w:t>75</w:t>
            </w:r>
            <w:r>
              <w:rPr>
                <w:rFonts w:eastAsiaTheme="minorEastAsia"/>
                <w:kern w:val="0"/>
                <w:sz w:val="24"/>
              </w:rPr>
              <w:t>%</w:t>
            </w:r>
            <w:r>
              <w:rPr>
                <w:rFonts w:eastAsiaTheme="minorEastAsia"/>
                <w:sz w:val="24"/>
              </w:rPr>
              <w:t>，</w:t>
            </w:r>
            <w:r>
              <w:rPr>
                <w:rFonts w:eastAsiaTheme="minorEastAsia"/>
                <w:bCs/>
                <w:kern w:val="0"/>
                <w:sz w:val="24"/>
                <w:szCs w:val="21"/>
              </w:rPr>
              <w:t>未收集VOCs以无组织形式排放，危险废物贮存库采取负压收集方式，经二级活性炭吸附装置处理后由15m高3#排气筒排放，收集效率90%，</w:t>
            </w:r>
            <w:r>
              <w:rPr>
                <w:rFonts w:eastAsiaTheme="minorEastAsia"/>
                <w:kern w:val="0"/>
                <w:sz w:val="24"/>
              </w:rPr>
              <w:t>处理效率</w:t>
            </w:r>
            <w:r>
              <w:rPr>
                <w:rFonts w:hint="eastAsia" w:eastAsiaTheme="minorEastAsia"/>
                <w:kern w:val="0"/>
                <w:sz w:val="24"/>
              </w:rPr>
              <w:t>75</w:t>
            </w:r>
            <w:r>
              <w:rPr>
                <w:rFonts w:eastAsiaTheme="minorEastAsia"/>
                <w:kern w:val="0"/>
                <w:sz w:val="24"/>
              </w:rPr>
              <w:t>%</w:t>
            </w:r>
            <w:r>
              <w:rPr>
                <w:rFonts w:eastAsiaTheme="minorEastAsia"/>
                <w:sz w:val="24"/>
              </w:rPr>
              <w:t>，</w:t>
            </w:r>
            <w:r>
              <w:rPr>
                <w:rFonts w:eastAsiaTheme="minorEastAsia"/>
                <w:bCs/>
                <w:kern w:val="0"/>
                <w:sz w:val="24"/>
                <w:szCs w:val="21"/>
              </w:rPr>
              <w:t>未收集VOCs以无组织形式排放；切割区采用集气罩集中收集经布袋除尘器处理后由15m高1#排气筒排放，收集效率90%，处理效率9</w:t>
            </w:r>
            <w:r>
              <w:rPr>
                <w:rFonts w:hint="eastAsia" w:eastAsiaTheme="minorEastAsia"/>
                <w:bCs/>
                <w:kern w:val="0"/>
                <w:sz w:val="24"/>
                <w:szCs w:val="21"/>
              </w:rPr>
              <w:t>9</w:t>
            </w:r>
            <w:r>
              <w:rPr>
                <w:rFonts w:eastAsiaTheme="minorEastAsia"/>
                <w:bCs/>
                <w:kern w:val="0"/>
                <w:sz w:val="24"/>
                <w:szCs w:val="21"/>
              </w:rPr>
              <w:t>%，未收集颗粒物以无组织形式排放，符合要求。</w:t>
            </w:r>
          </w:p>
          <w:p>
            <w:pPr>
              <w:spacing w:line="360" w:lineRule="auto"/>
              <w:ind w:firstLine="482" w:firstLineChars="200"/>
              <w:rPr>
                <w:sz w:val="24"/>
                <w:lang w:val="zh-CN"/>
              </w:rPr>
            </w:pPr>
            <w:r>
              <w:rPr>
                <w:rFonts w:hint="eastAsia"/>
                <w:b/>
                <w:sz w:val="24"/>
                <w:lang w:val="zh-CN"/>
              </w:rPr>
              <w:t>6、</w:t>
            </w:r>
            <w:r>
              <w:rPr>
                <w:rFonts w:hint="eastAsia" w:eastAsiaTheme="minorEastAsia"/>
                <w:b/>
                <w:kern w:val="0"/>
                <w:sz w:val="24"/>
                <w:szCs w:val="21"/>
              </w:rPr>
              <w:t>本项目与《黑龙江省</w:t>
            </w:r>
            <w:r>
              <w:rPr>
                <w:rFonts w:eastAsiaTheme="minorEastAsia"/>
                <w:b/>
                <w:bCs/>
                <w:kern w:val="0"/>
                <w:sz w:val="24"/>
                <w:szCs w:val="21"/>
              </w:rPr>
              <w:t>重点行业挥发性有机物综合治理方案</w:t>
            </w:r>
            <w:r>
              <w:rPr>
                <w:rFonts w:hint="eastAsia" w:eastAsiaTheme="minorEastAsia"/>
                <w:b/>
                <w:kern w:val="0"/>
                <w:sz w:val="24"/>
                <w:szCs w:val="21"/>
              </w:rPr>
              <w:t>》符合性分析</w:t>
            </w:r>
          </w:p>
          <w:p>
            <w:pPr>
              <w:spacing w:line="360" w:lineRule="auto"/>
              <w:ind w:firstLine="480" w:firstLineChars="200"/>
              <w:rPr>
                <w:sz w:val="24"/>
              </w:rPr>
            </w:pPr>
            <w:r>
              <w:rPr>
                <w:rFonts w:hint="eastAsia"/>
                <w:sz w:val="24"/>
              </w:rPr>
              <w:t>根据《黑龙江省重点行业挥发性有机物综合治理行动方案》中要求，</w:t>
            </w:r>
            <w:r>
              <w:rPr>
                <w:sz w:val="24"/>
              </w:rPr>
              <w:t>“</w:t>
            </w:r>
            <w:r>
              <w:rPr>
                <w:rFonts w:hint="eastAsia"/>
                <w:sz w:val="24"/>
              </w:rPr>
              <w:t>使用的原辅材料</w:t>
            </w:r>
            <w:r>
              <w:rPr>
                <w:sz w:val="24"/>
              </w:rPr>
              <w:t>VOCs</w:t>
            </w:r>
            <w:r>
              <w:rPr>
                <w:rFonts w:hint="eastAsia"/>
                <w:sz w:val="24"/>
              </w:rPr>
              <w:t>含量（质量比）低于</w:t>
            </w:r>
            <w:r>
              <w:rPr>
                <w:sz w:val="24"/>
              </w:rPr>
              <w:t>10%</w:t>
            </w:r>
            <w:r>
              <w:rPr>
                <w:rFonts w:hint="eastAsia"/>
                <w:sz w:val="24"/>
              </w:rPr>
              <w:t>的工序，可不要求采取无组织排放收集措施。</w:t>
            </w:r>
          </w:p>
          <w:p>
            <w:pPr>
              <w:spacing w:line="360" w:lineRule="auto"/>
              <w:ind w:firstLine="480" w:firstLineChars="200"/>
              <w:rPr>
                <w:sz w:val="24"/>
              </w:rPr>
            </w:pPr>
            <w:r>
              <w:rPr>
                <w:rFonts w:eastAsiaTheme="minorEastAsia"/>
                <w:bCs/>
                <w:kern w:val="0"/>
                <w:sz w:val="24"/>
                <w:szCs w:val="21"/>
              </w:rPr>
              <w:t>本项目油液排空区采用集气罩集中收集经二级活性炭吸附装置处理后由15m高2#排气筒排放，收集效率90%，</w:t>
            </w:r>
            <w:r>
              <w:rPr>
                <w:rFonts w:eastAsiaTheme="minorEastAsia"/>
                <w:kern w:val="0"/>
                <w:sz w:val="24"/>
              </w:rPr>
              <w:t>处理效率</w:t>
            </w:r>
            <w:r>
              <w:rPr>
                <w:rFonts w:hint="eastAsia" w:eastAsiaTheme="minorEastAsia"/>
                <w:kern w:val="0"/>
                <w:sz w:val="24"/>
              </w:rPr>
              <w:t>75</w:t>
            </w:r>
            <w:r>
              <w:rPr>
                <w:rFonts w:eastAsiaTheme="minorEastAsia"/>
                <w:kern w:val="0"/>
                <w:sz w:val="24"/>
              </w:rPr>
              <w:t>%</w:t>
            </w:r>
            <w:r>
              <w:rPr>
                <w:rFonts w:eastAsiaTheme="minorEastAsia"/>
                <w:sz w:val="24"/>
              </w:rPr>
              <w:t>，</w:t>
            </w:r>
            <w:r>
              <w:rPr>
                <w:rFonts w:eastAsiaTheme="minorEastAsia"/>
                <w:bCs/>
                <w:kern w:val="0"/>
                <w:sz w:val="24"/>
                <w:szCs w:val="21"/>
              </w:rPr>
              <w:t>未收集VOCs以无组织形式排放，危险废物贮存库采取负压收集方式，经二级活性炭吸附装置处理后由15m高3#排气筒排放，收集效率90%，</w:t>
            </w:r>
            <w:r>
              <w:rPr>
                <w:rFonts w:eastAsiaTheme="minorEastAsia"/>
                <w:kern w:val="0"/>
                <w:sz w:val="24"/>
              </w:rPr>
              <w:t>处理效率</w:t>
            </w:r>
            <w:r>
              <w:rPr>
                <w:rFonts w:hint="eastAsia" w:eastAsiaTheme="minorEastAsia"/>
                <w:kern w:val="0"/>
                <w:sz w:val="24"/>
              </w:rPr>
              <w:t>75</w:t>
            </w:r>
            <w:r>
              <w:rPr>
                <w:rFonts w:eastAsiaTheme="minorEastAsia"/>
                <w:kern w:val="0"/>
                <w:sz w:val="24"/>
              </w:rPr>
              <w:t>%</w:t>
            </w:r>
            <w:r>
              <w:rPr>
                <w:rFonts w:eastAsiaTheme="minorEastAsia"/>
                <w:sz w:val="24"/>
              </w:rPr>
              <w:t>，</w:t>
            </w:r>
            <w:r>
              <w:rPr>
                <w:rFonts w:eastAsiaTheme="minorEastAsia"/>
                <w:bCs/>
                <w:kern w:val="0"/>
                <w:sz w:val="24"/>
                <w:szCs w:val="21"/>
              </w:rPr>
              <w:t>未收集VOCs以无组织形式排放。</w:t>
            </w:r>
            <w:r>
              <w:rPr>
                <w:rFonts w:hint="eastAsia" w:eastAsiaTheme="minorEastAsia"/>
                <w:bCs/>
                <w:kern w:val="0"/>
                <w:sz w:val="24"/>
                <w:szCs w:val="21"/>
              </w:rPr>
              <w:t>符合《黑龙江省重点行业挥发性有机物综合治理行动方案》的要求。</w:t>
            </w:r>
          </w:p>
          <w:p>
            <w:pPr>
              <w:spacing w:line="360" w:lineRule="auto"/>
              <w:ind w:firstLine="482" w:firstLineChars="200"/>
              <w:rPr>
                <w:b/>
                <w:sz w:val="24"/>
                <w:lang w:val="zh-CN"/>
              </w:rPr>
            </w:pPr>
            <w:r>
              <w:rPr>
                <w:rFonts w:hint="eastAsia"/>
                <w:b/>
                <w:sz w:val="24"/>
                <w:lang w:val="zh-CN"/>
              </w:rPr>
              <w:t>7、</w:t>
            </w:r>
            <w:r>
              <w:rPr>
                <w:rFonts w:hint="eastAsia" w:eastAsiaTheme="minorEastAsia"/>
                <w:b/>
                <w:kern w:val="0"/>
                <w:sz w:val="24"/>
                <w:szCs w:val="21"/>
              </w:rPr>
              <w:t>本项目与《</w:t>
            </w:r>
            <w:r>
              <w:rPr>
                <w:rFonts w:hint="eastAsia" w:eastAsiaTheme="minorEastAsia"/>
                <w:b/>
                <w:bCs/>
                <w:kern w:val="0"/>
                <w:sz w:val="24"/>
                <w:szCs w:val="21"/>
              </w:rPr>
              <w:t>黑龙江省空气质量持续改善行动计划实施方案</w:t>
            </w:r>
            <w:r>
              <w:rPr>
                <w:rFonts w:hint="eastAsia" w:eastAsiaTheme="minorEastAsia"/>
                <w:b/>
                <w:kern w:val="0"/>
                <w:sz w:val="24"/>
                <w:szCs w:val="21"/>
              </w:rPr>
              <w:t>》符合性分析</w:t>
            </w:r>
          </w:p>
          <w:p>
            <w:pPr>
              <w:spacing w:line="360" w:lineRule="auto"/>
              <w:ind w:firstLine="480" w:firstLineChars="200"/>
              <w:rPr>
                <w:sz w:val="24"/>
              </w:rPr>
            </w:pPr>
            <w:r>
              <w:rPr>
                <w:rFonts w:hint="eastAsia"/>
                <w:sz w:val="24"/>
              </w:rPr>
              <w:t>《黑龙江省空气质量持续改善行动计划实施方案》要求“（五）加快重点行业落后产能淘汰退出。严格执行《产业结构调整指导目录》要求，加大退出淘汰类产能、工艺、装备，提高限制类产能、工艺、装备淘汰改造引导力度。（七）积极推进含</w:t>
            </w:r>
            <w:r>
              <w:rPr>
                <w:sz w:val="24"/>
              </w:rPr>
              <w:t>VOCs</w:t>
            </w:r>
            <w:r>
              <w:rPr>
                <w:rFonts w:hint="eastAsia"/>
                <w:sz w:val="24"/>
              </w:rPr>
              <w:t>原辅材料和产品源头替代。严格控制生产和使用高</w:t>
            </w:r>
            <w:r>
              <w:rPr>
                <w:sz w:val="24"/>
              </w:rPr>
              <w:t>VOCs</w:t>
            </w:r>
            <w:r>
              <w:rPr>
                <w:rFonts w:hint="eastAsia"/>
                <w:sz w:val="24"/>
              </w:rPr>
              <w:t>含量溶剂型涂料、油墨、胶粘剂、清洗剂等建设项目。提高水性、高固体分、无溶剂、粉末等低（无）</w:t>
            </w:r>
            <w:r>
              <w:rPr>
                <w:sz w:val="24"/>
              </w:rPr>
              <w:t>VOCs</w:t>
            </w:r>
            <w:r>
              <w:rPr>
                <w:rFonts w:hint="eastAsia"/>
                <w:sz w:val="24"/>
              </w:rPr>
              <w:t>含量产品的比重。工业涂装、包装印刷、电子等行业企业要加大低（无）</w:t>
            </w:r>
            <w:r>
              <w:rPr>
                <w:sz w:val="24"/>
              </w:rPr>
              <w:t>VOCs</w:t>
            </w:r>
            <w:r>
              <w:rPr>
                <w:rFonts w:hint="eastAsia"/>
                <w:sz w:val="24"/>
              </w:rPr>
              <w:t>含量原辅材料的源头替代力度。在房屋建筑和市政工程中，全面推广使用低（无）</w:t>
            </w:r>
            <w:r>
              <w:rPr>
                <w:sz w:val="24"/>
              </w:rPr>
              <w:t>VOCs</w:t>
            </w:r>
            <w:r>
              <w:rPr>
                <w:rFonts w:hint="eastAsia"/>
                <w:sz w:val="24"/>
              </w:rPr>
              <w:t>含量涂料和胶粘剂；推动除特殊功能要求外的室内地坪施工、室外构筑物防护和道路交通标志喷涂使用低（无）</w:t>
            </w:r>
            <w:r>
              <w:rPr>
                <w:sz w:val="24"/>
              </w:rPr>
              <w:t>VOCs</w:t>
            </w:r>
            <w:r>
              <w:rPr>
                <w:rFonts w:hint="eastAsia"/>
                <w:sz w:val="24"/>
              </w:rPr>
              <w:t>含量涂料。在生产、销售、进口、使用等环节严格执行</w:t>
            </w:r>
            <w:r>
              <w:rPr>
                <w:sz w:val="24"/>
              </w:rPr>
              <w:t>VOCs</w:t>
            </w:r>
            <w:r>
              <w:rPr>
                <w:rFonts w:hint="eastAsia"/>
                <w:sz w:val="24"/>
              </w:rPr>
              <w:t>含量限值标准。（八）推动绿色环保产业健康发展。加大政策支持力度，在低（无）</w:t>
            </w:r>
            <w:r>
              <w:rPr>
                <w:sz w:val="24"/>
              </w:rPr>
              <w:t>VOCs</w:t>
            </w:r>
            <w:r>
              <w:rPr>
                <w:rFonts w:hint="eastAsia"/>
                <w:sz w:val="24"/>
              </w:rPr>
              <w:t>含量原辅材料生产和使用、</w:t>
            </w:r>
            <w:r>
              <w:rPr>
                <w:sz w:val="24"/>
              </w:rPr>
              <w:t>VOCs</w:t>
            </w:r>
            <w:r>
              <w:rPr>
                <w:rFonts w:hint="eastAsia"/>
                <w:sz w:val="24"/>
              </w:rPr>
              <w:t>污染治理、超低排放改造、环境和大气成分监测等领域支持培育一批具有竞争力的龙头企业。多措并举治理环保领域低价低质中标乱象，营造公平竞争环境，推动产业健康有序发展。（九）加快推进能源结构优化。到</w:t>
            </w:r>
            <w:r>
              <w:rPr>
                <w:sz w:val="24"/>
              </w:rPr>
              <w:t>2025</w:t>
            </w:r>
            <w:r>
              <w:rPr>
                <w:rFonts w:hint="eastAsia"/>
                <w:sz w:val="24"/>
              </w:rPr>
              <w:t>年，非化石能源消费比重力争超过</w:t>
            </w:r>
            <w:r>
              <w:rPr>
                <w:sz w:val="24"/>
              </w:rPr>
              <w:t>15%</w:t>
            </w:r>
            <w:r>
              <w:rPr>
                <w:rFonts w:hint="eastAsia"/>
                <w:sz w:val="24"/>
              </w:rPr>
              <w:t>。持续增加天然气生产供应，进一步优化天然气使用方式，新增天然气优先保障居民生活和清洁取暖需求，在落实气源的前提下加大工业用煤替代力度。</w:t>
            </w:r>
          </w:p>
          <w:p>
            <w:pPr>
              <w:spacing w:line="360" w:lineRule="auto"/>
              <w:ind w:firstLine="480" w:firstLineChars="200"/>
              <w:rPr>
                <w:sz w:val="24"/>
              </w:rPr>
            </w:pPr>
            <w:r>
              <w:rPr>
                <w:rFonts w:hint="eastAsia" w:eastAsiaTheme="minorEastAsia"/>
                <w:bCs/>
                <w:kern w:val="0"/>
                <w:sz w:val="24"/>
                <w:szCs w:val="21"/>
              </w:rPr>
              <w:t>本项目冬季采用电取暖，不</w:t>
            </w:r>
            <w:r>
              <w:rPr>
                <w:rFonts w:eastAsiaTheme="minorEastAsia"/>
                <w:bCs/>
                <w:kern w:val="0"/>
                <w:sz w:val="24"/>
                <w:szCs w:val="21"/>
              </w:rPr>
              <w:t>本项目油液排空区采用集气罩集中收集经二级活性炭吸附装置处理后由15m高2#排气筒排放，收集效率90%，</w:t>
            </w:r>
            <w:r>
              <w:rPr>
                <w:rFonts w:eastAsiaTheme="minorEastAsia"/>
                <w:kern w:val="0"/>
                <w:sz w:val="24"/>
              </w:rPr>
              <w:t>处理效率</w:t>
            </w:r>
            <w:r>
              <w:rPr>
                <w:rFonts w:hint="eastAsia" w:eastAsiaTheme="minorEastAsia"/>
                <w:kern w:val="0"/>
                <w:sz w:val="24"/>
              </w:rPr>
              <w:t>75</w:t>
            </w:r>
            <w:r>
              <w:rPr>
                <w:rFonts w:eastAsiaTheme="minorEastAsia"/>
                <w:kern w:val="0"/>
                <w:sz w:val="24"/>
              </w:rPr>
              <w:t>%</w:t>
            </w:r>
            <w:r>
              <w:rPr>
                <w:rFonts w:eastAsiaTheme="minorEastAsia"/>
                <w:sz w:val="24"/>
              </w:rPr>
              <w:t>，</w:t>
            </w:r>
            <w:r>
              <w:rPr>
                <w:rFonts w:eastAsiaTheme="minorEastAsia"/>
                <w:bCs/>
                <w:kern w:val="0"/>
                <w:sz w:val="24"/>
                <w:szCs w:val="21"/>
              </w:rPr>
              <w:t>未收集VOCs以无组织形式排放，危险废物贮存库采取负压收集方式，经二级活性炭吸附装置处理后由15m高3#排气筒排放，收集效率90%，</w:t>
            </w:r>
            <w:r>
              <w:rPr>
                <w:rFonts w:eastAsiaTheme="minorEastAsia"/>
                <w:kern w:val="0"/>
                <w:sz w:val="24"/>
              </w:rPr>
              <w:t>处理效率</w:t>
            </w:r>
            <w:r>
              <w:rPr>
                <w:rFonts w:hint="eastAsia" w:eastAsiaTheme="minorEastAsia"/>
                <w:kern w:val="0"/>
                <w:sz w:val="24"/>
              </w:rPr>
              <w:t>75</w:t>
            </w:r>
            <w:r>
              <w:rPr>
                <w:rFonts w:eastAsiaTheme="minorEastAsia"/>
                <w:kern w:val="0"/>
                <w:sz w:val="24"/>
              </w:rPr>
              <w:t>%</w:t>
            </w:r>
            <w:r>
              <w:rPr>
                <w:rFonts w:eastAsiaTheme="minorEastAsia"/>
                <w:sz w:val="24"/>
              </w:rPr>
              <w:t>，</w:t>
            </w:r>
            <w:r>
              <w:rPr>
                <w:rFonts w:eastAsiaTheme="minorEastAsia"/>
                <w:bCs/>
                <w:kern w:val="0"/>
                <w:sz w:val="24"/>
                <w:szCs w:val="21"/>
              </w:rPr>
              <w:t>未收集VOCs以无组织形式排放。</w:t>
            </w:r>
            <w:r>
              <w:rPr>
                <w:rFonts w:hint="eastAsia" w:eastAsiaTheme="minorEastAsia"/>
                <w:bCs/>
                <w:kern w:val="0"/>
                <w:sz w:val="24"/>
                <w:szCs w:val="21"/>
              </w:rPr>
              <w:t>符合《黑龙江省空气质量持续改善行动计划实施方案》的要求。</w:t>
            </w:r>
          </w:p>
          <w:p>
            <w:pPr>
              <w:spacing w:line="360" w:lineRule="auto"/>
              <w:ind w:firstLine="482" w:firstLineChars="200"/>
              <w:rPr>
                <w:rFonts w:eastAsiaTheme="minorEastAsia"/>
                <w:b/>
                <w:kern w:val="0"/>
                <w:sz w:val="24"/>
                <w:szCs w:val="21"/>
              </w:rPr>
            </w:pPr>
            <w:r>
              <w:rPr>
                <w:rFonts w:hint="eastAsia"/>
                <w:b/>
                <w:sz w:val="24"/>
                <w:lang w:val="zh-CN"/>
              </w:rPr>
              <w:t>8、</w:t>
            </w:r>
            <w:r>
              <w:rPr>
                <w:rFonts w:hint="eastAsia" w:eastAsiaTheme="minorEastAsia"/>
                <w:b/>
                <w:kern w:val="0"/>
                <w:sz w:val="24"/>
                <w:szCs w:val="21"/>
              </w:rPr>
              <w:t>本项目与《</w:t>
            </w:r>
            <w:r>
              <w:rPr>
                <w:rFonts w:hint="eastAsia" w:eastAsiaTheme="minorEastAsia"/>
                <w:b/>
                <w:bCs/>
                <w:kern w:val="0"/>
                <w:sz w:val="24"/>
                <w:szCs w:val="21"/>
              </w:rPr>
              <w:t>土壤污染防治行动计划</w:t>
            </w:r>
            <w:r>
              <w:rPr>
                <w:rFonts w:hint="eastAsia" w:eastAsiaTheme="minorEastAsia"/>
                <w:b/>
                <w:kern w:val="0"/>
                <w:sz w:val="24"/>
                <w:szCs w:val="21"/>
              </w:rPr>
              <w:t>》（2016年）符合性分析</w:t>
            </w:r>
          </w:p>
          <w:p>
            <w:pPr>
              <w:spacing w:line="360" w:lineRule="auto"/>
              <w:ind w:firstLine="480" w:firstLineChars="200"/>
              <w:rPr>
                <w:sz w:val="24"/>
              </w:rPr>
            </w:pPr>
            <w:r>
              <w:rPr>
                <w:sz w:val="24"/>
              </w:rPr>
              <w:t>防范建设用地新增污染。</w:t>
            </w:r>
            <w:r>
              <w:rPr>
                <w:rFonts w:hint="eastAsia"/>
                <w:sz w:val="24"/>
              </w:rPr>
              <w:t>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p>
            <w:pPr>
              <w:spacing w:line="360" w:lineRule="auto"/>
              <w:ind w:firstLine="480" w:firstLineChars="200"/>
              <w:rPr>
                <w:bCs/>
                <w:sz w:val="24"/>
              </w:rPr>
            </w:pPr>
            <w:r>
              <w:rPr>
                <w:rFonts w:hint="eastAsia"/>
                <w:bCs/>
                <w:sz w:val="24"/>
              </w:rPr>
              <w:t>本项目厂区内地面及道路全部硬化；拆解车间地面设置防油渗隔离层，拆解车间地面混凝土强度等级不低于</w:t>
            </w:r>
            <w:r>
              <w:rPr>
                <w:bCs/>
                <w:sz w:val="24"/>
              </w:rPr>
              <w:t>C20</w:t>
            </w:r>
            <w:r>
              <w:rPr>
                <w:rFonts w:hint="eastAsia"/>
                <w:bCs/>
                <w:sz w:val="24"/>
              </w:rPr>
              <w:t>，厚度不低于</w:t>
            </w:r>
            <w:r>
              <w:rPr>
                <w:bCs/>
                <w:sz w:val="24"/>
              </w:rPr>
              <w:t>150 mm</w:t>
            </w:r>
            <w:r>
              <w:rPr>
                <w:rFonts w:hint="eastAsia"/>
                <w:bCs/>
                <w:sz w:val="24"/>
              </w:rPr>
              <w:t>，其中物流通道路面和拆解区域强度不低于</w:t>
            </w:r>
            <w:r>
              <w:rPr>
                <w:bCs/>
                <w:sz w:val="24"/>
              </w:rPr>
              <w:t>C30</w:t>
            </w:r>
            <w:r>
              <w:rPr>
                <w:rFonts w:hint="eastAsia"/>
                <w:bCs/>
                <w:sz w:val="24"/>
              </w:rPr>
              <w:t>，厚度不低于</w:t>
            </w:r>
            <w:r>
              <w:rPr>
                <w:bCs/>
                <w:sz w:val="24"/>
              </w:rPr>
              <w:t>200mm</w:t>
            </w:r>
            <w:r>
              <w:rPr>
                <w:rFonts w:hint="eastAsia"/>
                <w:bCs/>
                <w:sz w:val="24"/>
              </w:rPr>
              <w:t>，防渗技术要求达到等效粘土防渗层Mb≥1.5m，K≤1×10</w:t>
            </w:r>
            <w:r>
              <w:rPr>
                <w:bCs/>
                <w:sz w:val="24"/>
                <w:vertAlign w:val="superscript"/>
              </w:rPr>
              <w:t>-7</w:t>
            </w:r>
            <w:r>
              <w:rPr>
                <w:bCs/>
                <w:sz w:val="24"/>
              </w:rPr>
              <w:t>cm/s</w:t>
            </w:r>
            <w:r>
              <w:rPr>
                <w:rFonts w:hint="eastAsia"/>
                <w:bCs/>
                <w:sz w:val="24"/>
              </w:rPr>
              <w:t>；初期雨水收集池、暂存池池体采用</w:t>
            </w:r>
            <w:r>
              <w:rPr>
                <w:bCs/>
                <w:sz w:val="24"/>
              </w:rPr>
              <w:t>2mm</w:t>
            </w:r>
            <w:r>
              <w:rPr>
                <w:rFonts w:hint="eastAsia"/>
                <w:bCs/>
                <w:sz w:val="24"/>
              </w:rPr>
              <w:t>厚的高密度聚乙烯土工膜及混凝土地面，渗透系数≤1×10</w:t>
            </w:r>
            <w:r>
              <w:rPr>
                <w:bCs/>
                <w:sz w:val="24"/>
                <w:vertAlign w:val="superscript"/>
              </w:rPr>
              <w:t>-7</w:t>
            </w:r>
            <w:r>
              <w:rPr>
                <w:bCs/>
                <w:sz w:val="24"/>
              </w:rPr>
              <w:t>cm/s</w:t>
            </w:r>
            <w:r>
              <w:rPr>
                <w:rFonts w:hint="eastAsia"/>
                <w:bCs/>
                <w:sz w:val="24"/>
              </w:rPr>
              <w:t>。产品贮存间、停车场地面采用粘土、抗渗混凝土、高密度聚乙烯（</w:t>
            </w:r>
            <w:r>
              <w:rPr>
                <w:bCs/>
                <w:sz w:val="24"/>
              </w:rPr>
              <w:t>HDPE</w:t>
            </w:r>
            <w:r>
              <w:rPr>
                <w:rFonts w:hint="eastAsia"/>
                <w:bCs/>
                <w:sz w:val="24"/>
              </w:rPr>
              <w:t>）膜或其他防渗性能等效的材料，防渗技术要求达到等效粘土防渗层Mb≥1.5m，K≤1×10</w:t>
            </w:r>
            <w:r>
              <w:rPr>
                <w:bCs/>
                <w:sz w:val="24"/>
                <w:vertAlign w:val="superscript"/>
              </w:rPr>
              <w:t>-7</w:t>
            </w:r>
            <w:r>
              <w:rPr>
                <w:bCs/>
                <w:sz w:val="24"/>
              </w:rPr>
              <w:t>cm/s</w:t>
            </w:r>
            <w:r>
              <w:rPr>
                <w:rFonts w:hint="eastAsia"/>
                <w:bCs/>
                <w:sz w:val="24"/>
              </w:rPr>
              <w:t>；危险废物贮存库设置围堰、液体导流和收集装置，不同种类的危险废物单独收集、分类存放，中间有明显间隔；设置警示标识，地面做防酸、防腐、防渗处理，地面与裙脚采用</w:t>
            </w:r>
            <w:r>
              <w:rPr>
                <w:bCs/>
                <w:sz w:val="24"/>
              </w:rPr>
              <w:t>2mm</w:t>
            </w:r>
            <w:r>
              <w:rPr>
                <w:rFonts w:hint="eastAsia"/>
                <w:bCs/>
                <w:sz w:val="24"/>
              </w:rPr>
              <w:t>厚的高密度聚乙烯土工膜及混凝土地面，渗透系数≤1×10</w:t>
            </w:r>
            <w:r>
              <w:rPr>
                <w:bCs/>
                <w:sz w:val="24"/>
                <w:vertAlign w:val="superscript"/>
              </w:rPr>
              <w:t>-10</w:t>
            </w:r>
            <w:r>
              <w:rPr>
                <w:bCs/>
                <w:sz w:val="24"/>
              </w:rPr>
              <w:t>cm/s</w:t>
            </w:r>
            <w:r>
              <w:rPr>
                <w:rFonts w:hint="eastAsia"/>
                <w:sz w:val="24"/>
              </w:rPr>
              <w:t>。</w:t>
            </w:r>
            <w:r>
              <w:rPr>
                <w:rFonts w:hint="eastAsia"/>
                <w:bCs/>
                <w:sz w:val="24"/>
              </w:rPr>
              <w:t>采取以上防渗措施后项目不会对土壤、地下水产生影响。</w:t>
            </w:r>
          </w:p>
          <w:p>
            <w:pPr>
              <w:spacing w:line="360" w:lineRule="auto"/>
              <w:ind w:firstLine="482" w:firstLineChars="200"/>
              <w:rPr>
                <w:b/>
                <w:sz w:val="24"/>
                <w:lang w:val="zh-CN"/>
              </w:rPr>
            </w:pPr>
            <w:r>
              <w:rPr>
                <w:rFonts w:hint="eastAsia"/>
                <w:b/>
                <w:sz w:val="24"/>
                <w:lang w:val="zh-CN"/>
              </w:rPr>
              <w:t>9、</w:t>
            </w:r>
            <w:r>
              <w:rPr>
                <w:rFonts w:hint="eastAsia" w:eastAsiaTheme="minorEastAsia"/>
                <w:b/>
                <w:kern w:val="0"/>
                <w:sz w:val="24"/>
                <w:szCs w:val="21"/>
              </w:rPr>
              <w:t>本项目与</w:t>
            </w:r>
            <w:r>
              <w:rPr>
                <w:rFonts w:hint="eastAsia" w:eastAsiaTheme="minorEastAsia"/>
                <w:b/>
                <w:bCs/>
                <w:kern w:val="0"/>
                <w:sz w:val="24"/>
                <w:szCs w:val="21"/>
              </w:rPr>
              <w:t>《黑龙江省人民政府关于印发黑龙江省土壤污染防治实施方案的通知》（黑政发〔2016〕46号）</w:t>
            </w:r>
            <w:r>
              <w:rPr>
                <w:rFonts w:hint="eastAsia" w:eastAsiaTheme="minorEastAsia"/>
                <w:b/>
                <w:kern w:val="0"/>
                <w:sz w:val="24"/>
                <w:szCs w:val="21"/>
              </w:rPr>
              <w:t>符合性分析</w:t>
            </w:r>
          </w:p>
          <w:p>
            <w:pPr>
              <w:spacing w:line="360" w:lineRule="auto"/>
              <w:ind w:firstLine="480" w:firstLineChars="200"/>
              <w:rPr>
                <w:sz w:val="24"/>
                <w:lang w:val="zh-CN"/>
              </w:rPr>
            </w:pPr>
            <w:r>
              <w:rPr>
                <w:sz w:val="24"/>
              </w:rPr>
              <w:t>防范建设用地新增污染。</w:t>
            </w:r>
            <w:r>
              <w:rPr>
                <w:rFonts w:hint="eastAsia"/>
                <w:sz w:val="24"/>
              </w:rPr>
              <w:t>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p>
            <w:pPr>
              <w:spacing w:line="360" w:lineRule="auto"/>
              <w:ind w:firstLine="480" w:firstLineChars="200"/>
              <w:rPr>
                <w:bCs/>
                <w:sz w:val="24"/>
              </w:rPr>
            </w:pPr>
            <w:r>
              <w:rPr>
                <w:rFonts w:hint="eastAsia"/>
                <w:bCs/>
                <w:sz w:val="24"/>
              </w:rPr>
              <w:t>本项目厂区内地面及道路全部硬化；拆解车间地面设置防油渗隔离层，拆解车间地面混凝土强度等级不低于</w:t>
            </w:r>
            <w:r>
              <w:rPr>
                <w:bCs/>
                <w:sz w:val="24"/>
              </w:rPr>
              <w:t>C20</w:t>
            </w:r>
            <w:r>
              <w:rPr>
                <w:rFonts w:hint="eastAsia"/>
                <w:bCs/>
                <w:sz w:val="24"/>
              </w:rPr>
              <w:t>，厚度不低于</w:t>
            </w:r>
            <w:r>
              <w:rPr>
                <w:bCs/>
                <w:sz w:val="24"/>
              </w:rPr>
              <w:t>150 mm</w:t>
            </w:r>
            <w:r>
              <w:rPr>
                <w:rFonts w:hint="eastAsia"/>
                <w:bCs/>
                <w:sz w:val="24"/>
              </w:rPr>
              <w:t>，其中物流通道路面和拆解区域强度不低于</w:t>
            </w:r>
            <w:r>
              <w:rPr>
                <w:bCs/>
                <w:sz w:val="24"/>
              </w:rPr>
              <w:t>C30</w:t>
            </w:r>
            <w:r>
              <w:rPr>
                <w:rFonts w:hint="eastAsia"/>
                <w:bCs/>
                <w:sz w:val="24"/>
              </w:rPr>
              <w:t>，厚度不低于</w:t>
            </w:r>
            <w:r>
              <w:rPr>
                <w:bCs/>
                <w:sz w:val="24"/>
              </w:rPr>
              <w:t>200mm</w:t>
            </w:r>
            <w:r>
              <w:rPr>
                <w:rFonts w:hint="eastAsia"/>
                <w:bCs/>
                <w:sz w:val="24"/>
              </w:rPr>
              <w:t>，防渗技术要求达到等效粘土防渗层Mb≥1.5m，K≤1×10</w:t>
            </w:r>
            <w:r>
              <w:rPr>
                <w:bCs/>
                <w:sz w:val="24"/>
                <w:vertAlign w:val="superscript"/>
              </w:rPr>
              <w:t>-7</w:t>
            </w:r>
            <w:r>
              <w:rPr>
                <w:bCs/>
                <w:sz w:val="24"/>
              </w:rPr>
              <w:t>cm/s</w:t>
            </w:r>
            <w:r>
              <w:rPr>
                <w:rFonts w:hint="eastAsia"/>
                <w:bCs/>
                <w:sz w:val="24"/>
              </w:rPr>
              <w:t>；初期雨水收集池、暂存池池体采用</w:t>
            </w:r>
            <w:r>
              <w:rPr>
                <w:bCs/>
                <w:sz w:val="24"/>
              </w:rPr>
              <w:t>2mm</w:t>
            </w:r>
            <w:r>
              <w:rPr>
                <w:rFonts w:hint="eastAsia"/>
                <w:bCs/>
                <w:sz w:val="24"/>
              </w:rPr>
              <w:t>厚的高密度聚乙烯土工膜及混凝土地面，渗透系数≤1×10</w:t>
            </w:r>
            <w:r>
              <w:rPr>
                <w:bCs/>
                <w:sz w:val="24"/>
                <w:vertAlign w:val="superscript"/>
              </w:rPr>
              <w:t>-7</w:t>
            </w:r>
            <w:r>
              <w:rPr>
                <w:bCs/>
                <w:sz w:val="24"/>
              </w:rPr>
              <w:t>cm/s</w:t>
            </w:r>
            <w:r>
              <w:rPr>
                <w:rFonts w:hint="eastAsia"/>
                <w:bCs/>
                <w:sz w:val="24"/>
              </w:rPr>
              <w:t>。产品贮存间、停车场地面采用粘土、抗渗混凝土、高密度聚乙烯（</w:t>
            </w:r>
            <w:r>
              <w:rPr>
                <w:bCs/>
                <w:sz w:val="24"/>
              </w:rPr>
              <w:t>HDPE</w:t>
            </w:r>
            <w:r>
              <w:rPr>
                <w:rFonts w:hint="eastAsia"/>
                <w:bCs/>
                <w:sz w:val="24"/>
              </w:rPr>
              <w:t>）膜或其他防渗性能等效的材料，防渗技术要求达到等效粘土防渗层Mb≥1.5m，K≤1×10</w:t>
            </w:r>
            <w:r>
              <w:rPr>
                <w:bCs/>
                <w:sz w:val="24"/>
                <w:vertAlign w:val="superscript"/>
              </w:rPr>
              <w:t>-7</w:t>
            </w:r>
            <w:r>
              <w:rPr>
                <w:bCs/>
                <w:sz w:val="24"/>
              </w:rPr>
              <w:t>cm/s</w:t>
            </w:r>
            <w:r>
              <w:rPr>
                <w:rFonts w:hint="eastAsia"/>
                <w:bCs/>
                <w:sz w:val="24"/>
              </w:rPr>
              <w:t>；危险废物贮存库设置围堰、液体导流和收集装置，不同种类的危险废物单独收集、分类存放，中间有明显间隔；设置警示标识，地面做防酸、防腐、防渗处理，地面与裙脚采用</w:t>
            </w:r>
            <w:r>
              <w:rPr>
                <w:bCs/>
                <w:sz w:val="24"/>
              </w:rPr>
              <w:t>2mm</w:t>
            </w:r>
            <w:r>
              <w:rPr>
                <w:rFonts w:hint="eastAsia"/>
                <w:bCs/>
                <w:sz w:val="24"/>
              </w:rPr>
              <w:t>厚的高密度聚乙烯土工膜及混凝土地面，渗透系数≤1×10</w:t>
            </w:r>
            <w:r>
              <w:rPr>
                <w:bCs/>
                <w:sz w:val="24"/>
                <w:vertAlign w:val="superscript"/>
              </w:rPr>
              <w:t>-10</w:t>
            </w:r>
            <w:r>
              <w:rPr>
                <w:bCs/>
                <w:sz w:val="24"/>
              </w:rPr>
              <w:t>cm/s</w:t>
            </w:r>
            <w:r>
              <w:rPr>
                <w:rFonts w:hint="eastAsia"/>
                <w:sz w:val="24"/>
              </w:rPr>
              <w:t>。</w:t>
            </w:r>
            <w:r>
              <w:rPr>
                <w:rFonts w:hint="eastAsia"/>
                <w:bCs/>
                <w:sz w:val="24"/>
              </w:rPr>
              <w:t>采取以上防渗措施后项目不会对土壤、地下水产生影响。</w:t>
            </w:r>
          </w:p>
          <w:p>
            <w:pPr>
              <w:spacing w:line="360" w:lineRule="auto"/>
              <w:ind w:firstLine="482" w:firstLineChars="200"/>
              <w:rPr>
                <w:b/>
                <w:sz w:val="24"/>
                <w:lang w:val="zh-CN"/>
              </w:rPr>
            </w:pPr>
            <w:r>
              <w:rPr>
                <w:rFonts w:hint="eastAsia"/>
                <w:b/>
                <w:sz w:val="24"/>
                <w:lang w:val="zh-CN"/>
              </w:rPr>
              <w:t>10、</w:t>
            </w:r>
            <w:r>
              <w:rPr>
                <w:rFonts w:hint="eastAsia" w:eastAsiaTheme="minorEastAsia"/>
                <w:b/>
                <w:kern w:val="0"/>
                <w:sz w:val="24"/>
                <w:szCs w:val="21"/>
              </w:rPr>
              <w:t>本项目与</w:t>
            </w:r>
            <w:r>
              <w:rPr>
                <w:rFonts w:eastAsiaTheme="minorEastAsia"/>
                <w:b/>
                <w:kern w:val="0"/>
                <w:sz w:val="24"/>
                <w:szCs w:val="21"/>
              </w:rPr>
              <w:t>《废铅蓄电池处理污染控制技术规范》（HJ519</w:t>
            </w:r>
            <w:r>
              <w:rPr>
                <w:rFonts w:hint="eastAsia" w:eastAsiaTheme="minorEastAsia"/>
                <w:b/>
                <w:kern w:val="0"/>
                <w:sz w:val="24"/>
                <w:szCs w:val="21"/>
              </w:rPr>
              <w:t>-</w:t>
            </w:r>
            <w:r>
              <w:rPr>
                <w:rFonts w:eastAsiaTheme="minorEastAsia"/>
                <w:b/>
                <w:kern w:val="0"/>
                <w:sz w:val="24"/>
                <w:szCs w:val="21"/>
              </w:rPr>
              <w:t>2020）</w:t>
            </w:r>
            <w:r>
              <w:rPr>
                <w:rFonts w:hint="eastAsia" w:eastAsiaTheme="minorEastAsia"/>
                <w:b/>
                <w:kern w:val="0"/>
                <w:sz w:val="24"/>
                <w:szCs w:val="21"/>
              </w:rPr>
              <w:t>符合性分析（本项目为农机拆解，参照执行）</w:t>
            </w:r>
          </w:p>
          <w:p>
            <w:pPr>
              <w:spacing w:line="360" w:lineRule="auto"/>
              <w:ind w:firstLine="480" w:firstLineChars="200"/>
              <w:rPr>
                <w:rFonts w:eastAsiaTheme="minorEastAsia"/>
                <w:kern w:val="0"/>
                <w:sz w:val="24"/>
                <w:szCs w:val="21"/>
              </w:rPr>
            </w:pPr>
            <w:r>
              <w:rPr>
                <w:rFonts w:hint="eastAsia" w:eastAsiaTheme="minorEastAsia"/>
                <w:kern w:val="0"/>
                <w:sz w:val="24"/>
                <w:szCs w:val="21"/>
              </w:rPr>
              <w:t>收集、运输、贮存废铅蓄电池的容器或托盘，应根据废铅蓄电池的特性设计，不易破损、变形，其所用材料能有效地防止渗漏、扩散，并耐酸腐蚀。装有废铅蓄电池的容器或托盘必须粘贴符合</w:t>
            </w:r>
            <w:r>
              <w:rPr>
                <w:rFonts w:eastAsiaTheme="minorEastAsia"/>
                <w:kern w:val="0"/>
                <w:sz w:val="24"/>
                <w:szCs w:val="21"/>
              </w:rPr>
              <w:t>GB18597</w:t>
            </w:r>
            <w:r>
              <w:rPr>
                <w:rFonts w:hint="eastAsia" w:eastAsiaTheme="minorEastAsia"/>
                <w:kern w:val="0"/>
                <w:sz w:val="24"/>
                <w:szCs w:val="21"/>
              </w:rPr>
              <w:t>要求的危险废物标签。废铅蓄电池收集、贮存企业应建立废铅蓄电池收集处理数据信息管理系统，如实记录收集、贮存、转移废铅蓄电池的重量、来源、去向等信息，并实现与全国固体废物管理信息系统的数据对接。禁止在收集、运输和贮存过程中擅自拆解、破碎、丢弃废铅蓄电池；禁止倾倒含铅酸性电解质。收集网点暂存设施应划分出专门存放区域，面积不少于</w:t>
            </w:r>
            <w:r>
              <w:rPr>
                <w:rFonts w:eastAsiaTheme="minorEastAsia"/>
                <w:kern w:val="0"/>
                <w:sz w:val="24"/>
                <w:szCs w:val="21"/>
              </w:rPr>
              <w:t>3m</w:t>
            </w:r>
            <w:r>
              <w:rPr>
                <w:rFonts w:eastAsiaTheme="minorEastAsia"/>
                <w:kern w:val="0"/>
                <w:sz w:val="24"/>
                <w:szCs w:val="21"/>
                <w:vertAlign w:val="superscript"/>
              </w:rPr>
              <w:t>2</w:t>
            </w:r>
            <w:r>
              <w:rPr>
                <w:rFonts w:hint="eastAsia" w:eastAsiaTheme="minorEastAsia"/>
                <w:kern w:val="0"/>
                <w:sz w:val="24"/>
                <w:szCs w:val="21"/>
              </w:rPr>
              <w:t>。有防止废铅蓄电池破损和电解质泄漏的措施，硬化地面及有耐腐蚀包装容器。废铅蓄电池应存放于耐腐蚀、具有防渗漏措施的托盘或容器中。在显著位置张贴废铅蓄电池收集提示性信息和警示标志。</w:t>
            </w:r>
          </w:p>
          <w:p>
            <w:pPr>
              <w:spacing w:line="360" w:lineRule="auto"/>
              <w:ind w:firstLine="480" w:firstLineChars="200"/>
              <w:rPr>
                <w:rFonts w:eastAsiaTheme="minorEastAsia"/>
                <w:kern w:val="0"/>
                <w:sz w:val="24"/>
                <w:szCs w:val="21"/>
              </w:rPr>
            </w:pPr>
            <w:r>
              <w:rPr>
                <w:rFonts w:hint="eastAsia" w:eastAsiaTheme="minorEastAsia"/>
                <w:kern w:val="0"/>
                <w:sz w:val="24"/>
                <w:szCs w:val="21"/>
              </w:rPr>
              <w:t>本项目蓄电池仅拆下，不进行拆解，废蓄电池存储于专用存储区耐酸容器内，暂存于危险废物贮存库，不长期储存，危险废物贮存库建设严格按照《危险废物贮存污染控制标准》（</w:t>
            </w:r>
            <w:r>
              <w:rPr>
                <w:rFonts w:eastAsiaTheme="minorEastAsia"/>
                <w:kern w:val="0"/>
                <w:sz w:val="24"/>
                <w:szCs w:val="21"/>
              </w:rPr>
              <w:t>GB18597-2023</w:t>
            </w:r>
            <w:r>
              <w:rPr>
                <w:rFonts w:hint="eastAsia" w:eastAsiaTheme="minorEastAsia"/>
                <w:kern w:val="0"/>
                <w:sz w:val="24"/>
                <w:szCs w:val="21"/>
              </w:rPr>
              <w:t>）中相关规定进行设置，设置警示标识，地面做防酸、防腐、防渗处理，</w:t>
            </w:r>
            <w:r>
              <w:rPr>
                <w:rFonts w:hint="eastAsia" w:eastAsiaTheme="minorEastAsia"/>
                <w:bCs/>
                <w:kern w:val="0"/>
                <w:sz w:val="24"/>
                <w:szCs w:val="21"/>
              </w:rPr>
              <w:t>地面与裙脚采用</w:t>
            </w:r>
            <w:r>
              <w:rPr>
                <w:rFonts w:eastAsiaTheme="minorEastAsia"/>
                <w:bCs/>
                <w:kern w:val="0"/>
                <w:sz w:val="24"/>
                <w:szCs w:val="21"/>
              </w:rPr>
              <w:t>2mm</w:t>
            </w:r>
            <w:r>
              <w:rPr>
                <w:rFonts w:hint="eastAsia" w:eastAsiaTheme="minorEastAsia"/>
                <w:bCs/>
                <w:kern w:val="0"/>
                <w:sz w:val="24"/>
                <w:szCs w:val="21"/>
              </w:rPr>
              <w:t>厚的高密度聚乙烯土工膜及混凝土地面，渗透系数≤1×10</w:t>
            </w:r>
            <w:r>
              <w:rPr>
                <w:rFonts w:eastAsiaTheme="minorEastAsia"/>
                <w:bCs/>
                <w:kern w:val="0"/>
                <w:sz w:val="24"/>
                <w:szCs w:val="21"/>
                <w:vertAlign w:val="superscript"/>
              </w:rPr>
              <w:t>-10</w:t>
            </w:r>
            <w:r>
              <w:rPr>
                <w:rFonts w:eastAsiaTheme="minorEastAsia"/>
                <w:bCs/>
                <w:kern w:val="0"/>
                <w:sz w:val="24"/>
                <w:szCs w:val="21"/>
              </w:rPr>
              <w:t>cm/s。</w:t>
            </w:r>
          </w:p>
          <w:p>
            <w:pPr>
              <w:spacing w:line="360" w:lineRule="auto"/>
              <w:rPr>
                <w:rFonts w:eastAsiaTheme="minorEastAsia"/>
                <w:b/>
                <w:kern w:val="0"/>
                <w:sz w:val="24"/>
                <w:szCs w:val="21"/>
              </w:rPr>
            </w:pPr>
            <w:r>
              <w:rPr>
                <w:rFonts w:hint="eastAsia"/>
                <w:b/>
                <w:sz w:val="24"/>
                <w:lang w:val="zh-CN"/>
              </w:rPr>
              <w:t>11、</w:t>
            </w:r>
            <w:r>
              <w:rPr>
                <w:rFonts w:hint="eastAsia" w:eastAsiaTheme="minorEastAsia"/>
                <w:b/>
                <w:kern w:val="0"/>
                <w:sz w:val="24"/>
                <w:szCs w:val="21"/>
              </w:rPr>
              <w:t>本项目与</w:t>
            </w:r>
            <w:r>
              <w:rPr>
                <w:rFonts w:eastAsiaTheme="minorEastAsia"/>
                <w:b/>
                <w:kern w:val="0"/>
                <w:sz w:val="24"/>
                <w:szCs w:val="21"/>
              </w:rPr>
              <w:t>《</w:t>
            </w:r>
            <w:r>
              <w:rPr>
                <w:rFonts w:hint="eastAsia" w:eastAsiaTheme="minorEastAsia"/>
                <w:b/>
                <w:kern w:val="0"/>
                <w:sz w:val="24"/>
                <w:szCs w:val="21"/>
              </w:rPr>
              <w:t>报废机动车回收拆解企业技术规范</w:t>
            </w:r>
            <w:r>
              <w:rPr>
                <w:rFonts w:eastAsiaTheme="minorEastAsia"/>
                <w:b/>
                <w:kern w:val="0"/>
                <w:sz w:val="24"/>
                <w:szCs w:val="21"/>
              </w:rPr>
              <w:t>》（GB 22128-2019）</w:t>
            </w:r>
            <w:r>
              <w:rPr>
                <w:rFonts w:hint="eastAsia" w:eastAsiaTheme="minorEastAsia"/>
                <w:b/>
                <w:kern w:val="0"/>
                <w:sz w:val="24"/>
                <w:szCs w:val="21"/>
              </w:rPr>
              <w:t>符合性分析（本项目为农机拆解，参照执行）</w:t>
            </w:r>
          </w:p>
          <w:p>
            <w:pPr>
              <w:spacing w:line="360" w:lineRule="auto"/>
              <w:ind w:firstLine="480" w:firstLineChars="200"/>
              <w:rPr>
                <w:rFonts w:hint="eastAsia" w:eastAsiaTheme="minorEastAsia"/>
                <w:kern w:val="0"/>
                <w:sz w:val="24"/>
                <w:szCs w:val="21"/>
              </w:rPr>
            </w:pPr>
            <w:r>
              <w:rPr>
                <w:rFonts w:hint="eastAsia" w:eastAsiaTheme="minorEastAsia"/>
                <w:kern w:val="0"/>
                <w:sz w:val="24"/>
                <w:szCs w:val="21"/>
              </w:rPr>
              <w:t>《报废机动车回收拆解企业技术规范》（</w:t>
            </w:r>
            <w:r>
              <w:rPr>
                <w:rFonts w:eastAsiaTheme="minorEastAsia"/>
                <w:kern w:val="0"/>
                <w:sz w:val="24"/>
                <w:szCs w:val="21"/>
              </w:rPr>
              <w:t>GB22128-2019</w:t>
            </w:r>
            <w:r>
              <w:rPr>
                <w:rFonts w:hint="eastAsia" w:eastAsiaTheme="minorEastAsia"/>
                <w:kern w:val="0"/>
                <w:sz w:val="24"/>
                <w:szCs w:val="21"/>
              </w:rPr>
              <w:t>）中第</w:t>
            </w:r>
            <w:r>
              <w:rPr>
                <w:rFonts w:eastAsiaTheme="minorEastAsia"/>
                <w:kern w:val="0"/>
                <w:sz w:val="24"/>
                <w:szCs w:val="21"/>
              </w:rPr>
              <w:t>4.2.1a</w:t>
            </w:r>
            <w:r>
              <w:rPr>
                <w:rFonts w:hint="eastAsia" w:eastAsiaTheme="minorEastAsia"/>
                <w:kern w:val="0"/>
                <w:sz w:val="24"/>
                <w:szCs w:val="21"/>
              </w:rPr>
              <w:t>）条、第</w:t>
            </w:r>
            <w:r>
              <w:rPr>
                <w:rFonts w:eastAsiaTheme="minorEastAsia"/>
                <w:kern w:val="0"/>
                <w:sz w:val="24"/>
                <w:szCs w:val="21"/>
              </w:rPr>
              <w:t>4.2.1b</w:t>
            </w:r>
            <w:r>
              <w:rPr>
                <w:rFonts w:hint="eastAsia" w:eastAsiaTheme="minorEastAsia"/>
                <w:kern w:val="0"/>
                <w:sz w:val="24"/>
                <w:szCs w:val="21"/>
              </w:rPr>
              <w:t>）条、第</w:t>
            </w:r>
            <w:r>
              <w:rPr>
                <w:rFonts w:eastAsiaTheme="minorEastAsia"/>
                <w:kern w:val="0"/>
                <w:sz w:val="24"/>
                <w:szCs w:val="21"/>
              </w:rPr>
              <w:t>4.2.3</w:t>
            </w:r>
            <w:r>
              <w:rPr>
                <w:rFonts w:hint="eastAsia" w:eastAsiaTheme="minorEastAsia"/>
                <w:kern w:val="0"/>
                <w:sz w:val="24"/>
                <w:szCs w:val="21"/>
              </w:rPr>
              <w:t>条、第</w:t>
            </w:r>
            <w:r>
              <w:rPr>
                <w:rFonts w:eastAsiaTheme="minorEastAsia"/>
                <w:kern w:val="0"/>
                <w:sz w:val="24"/>
                <w:szCs w:val="21"/>
              </w:rPr>
              <w:t>4.2.4</w:t>
            </w:r>
            <w:r>
              <w:rPr>
                <w:rFonts w:hint="eastAsia" w:eastAsiaTheme="minorEastAsia"/>
                <w:kern w:val="0"/>
                <w:sz w:val="24"/>
                <w:szCs w:val="21"/>
              </w:rPr>
              <w:t>条、第</w:t>
            </w:r>
            <w:r>
              <w:rPr>
                <w:rFonts w:eastAsiaTheme="minorEastAsia"/>
                <w:kern w:val="0"/>
                <w:sz w:val="24"/>
                <w:szCs w:val="21"/>
              </w:rPr>
              <w:t>4.2.5</w:t>
            </w:r>
            <w:r>
              <w:rPr>
                <w:rFonts w:hint="eastAsia" w:eastAsiaTheme="minorEastAsia"/>
                <w:kern w:val="0"/>
                <w:sz w:val="24"/>
                <w:szCs w:val="21"/>
              </w:rPr>
              <w:t>条、第</w:t>
            </w:r>
            <w:r>
              <w:rPr>
                <w:rFonts w:eastAsiaTheme="minorEastAsia"/>
                <w:kern w:val="0"/>
                <w:sz w:val="24"/>
                <w:szCs w:val="21"/>
              </w:rPr>
              <w:t xml:space="preserve">4.2.6 </w:t>
            </w:r>
            <w:r>
              <w:rPr>
                <w:rFonts w:hint="eastAsia" w:eastAsiaTheme="minorEastAsia"/>
                <w:kern w:val="0"/>
                <w:sz w:val="24"/>
                <w:szCs w:val="21"/>
              </w:rPr>
              <w:t>条、第</w:t>
            </w:r>
            <w:r>
              <w:rPr>
                <w:rFonts w:eastAsiaTheme="minorEastAsia"/>
                <w:kern w:val="0"/>
                <w:sz w:val="24"/>
                <w:szCs w:val="21"/>
              </w:rPr>
              <w:t>4.2.7</w:t>
            </w:r>
            <w:r>
              <w:rPr>
                <w:rFonts w:hint="eastAsia" w:eastAsiaTheme="minorEastAsia"/>
                <w:kern w:val="0"/>
                <w:sz w:val="24"/>
                <w:szCs w:val="21"/>
              </w:rPr>
              <w:t>条为强制性的，其余为推荐性的。本项目为农机拆解项目，参照执行该标准。</w:t>
            </w: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0" w:firstLineChars="200"/>
              <w:rPr>
                <w:rFonts w:hint="eastAsia" w:eastAsiaTheme="minorEastAsia"/>
                <w:kern w:val="0"/>
                <w:sz w:val="24"/>
                <w:szCs w:val="21"/>
              </w:rPr>
            </w:pPr>
          </w:p>
          <w:p>
            <w:pPr>
              <w:spacing w:line="360" w:lineRule="auto"/>
              <w:ind w:firstLine="482" w:firstLineChars="200"/>
              <w:jc w:val="center"/>
              <w:rPr>
                <w:sz w:val="24"/>
              </w:rPr>
            </w:pPr>
            <w:r>
              <w:rPr>
                <w:rFonts w:hint="eastAsia" w:eastAsiaTheme="minorEastAsia"/>
                <w:b/>
                <w:sz w:val="24"/>
              </w:rPr>
              <w:t>表</w:t>
            </w:r>
            <w:r>
              <w:rPr>
                <w:rFonts w:eastAsiaTheme="minorEastAsia"/>
                <w:b/>
                <w:sz w:val="24"/>
              </w:rPr>
              <w:t>1-</w:t>
            </w:r>
            <w:r>
              <w:rPr>
                <w:rFonts w:hint="eastAsia" w:eastAsiaTheme="minorEastAsia"/>
                <w:b/>
                <w:sz w:val="24"/>
              </w:rPr>
              <w:t>4</w:t>
            </w:r>
            <w:r>
              <w:rPr>
                <w:rFonts w:eastAsiaTheme="minorEastAsia"/>
                <w:b/>
                <w:sz w:val="24"/>
              </w:rPr>
              <w:t xml:space="preserve"> </w:t>
            </w:r>
            <w:r>
              <w:rPr>
                <w:rFonts w:hint="eastAsia" w:eastAsiaTheme="minorEastAsia"/>
                <w:b/>
                <w:sz w:val="24"/>
              </w:rPr>
              <w:t>项目与《</w:t>
            </w:r>
            <w:r>
              <w:rPr>
                <w:rFonts w:hint="eastAsia" w:eastAsiaTheme="minorEastAsia"/>
                <w:b/>
                <w:kern w:val="0"/>
                <w:sz w:val="24"/>
                <w:szCs w:val="21"/>
              </w:rPr>
              <w:t>废机动车回收拆解企业技术规范</w:t>
            </w:r>
            <w:r>
              <w:rPr>
                <w:rFonts w:hint="eastAsia" w:eastAsiaTheme="minorEastAsia"/>
                <w:b/>
                <w:sz w:val="24"/>
              </w:rPr>
              <w:t>》符合性分析</w:t>
            </w:r>
          </w:p>
          <w:tbl>
            <w:tblPr>
              <w:tblStyle w:val="21"/>
              <w:tblpPr w:leftFromText="180" w:rightFromText="180" w:vertAnchor="text" w:tblpY="1"/>
              <w:tblOverlap w:val="never"/>
              <w:tblW w:w="676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2949"/>
              <w:gridCol w:w="2552"/>
              <w:gridCol w:w="778"/>
              <w:gridCol w:w="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序号</w:t>
                  </w:r>
                </w:p>
              </w:tc>
              <w:tc>
                <w:tcPr>
                  <w:tcW w:w="2949"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规范要求</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本项目情况</w:t>
                  </w:r>
                </w:p>
              </w:tc>
              <w:tc>
                <w:tcPr>
                  <w:tcW w:w="778"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1</w:t>
                  </w:r>
                </w:p>
              </w:tc>
              <w:tc>
                <w:tcPr>
                  <w:tcW w:w="2949" w:type="dxa"/>
                  <w:shd w:val="clear" w:color="auto" w:fill="auto"/>
                  <w:vAlign w:val="center"/>
                </w:tcPr>
                <w:p>
                  <w:pPr>
                    <w:pStyle w:val="5"/>
                    <w:adjustRightInd w:val="0"/>
                    <w:snapToGrid w:val="0"/>
                    <w:spacing w:after="0"/>
                    <w:ind w:firstLine="0" w:firstLineChars="0"/>
                    <w:jc w:val="center"/>
                    <w:rPr>
                      <w:rFonts w:eastAsiaTheme="minorEastAsia"/>
                      <w:szCs w:val="21"/>
                    </w:rPr>
                  </w:pPr>
                  <w:r>
                    <w:rPr>
                      <w:rFonts w:eastAsiaTheme="minorEastAsia"/>
                      <w:szCs w:val="21"/>
                    </w:rPr>
                    <w:t>4.2.1a)</w:t>
                  </w:r>
                  <w:r>
                    <w:rPr>
                      <w:rFonts w:hint="eastAsia" w:eastAsiaTheme="minorEastAsia"/>
                      <w:szCs w:val="21"/>
                    </w:rPr>
                    <w:t>符合所在地城市总体规划或国土空间规划</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本项目位于黑龙江省虎林市东诚镇东风村，用地性质为工业用地，符合所在地土地利用总体规划，并且根据下文分析，本项目符合《虎林市国土空间总体规划》（2021-2035）相关要求</w:t>
                  </w:r>
                </w:p>
              </w:tc>
              <w:tc>
                <w:tcPr>
                  <w:tcW w:w="810" w:type="dxa"/>
                  <w:gridSpan w:val="2"/>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2</w:t>
                  </w:r>
                </w:p>
              </w:tc>
              <w:tc>
                <w:tcPr>
                  <w:tcW w:w="2949"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4.2.1b)符合GB50187、HJ348的选址要求，不得建在城市居住区、商业区、饮用水水源保护区及其他环境敏感区，且避开受环境威胁的地带、地段和地区</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项目所在区域用地性质为工业用地，东诚镇集中式饮用水水源井位于本项目东北侧约440米，东城镇饮用水水源保护区位于本项目东北侧约410米，因此不在城市居住区、商业区、饮用水水源保护区及其他环境敏感区</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eastAsiaTheme="minorEastAsia"/>
                      <w:szCs w:val="21"/>
                    </w:rPr>
                    <w:t>3</w:t>
                  </w:r>
                </w:p>
              </w:tc>
              <w:tc>
                <w:tcPr>
                  <w:tcW w:w="2949" w:type="dxa"/>
                  <w:shd w:val="clear" w:color="auto" w:fill="auto"/>
                  <w:vAlign w:val="center"/>
                </w:tcPr>
                <w:p>
                  <w:pPr>
                    <w:pStyle w:val="5"/>
                    <w:adjustRightInd w:val="0"/>
                    <w:snapToGrid w:val="0"/>
                    <w:spacing w:after="0"/>
                    <w:ind w:firstLine="0" w:firstLineChars="0"/>
                    <w:jc w:val="center"/>
                    <w:rPr>
                      <w:rFonts w:eastAsiaTheme="minorEastAsia"/>
                      <w:szCs w:val="21"/>
                    </w:rPr>
                  </w:pPr>
                  <w:r>
                    <w:rPr>
                      <w:rFonts w:eastAsiaTheme="minorEastAsia"/>
                      <w:szCs w:val="21"/>
                    </w:rPr>
                    <w:t>4.2.3</w:t>
                  </w:r>
                  <w:r>
                    <w:rPr>
                      <w:rFonts w:hint="eastAsia" w:eastAsiaTheme="minorEastAsia"/>
                      <w:szCs w:val="21"/>
                    </w:rPr>
                    <w:t>企业应严格执行《工业项目建 设用地控制指标》建设用地标准，且场地符合</w:t>
                  </w:r>
                  <w:r>
                    <w:rPr>
                      <w:rFonts w:eastAsiaTheme="minorEastAsia"/>
                      <w:szCs w:val="21"/>
                    </w:rPr>
                    <w:t>HJ348</w:t>
                  </w:r>
                  <w:r>
                    <w:rPr>
                      <w:rFonts w:hint="eastAsia" w:eastAsiaTheme="minorEastAsia"/>
                      <w:szCs w:val="21"/>
                    </w:rPr>
                    <w:t>的企业建设环境保护要求</w:t>
                  </w:r>
                </w:p>
              </w:tc>
              <w:tc>
                <w:tcPr>
                  <w:tcW w:w="2552"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本项目严格执行了《工业项目建设用地控制指标》，满足HJ348要求</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4</w:t>
                  </w:r>
                </w:p>
              </w:tc>
              <w:tc>
                <w:tcPr>
                  <w:tcW w:w="2949" w:type="dxa"/>
                  <w:shd w:val="clear" w:color="auto" w:fill="auto"/>
                  <w:vAlign w:val="center"/>
                </w:tcPr>
                <w:p>
                  <w:pPr>
                    <w:pStyle w:val="5"/>
                    <w:adjustRightInd w:val="0"/>
                    <w:snapToGrid w:val="0"/>
                    <w:spacing w:after="0"/>
                    <w:ind w:firstLine="210"/>
                    <w:jc w:val="center"/>
                    <w:rPr>
                      <w:rFonts w:eastAsiaTheme="minorEastAsia"/>
                      <w:szCs w:val="21"/>
                    </w:rPr>
                  </w:pPr>
                  <w:r>
                    <w:rPr>
                      <w:rFonts w:hint="eastAsia" w:eastAsiaTheme="minorEastAsia"/>
                      <w:szCs w:val="21"/>
                    </w:rPr>
                    <w:t>4.2.4企业场地应具备拆解场地、贮存场地和办公场地。其中拆解场地和贮存场地（包括临时贮存）的地面应硬化并防渗漏，满足GB50037的防油渗地面要求</w:t>
                  </w:r>
                </w:p>
              </w:tc>
              <w:tc>
                <w:tcPr>
                  <w:tcW w:w="2552" w:type="dxa"/>
                  <w:shd w:val="clear" w:color="auto" w:fill="auto"/>
                  <w:vAlign w:val="center"/>
                </w:tcPr>
                <w:p>
                  <w:pPr>
                    <w:pStyle w:val="5"/>
                    <w:widowControl/>
                    <w:adjustRightInd w:val="0"/>
                    <w:snapToGrid w:val="0"/>
                    <w:spacing w:after="0"/>
                    <w:ind w:firstLine="210"/>
                    <w:jc w:val="center"/>
                    <w:rPr>
                      <w:rFonts w:eastAsiaTheme="minorEastAsia"/>
                      <w:szCs w:val="21"/>
                    </w:rPr>
                  </w:pPr>
                  <w:r>
                    <w:rPr>
                      <w:rFonts w:hint="eastAsia" w:eastAsiaTheme="minorEastAsia"/>
                      <w:szCs w:val="21"/>
                    </w:rPr>
                    <w:t>拆解车间地面设置防油渗隔离层，拆解车间地面混凝土强度等级不低于</w:t>
                  </w:r>
                  <w:r>
                    <w:rPr>
                      <w:rFonts w:eastAsiaTheme="minorEastAsia"/>
                      <w:szCs w:val="21"/>
                    </w:rPr>
                    <w:t>C20</w:t>
                  </w:r>
                  <w:r>
                    <w:rPr>
                      <w:rFonts w:hint="eastAsia" w:eastAsiaTheme="minorEastAsia"/>
                      <w:szCs w:val="21"/>
                    </w:rPr>
                    <w:t>，厚度不低于</w:t>
                  </w:r>
                  <w:r>
                    <w:rPr>
                      <w:rFonts w:eastAsiaTheme="minorEastAsia"/>
                      <w:szCs w:val="21"/>
                    </w:rPr>
                    <w:t>150 mm</w:t>
                  </w:r>
                  <w:r>
                    <w:rPr>
                      <w:rFonts w:hint="eastAsia" w:eastAsiaTheme="minorEastAsia"/>
                      <w:szCs w:val="21"/>
                    </w:rPr>
                    <w:t>，其中物流通道路面和拆解区域强度不低于</w:t>
                  </w:r>
                  <w:r>
                    <w:rPr>
                      <w:rFonts w:eastAsiaTheme="minorEastAsia"/>
                      <w:szCs w:val="21"/>
                    </w:rPr>
                    <w:t>C30</w:t>
                  </w:r>
                  <w:r>
                    <w:rPr>
                      <w:rFonts w:hint="eastAsia" w:eastAsiaTheme="minorEastAsia"/>
                      <w:szCs w:val="21"/>
                    </w:rPr>
                    <w:t>，厚度不低于</w:t>
                  </w:r>
                  <w:r>
                    <w:rPr>
                      <w:rFonts w:eastAsiaTheme="minorEastAsia"/>
                      <w:szCs w:val="21"/>
                    </w:rPr>
                    <w:t>200mm</w:t>
                  </w:r>
                  <w:r>
                    <w:rPr>
                      <w:rFonts w:hint="eastAsia" w:eastAsiaTheme="minorEastAsia"/>
                      <w:szCs w:val="21"/>
                    </w:rPr>
                    <w:t>，</w:t>
                  </w:r>
                  <w:r>
                    <w:rPr>
                      <w:rFonts w:hint="eastAsia" w:eastAsiaTheme="minorEastAsia"/>
                      <w:bCs/>
                      <w:szCs w:val="21"/>
                    </w:rPr>
                    <w:t>防渗技术要求达到等效粘土防渗层Mb≥1.5m，K≤1×10</w:t>
                  </w:r>
                  <w:r>
                    <w:rPr>
                      <w:rFonts w:eastAsiaTheme="minorEastAsia"/>
                      <w:bCs/>
                      <w:szCs w:val="21"/>
                      <w:vertAlign w:val="superscript"/>
                    </w:rPr>
                    <w:t>-7</w:t>
                  </w:r>
                  <w:r>
                    <w:rPr>
                      <w:rFonts w:eastAsiaTheme="minorEastAsia"/>
                      <w:bCs/>
                      <w:szCs w:val="21"/>
                    </w:rPr>
                    <w:t>cm/s；停车场</w:t>
                  </w:r>
                  <w:r>
                    <w:rPr>
                      <w:rFonts w:hint="eastAsia" w:eastAsiaTheme="minorEastAsia"/>
                      <w:szCs w:val="21"/>
                    </w:rPr>
                    <w:t>地面</w:t>
                  </w:r>
                  <w:r>
                    <w:rPr>
                      <w:rFonts w:hint="eastAsia" w:eastAsiaTheme="minorEastAsia"/>
                      <w:bCs/>
                      <w:szCs w:val="21"/>
                    </w:rPr>
                    <w:t>采用粘土、抗渗混凝土、高密度聚乙烯（</w:t>
                  </w:r>
                  <w:r>
                    <w:rPr>
                      <w:rFonts w:eastAsiaTheme="minorEastAsia"/>
                      <w:bCs/>
                      <w:szCs w:val="21"/>
                    </w:rPr>
                    <w:t>HDPE</w:t>
                  </w:r>
                  <w:r>
                    <w:rPr>
                      <w:rFonts w:hint="eastAsia" w:eastAsiaTheme="minorEastAsia"/>
                      <w:bCs/>
                      <w:szCs w:val="21"/>
                    </w:rPr>
                    <w:t>）膜或其他防渗性能等效的材料，防渗技术要求达到等效粘土防渗层Mb≥1.5m，K≤1×10</w:t>
                  </w:r>
                  <w:r>
                    <w:rPr>
                      <w:rFonts w:eastAsiaTheme="minorEastAsia"/>
                      <w:bCs/>
                      <w:szCs w:val="21"/>
                      <w:vertAlign w:val="superscript"/>
                    </w:rPr>
                    <w:t>-7</w:t>
                  </w:r>
                  <w:r>
                    <w:rPr>
                      <w:rFonts w:eastAsiaTheme="minorEastAsia"/>
                      <w:bCs/>
                      <w:szCs w:val="21"/>
                    </w:rPr>
                    <w:t>cm/s。</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2" w:type="dxa"/>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5</w:t>
                  </w:r>
                </w:p>
              </w:tc>
              <w:tc>
                <w:tcPr>
                  <w:tcW w:w="2949" w:type="dxa"/>
                  <w:shd w:val="clear" w:color="auto" w:fill="auto"/>
                  <w:vAlign w:val="center"/>
                </w:tcPr>
                <w:p>
                  <w:pPr>
                    <w:pStyle w:val="5"/>
                    <w:adjustRightInd w:val="0"/>
                    <w:snapToGrid w:val="0"/>
                    <w:spacing w:after="0"/>
                    <w:ind w:firstLine="210"/>
                    <w:jc w:val="center"/>
                    <w:rPr>
                      <w:rFonts w:eastAsiaTheme="minorEastAsia"/>
                      <w:szCs w:val="21"/>
                    </w:rPr>
                  </w:pPr>
                  <w:r>
                    <w:rPr>
                      <w:rFonts w:hint="eastAsia" w:eastAsiaTheme="minorEastAsia"/>
                      <w:szCs w:val="21"/>
                    </w:rPr>
                    <w:t>4.2.5拆解场地应为封闭或半封闭构筑物，应通风、光线良好，安全环保设施设备齐全</w:t>
                  </w:r>
                </w:p>
              </w:tc>
              <w:tc>
                <w:tcPr>
                  <w:tcW w:w="2552" w:type="dxa"/>
                  <w:shd w:val="clear" w:color="auto" w:fill="auto"/>
                  <w:vAlign w:val="center"/>
                </w:tcPr>
                <w:p>
                  <w:pPr>
                    <w:pStyle w:val="5"/>
                    <w:adjustRightInd w:val="0"/>
                    <w:snapToGrid w:val="0"/>
                    <w:spacing w:after="0"/>
                    <w:ind w:firstLine="0" w:firstLineChars="0"/>
                    <w:jc w:val="center"/>
                    <w:rPr>
                      <w:rFonts w:eastAsiaTheme="minorEastAsia"/>
                      <w:szCs w:val="21"/>
                    </w:rPr>
                  </w:pPr>
                  <w:r>
                    <w:rPr>
                      <w:rFonts w:hint="eastAsia" w:eastAsiaTheme="minorEastAsia"/>
                      <w:szCs w:val="21"/>
                    </w:rPr>
                    <w:t>本项目拆解场地为全封闭构筑物，并具备良好的通风、采光、安全条件</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bl>
          <w:p/>
          <w:p/>
          <w:p/>
          <w:p>
            <w:pPr>
              <w:spacing w:line="360" w:lineRule="auto"/>
              <w:ind w:firstLine="482" w:firstLineChars="200"/>
              <w:jc w:val="center"/>
              <w:rPr>
                <w:sz w:val="24"/>
              </w:rPr>
            </w:pPr>
            <w:r>
              <w:rPr>
                <w:rFonts w:hint="eastAsia" w:eastAsiaTheme="minorEastAsia"/>
                <w:b/>
                <w:sz w:val="24"/>
              </w:rPr>
              <w:t>续表</w:t>
            </w:r>
            <w:r>
              <w:rPr>
                <w:rFonts w:eastAsiaTheme="minorEastAsia"/>
                <w:b/>
                <w:sz w:val="24"/>
              </w:rPr>
              <w:t>1-</w:t>
            </w:r>
            <w:r>
              <w:rPr>
                <w:rFonts w:hint="eastAsia" w:eastAsiaTheme="minorEastAsia"/>
                <w:b/>
                <w:sz w:val="24"/>
              </w:rPr>
              <w:t>4</w:t>
            </w:r>
            <w:r>
              <w:rPr>
                <w:rFonts w:eastAsiaTheme="minorEastAsia"/>
                <w:b/>
                <w:sz w:val="24"/>
              </w:rPr>
              <w:t xml:space="preserve"> </w:t>
            </w:r>
            <w:r>
              <w:rPr>
                <w:rFonts w:hint="eastAsia" w:eastAsiaTheme="minorEastAsia"/>
                <w:b/>
                <w:sz w:val="24"/>
              </w:rPr>
              <w:t>项目与《</w:t>
            </w:r>
            <w:r>
              <w:rPr>
                <w:rFonts w:hint="eastAsia" w:eastAsiaTheme="minorEastAsia"/>
                <w:b/>
                <w:kern w:val="0"/>
                <w:sz w:val="24"/>
                <w:szCs w:val="21"/>
              </w:rPr>
              <w:t>废机动车回收拆解企业技术规范</w:t>
            </w:r>
            <w:r>
              <w:rPr>
                <w:rFonts w:hint="eastAsia" w:eastAsiaTheme="minorEastAsia"/>
                <w:b/>
                <w:sz w:val="24"/>
              </w:rPr>
              <w:t>》符合性分析</w:t>
            </w:r>
          </w:p>
          <w:tbl>
            <w:tblPr>
              <w:tblStyle w:val="21"/>
              <w:tblpPr w:leftFromText="180" w:rightFromText="180" w:vertAnchor="text" w:tblpY="1"/>
              <w:tblOverlap w:val="never"/>
              <w:tblW w:w="67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2949"/>
              <w:gridCol w:w="2552"/>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453" w:type="dxa"/>
                  <w:shd w:val="clear" w:color="auto" w:fill="auto"/>
                  <w:vAlign w:val="center"/>
                </w:tcPr>
                <w:p>
                  <w:pPr>
                    <w:pStyle w:val="5"/>
                    <w:widowControl/>
                    <w:adjustRightInd w:val="0"/>
                    <w:snapToGrid w:val="0"/>
                    <w:spacing w:after="0"/>
                    <w:ind w:firstLine="0" w:firstLineChars="0"/>
                    <w:jc w:val="center"/>
                    <w:rPr>
                      <w:rFonts w:eastAsiaTheme="minorEastAsia"/>
                      <w:szCs w:val="21"/>
                    </w:rPr>
                  </w:pPr>
                  <w:r>
                    <w:rPr>
                      <w:rFonts w:hint="eastAsia" w:eastAsiaTheme="minorEastAsia"/>
                      <w:szCs w:val="21"/>
                    </w:rPr>
                    <w:t>6</w:t>
                  </w:r>
                </w:p>
              </w:tc>
              <w:tc>
                <w:tcPr>
                  <w:tcW w:w="2949" w:type="dxa"/>
                  <w:shd w:val="clear" w:color="auto" w:fill="auto"/>
                  <w:vAlign w:val="center"/>
                </w:tcPr>
                <w:p>
                  <w:pPr>
                    <w:pStyle w:val="5"/>
                    <w:adjustRightInd w:val="0"/>
                    <w:snapToGrid w:val="0"/>
                    <w:spacing w:after="0"/>
                    <w:ind w:firstLine="210"/>
                    <w:jc w:val="center"/>
                    <w:rPr>
                      <w:rFonts w:eastAsiaTheme="minorEastAsia"/>
                      <w:szCs w:val="21"/>
                    </w:rPr>
                  </w:pPr>
                  <w:r>
                    <w:rPr>
                      <w:rFonts w:eastAsiaTheme="minorEastAsia"/>
                      <w:szCs w:val="21"/>
                    </w:rPr>
                    <w:t>4.2.6</w:t>
                  </w:r>
                  <w:r>
                    <w:rPr>
                      <w:rFonts w:hint="eastAsia" w:eastAsiaTheme="minorEastAsia"/>
                      <w:szCs w:val="21"/>
                    </w:rPr>
                    <w:t>贮存场地应分为报废机动车 贮存场地、回收件贮存场地以及固 体废弃物贮存场地。固体废弃物贮 存场地应具有满足</w:t>
                  </w:r>
                  <w:r>
                    <w:rPr>
                      <w:rFonts w:eastAsiaTheme="minorEastAsia"/>
                      <w:szCs w:val="21"/>
                    </w:rPr>
                    <w:t>GB18599</w:t>
                  </w:r>
                  <w:r>
                    <w:rPr>
                      <w:rFonts w:hint="eastAsia" w:eastAsiaTheme="minorEastAsia"/>
                      <w:szCs w:val="21"/>
                    </w:rPr>
                    <w:t>要求 的一般工业企业固体废物贮存设 施和满足</w:t>
                  </w:r>
                  <w:r>
                    <w:rPr>
                      <w:rFonts w:eastAsiaTheme="minorEastAsia"/>
                      <w:szCs w:val="21"/>
                    </w:rPr>
                    <w:t>GB18597</w:t>
                  </w:r>
                  <w:r>
                    <w:rPr>
                      <w:rFonts w:hint="eastAsia" w:eastAsiaTheme="minorEastAsia"/>
                      <w:szCs w:val="21"/>
                    </w:rPr>
                    <w:t>要求的危险废物贮存设施</w:t>
                  </w:r>
                </w:p>
              </w:tc>
              <w:tc>
                <w:tcPr>
                  <w:tcW w:w="2552" w:type="dxa"/>
                  <w:shd w:val="clear" w:color="auto" w:fill="auto"/>
                  <w:vAlign w:val="center"/>
                </w:tcPr>
                <w:p>
                  <w:pPr>
                    <w:pStyle w:val="5"/>
                    <w:adjustRightInd w:val="0"/>
                    <w:snapToGrid w:val="0"/>
                    <w:spacing w:after="0"/>
                    <w:ind w:firstLine="0" w:firstLineChars="0"/>
                    <w:jc w:val="center"/>
                    <w:rPr>
                      <w:rFonts w:eastAsiaTheme="minorEastAsia"/>
                      <w:szCs w:val="21"/>
                    </w:rPr>
                  </w:pPr>
                  <w:r>
                    <w:rPr>
                      <w:rFonts w:hint="eastAsia" w:eastAsiaTheme="minorEastAsia"/>
                      <w:szCs w:val="21"/>
                    </w:rPr>
                    <w:t xml:space="preserve">设有办公室、拆解车间、待拆 车辆贮存场地、农机拆除成品 半成品及零件贮存库、危险废 物 贮 存 库 等 。 具 有 满 足 </w:t>
                  </w:r>
                  <w:r>
                    <w:rPr>
                      <w:rFonts w:eastAsiaTheme="minorEastAsia"/>
                      <w:szCs w:val="21"/>
                    </w:rPr>
                    <w:t>GB18599</w:t>
                  </w:r>
                  <w:r>
                    <w:rPr>
                      <w:rFonts w:hint="eastAsia" w:eastAsiaTheme="minorEastAsia"/>
                      <w:szCs w:val="21"/>
                    </w:rPr>
                    <w:t>要求的一般工业企业 固 体 废 物 贮 存 设 施 和 满 足</w:t>
                  </w:r>
                  <w:r>
                    <w:rPr>
                      <w:rFonts w:eastAsiaTheme="minorEastAsia"/>
                      <w:szCs w:val="21"/>
                    </w:rPr>
                    <w:t>GB18597</w:t>
                  </w:r>
                  <w:r>
                    <w:rPr>
                      <w:rFonts w:hint="eastAsia" w:eastAsiaTheme="minorEastAsia"/>
                      <w:szCs w:val="21"/>
                    </w:rPr>
                    <w:t>要求的危险废物贮存设施</w:t>
                  </w:r>
                </w:p>
              </w:tc>
              <w:tc>
                <w:tcPr>
                  <w:tcW w:w="778" w:type="dxa"/>
                  <w:shd w:val="clear" w:color="auto" w:fill="auto"/>
                  <w:vAlign w:val="center"/>
                </w:tcPr>
                <w:p>
                  <w:pPr>
                    <w:jc w:val="center"/>
                    <w:rPr>
                      <w:rFonts w:eastAsiaTheme="minorEastAsia"/>
                      <w:szCs w:val="21"/>
                    </w:rPr>
                  </w:pPr>
                  <w:r>
                    <w:rPr>
                      <w:rFonts w:hint="eastAsia" w:eastAsiaTheme="minorEastAsia"/>
                      <w:szCs w:val="21"/>
                    </w:rPr>
                    <w:t>符合</w:t>
                  </w:r>
                </w:p>
              </w:tc>
            </w:tr>
          </w:tbl>
          <w:p>
            <w:pPr>
              <w:spacing w:line="360" w:lineRule="auto"/>
              <w:ind w:firstLine="480" w:firstLineChars="200"/>
              <w:contextualSpacing/>
              <w:rPr>
                <w:rFonts w:eastAsiaTheme="minorEastAsia"/>
                <w:bCs/>
                <w:kern w:val="0"/>
                <w:sz w:val="24"/>
                <w:szCs w:val="21"/>
              </w:rPr>
            </w:pPr>
          </w:p>
          <w:p>
            <w:pPr>
              <w:spacing w:line="360" w:lineRule="auto"/>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ind w:firstLine="480" w:firstLineChars="200"/>
              <w:contextualSpacing/>
              <w:rPr>
                <w:rFonts w:eastAsiaTheme="minorEastAsia"/>
                <w:bCs/>
                <w:kern w:val="0"/>
                <w:sz w:val="24"/>
                <w:szCs w:val="21"/>
              </w:rPr>
            </w:pPr>
          </w:p>
          <w:p>
            <w:pPr>
              <w:spacing w:line="360" w:lineRule="auto"/>
              <w:contextualSpacing/>
              <w:rPr>
                <w:rFonts w:eastAsiaTheme="minorEastAsia"/>
                <w:bCs/>
                <w:kern w:val="0"/>
                <w:sz w:val="24"/>
                <w:szCs w:val="21"/>
              </w:rPr>
            </w:pPr>
          </w:p>
        </w:tc>
      </w:tr>
    </w:tbl>
    <w:p>
      <w:pPr>
        <w:spacing w:line="360" w:lineRule="auto"/>
        <w:outlineLvl w:val="0"/>
        <w:rPr>
          <w:rFonts w:eastAsiaTheme="minorEastAsia"/>
          <w:sz w:val="30"/>
        </w:rPr>
        <w:sectPr>
          <w:footerReference r:id="rId6" w:type="default"/>
          <w:pgSz w:w="11906" w:h="16838"/>
          <w:pgMar w:top="1701" w:right="1531" w:bottom="1701" w:left="1531" w:header="851" w:footer="1077" w:gutter="0"/>
          <w:pgNumType w:start="1"/>
          <w:cols w:space="720" w:num="1"/>
          <w:docGrid w:linePitch="312" w:charSpace="0"/>
        </w:sectPr>
      </w:pPr>
    </w:p>
    <w:p>
      <w:pPr>
        <w:pStyle w:val="16"/>
        <w:jc w:val="center"/>
        <w:outlineLvl w:val="0"/>
        <w:rPr>
          <w:rFonts w:ascii="Times New Roman" w:hAnsi="Times New Roman" w:eastAsiaTheme="minorEastAsia"/>
          <w:snapToGrid w:val="0"/>
          <w:sz w:val="30"/>
          <w:szCs w:val="30"/>
        </w:rPr>
      </w:pPr>
      <w:bookmarkStart w:id="5" w:name="_Toc114492903"/>
      <w:r>
        <w:rPr>
          <w:rFonts w:hint="eastAsia" w:ascii="Times New Roman" w:hAnsi="Times New Roman" w:eastAsiaTheme="minorEastAsia"/>
          <w:snapToGrid w:val="0"/>
          <w:sz w:val="30"/>
          <w:szCs w:val="30"/>
        </w:rPr>
        <w:t>二、建设项目工程分析</w:t>
      </w:r>
      <w:bookmarkEnd w:id="5"/>
    </w:p>
    <w:tbl>
      <w:tblPr>
        <w:tblStyle w:val="21"/>
        <w:tblW w:w="906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2"/>
        <w:gridCol w:w="86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77" w:hRule="atLeast"/>
          <w:jc w:val="center"/>
        </w:trPr>
        <w:tc>
          <w:tcPr>
            <w:tcW w:w="452" w:type="dxa"/>
            <w:vAlign w:val="center"/>
          </w:tcPr>
          <w:p>
            <w:pPr>
              <w:pStyle w:val="16"/>
              <w:adjustRightInd w:val="0"/>
              <w:snapToGrid w:val="0"/>
              <w:spacing w:before="0" w:beforeAutospacing="0" w:after="0" w:afterAutospacing="0"/>
              <w:jc w:val="center"/>
              <w:rPr>
                <w:rFonts w:ascii="Times New Roman" w:hAnsi="Times New Roman" w:eastAsiaTheme="minorEastAsia"/>
                <w:szCs w:val="24"/>
              </w:rPr>
            </w:pPr>
            <w:r>
              <w:rPr>
                <w:rFonts w:hint="eastAsia" w:ascii="Times New Roman" w:hAnsi="Times New Roman" w:eastAsiaTheme="minorEastAsia"/>
                <w:szCs w:val="24"/>
              </w:rPr>
              <w:t>建设内容</w:t>
            </w:r>
          </w:p>
        </w:tc>
        <w:tc>
          <w:tcPr>
            <w:tcW w:w="8608" w:type="dxa"/>
          </w:tcPr>
          <w:p>
            <w:pPr>
              <w:spacing w:line="360" w:lineRule="auto"/>
              <w:ind w:firstLine="482" w:firstLineChars="200"/>
              <w:contextualSpacing/>
              <w:jc w:val="left"/>
              <w:rPr>
                <w:rFonts w:eastAsiaTheme="minorEastAsia"/>
                <w:b/>
                <w:kern w:val="0"/>
                <w:sz w:val="24"/>
              </w:rPr>
            </w:pPr>
            <w:r>
              <w:rPr>
                <w:rFonts w:eastAsiaTheme="minorEastAsia"/>
                <w:b/>
                <w:kern w:val="0"/>
                <w:sz w:val="24"/>
              </w:rPr>
              <w:t>1</w:t>
            </w:r>
            <w:r>
              <w:rPr>
                <w:rFonts w:hint="eastAsia" w:eastAsiaTheme="minorEastAsia"/>
                <w:b/>
                <w:kern w:val="0"/>
                <w:sz w:val="24"/>
              </w:rPr>
              <w:t>、工程概况及项目组成</w:t>
            </w:r>
          </w:p>
          <w:p>
            <w:pPr>
              <w:spacing w:line="360" w:lineRule="auto"/>
              <w:ind w:firstLine="480" w:firstLineChars="200"/>
              <w:contextualSpacing/>
              <w:rPr>
                <w:rFonts w:eastAsiaTheme="minorEastAsia"/>
                <w:bCs/>
                <w:sz w:val="24"/>
              </w:rPr>
            </w:pPr>
            <w:r>
              <w:rPr>
                <w:rFonts w:hint="eastAsia" w:eastAsiaTheme="minorEastAsia"/>
                <w:bCs/>
                <w:sz w:val="24"/>
              </w:rPr>
              <w:t>本项目建设内容主要包括</w:t>
            </w:r>
            <w:r>
              <w:rPr>
                <w:rFonts w:eastAsiaTheme="minorEastAsia"/>
                <w:bCs/>
                <w:sz w:val="24"/>
              </w:rPr>
              <w:t>1</w:t>
            </w:r>
            <w:r>
              <w:rPr>
                <w:rFonts w:hint="eastAsia" w:eastAsiaTheme="minorEastAsia"/>
                <w:bCs/>
                <w:sz w:val="24"/>
              </w:rPr>
              <w:t>间办公室，</w:t>
            </w:r>
            <w:r>
              <w:rPr>
                <w:rFonts w:eastAsiaTheme="minorEastAsia"/>
                <w:bCs/>
                <w:sz w:val="24"/>
              </w:rPr>
              <w:t>1</w:t>
            </w:r>
            <w:r>
              <w:rPr>
                <w:rFonts w:hint="eastAsia" w:eastAsiaTheme="minorEastAsia"/>
                <w:bCs/>
                <w:sz w:val="24"/>
              </w:rPr>
              <w:t>间危险废物贮存库、</w:t>
            </w:r>
            <w:r>
              <w:rPr>
                <w:rFonts w:eastAsiaTheme="minorEastAsia"/>
                <w:bCs/>
                <w:sz w:val="24"/>
              </w:rPr>
              <w:t>1</w:t>
            </w:r>
            <w:r>
              <w:rPr>
                <w:rFonts w:hint="eastAsia" w:eastAsiaTheme="minorEastAsia"/>
                <w:bCs/>
                <w:sz w:val="24"/>
              </w:rPr>
              <w:t>间拆解车间，停车场等，总建筑面积16420</w:t>
            </w:r>
            <w:r>
              <w:rPr>
                <w:rFonts w:eastAsiaTheme="minorEastAsia"/>
                <w:bCs/>
                <w:sz w:val="24"/>
              </w:rPr>
              <w:t>m</w:t>
            </w:r>
            <w:r>
              <w:rPr>
                <w:rFonts w:eastAsiaTheme="minorEastAsia"/>
                <w:bCs/>
                <w:sz w:val="24"/>
                <w:vertAlign w:val="superscript"/>
              </w:rPr>
              <w:t>2</w:t>
            </w:r>
            <w:r>
              <w:rPr>
                <w:rFonts w:hint="eastAsia" w:eastAsiaTheme="minorEastAsia"/>
                <w:bCs/>
                <w:sz w:val="24"/>
              </w:rPr>
              <w:t>。项目建成后年回收拆解6</w:t>
            </w:r>
            <w:r>
              <w:rPr>
                <w:rFonts w:eastAsiaTheme="minorEastAsia"/>
                <w:bCs/>
                <w:sz w:val="24"/>
              </w:rPr>
              <w:t>00</w:t>
            </w:r>
            <w:r>
              <w:rPr>
                <w:rFonts w:hint="eastAsia" w:eastAsiaTheme="minorEastAsia"/>
                <w:bCs/>
                <w:sz w:val="24"/>
              </w:rPr>
              <w:t>台报废农机，不拆解其他机动车。具体工程组成见下表。本项目无</w:t>
            </w:r>
            <w:r>
              <w:rPr>
                <w:rFonts w:hint="eastAsia"/>
                <w:sz w:val="24"/>
              </w:rPr>
              <w:t>打包压块工序。本项目总占地面积</w:t>
            </w:r>
            <w:r>
              <w:rPr>
                <w:rFonts w:hint="eastAsia" w:eastAsiaTheme="minorEastAsia"/>
                <w:sz w:val="24"/>
              </w:rPr>
              <w:t>21251.5</w:t>
            </w:r>
            <w:r>
              <w:rPr>
                <w:rFonts w:eastAsiaTheme="minorEastAsia"/>
                <w:bCs/>
                <w:sz w:val="24"/>
              </w:rPr>
              <w:t>m</w:t>
            </w:r>
            <w:r>
              <w:rPr>
                <w:rFonts w:eastAsiaTheme="minorEastAsia"/>
                <w:bCs/>
                <w:sz w:val="24"/>
                <w:vertAlign w:val="superscript"/>
              </w:rPr>
              <w:t>2</w:t>
            </w:r>
            <w:r>
              <w:rPr>
                <w:rFonts w:hint="eastAsia" w:eastAsiaTheme="minorEastAsia"/>
                <w:bCs/>
                <w:sz w:val="24"/>
              </w:rPr>
              <w:t>，见</w:t>
            </w:r>
            <w:r>
              <w:rPr>
                <w:rFonts w:eastAsiaTheme="minorEastAsia"/>
                <w:bCs/>
                <w:sz w:val="24"/>
              </w:rPr>
              <w:t>附件</w:t>
            </w:r>
            <w:r>
              <w:rPr>
                <w:rFonts w:hint="eastAsia" w:eastAsiaTheme="minorEastAsia"/>
                <w:bCs/>
                <w:sz w:val="24"/>
              </w:rPr>
              <w:t>2土地证及租赁协议。</w:t>
            </w:r>
          </w:p>
          <w:p>
            <w:pPr>
              <w:pStyle w:val="42"/>
              <w:spacing w:beforeLines="0" w:afterLines="0" w:line="360" w:lineRule="auto"/>
              <w:ind w:firstLine="0" w:firstLineChars="0"/>
              <w:contextualSpacing/>
              <w:jc w:val="center"/>
              <w:textAlignment w:val="baseline"/>
              <w:rPr>
                <w:rFonts w:eastAsiaTheme="minorEastAsia"/>
                <w:b/>
                <w:color w:val="auto"/>
              </w:rPr>
            </w:pPr>
            <w:r>
              <w:rPr>
                <w:rFonts w:hint="eastAsia" w:eastAsiaTheme="minorEastAsia"/>
                <w:b/>
                <w:color w:val="auto"/>
              </w:rPr>
              <w:t>表</w:t>
            </w:r>
            <w:r>
              <w:rPr>
                <w:rFonts w:eastAsiaTheme="minorEastAsia"/>
                <w:b/>
                <w:color w:val="auto"/>
              </w:rPr>
              <w:t xml:space="preserve">2-1 </w:t>
            </w:r>
            <w:r>
              <w:rPr>
                <w:rFonts w:hint="eastAsia" w:eastAsiaTheme="minorEastAsia"/>
                <w:b/>
                <w:color w:val="auto"/>
              </w:rPr>
              <w:t>项目工程组成一览表</w:t>
            </w:r>
          </w:p>
          <w:tbl>
            <w:tblPr>
              <w:tblStyle w:val="21"/>
              <w:tblW w:w="839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2"/>
              <w:gridCol w:w="940"/>
              <w:gridCol w:w="6237"/>
              <w:gridCol w:w="6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 w:hRule="atLeast"/>
                <w:jc w:val="center"/>
              </w:trPr>
              <w:tc>
                <w:tcPr>
                  <w:tcW w:w="1532" w:type="dxa"/>
                  <w:gridSpan w:val="2"/>
                  <w:vAlign w:val="center"/>
                </w:tcPr>
                <w:p>
                  <w:pPr>
                    <w:contextualSpacing/>
                    <w:jc w:val="center"/>
                    <w:rPr>
                      <w:rFonts w:eastAsiaTheme="minorEastAsia"/>
                      <w:szCs w:val="21"/>
                    </w:rPr>
                  </w:pPr>
                  <w:r>
                    <w:rPr>
                      <w:rFonts w:hint="eastAsia" w:eastAsiaTheme="minorEastAsia"/>
                      <w:szCs w:val="21"/>
                    </w:rPr>
                    <w:t>建设内容</w:t>
                  </w:r>
                </w:p>
              </w:tc>
              <w:tc>
                <w:tcPr>
                  <w:tcW w:w="6237" w:type="dxa"/>
                  <w:vAlign w:val="center"/>
                </w:tcPr>
                <w:p>
                  <w:pPr>
                    <w:contextualSpacing/>
                    <w:jc w:val="center"/>
                    <w:rPr>
                      <w:rFonts w:eastAsiaTheme="minorEastAsia"/>
                      <w:szCs w:val="21"/>
                    </w:rPr>
                  </w:pPr>
                  <w:r>
                    <w:rPr>
                      <w:rFonts w:hint="eastAsia" w:eastAsiaTheme="minorEastAsia"/>
                      <w:szCs w:val="21"/>
                    </w:rPr>
                    <w:t>建设规模及内容</w:t>
                  </w:r>
                </w:p>
              </w:tc>
              <w:tc>
                <w:tcPr>
                  <w:tcW w:w="623" w:type="dxa"/>
                  <w:vAlign w:val="center"/>
                </w:tcPr>
                <w:p>
                  <w:pPr>
                    <w:contextualSpacing/>
                    <w:jc w:val="center"/>
                    <w:rPr>
                      <w:rFonts w:eastAsiaTheme="minorEastAsia"/>
                      <w:szCs w:val="21"/>
                    </w:rPr>
                  </w:pPr>
                  <w:r>
                    <w:rPr>
                      <w:rFonts w:hint="eastAsia" w:eastAsiaTheme="minorEastAsia"/>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jc w:val="center"/>
              </w:trPr>
              <w:tc>
                <w:tcPr>
                  <w:tcW w:w="592" w:type="dxa"/>
                  <w:shd w:val="clear" w:color="auto" w:fill="auto"/>
                  <w:vAlign w:val="center"/>
                </w:tcPr>
                <w:p>
                  <w:pPr>
                    <w:contextualSpacing/>
                    <w:jc w:val="center"/>
                    <w:rPr>
                      <w:rFonts w:eastAsiaTheme="minorEastAsia"/>
                      <w:szCs w:val="21"/>
                    </w:rPr>
                  </w:pPr>
                  <w:r>
                    <w:rPr>
                      <w:rFonts w:hint="eastAsia" w:eastAsiaTheme="minorEastAsia"/>
                      <w:szCs w:val="21"/>
                    </w:rPr>
                    <w:t>主体工程</w:t>
                  </w:r>
                </w:p>
              </w:tc>
              <w:tc>
                <w:tcPr>
                  <w:tcW w:w="940" w:type="dxa"/>
                  <w:shd w:val="clear" w:color="auto" w:fill="FFFFFF"/>
                  <w:vAlign w:val="center"/>
                </w:tcPr>
                <w:p>
                  <w:pPr>
                    <w:contextualSpacing/>
                    <w:jc w:val="center"/>
                    <w:rPr>
                      <w:rFonts w:eastAsiaTheme="minorEastAsia"/>
                      <w:szCs w:val="21"/>
                    </w:rPr>
                  </w:pPr>
                  <w:r>
                    <w:rPr>
                      <w:rFonts w:hint="eastAsia" w:eastAsiaTheme="minorEastAsia"/>
                      <w:szCs w:val="21"/>
                    </w:rPr>
                    <w:t>拆解车间</w:t>
                  </w:r>
                </w:p>
              </w:tc>
              <w:tc>
                <w:tcPr>
                  <w:tcW w:w="6237" w:type="dxa"/>
                  <w:tcBorders>
                    <w:bottom w:val="single" w:color="auto" w:sz="4" w:space="0"/>
                  </w:tcBorders>
                  <w:shd w:val="clear" w:color="auto" w:fill="FFFFFF"/>
                  <w:vAlign w:val="center"/>
                </w:tcPr>
                <w:p>
                  <w:pPr>
                    <w:contextualSpacing/>
                    <w:jc w:val="left"/>
                    <w:rPr>
                      <w:rFonts w:eastAsiaTheme="minorEastAsia"/>
                      <w:szCs w:val="21"/>
                    </w:rPr>
                  </w:pPr>
                  <w:r>
                    <w:rPr>
                      <w:rFonts w:hint="eastAsia" w:eastAsiaTheme="minorEastAsia"/>
                      <w:szCs w:val="21"/>
                    </w:rPr>
                    <w:t>全封闭，位于厂区西部，建筑面积为3000</w:t>
                  </w:r>
                  <w:r>
                    <w:rPr>
                      <w:rFonts w:eastAsiaTheme="minorEastAsia"/>
                      <w:szCs w:val="21"/>
                    </w:rPr>
                    <w:t>m</w:t>
                  </w:r>
                  <w:r>
                    <w:rPr>
                      <w:rFonts w:eastAsiaTheme="minorEastAsia"/>
                      <w:szCs w:val="21"/>
                      <w:vertAlign w:val="superscript"/>
                    </w:rPr>
                    <w:t>2</w:t>
                  </w:r>
                  <w:r>
                    <w:rPr>
                      <w:rFonts w:hint="eastAsia" w:eastAsiaTheme="minorEastAsia"/>
                      <w:szCs w:val="21"/>
                    </w:rPr>
                    <w:t>，钢结构厂房，本项目报废</w:t>
                  </w:r>
                  <w:r>
                    <w:t>农机拆解方案为</w:t>
                  </w:r>
                  <w:r>
                    <w:rPr>
                      <w:rFonts w:hint="eastAsia"/>
                      <w:bCs/>
                    </w:rPr>
                    <w:t>农机入厂、预处理、</w:t>
                  </w:r>
                  <w:r>
                    <w:rPr>
                      <w:rFonts w:eastAsiaTheme="minorEastAsia"/>
                      <w:bCs/>
                      <w:szCs w:val="21"/>
                    </w:rPr>
                    <w:t>外部拆解、内部拆解、总成拆解、剪切，</w:t>
                  </w:r>
                  <w:r>
                    <w:rPr>
                      <w:rFonts w:hint="eastAsia" w:eastAsiaTheme="minorEastAsia"/>
                      <w:szCs w:val="21"/>
                    </w:rPr>
                    <w:t>不进行</w:t>
                  </w:r>
                  <w:r>
                    <w:t>精细拆解，</w:t>
                  </w:r>
                  <w:r>
                    <w:rPr>
                      <w:rFonts w:hint="eastAsia" w:hAnsi="宋体"/>
                      <w:kern w:val="0"/>
                      <w:szCs w:val="21"/>
                    </w:rPr>
                    <w:t>内设铅蓄电池拆卸区（120m</w:t>
                  </w:r>
                  <w:r>
                    <w:rPr>
                      <w:rFonts w:hint="eastAsia" w:hAnsi="宋体"/>
                      <w:kern w:val="0"/>
                      <w:szCs w:val="21"/>
                      <w:vertAlign w:val="superscript"/>
                    </w:rPr>
                    <w:t>2</w:t>
                  </w:r>
                  <w:r>
                    <w:rPr>
                      <w:rFonts w:hint="eastAsia" w:hAnsi="宋体"/>
                      <w:kern w:val="0"/>
                      <w:szCs w:val="21"/>
                    </w:rPr>
                    <w:t>）、拆解区（650m</w:t>
                  </w:r>
                  <w:r>
                    <w:rPr>
                      <w:rFonts w:hint="eastAsia" w:hAnsi="宋体"/>
                      <w:kern w:val="0"/>
                      <w:szCs w:val="21"/>
                      <w:vertAlign w:val="superscript"/>
                    </w:rPr>
                    <w:t>2</w:t>
                  </w:r>
                  <w:r>
                    <w:rPr>
                      <w:rFonts w:hint="eastAsia" w:hAnsi="宋体"/>
                      <w:kern w:val="0"/>
                      <w:szCs w:val="21"/>
                    </w:rPr>
                    <w:t>）、油液排空区（100m</w:t>
                  </w:r>
                  <w:r>
                    <w:rPr>
                      <w:rFonts w:hint="eastAsia" w:hAnsi="宋体"/>
                      <w:kern w:val="0"/>
                      <w:szCs w:val="21"/>
                      <w:vertAlign w:val="superscript"/>
                    </w:rPr>
                    <w:t>2</w:t>
                  </w:r>
                  <w:r>
                    <w:rPr>
                      <w:rFonts w:hint="eastAsia" w:hAnsi="宋体"/>
                      <w:kern w:val="0"/>
                      <w:szCs w:val="21"/>
                    </w:rPr>
                    <w:t>）、切割区（200m</w:t>
                  </w:r>
                  <w:r>
                    <w:rPr>
                      <w:rFonts w:hint="eastAsia" w:hAnsi="宋体"/>
                      <w:kern w:val="0"/>
                      <w:szCs w:val="21"/>
                      <w:vertAlign w:val="superscript"/>
                    </w:rPr>
                    <w:t>2</w:t>
                  </w:r>
                  <w:r>
                    <w:rPr>
                      <w:rFonts w:hint="eastAsia" w:hAnsi="宋体"/>
                      <w:kern w:val="0"/>
                      <w:szCs w:val="21"/>
                    </w:rPr>
                    <w:t>、采用</w:t>
                  </w:r>
                  <w:r>
                    <w:rPr>
                      <w:rFonts w:hAnsi="宋体"/>
                      <w:kern w:val="0"/>
                      <w:szCs w:val="21"/>
                    </w:rPr>
                    <w:t>等离子切割</w:t>
                  </w:r>
                  <w:r>
                    <w:rPr>
                      <w:rFonts w:hint="eastAsia" w:hAnsi="宋体"/>
                      <w:kern w:val="0"/>
                      <w:szCs w:val="21"/>
                    </w:rPr>
                    <w:t>）</w:t>
                  </w:r>
                  <w:r>
                    <w:rPr>
                      <w:rFonts w:hint="eastAsia" w:eastAsiaTheme="minorEastAsia"/>
                      <w:szCs w:val="21"/>
                    </w:rPr>
                    <w:t>，不同分区设置明显标识，标明贮存物的类别、名称、规格、注意事项等；拆解车间地面设置防油渗隔离层，拆解车间地面混凝土强度等级不低于</w:t>
                  </w:r>
                  <w:r>
                    <w:rPr>
                      <w:rFonts w:eastAsiaTheme="minorEastAsia"/>
                      <w:szCs w:val="21"/>
                    </w:rPr>
                    <w:t>C20</w:t>
                  </w:r>
                  <w:r>
                    <w:rPr>
                      <w:rFonts w:hint="eastAsia" w:eastAsiaTheme="minorEastAsia"/>
                      <w:szCs w:val="21"/>
                    </w:rPr>
                    <w:t>，厚度不低于</w:t>
                  </w:r>
                  <w:r>
                    <w:rPr>
                      <w:rFonts w:eastAsiaTheme="minorEastAsia"/>
                      <w:szCs w:val="21"/>
                    </w:rPr>
                    <w:t>150 mm</w:t>
                  </w:r>
                  <w:r>
                    <w:rPr>
                      <w:rFonts w:hint="eastAsia" w:eastAsiaTheme="minorEastAsia"/>
                      <w:szCs w:val="21"/>
                    </w:rPr>
                    <w:t>，其中物流通道路面和拆解区域强度不低于</w:t>
                  </w:r>
                  <w:r>
                    <w:rPr>
                      <w:rFonts w:eastAsiaTheme="minorEastAsia"/>
                      <w:szCs w:val="21"/>
                    </w:rPr>
                    <w:t>C30</w:t>
                  </w:r>
                  <w:r>
                    <w:rPr>
                      <w:rFonts w:hint="eastAsia" w:eastAsiaTheme="minorEastAsia"/>
                      <w:szCs w:val="21"/>
                    </w:rPr>
                    <w:t>，厚度不低于</w:t>
                  </w:r>
                  <w:r>
                    <w:rPr>
                      <w:rFonts w:eastAsiaTheme="minorEastAsia"/>
                      <w:szCs w:val="21"/>
                    </w:rPr>
                    <w:t>200mm</w:t>
                  </w:r>
                  <w:r>
                    <w:rPr>
                      <w:rFonts w:hint="eastAsia" w:eastAsiaTheme="minorEastAsia"/>
                      <w:szCs w:val="21"/>
                    </w:rPr>
                    <w:t>，</w:t>
                  </w:r>
                  <w:r>
                    <w:rPr>
                      <w:rFonts w:hint="eastAsia" w:eastAsiaTheme="minorEastAsia"/>
                      <w:bCs/>
                      <w:szCs w:val="21"/>
                    </w:rPr>
                    <w:t>防渗技术要求达到等效粘土防渗层Mb≥1.5m，K≤1×10</w:t>
                  </w:r>
                  <w:r>
                    <w:rPr>
                      <w:rFonts w:eastAsiaTheme="minorEastAsia"/>
                      <w:bCs/>
                      <w:szCs w:val="21"/>
                      <w:vertAlign w:val="superscript"/>
                    </w:rPr>
                    <w:t>-7</w:t>
                  </w:r>
                  <w:r>
                    <w:rPr>
                      <w:rFonts w:eastAsiaTheme="minorEastAsia"/>
                      <w:bCs/>
                      <w:szCs w:val="21"/>
                    </w:rPr>
                    <w:t>cm/s</w:t>
                  </w:r>
                </w:p>
              </w:tc>
              <w:tc>
                <w:tcPr>
                  <w:tcW w:w="623" w:type="dxa"/>
                  <w:vMerge w:val="restart"/>
                  <w:vAlign w:val="center"/>
                </w:tcPr>
                <w:p>
                  <w:pPr>
                    <w:contextualSpacing/>
                    <w:jc w:val="center"/>
                    <w:rPr>
                      <w:rFonts w:eastAsiaTheme="minorEastAsia"/>
                      <w:szCs w:val="21"/>
                    </w:rPr>
                  </w:pPr>
                  <w:r>
                    <w:rPr>
                      <w:rFonts w:hint="eastAsia" w:eastAsiaTheme="minorEastAsia"/>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1" w:hRule="atLeast"/>
                <w:jc w:val="center"/>
              </w:trPr>
              <w:tc>
                <w:tcPr>
                  <w:tcW w:w="592" w:type="dxa"/>
                  <w:vMerge w:val="restart"/>
                  <w:shd w:val="clear" w:color="auto" w:fill="auto"/>
                  <w:vAlign w:val="center"/>
                </w:tcPr>
                <w:p>
                  <w:pPr>
                    <w:contextualSpacing/>
                    <w:jc w:val="center"/>
                    <w:rPr>
                      <w:rFonts w:eastAsiaTheme="minorEastAsia"/>
                      <w:szCs w:val="21"/>
                    </w:rPr>
                  </w:pPr>
                  <w:r>
                    <w:rPr>
                      <w:rFonts w:hint="eastAsia" w:eastAsiaTheme="minorEastAsia"/>
                      <w:szCs w:val="21"/>
                    </w:rPr>
                    <w:t>储运工程</w:t>
                  </w:r>
                </w:p>
              </w:tc>
              <w:tc>
                <w:tcPr>
                  <w:tcW w:w="940" w:type="dxa"/>
                  <w:shd w:val="clear" w:color="auto" w:fill="FFFFFF"/>
                  <w:vAlign w:val="center"/>
                </w:tcPr>
                <w:p>
                  <w:pPr>
                    <w:contextualSpacing/>
                    <w:jc w:val="center"/>
                    <w:rPr>
                      <w:rFonts w:eastAsiaTheme="minorEastAsia"/>
                      <w:szCs w:val="21"/>
                    </w:rPr>
                  </w:pPr>
                  <w:r>
                    <w:rPr>
                      <w:rFonts w:hint="eastAsia" w:hAnsi="宋体"/>
                      <w:kern w:val="0"/>
                      <w:szCs w:val="21"/>
                    </w:rPr>
                    <w:t>产品贮存间</w:t>
                  </w:r>
                </w:p>
              </w:tc>
              <w:tc>
                <w:tcPr>
                  <w:tcW w:w="6237" w:type="dxa"/>
                  <w:tcBorders>
                    <w:top w:val="single" w:color="auto" w:sz="4" w:space="0"/>
                  </w:tcBorders>
                  <w:shd w:val="clear" w:color="auto" w:fill="FFFFFF"/>
                  <w:vAlign w:val="center"/>
                </w:tcPr>
                <w:p>
                  <w:pPr>
                    <w:contextualSpacing/>
                    <w:jc w:val="left"/>
                    <w:rPr>
                      <w:rFonts w:eastAsiaTheme="minorEastAsia"/>
                      <w:szCs w:val="21"/>
                    </w:rPr>
                  </w:pPr>
                  <w:r>
                    <w:rPr>
                      <w:rFonts w:hint="eastAsia" w:eastAsiaTheme="minorEastAsia"/>
                      <w:szCs w:val="21"/>
                    </w:rPr>
                    <w:t>位于厂区南部，建筑面积为7600</w:t>
                  </w:r>
                  <w:r>
                    <w:rPr>
                      <w:rFonts w:eastAsiaTheme="minorEastAsia"/>
                      <w:szCs w:val="21"/>
                    </w:rPr>
                    <w:t>m</w:t>
                  </w:r>
                  <w:r>
                    <w:rPr>
                      <w:rFonts w:eastAsiaTheme="minorEastAsia"/>
                      <w:szCs w:val="21"/>
                      <w:vertAlign w:val="superscript"/>
                    </w:rPr>
                    <w:t>2</w:t>
                  </w:r>
                  <w:r>
                    <w:rPr>
                      <w:rFonts w:hint="eastAsia" w:eastAsiaTheme="minorEastAsia"/>
                      <w:szCs w:val="21"/>
                    </w:rPr>
                    <w:t>，用于拆解下来的</w:t>
                  </w:r>
                  <w:r>
                    <w:rPr>
                      <w:rFonts w:hint="eastAsia" w:hAnsi="宋体"/>
                      <w:kern w:val="0"/>
                      <w:szCs w:val="21"/>
                    </w:rPr>
                    <w:t>产品</w:t>
                  </w:r>
                  <w:r>
                    <w:rPr>
                      <w:rFonts w:hint="eastAsia" w:eastAsiaTheme="minorEastAsia"/>
                      <w:szCs w:val="21"/>
                    </w:rPr>
                    <w:t>，地面</w:t>
                  </w:r>
                  <w:r>
                    <w:rPr>
                      <w:rFonts w:hint="eastAsia" w:eastAsiaTheme="minorEastAsia"/>
                      <w:bCs/>
                      <w:szCs w:val="21"/>
                    </w:rPr>
                    <w:t>采用粘土、抗渗混凝土、高密度聚乙烯（</w:t>
                  </w:r>
                  <w:r>
                    <w:rPr>
                      <w:rFonts w:eastAsiaTheme="minorEastAsia"/>
                      <w:bCs/>
                      <w:szCs w:val="21"/>
                    </w:rPr>
                    <w:t>HDPE</w:t>
                  </w:r>
                  <w:r>
                    <w:rPr>
                      <w:rFonts w:hint="eastAsia" w:eastAsiaTheme="minorEastAsia"/>
                      <w:bCs/>
                      <w:szCs w:val="21"/>
                    </w:rPr>
                    <w:t>）膜或其他防渗性能等效的材料，防渗技术要求达到等效粘土防渗层Mb≥1.5m，K≤1×10</w:t>
                  </w:r>
                  <w:r>
                    <w:rPr>
                      <w:rFonts w:eastAsiaTheme="minorEastAsia"/>
                      <w:bCs/>
                      <w:szCs w:val="21"/>
                      <w:vertAlign w:val="superscript"/>
                    </w:rPr>
                    <w:t>-7</w:t>
                  </w:r>
                  <w:r>
                    <w:rPr>
                      <w:rFonts w:eastAsiaTheme="minorEastAsia"/>
                      <w:bCs/>
                      <w:szCs w:val="21"/>
                    </w:rPr>
                    <w:t>cm/s</w:t>
                  </w:r>
                </w:p>
              </w:tc>
              <w:tc>
                <w:tcPr>
                  <w:tcW w:w="623"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592" w:type="dxa"/>
                  <w:vMerge w:val="continue"/>
                  <w:shd w:val="clear" w:color="auto" w:fill="auto"/>
                  <w:vAlign w:val="center"/>
                </w:tcPr>
                <w:p>
                  <w:pPr>
                    <w:contextualSpacing/>
                    <w:jc w:val="center"/>
                    <w:rPr>
                      <w:rFonts w:eastAsiaTheme="minorEastAsia"/>
                      <w:szCs w:val="21"/>
                    </w:rPr>
                  </w:pPr>
                </w:p>
              </w:tc>
              <w:tc>
                <w:tcPr>
                  <w:tcW w:w="940" w:type="dxa"/>
                  <w:shd w:val="clear" w:color="auto" w:fill="FFFFFF"/>
                  <w:vAlign w:val="center"/>
                </w:tcPr>
                <w:p>
                  <w:pPr>
                    <w:contextualSpacing/>
                    <w:jc w:val="center"/>
                    <w:rPr>
                      <w:rFonts w:eastAsiaTheme="minorEastAsia"/>
                      <w:szCs w:val="21"/>
                    </w:rPr>
                  </w:pPr>
                  <w:r>
                    <w:rPr>
                      <w:rFonts w:hint="eastAsia" w:eastAsiaTheme="minorEastAsia"/>
                      <w:szCs w:val="21"/>
                    </w:rPr>
                    <w:t>危险废物贮存库</w:t>
                  </w:r>
                </w:p>
              </w:tc>
              <w:tc>
                <w:tcPr>
                  <w:tcW w:w="6237" w:type="dxa"/>
                  <w:tcBorders>
                    <w:bottom w:val="single" w:color="auto" w:sz="4" w:space="0"/>
                  </w:tcBorders>
                  <w:shd w:val="clear" w:color="auto" w:fill="FFFFFF"/>
                  <w:vAlign w:val="center"/>
                </w:tcPr>
                <w:p>
                  <w:pPr>
                    <w:contextualSpacing/>
                    <w:jc w:val="left"/>
                    <w:rPr>
                      <w:rFonts w:eastAsiaTheme="minorEastAsia"/>
                      <w:szCs w:val="21"/>
                    </w:rPr>
                  </w:pPr>
                  <w:r>
                    <w:rPr>
                      <w:rFonts w:hint="eastAsia" w:eastAsiaTheme="minorEastAsia"/>
                      <w:szCs w:val="21"/>
                    </w:rPr>
                    <w:t>位于厂区西部，建筑面积约为12</w:t>
                  </w:r>
                  <w:r>
                    <w:rPr>
                      <w:rFonts w:eastAsiaTheme="minorEastAsia"/>
                      <w:szCs w:val="21"/>
                    </w:rPr>
                    <w:t>0m</w:t>
                  </w:r>
                  <w:r>
                    <w:rPr>
                      <w:rFonts w:eastAsiaTheme="minorEastAsia"/>
                      <w:szCs w:val="21"/>
                      <w:vertAlign w:val="superscript"/>
                    </w:rPr>
                    <w:t>2</w:t>
                  </w:r>
                  <w:r>
                    <w:rPr>
                      <w:rFonts w:hint="eastAsia" w:eastAsiaTheme="minorEastAsia"/>
                      <w:szCs w:val="21"/>
                    </w:rPr>
                    <w:t>，设置截流槽、导流沟、临时应急池和废液收集系统，不同种类的危险废物单独收集、分类存放，中间有明显间隔，</w:t>
                  </w:r>
                  <w:r>
                    <w:t>废铅酸蓄电池、废油液分区储存，</w:t>
                  </w:r>
                  <w:r>
                    <w:rPr>
                      <w:rFonts w:hint="eastAsia" w:eastAsiaTheme="minorEastAsia"/>
                      <w:szCs w:val="21"/>
                    </w:rPr>
                    <w:t>配备通讯设备、计量设备、照明设施、</w:t>
                  </w:r>
                  <w:r>
                    <w:t>设置集气及二级活性炭吸附装置</w:t>
                  </w:r>
                  <w:r>
                    <w:rPr>
                      <w:rFonts w:hint="eastAsia"/>
                    </w:rPr>
                    <w:t>、</w:t>
                  </w:r>
                  <w:r>
                    <w:rPr>
                      <w:rFonts w:hint="eastAsia" w:eastAsiaTheme="minorEastAsia"/>
                      <w:szCs w:val="21"/>
                    </w:rPr>
                    <w:t>设置警示标识，地面做防酸、防腐、防渗处理，</w:t>
                  </w:r>
                  <w:r>
                    <w:rPr>
                      <w:rFonts w:hint="eastAsia" w:eastAsiaTheme="minorEastAsia"/>
                      <w:bCs/>
                      <w:szCs w:val="21"/>
                    </w:rPr>
                    <w:t>地面与裙脚采用</w:t>
                  </w:r>
                  <w:r>
                    <w:rPr>
                      <w:rFonts w:eastAsiaTheme="minorEastAsia"/>
                      <w:bCs/>
                      <w:szCs w:val="21"/>
                    </w:rPr>
                    <w:t>2mm</w:t>
                  </w:r>
                  <w:r>
                    <w:rPr>
                      <w:rFonts w:hint="eastAsia" w:eastAsiaTheme="minorEastAsia"/>
                      <w:bCs/>
                      <w:szCs w:val="21"/>
                    </w:rPr>
                    <w:t>厚的高密度聚乙烯土工膜及混凝土地面，渗透系数≤1×10</w:t>
                  </w:r>
                  <w:r>
                    <w:rPr>
                      <w:rFonts w:eastAsiaTheme="minorEastAsia"/>
                      <w:bCs/>
                      <w:szCs w:val="21"/>
                      <w:vertAlign w:val="superscript"/>
                    </w:rPr>
                    <w:t>-10</w:t>
                  </w:r>
                  <w:r>
                    <w:rPr>
                      <w:rFonts w:eastAsiaTheme="minorEastAsia"/>
                      <w:bCs/>
                      <w:szCs w:val="21"/>
                    </w:rPr>
                    <w:t>cm/s</w:t>
                  </w:r>
                  <w:r>
                    <w:rPr>
                      <w:rFonts w:hint="eastAsia" w:eastAsiaTheme="minorEastAsia"/>
                      <w:bCs/>
                      <w:szCs w:val="21"/>
                    </w:rPr>
                    <w:t>，</w:t>
                  </w:r>
                  <w:r>
                    <w:rPr>
                      <w:rFonts w:hint="eastAsia" w:eastAsiaTheme="minorEastAsia"/>
                      <w:szCs w:val="21"/>
                    </w:rPr>
                    <w:t>用于拆解下来的电池、废油液等危险废物暂存，最大存储量为</w:t>
                  </w:r>
                  <w:r>
                    <w:rPr>
                      <w:rFonts w:eastAsiaTheme="minorEastAsia"/>
                      <w:szCs w:val="21"/>
                    </w:rPr>
                    <w:t>10t</w:t>
                  </w:r>
                </w:p>
              </w:tc>
              <w:tc>
                <w:tcPr>
                  <w:tcW w:w="623"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592" w:type="dxa"/>
                  <w:vMerge w:val="continue"/>
                  <w:shd w:val="clear" w:color="auto" w:fill="auto"/>
                  <w:vAlign w:val="center"/>
                </w:tcPr>
                <w:p>
                  <w:pPr>
                    <w:contextualSpacing/>
                    <w:jc w:val="center"/>
                    <w:rPr>
                      <w:rFonts w:eastAsiaTheme="minorEastAsia"/>
                      <w:szCs w:val="21"/>
                    </w:rPr>
                  </w:pPr>
                </w:p>
              </w:tc>
              <w:tc>
                <w:tcPr>
                  <w:tcW w:w="940" w:type="dxa"/>
                  <w:shd w:val="clear" w:color="auto" w:fill="FFFFFF"/>
                  <w:vAlign w:val="center"/>
                </w:tcPr>
                <w:p>
                  <w:pPr>
                    <w:contextualSpacing/>
                    <w:jc w:val="center"/>
                    <w:rPr>
                      <w:rFonts w:eastAsiaTheme="minorEastAsia"/>
                      <w:szCs w:val="21"/>
                    </w:rPr>
                  </w:pPr>
                  <w:r>
                    <w:rPr>
                      <w:rFonts w:hint="eastAsia" w:eastAsiaTheme="minorEastAsia"/>
                      <w:szCs w:val="21"/>
                    </w:rPr>
                    <w:t>收集池、暂存池</w:t>
                  </w:r>
                </w:p>
              </w:tc>
              <w:tc>
                <w:tcPr>
                  <w:tcW w:w="6237" w:type="dxa"/>
                  <w:tcBorders>
                    <w:bottom w:val="single" w:color="auto" w:sz="4" w:space="0"/>
                  </w:tcBorders>
                  <w:shd w:val="clear" w:color="auto" w:fill="FFFFFF"/>
                  <w:vAlign w:val="center"/>
                </w:tcPr>
                <w:p>
                  <w:pPr>
                    <w:contextualSpacing/>
                    <w:jc w:val="left"/>
                    <w:rPr>
                      <w:rFonts w:eastAsiaTheme="minorEastAsia"/>
                      <w:szCs w:val="21"/>
                    </w:rPr>
                  </w:pPr>
                  <w:r>
                    <w:rPr>
                      <w:rFonts w:hint="eastAsia" w:eastAsiaTheme="minorEastAsia"/>
                      <w:szCs w:val="21"/>
                    </w:rPr>
                    <w:t>收集池容积20</w:t>
                  </w:r>
                  <w:r>
                    <w:rPr>
                      <w:rFonts w:eastAsiaTheme="minorEastAsia"/>
                      <w:szCs w:val="21"/>
                    </w:rPr>
                    <w:t>m</w:t>
                  </w:r>
                  <w:r>
                    <w:rPr>
                      <w:rFonts w:eastAsiaTheme="minorEastAsia"/>
                      <w:szCs w:val="21"/>
                      <w:vertAlign w:val="superscript"/>
                    </w:rPr>
                    <w:t>3</w:t>
                  </w:r>
                  <w:r>
                    <w:rPr>
                      <w:rFonts w:hint="eastAsia" w:eastAsiaTheme="minorEastAsia"/>
                      <w:szCs w:val="21"/>
                    </w:rPr>
                    <w:t>，</w:t>
                  </w:r>
                  <w:r>
                    <w:rPr>
                      <w:rFonts w:hint="eastAsia" w:eastAsiaTheme="minorEastAsia"/>
                      <w:bCs/>
                      <w:szCs w:val="21"/>
                    </w:rPr>
                    <w:t>用于存储厂区初期雨水，</w:t>
                  </w:r>
                  <w:r>
                    <w:rPr>
                      <w:rFonts w:hint="eastAsia" w:eastAsiaTheme="minorEastAsia"/>
                      <w:szCs w:val="21"/>
                    </w:rPr>
                    <w:t>暂存池容积100</w:t>
                  </w:r>
                  <w:r>
                    <w:rPr>
                      <w:rFonts w:eastAsiaTheme="minorEastAsia"/>
                      <w:szCs w:val="21"/>
                    </w:rPr>
                    <w:t>m</w:t>
                  </w:r>
                  <w:r>
                    <w:rPr>
                      <w:rFonts w:eastAsiaTheme="minorEastAsia"/>
                      <w:szCs w:val="21"/>
                      <w:vertAlign w:val="superscript"/>
                    </w:rPr>
                    <w:t>3</w:t>
                  </w:r>
                  <w:r>
                    <w:rPr>
                      <w:rFonts w:hint="eastAsia" w:eastAsiaTheme="minorEastAsia"/>
                      <w:szCs w:val="21"/>
                    </w:rPr>
                    <w:t>，</w:t>
                  </w:r>
                  <w:r>
                    <w:rPr>
                      <w:rFonts w:hint="eastAsia" w:eastAsiaTheme="minorEastAsia"/>
                      <w:bCs/>
                      <w:szCs w:val="21"/>
                    </w:rPr>
                    <w:t>用于存储处理后初期雨水，</w:t>
                  </w:r>
                  <w:r>
                    <w:rPr>
                      <w:rFonts w:hint="eastAsia" w:eastAsiaTheme="minorEastAsia"/>
                      <w:szCs w:val="21"/>
                    </w:rPr>
                    <w:t>池体</w:t>
                  </w:r>
                  <w:r>
                    <w:rPr>
                      <w:rFonts w:hint="eastAsia" w:eastAsiaTheme="minorEastAsia"/>
                      <w:bCs/>
                      <w:szCs w:val="21"/>
                    </w:rPr>
                    <w:t>采用</w:t>
                  </w:r>
                  <w:r>
                    <w:rPr>
                      <w:rFonts w:eastAsiaTheme="minorEastAsia"/>
                      <w:bCs/>
                      <w:szCs w:val="21"/>
                    </w:rPr>
                    <w:t>2mm</w:t>
                  </w:r>
                  <w:r>
                    <w:rPr>
                      <w:rFonts w:hint="eastAsia" w:eastAsiaTheme="minorEastAsia"/>
                      <w:bCs/>
                      <w:szCs w:val="21"/>
                    </w:rPr>
                    <w:t>厚的高密度聚乙烯土工膜及混凝土地面，渗透系数≤1×10</w:t>
                  </w:r>
                  <w:r>
                    <w:rPr>
                      <w:rFonts w:eastAsiaTheme="minorEastAsia"/>
                      <w:bCs/>
                      <w:szCs w:val="21"/>
                      <w:vertAlign w:val="superscript"/>
                    </w:rPr>
                    <w:t>-7</w:t>
                  </w:r>
                  <w:r>
                    <w:rPr>
                      <w:rFonts w:eastAsiaTheme="minorEastAsia"/>
                      <w:bCs/>
                      <w:szCs w:val="21"/>
                    </w:rPr>
                    <w:t>cm/s</w:t>
                  </w:r>
                </w:p>
              </w:tc>
              <w:tc>
                <w:tcPr>
                  <w:tcW w:w="623"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jc w:val="center"/>
              </w:trPr>
              <w:tc>
                <w:tcPr>
                  <w:tcW w:w="592" w:type="dxa"/>
                  <w:vMerge w:val="restart"/>
                  <w:shd w:val="clear" w:color="auto" w:fill="auto"/>
                  <w:vAlign w:val="center"/>
                </w:tcPr>
                <w:p>
                  <w:pPr>
                    <w:contextualSpacing/>
                    <w:jc w:val="center"/>
                    <w:rPr>
                      <w:rFonts w:eastAsiaTheme="minorEastAsia"/>
                      <w:szCs w:val="21"/>
                    </w:rPr>
                  </w:pPr>
                  <w:r>
                    <w:rPr>
                      <w:rFonts w:hint="eastAsia" w:eastAsiaTheme="minorEastAsia"/>
                      <w:szCs w:val="21"/>
                    </w:rPr>
                    <w:t>辅助工程</w:t>
                  </w:r>
                </w:p>
              </w:tc>
              <w:tc>
                <w:tcPr>
                  <w:tcW w:w="940" w:type="dxa"/>
                  <w:shd w:val="clear" w:color="auto" w:fill="FFFFFF"/>
                  <w:vAlign w:val="center"/>
                </w:tcPr>
                <w:p>
                  <w:pPr>
                    <w:contextualSpacing/>
                    <w:jc w:val="center"/>
                    <w:rPr>
                      <w:rFonts w:eastAsiaTheme="minorEastAsia"/>
                      <w:szCs w:val="21"/>
                    </w:rPr>
                  </w:pPr>
                  <w:r>
                    <w:rPr>
                      <w:rFonts w:hint="eastAsia" w:eastAsiaTheme="minorEastAsia"/>
                      <w:szCs w:val="21"/>
                    </w:rPr>
                    <w:t>办公室</w:t>
                  </w:r>
                </w:p>
              </w:tc>
              <w:tc>
                <w:tcPr>
                  <w:tcW w:w="6237" w:type="dxa"/>
                  <w:tcBorders>
                    <w:top w:val="single" w:color="auto" w:sz="4" w:space="0"/>
                    <w:bottom w:val="single" w:color="auto" w:sz="4" w:space="0"/>
                  </w:tcBorders>
                  <w:shd w:val="clear" w:color="auto" w:fill="FFFFFF"/>
                  <w:vAlign w:val="center"/>
                </w:tcPr>
                <w:p>
                  <w:pPr>
                    <w:contextualSpacing/>
                    <w:jc w:val="left"/>
                    <w:rPr>
                      <w:rFonts w:eastAsiaTheme="minorEastAsia"/>
                      <w:szCs w:val="21"/>
                    </w:rPr>
                  </w:pPr>
                  <w:r>
                    <w:rPr>
                      <w:rFonts w:hint="eastAsia" w:eastAsiaTheme="minorEastAsia"/>
                      <w:szCs w:val="21"/>
                    </w:rPr>
                    <w:t>建筑面积为150</w:t>
                  </w:r>
                  <w:r>
                    <w:rPr>
                      <w:rFonts w:eastAsiaTheme="minorEastAsia"/>
                      <w:szCs w:val="21"/>
                    </w:rPr>
                    <w:t>0m</w:t>
                  </w:r>
                  <w:r>
                    <w:rPr>
                      <w:rFonts w:eastAsiaTheme="minorEastAsia"/>
                      <w:szCs w:val="21"/>
                      <w:vertAlign w:val="superscript"/>
                    </w:rPr>
                    <w:t>2</w:t>
                  </w:r>
                  <w:r>
                    <w:rPr>
                      <w:rFonts w:hint="eastAsia" w:eastAsiaTheme="minorEastAsia"/>
                      <w:szCs w:val="21"/>
                    </w:rPr>
                    <w:t>，用于厂区员工办公及休息</w:t>
                  </w:r>
                </w:p>
              </w:tc>
              <w:tc>
                <w:tcPr>
                  <w:tcW w:w="623"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jc w:val="center"/>
              </w:trPr>
              <w:tc>
                <w:tcPr>
                  <w:tcW w:w="592" w:type="dxa"/>
                  <w:vMerge w:val="continue"/>
                  <w:shd w:val="clear" w:color="auto" w:fill="auto"/>
                  <w:vAlign w:val="center"/>
                </w:tcPr>
                <w:p>
                  <w:pPr>
                    <w:contextualSpacing/>
                    <w:jc w:val="center"/>
                    <w:rPr>
                      <w:rFonts w:eastAsiaTheme="minorEastAsia"/>
                      <w:szCs w:val="21"/>
                    </w:rPr>
                  </w:pPr>
                </w:p>
              </w:tc>
              <w:tc>
                <w:tcPr>
                  <w:tcW w:w="940" w:type="dxa"/>
                  <w:shd w:val="clear" w:color="auto" w:fill="FFFFFF"/>
                  <w:vAlign w:val="center"/>
                </w:tcPr>
                <w:p>
                  <w:pPr>
                    <w:contextualSpacing/>
                    <w:jc w:val="center"/>
                    <w:rPr>
                      <w:rFonts w:eastAsiaTheme="minorEastAsia"/>
                      <w:szCs w:val="21"/>
                    </w:rPr>
                  </w:pPr>
                  <w:r>
                    <w:rPr>
                      <w:rFonts w:hint="eastAsia" w:eastAsiaTheme="minorEastAsia"/>
                      <w:szCs w:val="21"/>
                    </w:rPr>
                    <w:t>停车场</w:t>
                  </w:r>
                </w:p>
              </w:tc>
              <w:tc>
                <w:tcPr>
                  <w:tcW w:w="6237" w:type="dxa"/>
                  <w:tcBorders>
                    <w:top w:val="single" w:color="auto" w:sz="4" w:space="0"/>
                  </w:tcBorders>
                  <w:shd w:val="clear" w:color="auto" w:fill="FFFFFF"/>
                  <w:vAlign w:val="center"/>
                </w:tcPr>
                <w:p>
                  <w:pPr>
                    <w:contextualSpacing/>
                    <w:jc w:val="left"/>
                    <w:rPr>
                      <w:rFonts w:eastAsiaTheme="minorEastAsia"/>
                      <w:szCs w:val="21"/>
                    </w:rPr>
                  </w:pPr>
                  <w:r>
                    <w:rPr>
                      <w:rFonts w:hint="eastAsia" w:eastAsiaTheme="minorEastAsia"/>
                      <w:szCs w:val="21"/>
                    </w:rPr>
                    <w:t>位于厂区东侧，占地面积约为42</w:t>
                  </w:r>
                  <w:r>
                    <w:rPr>
                      <w:rFonts w:eastAsiaTheme="minorEastAsia"/>
                      <w:szCs w:val="21"/>
                    </w:rPr>
                    <w:t>00m</w:t>
                  </w:r>
                  <w:r>
                    <w:rPr>
                      <w:rFonts w:eastAsiaTheme="minorEastAsia"/>
                      <w:szCs w:val="21"/>
                      <w:vertAlign w:val="superscript"/>
                    </w:rPr>
                    <w:t>2</w:t>
                  </w:r>
                  <w:r>
                    <w:rPr>
                      <w:rFonts w:hint="eastAsia" w:eastAsiaTheme="minorEastAsia"/>
                      <w:szCs w:val="21"/>
                    </w:rPr>
                    <w:t>，地面</w:t>
                  </w:r>
                  <w:r>
                    <w:rPr>
                      <w:rFonts w:hint="eastAsia" w:eastAsiaTheme="minorEastAsia"/>
                      <w:bCs/>
                      <w:szCs w:val="21"/>
                    </w:rPr>
                    <w:t>采用粘土、抗渗混凝土、高密度聚乙烯（</w:t>
                  </w:r>
                  <w:r>
                    <w:rPr>
                      <w:rFonts w:eastAsiaTheme="minorEastAsia"/>
                      <w:bCs/>
                      <w:szCs w:val="21"/>
                    </w:rPr>
                    <w:t>HDPE</w:t>
                  </w:r>
                  <w:r>
                    <w:rPr>
                      <w:rFonts w:hint="eastAsia" w:eastAsiaTheme="minorEastAsia"/>
                      <w:bCs/>
                      <w:szCs w:val="21"/>
                    </w:rPr>
                    <w:t>）膜或其他防渗性能等效的材料，防渗技术要求达到等效粘土防渗层Mb≥1.5m，K≤1×10</w:t>
                  </w:r>
                  <w:r>
                    <w:rPr>
                      <w:rFonts w:eastAsiaTheme="minorEastAsia"/>
                      <w:bCs/>
                      <w:szCs w:val="21"/>
                      <w:vertAlign w:val="superscript"/>
                    </w:rPr>
                    <w:t>-7</w:t>
                  </w:r>
                  <w:r>
                    <w:rPr>
                      <w:rFonts w:eastAsiaTheme="minorEastAsia"/>
                      <w:bCs/>
                      <w:szCs w:val="21"/>
                    </w:rPr>
                    <w:t>cm/s</w:t>
                  </w:r>
                  <w:r>
                    <w:rPr>
                      <w:rFonts w:hint="eastAsia" w:eastAsiaTheme="minorEastAsia"/>
                      <w:szCs w:val="21"/>
                    </w:rPr>
                    <w:t>，用于停放待拆解的报废农机</w:t>
                  </w:r>
                </w:p>
              </w:tc>
              <w:tc>
                <w:tcPr>
                  <w:tcW w:w="623"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09" w:hRule="atLeast"/>
                <w:jc w:val="center"/>
              </w:trPr>
              <w:tc>
                <w:tcPr>
                  <w:tcW w:w="592" w:type="dxa"/>
                  <w:vAlign w:val="center"/>
                </w:tcPr>
                <w:p>
                  <w:pPr>
                    <w:contextualSpacing/>
                    <w:jc w:val="center"/>
                    <w:rPr>
                      <w:rFonts w:eastAsiaTheme="minorEastAsia"/>
                      <w:szCs w:val="21"/>
                    </w:rPr>
                  </w:pPr>
                  <w:r>
                    <w:rPr>
                      <w:rFonts w:hint="eastAsia" w:eastAsiaTheme="minorEastAsia"/>
                      <w:szCs w:val="21"/>
                    </w:rPr>
                    <w:t>公用工程</w:t>
                  </w:r>
                </w:p>
              </w:tc>
              <w:tc>
                <w:tcPr>
                  <w:tcW w:w="940" w:type="dxa"/>
                  <w:vAlign w:val="center"/>
                </w:tcPr>
                <w:p>
                  <w:pPr>
                    <w:contextualSpacing/>
                    <w:jc w:val="center"/>
                    <w:rPr>
                      <w:rFonts w:eastAsiaTheme="minorEastAsia"/>
                      <w:szCs w:val="21"/>
                    </w:rPr>
                  </w:pPr>
                  <w:r>
                    <w:rPr>
                      <w:rFonts w:hint="eastAsia" w:eastAsiaTheme="minorEastAsia"/>
                      <w:szCs w:val="21"/>
                    </w:rPr>
                    <w:t>供水</w:t>
                  </w:r>
                </w:p>
              </w:tc>
              <w:tc>
                <w:tcPr>
                  <w:tcW w:w="6237" w:type="dxa"/>
                  <w:tcBorders>
                    <w:top w:val="single" w:color="auto" w:sz="4" w:space="0"/>
                  </w:tcBorders>
                  <w:vAlign w:val="center"/>
                </w:tcPr>
                <w:p>
                  <w:pPr>
                    <w:contextualSpacing/>
                    <w:jc w:val="left"/>
                    <w:rPr>
                      <w:rFonts w:eastAsiaTheme="minorEastAsia"/>
                      <w:kern w:val="0"/>
                      <w:szCs w:val="21"/>
                    </w:rPr>
                  </w:pPr>
                  <w:r>
                    <w:rPr>
                      <w:rFonts w:hint="eastAsia" w:eastAsiaTheme="minorEastAsia"/>
                      <w:szCs w:val="21"/>
                    </w:rPr>
                    <w:t>本项目用水来源为东城镇饮用水水源自来水</w:t>
                  </w:r>
                </w:p>
              </w:tc>
              <w:tc>
                <w:tcPr>
                  <w:tcW w:w="623" w:type="dxa"/>
                  <w:vMerge w:val="continue"/>
                  <w:vAlign w:val="center"/>
                </w:tcPr>
                <w:p>
                  <w:pPr>
                    <w:contextualSpacing/>
                    <w:jc w:val="center"/>
                    <w:rPr>
                      <w:rFonts w:eastAsiaTheme="minorEastAsia"/>
                      <w:szCs w:val="21"/>
                    </w:rPr>
                  </w:pPr>
                </w:p>
              </w:tc>
            </w:tr>
          </w:tbl>
          <w:p>
            <w:pPr>
              <w:pStyle w:val="42"/>
              <w:spacing w:beforeLines="0" w:afterLines="0" w:line="360" w:lineRule="auto"/>
              <w:ind w:firstLine="0" w:firstLineChars="0"/>
              <w:contextualSpacing/>
              <w:jc w:val="center"/>
              <w:textAlignment w:val="baseline"/>
              <w:rPr>
                <w:rFonts w:eastAsiaTheme="minorEastAsia"/>
                <w:b/>
                <w:color w:val="auto"/>
              </w:rPr>
            </w:pPr>
            <w:r>
              <w:rPr>
                <w:rFonts w:hint="eastAsia" w:eastAsiaTheme="minorEastAsia"/>
                <w:b/>
                <w:color w:val="auto"/>
              </w:rPr>
              <w:t>续表</w:t>
            </w:r>
            <w:r>
              <w:rPr>
                <w:rFonts w:eastAsiaTheme="minorEastAsia"/>
                <w:b/>
                <w:color w:val="auto"/>
              </w:rPr>
              <w:t xml:space="preserve">2-1 </w:t>
            </w:r>
            <w:r>
              <w:rPr>
                <w:rFonts w:hint="eastAsia" w:eastAsiaTheme="minorEastAsia"/>
                <w:b/>
                <w:color w:val="auto"/>
              </w:rPr>
              <w:t>项目工程组成一览表</w:t>
            </w:r>
          </w:p>
          <w:tbl>
            <w:tblPr>
              <w:tblStyle w:val="21"/>
              <w:tblW w:w="839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9"/>
              <w:gridCol w:w="841"/>
              <w:gridCol w:w="6156"/>
              <w:gridCol w:w="6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729" w:type="dxa"/>
                  <w:vMerge w:val="restart"/>
                  <w:vAlign w:val="center"/>
                </w:tcPr>
                <w:p>
                  <w:pPr>
                    <w:contextualSpacing/>
                    <w:jc w:val="center"/>
                    <w:rPr>
                      <w:rFonts w:eastAsiaTheme="minorEastAsia"/>
                      <w:szCs w:val="21"/>
                    </w:rPr>
                  </w:pPr>
                  <w:r>
                    <w:rPr>
                      <w:rFonts w:hint="eastAsia" w:eastAsiaTheme="minorEastAsia"/>
                      <w:szCs w:val="21"/>
                    </w:rPr>
                    <w:t>公用工程</w:t>
                  </w:r>
                </w:p>
              </w:tc>
              <w:tc>
                <w:tcPr>
                  <w:tcW w:w="841" w:type="dxa"/>
                  <w:vAlign w:val="center"/>
                </w:tcPr>
                <w:p>
                  <w:pPr>
                    <w:contextualSpacing/>
                    <w:jc w:val="center"/>
                    <w:rPr>
                      <w:rFonts w:eastAsiaTheme="minorEastAsia"/>
                      <w:szCs w:val="21"/>
                    </w:rPr>
                  </w:pPr>
                  <w:r>
                    <w:rPr>
                      <w:rFonts w:hint="eastAsia" w:eastAsiaTheme="minorEastAsia"/>
                      <w:szCs w:val="21"/>
                    </w:rPr>
                    <w:t>排水</w:t>
                  </w:r>
                </w:p>
              </w:tc>
              <w:tc>
                <w:tcPr>
                  <w:tcW w:w="6156" w:type="dxa"/>
                  <w:tcBorders>
                    <w:bottom w:val="single" w:color="auto" w:sz="4" w:space="0"/>
                  </w:tcBorders>
                  <w:vAlign w:val="center"/>
                </w:tcPr>
                <w:p>
                  <w:pPr>
                    <w:contextualSpacing/>
                    <w:jc w:val="left"/>
                    <w:rPr>
                      <w:rFonts w:eastAsiaTheme="minorEastAsia"/>
                      <w:szCs w:val="21"/>
                    </w:rPr>
                  </w:pPr>
                  <w:r>
                    <w:rPr>
                      <w:rFonts w:hint="eastAsia" w:eastAsiaTheme="minorEastAsia"/>
                      <w:szCs w:val="21"/>
                    </w:rPr>
                    <w:t>本项目无生产废水；生活污水排入防渗旱厕，定期清掏，外运堆肥，不外排。</w:t>
                  </w:r>
                  <w:r>
                    <w:rPr>
                      <w:rFonts w:hint="eastAsia" w:eastAsiaTheme="minorEastAsia"/>
                      <w:bCs/>
                      <w:szCs w:val="21"/>
                    </w:rPr>
                    <w:t>本项目采用雨污分流制，</w:t>
                  </w:r>
                  <w:r>
                    <w:rPr>
                      <w:rFonts w:hint="eastAsia" w:eastAsiaTheme="minorEastAsia"/>
                      <w:szCs w:val="21"/>
                    </w:rPr>
                    <w:t>项目厂区内地面及道路全部硬化，在污染区四周设置环形导流沟，初期雨水进入厂区东侧的</w:t>
                  </w:r>
                  <w:r>
                    <w:rPr>
                      <w:rFonts w:hint="eastAsia" w:eastAsiaTheme="minorEastAsia"/>
                      <w:bCs/>
                      <w:szCs w:val="21"/>
                    </w:rPr>
                    <w:t>20m</w:t>
                  </w:r>
                  <w:r>
                    <w:rPr>
                      <w:rFonts w:hint="eastAsia" w:eastAsiaTheme="minorEastAsia"/>
                      <w:bCs/>
                      <w:szCs w:val="21"/>
                      <w:vertAlign w:val="superscript"/>
                    </w:rPr>
                    <w:t>3</w:t>
                  </w:r>
                  <w:r>
                    <w:rPr>
                      <w:rFonts w:hint="eastAsia" w:eastAsiaTheme="minorEastAsia"/>
                      <w:szCs w:val="21"/>
                    </w:rPr>
                    <w:t>收集池，</w:t>
                  </w:r>
                  <w:r>
                    <w:rPr>
                      <w:rFonts w:hint="eastAsia" w:eastAsiaTheme="minorEastAsia"/>
                      <w:bCs/>
                      <w:szCs w:val="21"/>
                    </w:rPr>
                    <w:t>经油水分离器处理后进入100m</w:t>
                  </w:r>
                  <w:r>
                    <w:rPr>
                      <w:rFonts w:hint="eastAsia" w:eastAsiaTheme="minorEastAsia"/>
                      <w:bCs/>
                      <w:szCs w:val="21"/>
                      <w:vertAlign w:val="superscript"/>
                    </w:rPr>
                    <w:t>3</w:t>
                  </w:r>
                  <w:r>
                    <w:rPr>
                      <w:rFonts w:hint="eastAsia" w:eastAsiaTheme="minorEastAsia"/>
                      <w:bCs/>
                      <w:szCs w:val="21"/>
                    </w:rPr>
                    <w:t>暂存池，每收集一次初期雨水后采用罐车拉运至八五六农场污水处理厂，经处理后污水排放浓度达到《城镇污水处理厂污染物排放标准》（</w:t>
                  </w:r>
                  <w:r>
                    <w:rPr>
                      <w:rFonts w:eastAsiaTheme="minorEastAsia"/>
                      <w:bCs/>
                      <w:szCs w:val="21"/>
                    </w:rPr>
                    <w:t>GB18918-2002</w:t>
                  </w:r>
                  <w:r>
                    <w:rPr>
                      <w:rFonts w:hint="eastAsia" w:eastAsiaTheme="minorEastAsia"/>
                      <w:bCs/>
                      <w:szCs w:val="21"/>
                    </w:rPr>
                    <w:t>）一级</w:t>
                  </w:r>
                  <w:r>
                    <w:rPr>
                      <w:rFonts w:eastAsiaTheme="minorEastAsia"/>
                      <w:bCs/>
                      <w:szCs w:val="21"/>
                    </w:rPr>
                    <w:t>A</w:t>
                  </w:r>
                  <w:r>
                    <w:rPr>
                      <w:rFonts w:hint="eastAsia" w:eastAsiaTheme="minorEastAsia"/>
                      <w:bCs/>
                      <w:szCs w:val="21"/>
                    </w:rPr>
                    <w:t>标准后排入穆棱河</w:t>
                  </w:r>
                </w:p>
              </w:tc>
              <w:tc>
                <w:tcPr>
                  <w:tcW w:w="666" w:type="dxa"/>
                  <w:vMerge w:val="restart"/>
                  <w:vAlign w:val="center"/>
                </w:tcPr>
                <w:p>
                  <w:pPr>
                    <w:contextualSpacing/>
                    <w:jc w:val="center"/>
                    <w:rPr>
                      <w:rFonts w:eastAsiaTheme="minorEastAsia"/>
                      <w:szCs w:val="21"/>
                    </w:rPr>
                  </w:pPr>
                  <w:r>
                    <w:rPr>
                      <w:rFonts w:hint="eastAsia" w:eastAsiaTheme="minorEastAsia"/>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729" w:type="dxa"/>
                  <w:vMerge w:val="continue"/>
                  <w:vAlign w:val="center"/>
                </w:tcPr>
                <w:p>
                  <w:pPr>
                    <w:contextualSpacing/>
                    <w:jc w:val="center"/>
                    <w:rPr>
                      <w:rFonts w:eastAsiaTheme="minorEastAsia"/>
                      <w:szCs w:val="21"/>
                    </w:rPr>
                  </w:pPr>
                </w:p>
              </w:tc>
              <w:tc>
                <w:tcPr>
                  <w:tcW w:w="841" w:type="dxa"/>
                  <w:vAlign w:val="center"/>
                </w:tcPr>
                <w:p>
                  <w:pPr>
                    <w:contextualSpacing/>
                    <w:jc w:val="center"/>
                    <w:rPr>
                      <w:rFonts w:eastAsiaTheme="minorEastAsia"/>
                      <w:szCs w:val="21"/>
                    </w:rPr>
                  </w:pPr>
                  <w:r>
                    <w:rPr>
                      <w:rFonts w:hint="eastAsia" w:eastAsiaTheme="minorEastAsia"/>
                      <w:szCs w:val="21"/>
                    </w:rPr>
                    <w:t>供热</w:t>
                  </w:r>
                </w:p>
              </w:tc>
              <w:tc>
                <w:tcPr>
                  <w:tcW w:w="6156" w:type="dxa"/>
                  <w:tcBorders>
                    <w:bottom w:val="single" w:color="auto" w:sz="4" w:space="0"/>
                  </w:tcBorders>
                  <w:vAlign w:val="center"/>
                </w:tcPr>
                <w:p>
                  <w:pPr>
                    <w:contextualSpacing/>
                    <w:jc w:val="left"/>
                    <w:rPr>
                      <w:rFonts w:eastAsiaTheme="minorEastAsia"/>
                      <w:szCs w:val="21"/>
                    </w:rPr>
                  </w:pPr>
                  <w:r>
                    <w:rPr>
                      <w:rFonts w:hint="eastAsia" w:eastAsiaTheme="minorEastAsia"/>
                      <w:szCs w:val="21"/>
                    </w:rPr>
                    <w:t>本项目冬季不生产，无需供暖</w:t>
                  </w:r>
                </w:p>
              </w:tc>
              <w:tc>
                <w:tcPr>
                  <w:tcW w:w="666"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729" w:type="dxa"/>
                  <w:vMerge w:val="continue"/>
                  <w:vAlign w:val="center"/>
                </w:tcPr>
                <w:p>
                  <w:pPr>
                    <w:contextualSpacing/>
                    <w:jc w:val="center"/>
                    <w:rPr>
                      <w:rFonts w:eastAsiaTheme="minorEastAsia"/>
                      <w:szCs w:val="21"/>
                    </w:rPr>
                  </w:pPr>
                </w:p>
              </w:tc>
              <w:tc>
                <w:tcPr>
                  <w:tcW w:w="841" w:type="dxa"/>
                  <w:vAlign w:val="center"/>
                </w:tcPr>
                <w:p>
                  <w:pPr>
                    <w:contextualSpacing/>
                    <w:jc w:val="center"/>
                    <w:rPr>
                      <w:rFonts w:eastAsiaTheme="minorEastAsia"/>
                      <w:szCs w:val="21"/>
                    </w:rPr>
                  </w:pPr>
                  <w:r>
                    <w:rPr>
                      <w:rFonts w:hint="eastAsia" w:eastAsiaTheme="minorEastAsia"/>
                      <w:szCs w:val="21"/>
                    </w:rPr>
                    <w:t>供电</w:t>
                  </w:r>
                </w:p>
              </w:tc>
              <w:tc>
                <w:tcPr>
                  <w:tcW w:w="6156" w:type="dxa"/>
                  <w:tcBorders>
                    <w:bottom w:val="single" w:color="auto" w:sz="4" w:space="0"/>
                  </w:tcBorders>
                  <w:vAlign w:val="center"/>
                </w:tcPr>
                <w:p>
                  <w:pPr>
                    <w:contextualSpacing/>
                    <w:jc w:val="left"/>
                    <w:rPr>
                      <w:rFonts w:eastAsiaTheme="minorEastAsia"/>
                      <w:szCs w:val="21"/>
                    </w:rPr>
                  </w:pPr>
                  <w:r>
                    <w:rPr>
                      <w:rFonts w:hint="eastAsia" w:eastAsiaTheme="minorEastAsia"/>
                      <w:szCs w:val="21"/>
                    </w:rPr>
                    <w:t>由厂区变压器提供</w:t>
                  </w:r>
                </w:p>
              </w:tc>
              <w:tc>
                <w:tcPr>
                  <w:tcW w:w="666"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729" w:type="dxa"/>
                  <w:vMerge w:val="restart"/>
                  <w:vAlign w:val="center"/>
                </w:tcPr>
                <w:p>
                  <w:pPr>
                    <w:contextualSpacing/>
                    <w:jc w:val="center"/>
                    <w:rPr>
                      <w:rFonts w:eastAsiaTheme="minorEastAsia"/>
                      <w:szCs w:val="21"/>
                    </w:rPr>
                  </w:pPr>
                  <w:r>
                    <w:rPr>
                      <w:rFonts w:hint="eastAsia" w:eastAsiaTheme="minorEastAsia"/>
                      <w:szCs w:val="21"/>
                    </w:rPr>
                    <w:t>环保工程</w:t>
                  </w:r>
                </w:p>
              </w:tc>
              <w:tc>
                <w:tcPr>
                  <w:tcW w:w="841" w:type="dxa"/>
                  <w:vAlign w:val="center"/>
                </w:tcPr>
                <w:p>
                  <w:pPr>
                    <w:contextualSpacing/>
                    <w:jc w:val="center"/>
                    <w:rPr>
                      <w:rFonts w:eastAsiaTheme="minorEastAsia"/>
                      <w:szCs w:val="21"/>
                    </w:rPr>
                  </w:pPr>
                  <w:r>
                    <w:rPr>
                      <w:rFonts w:hint="eastAsia" w:eastAsiaTheme="minorEastAsia"/>
                      <w:szCs w:val="21"/>
                    </w:rPr>
                    <w:t>废水</w:t>
                  </w:r>
                </w:p>
              </w:tc>
              <w:tc>
                <w:tcPr>
                  <w:tcW w:w="6156" w:type="dxa"/>
                  <w:tcBorders>
                    <w:bottom w:val="single" w:color="auto" w:sz="4" w:space="0"/>
                  </w:tcBorders>
                  <w:vAlign w:val="center"/>
                </w:tcPr>
                <w:p>
                  <w:pPr>
                    <w:contextualSpacing/>
                    <w:jc w:val="left"/>
                    <w:rPr>
                      <w:rFonts w:eastAsiaTheme="minorEastAsia"/>
                      <w:szCs w:val="21"/>
                    </w:rPr>
                  </w:pPr>
                  <w:r>
                    <w:rPr>
                      <w:rFonts w:hint="eastAsia" w:eastAsiaTheme="minorEastAsia"/>
                      <w:szCs w:val="21"/>
                    </w:rPr>
                    <w:t>本项目无生产废水；生活污水排入防渗旱厕，定期清掏，外运堆肥，不外排。</w:t>
                  </w:r>
                  <w:r>
                    <w:rPr>
                      <w:rFonts w:hint="eastAsia" w:eastAsiaTheme="minorEastAsia"/>
                      <w:bCs/>
                      <w:szCs w:val="21"/>
                    </w:rPr>
                    <w:t>本项目采用雨污分流制，</w:t>
                  </w:r>
                  <w:r>
                    <w:rPr>
                      <w:rFonts w:hint="eastAsia" w:eastAsiaTheme="minorEastAsia"/>
                      <w:szCs w:val="21"/>
                    </w:rPr>
                    <w:t>项目厂区内地面及道路全部硬化，在污染区四周设置环形导流沟，初期雨水进入厂区东侧的</w:t>
                  </w:r>
                  <w:r>
                    <w:rPr>
                      <w:rFonts w:hint="eastAsia" w:eastAsiaTheme="minorEastAsia"/>
                      <w:bCs/>
                      <w:szCs w:val="21"/>
                    </w:rPr>
                    <w:t>20m</w:t>
                  </w:r>
                  <w:r>
                    <w:rPr>
                      <w:rFonts w:hint="eastAsia" w:eastAsiaTheme="minorEastAsia"/>
                      <w:bCs/>
                      <w:szCs w:val="21"/>
                      <w:vertAlign w:val="superscript"/>
                    </w:rPr>
                    <w:t>3</w:t>
                  </w:r>
                  <w:r>
                    <w:rPr>
                      <w:rFonts w:hint="eastAsia" w:eastAsiaTheme="minorEastAsia"/>
                      <w:szCs w:val="21"/>
                    </w:rPr>
                    <w:t>收集池，</w:t>
                  </w:r>
                  <w:r>
                    <w:rPr>
                      <w:rFonts w:hint="eastAsia" w:eastAsiaTheme="minorEastAsia"/>
                      <w:bCs/>
                      <w:szCs w:val="21"/>
                    </w:rPr>
                    <w:t>经油水分离器处理后进入100m</w:t>
                  </w:r>
                  <w:r>
                    <w:rPr>
                      <w:rFonts w:hint="eastAsia" w:eastAsiaTheme="minorEastAsia"/>
                      <w:bCs/>
                      <w:szCs w:val="21"/>
                      <w:vertAlign w:val="superscript"/>
                    </w:rPr>
                    <w:t>3</w:t>
                  </w:r>
                  <w:r>
                    <w:rPr>
                      <w:rFonts w:hint="eastAsia" w:eastAsiaTheme="minorEastAsia"/>
                      <w:bCs/>
                      <w:szCs w:val="21"/>
                    </w:rPr>
                    <w:t>暂存池，每收集一次初期雨水后采用罐车拉运至八五六农场污水处理厂，经处理后污水排放浓度达到《城镇污水处理厂污染物排放标准》（</w:t>
                  </w:r>
                  <w:r>
                    <w:rPr>
                      <w:rFonts w:eastAsiaTheme="minorEastAsia"/>
                      <w:bCs/>
                      <w:szCs w:val="21"/>
                    </w:rPr>
                    <w:t>GB18918-2002</w:t>
                  </w:r>
                  <w:r>
                    <w:rPr>
                      <w:rFonts w:hint="eastAsia" w:eastAsiaTheme="minorEastAsia"/>
                      <w:bCs/>
                      <w:szCs w:val="21"/>
                    </w:rPr>
                    <w:t>）一级</w:t>
                  </w:r>
                  <w:r>
                    <w:rPr>
                      <w:rFonts w:eastAsiaTheme="minorEastAsia"/>
                      <w:bCs/>
                      <w:szCs w:val="21"/>
                    </w:rPr>
                    <w:t>A</w:t>
                  </w:r>
                  <w:r>
                    <w:rPr>
                      <w:rFonts w:hint="eastAsia" w:eastAsiaTheme="minorEastAsia"/>
                      <w:bCs/>
                      <w:szCs w:val="21"/>
                    </w:rPr>
                    <w:t>标准后排入穆棱河</w:t>
                  </w:r>
                </w:p>
              </w:tc>
              <w:tc>
                <w:tcPr>
                  <w:tcW w:w="666"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7" w:hRule="atLeast"/>
                <w:jc w:val="center"/>
              </w:trPr>
              <w:tc>
                <w:tcPr>
                  <w:tcW w:w="729" w:type="dxa"/>
                  <w:vMerge w:val="continue"/>
                  <w:vAlign w:val="center"/>
                </w:tcPr>
                <w:p>
                  <w:pPr>
                    <w:contextualSpacing/>
                    <w:jc w:val="center"/>
                    <w:rPr>
                      <w:rFonts w:eastAsiaTheme="minorEastAsia"/>
                      <w:szCs w:val="21"/>
                    </w:rPr>
                  </w:pPr>
                </w:p>
              </w:tc>
              <w:tc>
                <w:tcPr>
                  <w:tcW w:w="841" w:type="dxa"/>
                  <w:vAlign w:val="center"/>
                </w:tcPr>
                <w:p>
                  <w:pPr>
                    <w:contextualSpacing/>
                    <w:jc w:val="center"/>
                    <w:rPr>
                      <w:rFonts w:eastAsiaTheme="minorEastAsia"/>
                      <w:szCs w:val="21"/>
                    </w:rPr>
                  </w:pPr>
                  <w:r>
                    <w:rPr>
                      <w:rFonts w:hint="eastAsia" w:eastAsiaTheme="minorEastAsia"/>
                      <w:szCs w:val="21"/>
                    </w:rPr>
                    <w:t>废气</w:t>
                  </w:r>
                </w:p>
              </w:tc>
              <w:tc>
                <w:tcPr>
                  <w:tcW w:w="6156" w:type="dxa"/>
                  <w:tcBorders>
                    <w:top w:val="single" w:color="auto" w:sz="4" w:space="0"/>
                  </w:tcBorders>
                  <w:vAlign w:val="center"/>
                </w:tcPr>
                <w:p>
                  <w:pPr>
                    <w:contextualSpacing/>
                    <w:jc w:val="left"/>
                    <w:rPr>
                      <w:rFonts w:eastAsiaTheme="minorEastAsia"/>
                      <w:szCs w:val="21"/>
                    </w:rPr>
                  </w:pPr>
                  <w:r>
                    <w:rPr>
                      <w:rFonts w:eastAsiaTheme="minorEastAsia"/>
                      <w:szCs w:val="21"/>
                    </w:rPr>
                    <w:t>本项目</w:t>
                  </w:r>
                  <w:r>
                    <w:rPr>
                      <w:rFonts w:eastAsiaTheme="minorEastAsia"/>
                      <w:bCs/>
                      <w:kern w:val="0"/>
                      <w:szCs w:val="21"/>
                    </w:rPr>
                    <w:t>切割区采用集气罩集中收集经布袋除尘器处理后由15m高1#排气筒排放，</w:t>
                  </w:r>
                  <w:r>
                    <w:rPr>
                      <w:rFonts w:eastAsiaTheme="minorEastAsia"/>
                      <w:kern w:val="0"/>
                      <w:szCs w:val="21"/>
                    </w:rPr>
                    <w:t>收集效率90%，处理效率9</w:t>
                  </w:r>
                  <w:r>
                    <w:rPr>
                      <w:rFonts w:hint="eastAsia" w:eastAsiaTheme="minorEastAsia"/>
                      <w:kern w:val="0"/>
                      <w:szCs w:val="21"/>
                    </w:rPr>
                    <w:t>9</w:t>
                  </w:r>
                  <w:r>
                    <w:rPr>
                      <w:rFonts w:eastAsiaTheme="minorEastAsia"/>
                      <w:kern w:val="0"/>
                      <w:szCs w:val="21"/>
                    </w:rPr>
                    <w:t>%</w:t>
                  </w:r>
                  <w:r>
                    <w:rPr>
                      <w:rFonts w:eastAsiaTheme="minorEastAsia"/>
                      <w:bCs/>
                      <w:szCs w:val="21"/>
                    </w:rPr>
                    <w:t>，</w:t>
                  </w:r>
                  <w:r>
                    <w:rPr>
                      <w:rFonts w:eastAsiaTheme="minorEastAsia"/>
                      <w:szCs w:val="21"/>
                    </w:rPr>
                    <w:t>未收集颗粒物以无组织形式排放；</w:t>
                  </w:r>
                  <w:r>
                    <w:rPr>
                      <w:rFonts w:eastAsiaTheme="minorEastAsia"/>
                      <w:bCs/>
                      <w:szCs w:val="21"/>
                    </w:rPr>
                    <w:t>油液排空区采用集气罩集中收集经二级活性炭吸附装置处理后由15m高2#排气筒排放，</w:t>
                  </w:r>
                  <w:r>
                    <w:rPr>
                      <w:rFonts w:eastAsiaTheme="minorEastAsia"/>
                      <w:kern w:val="0"/>
                      <w:szCs w:val="21"/>
                    </w:rPr>
                    <w:t>收集效率90%，处理效率</w:t>
                  </w:r>
                  <w:r>
                    <w:rPr>
                      <w:rFonts w:hint="eastAsia" w:eastAsiaTheme="minorEastAsia"/>
                      <w:kern w:val="0"/>
                      <w:szCs w:val="21"/>
                    </w:rPr>
                    <w:t>75</w:t>
                  </w:r>
                  <w:r>
                    <w:rPr>
                      <w:rFonts w:eastAsiaTheme="minorEastAsia"/>
                      <w:kern w:val="0"/>
                      <w:szCs w:val="21"/>
                    </w:rPr>
                    <w:t>%，</w:t>
                  </w:r>
                  <w:r>
                    <w:rPr>
                      <w:rFonts w:eastAsiaTheme="minorEastAsia"/>
                      <w:szCs w:val="21"/>
                    </w:rPr>
                    <w:t>未收集VOCs以无组织形式排放；</w:t>
                  </w:r>
                  <w:r>
                    <w:rPr>
                      <w:rFonts w:eastAsiaTheme="minorEastAsia"/>
                      <w:kern w:val="0"/>
                      <w:szCs w:val="21"/>
                    </w:rPr>
                    <w:t>危险废物贮存库采取负压收集方式，</w:t>
                  </w:r>
                  <w:r>
                    <w:rPr>
                      <w:rFonts w:eastAsiaTheme="minorEastAsia"/>
                      <w:bCs/>
                      <w:kern w:val="0"/>
                      <w:szCs w:val="21"/>
                    </w:rPr>
                    <w:t>经二级活性炭吸附装置处理后由15m高</w:t>
                  </w:r>
                  <w:r>
                    <w:rPr>
                      <w:rFonts w:hint="eastAsia" w:eastAsiaTheme="minorEastAsia"/>
                      <w:bCs/>
                      <w:kern w:val="0"/>
                      <w:szCs w:val="21"/>
                    </w:rPr>
                    <w:t>3</w:t>
                  </w:r>
                  <w:r>
                    <w:rPr>
                      <w:rFonts w:eastAsiaTheme="minorEastAsia"/>
                      <w:bCs/>
                      <w:kern w:val="0"/>
                      <w:szCs w:val="21"/>
                    </w:rPr>
                    <w:t>#排气筒排放，</w:t>
                  </w:r>
                  <w:r>
                    <w:rPr>
                      <w:rFonts w:eastAsiaTheme="minorEastAsia"/>
                      <w:kern w:val="0"/>
                      <w:szCs w:val="21"/>
                    </w:rPr>
                    <w:t>收集效率90%，处理效率</w:t>
                  </w:r>
                  <w:r>
                    <w:rPr>
                      <w:rFonts w:hint="eastAsia" w:eastAsiaTheme="minorEastAsia"/>
                      <w:kern w:val="0"/>
                      <w:szCs w:val="21"/>
                    </w:rPr>
                    <w:t>75</w:t>
                  </w:r>
                  <w:r>
                    <w:rPr>
                      <w:rFonts w:eastAsiaTheme="minorEastAsia"/>
                      <w:kern w:val="0"/>
                      <w:szCs w:val="21"/>
                    </w:rPr>
                    <w:t>%，未收集VOCs以无组织形式排放</w:t>
                  </w:r>
                </w:p>
              </w:tc>
              <w:tc>
                <w:tcPr>
                  <w:tcW w:w="666"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729" w:type="dxa"/>
                  <w:vMerge w:val="continue"/>
                  <w:vAlign w:val="center"/>
                </w:tcPr>
                <w:p>
                  <w:pPr>
                    <w:contextualSpacing/>
                    <w:jc w:val="center"/>
                    <w:rPr>
                      <w:rFonts w:eastAsiaTheme="minorEastAsia"/>
                      <w:szCs w:val="21"/>
                    </w:rPr>
                  </w:pPr>
                </w:p>
              </w:tc>
              <w:tc>
                <w:tcPr>
                  <w:tcW w:w="841" w:type="dxa"/>
                  <w:vAlign w:val="center"/>
                </w:tcPr>
                <w:p>
                  <w:pPr>
                    <w:contextualSpacing/>
                    <w:jc w:val="center"/>
                    <w:rPr>
                      <w:rFonts w:eastAsiaTheme="minorEastAsia"/>
                      <w:szCs w:val="21"/>
                    </w:rPr>
                  </w:pPr>
                  <w:r>
                    <w:rPr>
                      <w:rFonts w:hint="eastAsia" w:eastAsiaTheme="minorEastAsia"/>
                      <w:szCs w:val="21"/>
                    </w:rPr>
                    <w:t>噪声</w:t>
                  </w:r>
                </w:p>
              </w:tc>
              <w:tc>
                <w:tcPr>
                  <w:tcW w:w="6156" w:type="dxa"/>
                  <w:vAlign w:val="center"/>
                </w:tcPr>
                <w:p>
                  <w:pPr>
                    <w:contextualSpacing/>
                    <w:jc w:val="left"/>
                    <w:rPr>
                      <w:rFonts w:eastAsiaTheme="minorEastAsia"/>
                      <w:szCs w:val="21"/>
                    </w:rPr>
                  </w:pPr>
                  <w:r>
                    <w:rPr>
                      <w:rFonts w:hint="eastAsia" w:eastAsiaTheme="minorEastAsia"/>
                      <w:szCs w:val="21"/>
                    </w:rPr>
                    <w:t>采取低噪声设备、加装减振装置、车间采用隔声门窗，建筑上采取隔声、吸声措施，振动较大的设备采取独立基础并远离居民区、夜间不生产、</w:t>
                  </w:r>
                  <w:r>
                    <w:rPr>
                      <w:rFonts w:eastAsiaTheme="minorEastAsia"/>
                      <w:szCs w:val="21"/>
                    </w:rPr>
                    <w:t>合理布局等</w:t>
                  </w:r>
                  <w:r>
                    <w:rPr>
                      <w:rFonts w:hint="eastAsia" w:eastAsiaTheme="minorEastAsia"/>
                      <w:szCs w:val="21"/>
                    </w:rPr>
                    <w:t>措施。废旧农机装卸过程中降低装卸高度、轻拿轻放、夜间不装卸</w:t>
                  </w:r>
                  <w:r>
                    <w:rPr>
                      <w:rFonts w:eastAsiaTheme="minorEastAsia"/>
                      <w:szCs w:val="21"/>
                    </w:rPr>
                    <w:t xml:space="preserve"> </w:t>
                  </w:r>
                </w:p>
              </w:tc>
              <w:tc>
                <w:tcPr>
                  <w:tcW w:w="666"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729" w:type="dxa"/>
                  <w:vMerge w:val="continue"/>
                  <w:vAlign w:val="center"/>
                </w:tcPr>
                <w:p>
                  <w:pPr>
                    <w:contextualSpacing/>
                    <w:jc w:val="center"/>
                    <w:rPr>
                      <w:rFonts w:eastAsiaTheme="minorEastAsia"/>
                      <w:szCs w:val="21"/>
                    </w:rPr>
                  </w:pPr>
                </w:p>
              </w:tc>
              <w:tc>
                <w:tcPr>
                  <w:tcW w:w="841" w:type="dxa"/>
                  <w:vAlign w:val="center"/>
                </w:tcPr>
                <w:p>
                  <w:pPr>
                    <w:jc w:val="center"/>
                    <w:rPr>
                      <w:rFonts w:eastAsiaTheme="minorEastAsia"/>
                      <w:szCs w:val="21"/>
                    </w:rPr>
                  </w:pPr>
                  <w:r>
                    <w:rPr>
                      <w:rFonts w:hint="eastAsia" w:eastAsiaTheme="minorEastAsia"/>
                      <w:szCs w:val="21"/>
                    </w:rPr>
                    <w:t>固体</w:t>
                  </w:r>
                </w:p>
                <w:p>
                  <w:pPr>
                    <w:jc w:val="center"/>
                    <w:rPr>
                      <w:rFonts w:eastAsiaTheme="minorEastAsia"/>
                      <w:szCs w:val="21"/>
                    </w:rPr>
                  </w:pPr>
                  <w:r>
                    <w:rPr>
                      <w:rFonts w:hint="eastAsia" w:eastAsiaTheme="minorEastAsia"/>
                      <w:szCs w:val="21"/>
                    </w:rPr>
                    <w:t>废物</w:t>
                  </w:r>
                </w:p>
              </w:tc>
              <w:tc>
                <w:tcPr>
                  <w:tcW w:w="6156" w:type="dxa"/>
                  <w:vAlign w:val="center"/>
                </w:tcPr>
                <w:p>
                  <w:pPr>
                    <w:spacing w:line="0" w:lineRule="atLeast"/>
                    <w:rPr>
                      <w:rFonts w:eastAsiaTheme="minorEastAsia"/>
                      <w:szCs w:val="21"/>
                    </w:rPr>
                  </w:pPr>
                  <w:r>
                    <w:rPr>
                      <w:rFonts w:hint="eastAsia" w:eastAsiaTheme="minorEastAsia"/>
                      <w:szCs w:val="21"/>
                    </w:rPr>
                    <w:t>生活垃圾、废革片、废灯、废座椅、布袋除尘器收集的粉尘统一收集后交由市政环卫部门统一处理；</w:t>
                  </w:r>
                  <w:r>
                    <w:rPr>
                      <w:rFonts w:hint="eastAsia" w:eastAsiaTheme="minorEastAsia"/>
                      <w:bCs/>
                      <w:szCs w:val="21"/>
                    </w:rPr>
                    <w:t>废铅酸蓄电池（类别：</w:t>
                  </w:r>
                  <w:r>
                    <w:rPr>
                      <w:rFonts w:eastAsiaTheme="minorEastAsia"/>
                      <w:bCs/>
                      <w:szCs w:val="21"/>
                    </w:rPr>
                    <w:t>HW31</w:t>
                  </w:r>
                  <w:r>
                    <w:rPr>
                      <w:rFonts w:hint="eastAsia" w:eastAsiaTheme="minorEastAsia"/>
                      <w:bCs/>
                      <w:szCs w:val="21"/>
                    </w:rPr>
                    <w:t>，代码：</w:t>
                  </w:r>
                  <w:r>
                    <w:rPr>
                      <w:rFonts w:eastAsiaTheme="minorEastAsia"/>
                      <w:bCs/>
                      <w:szCs w:val="21"/>
                    </w:rPr>
                    <w:t>900-052-31</w:t>
                  </w:r>
                  <w:r>
                    <w:rPr>
                      <w:rFonts w:hint="eastAsia" w:eastAsiaTheme="minorEastAsia"/>
                      <w:bCs/>
                      <w:szCs w:val="21"/>
                    </w:rPr>
                    <w:t>）、废柴油、废液压油、废润滑油等油类物质（类别：</w:t>
                  </w:r>
                  <w:r>
                    <w:rPr>
                      <w:rFonts w:eastAsiaTheme="minorEastAsia"/>
                      <w:bCs/>
                      <w:szCs w:val="21"/>
                    </w:rPr>
                    <w:t>HW08</w:t>
                  </w:r>
                  <w:r>
                    <w:rPr>
                      <w:rFonts w:hint="eastAsia" w:eastAsiaTheme="minorEastAsia"/>
                      <w:bCs/>
                      <w:szCs w:val="21"/>
                    </w:rPr>
                    <w:t>，代码：</w:t>
                  </w:r>
                  <w:r>
                    <w:rPr>
                      <w:rFonts w:eastAsiaTheme="minorEastAsia"/>
                      <w:bCs/>
                      <w:szCs w:val="21"/>
                    </w:rPr>
                    <w:t>900-199-08</w:t>
                  </w:r>
                  <w:r>
                    <w:rPr>
                      <w:rFonts w:hint="eastAsia" w:eastAsiaTheme="minorEastAsia"/>
                      <w:bCs/>
                      <w:szCs w:val="21"/>
                    </w:rPr>
                    <w:t>）、含油抹布及手套（类别：</w:t>
                  </w:r>
                  <w:r>
                    <w:rPr>
                      <w:rFonts w:eastAsiaTheme="minorEastAsia"/>
                      <w:bCs/>
                      <w:szCs w:val="21"/>
                    </w:rPr>
                    <w:t>HW49</w:t>
                  </w:r>
                  <w:r>
                    <w:rPr>
                      <w:rFonts w:hint="eastAsia" w:eastAsiaTheme="minorEastAsia"/>
                      <w:bCs/>
                      <w:szCs w:val="21"/>
                    </w:rPr>
                    <w:t>，代码：</w:t>
                  </w:r>
                  <w:r>
                    <w:rPr>
                      <w:rFonts w:eastAsiaTheme="minorEastAsia"/>
                      <w:bCs/>
                      <w:szCs w:val="21"/>
                    </w:rPr>
                    <w:t>900-041-49</w:t>
                  </w:r>
                  <w:r>
                    <w:rPr>
                      <w:rFonts w:hint="eastAsia" w:eastAsiaTheme="minorEastAsia"/>
                      <w:bCs/>
                      <w:szCs w:val="21"/>
                    </w:rPr>
                    <w:t>）、油泥（类别：</w:t>
                  </w:r>
                  <w:r>
                    <w:rPr>
                      <w:rFonts w:eastAsiaTheme="minorEastAsia"/>
                      <w:bCs/>
                      <w:szCs w:val="21"/>
                    </w:rPr>
                    <w:t>HW08</w:t>
                  </w:r>
                  <w:r>
                    <w:rPr>
                      <w:rFonts w:hint="eastAsia" w:eastAsiaTheme="minorEastAsia"/>
                      <w:bCs/>
                      <w:szCs w:val="21"/>
                    </w:rPr>
                    <w:t>，代码：</w:t>
                  </w:r>
                  <w:r>
                    <w:rPr>
                      <w:rFonts w:eastAsiaTheme="minorEastAsia"/>
                      <w:bCs/>
                      <w:szCs w:val="21"/>
                    </w:rPr>
                    <w:t>900-210-08</w:t>
                  </w:r>
                  <w:r>
                    <w:rPr>
                      <w:rFonts w:hint="eastAsia" w:eastAsiaTheme="minorEastAsia"/>
                      <w:bCs/>
                      <w:szCs w:val="21"/>
                    </w:rPr>
                    <w:t>）、废防冻液、废冷却液（</w:t>
                  </w:r>
                  <w:r>
                    <w:t>类别：HW06，代码：900-404-06</w:t>
                  </w:r>
                  <w:r>
                    <w:rPr>
                      <w:rFonts w:hint="eastAsia" w:eastAsiaTheme="minorEastAsia"/>
                      <w:bCs/>
                      <w:szCs w:val="21"/>
                    </w:rPr>
                    <w:t>）、废活性炭（类别：HW49，代码：900-039-49）</w:t>
                  </w:r>
                  <w:r>
                    <w:rPr>
                      <w:rFonts w:hint="eastAsia" w:eastAsiaTheme="minorEastAsia"/>
                      <w:bCs/>
                    </w:rPr>
                    <w:t>、</w:t>
                  </w:r>
                  <w:r>
                    <w:rPr>
                      <w:rFonts w:hint="eastAsia" w:hAnsiTheme="minorEastAsia" w:eastAsiaTheme="minorEastAsia"/>
                    </w:rPr>
                    <w:t>机油过滤器</w:t>
                  </w:r>
                  <w:r>
                    <w:rPr>
                      <w:rFonts w:hint="eastAsia" w:eastAsiaTheme="minorEastAsia"/>
                      <w:bCs/>
                    </w:rPr>
                    <w:t>（类别：</w:t>
                  </w:r>
                  <w:r>
                    <w:rPr>
                      <w:rFonts w:eastAsiaTheme="minorEastAsia"/>
                      <w:bCs/>
                    </w:rPr>
                    <w:t>HW08</w:t>
                  </w:r>
                  <w:r>
                    <w:rPr>
                      <w:rFonts w:hint="eastAsia" w:eastAsiaTheme="minorEastAsia"/>
                      <w:bCs/>
                    </w:rPr>
                    <w:t>，代码：900-213-08）使用专用容器回收</w:t>
                  </w:r>
                  <w:r>
                    <w:rPr>
                      <w:rFonts w:hint="eastAsia" w:eastAsiaTheme="minorEastAsia"/>
                    </w:rPr>
                    <w:t>暂存于危险废物贮存库，定期交有资质单位处理</w:t>
                  </w:r>
                </w:p>
              </w:tc>
              <w:tc>
                <w:tcPr>
                  <w:tcW w:w="666"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729" w:type="dxa"/>
                  <w:vAlign w:val="center"/>
                </w:tcPr>
                <w:p>
                  <w:pPr>
                    <w:contextualSpacing/>
                    <w:jc w:val="center"/>
                    <w:rPr>
                      <w:rFonts w:eastAsiaTheme="minorEastAsia"/>
                      <w:szCs w:val="21"/>
                    </w:rPr>
                  </w:pPr>
                  <w:r>
                    <w:rPr>
                      <w:rFonts w:hint="eastAsia" w:eastAsiaTheme="minorEastAsia"/>
                      <w:szCs w:val="21"/>
                    </w:rPr>
                    <w:t>依托工程</w:t>
                  </w:r>
                </w:p>
              </w:tc>
              <w:tc>
                <w:tcPr>
                  <w:tcW w:w="841" w:type="dxa"/>
                  <w:vAlign w:val="center"/>
                </w:tcPr>
                <w:p>
                  <w:pPr>
                    <w:jc w:val="center"/>
                    <w:rPr>
                      <w:rFonts w:eastAsiaTheme="minorEastAsia"/>
                      <w:szCs w:val="21"/>
                    </w:rPr>
                  </w:pPr>
                  <w:r>
                    <w:rPr>
                      <w:rFonts w:hint="eastAsia" w:hAnsiTheme="minorEastAsia" w:eastAsiaTheme="minorEastAsia"/>
                      <w:szCs w:val="21"/>
                    </w:rPr>
                    <w:t>八五六农场污水处理厂</w:t>
                  </w:r>
                </w:p>
              </w:tc>
              <w:tc>
                <w:tcPr>
                  <w:tcW w:w="6822" w:type="dxa"/>
                  <w:gridSpan w:val="2"/>
                  <w:vAlign w:val="center"/>
                </w:tcPr>
                <w:p>
                  <w:pPr>
                    <w:contextualSpacing/>
                    <w:jc w:val="center"/>
                    <w:rPr>
                      <w:rFonts w:eastAsiaTheme="minorEastAsia"/>
                      <w:szCs w:val="21"/>
                    </w:rPr>
                  </w:pPr>
                  <w:r>
                    <w:rPr>
                      <w:rFonts w:hint="eastAsia" w:hAnsiTheme="minorEastAsia" w:eastAsiaTheme="minorEastAsia"/>
                      <w:szCs w:val="21"/>
                    </w:rPr>
                    <w:t>八五六农场污水处理厂日处理污水能力为</w:t>
                  </w:r>
                  <w:r>
                    <w:rPr>
                      <w:rFonts w:hint="eastAsia" w:eastAsiaTheme="minorEastAsia"/>
                      <w:szCs w:val="21"/>
                    </w:rPr>
                    <w:t>1500</w:t>
                  </w:r>
                  <w:r>
                    <w:rPr>
                      <w:rFonts w:eastAsiaTheme="minorEastAsia"/>
                      <w:szCs w:val="21"/>
                    </w:rPr>
                    <w:t>m</w:t>
                  </w:r>
                  <w:r>
                    <w:rPr>
                      <w:rFonts w:eastAsiaTheme="minorEastAsia"/>
                      <w:szCs w:val="21"/>
                      <w:vertAlign w:val="superscript"/>
                    </w:rPr>
                    <w:t xml:space="preserve">3 </w:t>
                  </w:r>
                  <w:r>
                    <w:rPr>
                      <w:rFonts w:eastAsiaTheme="minorEastAsia"/>
                      <w:szCs w:val="21"/>
                    </w:rPr>
                    <w:t>/d</w:t>
                  </w:r>
                  <w:r>
                    <w:rPr>
                      <w:rFonts w:hint="eastAsia" w:hAnsiTheme="minorEastAsia" w:eastAsiaTheme="minorEastAsia"/>
                      <w:szCs w:val="21"/>
                    </w:rPr>
                    <w:t>。污水处理工艺采用</w:t>
                  </w:r>
                  <w:r>
                    <w:rPr>
                      <w:rFonts w:eastAsiaTheme="minorEastAsia"/>
                      <w:szCs w:val="21"/>
                    </w:rPr>
                    <w:t>“</w:t>
                  </w:r>
                  <w:r>
                    <w:rPr>
                      <w:rFonts w:hint="eastAsia" w:hAnsiTheme="minorEastAsia" w:eastAsiaTheme="minorEastAsia"/>
                      <w:szCs w:val="21"/>
                    </w:rPr>
                    <w:t>预处理</w:t>
                  </w:r>
                  <w:r>
                    <w:rPr>
                      <w:rFonts w:eastAsiaTheme="minorEastAsia"/>
                      <w:szCs w:val="21"/>
                    </w:rPr>
                    <w:t>+ AO</w:t>
                  </w:r>
                  <w:r>
                    <w:rPr>
                      <w:rFonts w:hint="eastAsia" w:hAnsiTheme="minorEastAsia" w:eastAsiaTheme="minorEastAsia"/>
                      <w:szCs w:val="21"/>
                    </w:rPr>
                    <w:t>生化池</w:t>
                  </w:r>
                  <w:r>
                    <w:rPr>
                      <w:rFonts w:eastAsiaTheme="minorEastAsia"/>
                      <w:szCs w:val="21"/>
                    </w:rPr>
                    <w:t xml:space="preserve"> +</w:t>
                  </w:r>
                  <w:r>
                    <w:rPr>
                      <w:rFonts w:hint="eastAsia" w:hAnsiTheme="minorEastAsia" w:eastAsiaTheme="minorEastAsia"/>
                      <w:szCs w:val="21"/>
                    </w:rPr>
                    <w:t>二沉池+三沉池</w:t>
                  </w:r>
                  <w:r>
                    <w:rPr>
                      <w:rFonts w:eastAsiaTheme="minorEastAsia"/>
                      <w:szCs w:val="21"/>
                    </w:rPr>
                    <w:t>+高密度沉淀池+</w:t>
                  </w:r>
                  <w:r>
                    <w:rPr>
                      <w:rFonts w:hint="eastAsia" w:hAnsiTheme="minorEastAsia" w:eastAsiaTheme="minorEastAsia"/>
                      <w:szCs w:val="21"/>
                    </w:rPr>
                    <w:t>连续流沙过滤</w:t>
                  </w:r>
                  <w:r>
                    <w:rPr>
                      <w:rFonts w:eastAsiaTheme="minorEastAsia"/>
                      <w:szCs w:val="21"/>
                    </w:rPr>
                    <w:t>+</w:t>
                  </w:r>
                  <w:r>
                    <w:rPr>
                      <w:rFonts w:hint="eastAsia" w:hAnsiTheme="minorEastAsia" w:eastAsiaTheme="minorEastAsia"/>
                      <w:szCs w:val="21"/>
                    </w:rPr>
                    <w:t>紫外线消毒</w:t>
                  </w:r>
                  <w:r>
                    <w:rPr>
                      <w:rFonts w:eastAsiaTheme="minorEastAsia"/>
                      <w:szCs w:val="21"/>
                    </w:rPr>
                    <w:t>”</w:t>
                  </w:r>
                  <w:r>
                    <w:rPr>
                      <w:rFonts w:hint="eastAsia" w:hAnsiTheme="minorEastAsia" w:eastAsiaTheme="minorEastAsia"/>
                      <w:szCs w:val="21"/>
                    </w:rPr>
                    <w:t>，出水水质达到《城镇污水处理厂污染物排放标准》（</w:t>
                  </w:r>
                  <w:r>
                    <w:rPr>
                      <w:rFonts w:eastAsiaTheme="minorEastAsia"/>
                      <w:szCs w:val="21"/>
                    </w:rPr>
                    <w:t>GB18918-2002</w:t>
                  </w:r>
                  <w:r>
                    <w:rPr>
                      <w:rFonts w:hint="eastAsia" w:hAnsiTheme="minorEastAsia" w:eastAsiaTheme="minorEastAsia"/>
                      <w:szCs w:val="21"/>
                    </w:rPr>
                    <w:t>）一级</w:t>
                  </w:r>
                  <w:r>
                    <w:rPr>
                      <w:rFonts w:eastAsiaTheme="minorEastAsia"/>
                      <w:szCs w:val="21"/>
                    </w:rPr>
                    <w:t>A</w:t>
                  </w:r>
                  <w:r>
                    <w:rPr>
                      <w:rFonts w:hint="eastAsia" w:hAnsiTheme="minorEastAsia" w:eastAsiaTheme="minorEastAsia"/>
                      <w:szCs w:val="21"/>
                    </w:rPr>
                    <w:t>标准后排入穆棱河，进水水质为</w:t>
                  </w:r>
                  <w:r>
                    <w:rPr>
                      <w:rFonts w:hint="eastAsia" w:eastAsiaTheme="minorEastAsia"/>
                      <w:szCs w:val="21"/>
                    </w:rPr>
                    <w:t>COD≤400mg/L</w:t>
                  </w:r>
                  <w:r>
                    <w:rPr>
                      <w:rFonts w:hint="eastAsia" w:hAnsiTheme="minorEastAsia" w:eastAsiaTheme="minorEastAsia"/>
                      <w:szCs w:val="21"/>
                    </w:rPr>
                    <w:t>、</w:t>
                  </w:r>
                  <w:r>
                    <w:rPr>
                      <w:rFonts w:eastAsiaTheme="minorEastAsia"/>
                      <w:szCs w:val="21"/>
                    </w:rPr>
                    <w:t>BOD</w:t>
                  </w:r>
                  <w:r>
                    <w:rPr>
                      <w:rFonts w:eastAsiaTheme="minorEastAsia"/>
                      <w:szCs w:val="21"/>
                      <w:vertAlign w:val="subscript"/>
                    </w:rPr>
                    <w:t>5</w:t>
                  </w:r>
                  <w:r>
                    <w:rPr>
                      <w:rFonts w:hint="eastAsia" w:eastAsiaTheme="minorEastAsia"/>
                      <w:szCs w:val="21"/>
                    </w:rPr>
                    <w:t>≤200mg/L</w:t>
                  </w:r>
                  <w:r>
                    <w:rPr>
                      <w:rFonts w:hint="eastAsia" w:hAnsiTheme="minorEastAsia" w:eastAsiaTheme="minorEastAsia"/>
                      <w:szCs w:val="21"/>
                    </w:rPr>
                    <w:t>、</w:t>
                  </w:r>
                  <w:r>
                    <w:rPr>
                      <w:rFonts w:hint="eastAsia" w:eastAsiaTheme="minorEastAsia"/>
                      <w:szCs w:val="21"/>
                    </w:rPr>
                    <w:t>SS≤300mg/L</w:t>
                  </w:r>
                  <w:r>
                    <w:rPr>
                      <w:rFonts w:hint="eastAsia" w:hAnsiTheme="minorEastAsia" w:eastAsiaTheme="minorEastAsia"/>
                      <w:szCs w:val="21"/>
                    </w:rPr>
                    <w:t>、</w:t>
                  </w:r>
                  <w:r>
                    <w:rPr>
                      <w:rFonts w:eastAsiaTheme="minorEastAsia"/>
                      <w:szCs w:val="21"/>
                    </w:rPr>
                    <w:t>NH</w:t>
                  </w:r>
                  <w:r>
                    <w:rPr>
                      <w:rFonts w:eastAsiaTheme="minorEastAsia"/>
                      <w:szCs w:val="21"/>
                      <w:vertAlign w:val="subscript"/>
                    </w:rPr>
                    <w:t>3</w:t>
                  </w:r>
                  <w:r>
                    <w:rPr>
                      <w:rFonts w:hint="eastAsia" w:eastAsiaTheme="minorEastAsia"/>
                      <w:szCs w:val="21"/>
                    </w:rPr>
                    <w:t>-N≤25mg/L</w:t>
                  </w:r>
                  <w:r>
                    <w:rPr>
                      <w:rFonts w:hint="eastAsia" w:hAnsiTheme="minorEastAsia" w:eastAsiaTheme="minorEastAsia"/>
                      <w:szCs w:val="21"/>
                    </w:rPr>
                    <w:t>、石油类</w:t>
                  </w:r>
                  <w:r>
                    <w:rPr>
                      <w:rFonts w:hint="eastAsia" w:eastAsiaTheme="minorEastAsia"/>
                      <w:szCs w:val="21"/>
                    </w:rPr>
                    <w:t>≤30mg/L</w:t>
                  </w:r>
                </w:p>
              </w:tc>
            </w:tr>
          </w:tbl>
          <w:p>
            <w:pPr>
              <w:spacing w:line="360" w:lineRule="auto"/>
              <w:ind w:firstLine="482" w:firstLineChars="200"/>
              <w:contextualSpacing/>
              <w:jc w:val="left"/>
              <w:rPr>
                <w:rFonts w:eastAsiaTheme="minorEastAsia"/>
                <w:b/>
                <w:kern w:val="0"/>
                <w:sz w:val="24"/>
              </w:rPr>
            </w:pPr>
            <w:r>
              <w:rPr>
                <w:rFonts w:eastAsiaTheme="minorEastAsia"/>
                <w:b/>
                <w:kern w:val="0"/>
                <w:sz w:val="24"/>
              </w:rPr>
              <w:t>2</w:t>
            </w:r>
            <w:r>
              <w:rPr>
                <w:rFonts w:hint="eastAsia" w:eastAsiaTheme="minorEastAsia"/>
                <w:b/>
                <w:kern w:val="0"/>
                <w:sz w:val="24"/>
              </w:rPr>
              <w:t>、主要设备</w:t>
            </w:r>
          </w:p>
          <w:p>
            <w:pPr>
              <w:widowControl/>
              <w:spacing w:line="360" w:lineRule="auto"/>
              <w:ind w:firstLine="480" w:firstLineChars="200"/>
              <w:rPr>
                <w:rFonts w:eastAsiaTheme="minorEastAsia"/>
                <w:b/>
                <w:bCs/>
                <w:kern w:val="0"/>
                <w:sz w:val="24"/>
              </w:rPr>
            </w:pPr>
            <w:r>
              <w:rPr>
                <w:rFonts w:hint="eastAsia" w:eastAsiaTheme="minorEastAsia"/>
                <w:kern w:val="0"/>
                <w:sz w:val="24"/>
              </w:rPr>
              <w:t>主要设备见下表。</w:t>
            </w:r>
          </w:p>
          <w:p>
            <w:pPr>
              <w:widowControl/>
              <w:spacing w:line="360" w:lineRule="auto"/>
              <w:jc w:val="center"/>
              <w:rPr>
                <w:rFonts w:eastAsiaTheme="minorEastAsia"/>
                <w:b/>
                <w:bCs/>
                <w:kern w:val="0"/>
                <w:sz w:val="24"/>
              </w:rPr>
            </w:pPr>
            <w:r>
              <w:rPr>
                <w:rFonts w:hint="eastAsia" w:eastAsiaTheme="minorEastAsia"/>
                <w:b/>
                <w:bCs/>
                <w:kern w:val="0"/>
                <w:sz w:val="24"/>
              </w:rPr>
              <w:t>表</w:t>
            </w:r>
            <w:r>
              <w:rPr>
                <w:rFonts w:eastAsiaTheme="minorEastAsia"/>
                <w:b/>
                <w:bCs/>
                <w:kern w:val="0"/>
                <w:sz w:val="24"/>
              </w:rPr>
              <w:t xml:space="preserve">2-2 </w:t>
            </w:r>
            <w:r>
              <w:rPr>
                <w:rFonts w:hint="eastAsia" w:eastAsiaTheme="minorEastAsia"/>
                <w:b/>
                <w:bCs/>
                <w:kern w:val="0"/>
                <w:sz w:val="24"/>
              </w:rPr>
              <w:t>主要设备一览表</w:t>
            </w:r>
          </w:p>
          <w:tbl>
            <w:tblPr>
              <w:tblStyle w:val="22"/>
              <w:tblW w:w="848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2527"/>
              <w:gridCol w:w="2629"/>
              <w:gridCol w:w="22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序号</w:t>
                  </w:r>
                </w:p>
              </w:tc>
              <w:tc>
                <w:tcPr>
                  <w:tcW w:w="2527" w:type="dxa"/>
                  <w:vAlign w:val="center"/>
                </w:tcPr>
                <w:p>
                  <w:pPr>
                    <w:contextualSpacing/>
                    <w:jc w:val="center"/>
                    <w:rPr>
                      <w:rFonts w:eastAsiaTheme="minorEastAsia"/>
                      <w:kern w:val="0"/>
                      <w:szCs w:val="21"/>
                    </w:rPr>
                  </w:pPr>
                  <w:r>
                    <w:rPr>
                      <w:rFonts w:hint="eastAsia" w:eastAsiaTheme="minorEastAsia"/>
                      <w:kern w:val="0"/>
                      <w:szCs w:val="21"/>
                    </w:rPr>
                    <w:t>名称</w:t>
                  </w:r>
                </w:p>
              </w:tc>
              <w:tc>
                <w:tcPr>
                  <w:tcW w:w="2629" w:type="dxa"/>
                  <w:vAlign w:val="center"/>
                </w:tcPr>
                <w:p>
                  <w:pPr>
                    <w:contextualSpacing/>
                    <w:jc w:val="center"/>
                    <w:rPr>
                      <w:rFonts w:eastAsiaTheme="minorEastAsia"/>
                      <w:kern w:val="0"/>
                      <w:szCs w:val="21"/>
                    </w:rPr>
                  </w:pPr>
                  <w:r>
                    <w:rPr>
                      <w:rFonts w:hint="eastAsia" w:eastAsiaTheme="minorEastAsia"/>
                      <w:kern w:val="0"/>
                      <w:szCs w:val="21"/>
                    </w:rPr>
                    <w:t>型号</w:t>
                  </w:r>
                </w:p>
              </w:tc>
              <w:tc>
                <w:tcPr>
                  <w:tcW w:w="2209" w:type="dxa"/>
                  <w:vAlign w:val="center"/>
                </w:tcPr>
                <w:p>
                  <w:pPr>
                    <w:contextualSpacing/>
                    <w:jc w:val="center"/>
                    <w:rPr>
                      <w:rFonts w:eastAsiaTheme="minorEastAsia"/>
                      <w:kern w:val="0"/>
                      <w:szCs w:val="21"/>
                    </w:rPr>
                  </w:pPr>
                  <w:r>
                    <w:rPr>
                      <w:rFonts w:hint="eastAsia" w:eastAsiaTheme="minorEastAsia"/>
                      <w:kern w:val="0"/>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8"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1</w:t>
                  </w:r>
                </w:p>
              </w:tc>
              <w:tc>
                <w:tcPr>
                  <w:tcW w:w="2527" w:type="dxa"/>
                  <w:vAlign w:val="center"/>
                </w:tcPr>
                <w:p>
                  <w:pPr>
                    <w:jc w:val="center"/>
                    <w:rPr>
                      <w:rFonts w:hAnsi="宋体"/>
                      <w:szCs w:val="21"/>
                    </w:rPr>
                  </w:pPr>
                  <w:r>
                    <w:rPr>
                      <w:rFonts w:hint="eastAsia" w:hAnsi="宋体"/>
                      <w:szCs w:val="21"/>
                    </w:rPr>
                    <w:t>等离子切割机</w:t>
                  </w:r>
                </w:p>
              </w:tc>
              <w:tc>
                <w:tcPr>
                  <w:tcW w:w="2629" w:type="dxa"/>
                  <w:vAlign w:val="center"/>
                </w:tcPr>
                <w:p>
                  <w:pPr>
                    <w:jc w:val="center"/>
                    <w:rPr>
                      <w:rFonts w:hAnsi="宋体"/>
                      <w:szCs w:val="21"/>
                    </w:rPr>
                  </w:pPr>
                  <w:r>
                    <w:rPr>
                      <w:rFonts w:hint="eastAsia" w:hAnsi="宋体"/>
                      <w:szCs w:val="21"/>
                    </w:rPr>
                    <w:t>德尔菲LGK-85</w:t>
                  </w:r>
                </w:p>
              </w:tc>
              <w:tc>
                <w:tcPr>
                  <w:tcW w:w="2209" w:type="dxa"/>
                  <w:vAlign w:val="center"/>
                </w:tcPr>
                <w:p>
                  <w:pPr>
                    <w:contextualSpacing/>
                    <w:jc w:val="center"/>
                    <w:rPr>
                      <w:rFonts w:eastAsiaTheme="minorEastAsia"/>
                      <w:kern w:val="0"/>
                      <w:szCs w:val="21"/>
                    </w:rPr>
                  </w:pPr>
                  <w:r>
                    <w:rPr>
                      <w:rFonts w:hint="eastAsia" w:eastAsiaTheme="minorEastAsia"/>
                      <w:kern w:val="0"/>
                      <w:szCs w:val="21"/>
                    </w:rPr>
                    <w:t>3台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2</w:t>
                  </w:r>
                </w:p>
              </w:tc>
              <w:tc>
                <w:tcPr>
                  <w:tcW w:w="2527" w:type="dxa"/>
                  <w:vAlign w:val="center"/>
                </w:tcPr>
                <w:p>
                  <w:pPr>
                    <w:pStyle w:val="76"/>
                    <w:rPr>
                      <w:rFonts w:eastAsiaTheme="minorEastAsia"/>
                    </w:rPr>
                  </w:pPr>
                  <w:r>
                    <w:rPr>
                      <w:rFonts w:hint="eastAsia" w:eastAsiaTheme="minorEastAsia"/>
                    </w:rPr>
                    <w:t>叉车</w:t>
                  </w:r>
                </w:p>
              </w:tc>
              <w:tc>
                <w:tcPr>
                  <w:tcW w:w="2629" w:type="dxa"/>
                  <w:vAlign w:val="center"/>
                </w:tcPr>
                <w:p>
                  <w:pPr>
                    <w:pStyle w:val="76"/>
                    <w:rPr>
                      <w:rFonts w:eastAsiaTheme="minorEastAsia"/>
                    </w:rPr>
                  </w:pPr>
                  <w:r>
                    <w:rPr>
                      <w:rFonts w:eastAsiaTheme="minorEastAsia"/>
                    </w:rPr>
                    <w:t>K5.0/K3.5</w:t>
                  </w:r>
                </w:p>
              </w:tc>
              <w:tc>
                <w:tcPr>
                  <w:tcW w:w="2209" w:type="dxa"/>
                  <w:vAlign w:val="center"/>
                </w:tcPr>
                <w:p>
                  <w:pPr>
                    <w:contextualSpacing/>
                    <w:jc w:val="center"/>
                    <w:rPr>
                      <w:rFonts w:eastAsiaTheme="minorEastAsia"/>
                      <w:kern w:val="0"/>
                      <w:szCs w:val="21"/>
                    </w:rPr>
                  </w:pPr>
                  <w:r>
                    <w:rPr>
                      <w:rFonts w:eastAsiaTheme="minorEastAsia"/>
                      <w:kern w:val="0"/>
                      <w:szCs w:val="21"/>
                    </w:rPr>
                    <w:t>1</w:t>
                  </w:r>
                  <w:r>
                    <w:rPr>
                      <w:rFonts w:hint="eastAsia" w:eastAsiaTheme="minor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3</w:t>
                  </w:r>
                </w:p>
              </w:tc>
              <w:tc>
                <w:tcPr>
                  <w:tcW w:w="2527" w:type="dxa"/>
                  <w:vAlign w:val="center"/>
                </w:tcPr>
                <w:p>
                  <w:pPr>
                    <w:pStyle w:val="76"/>
                    <w:rPr>
                      <w:rFonts w:eastAsiaTheme="minorEastAsia"/>
                    </w:rPr>
                  </w:pPr>
                  <w:r>
                    <w:rPr>
                      <w:rFonts w:hint="eastAsia" w:eastAsiaTheme="minorEastAsia"/>
                      <w:kern w:val="0"/>
                    </w:rPr>
                    <w:t>压力机</w:t>
                  </w:r>
                </w:p>
              </w:tc>
              <w:tc>
                <w:tcPr>
                  <w:tcW w:w="2629" w:type="dxa"/>
                  <w:vAlign w:val="center"/>
                </w:tcPr>
                <w:p>
                  <w:pPr>
                    <w:pStyle w:val="76"/>
                    <w:rPr>
                      <w:rFonts w:eastAsiaTheme="minorEastAsia"/>
                    </w:rPr>
                  </w:pPr>
                  <w:r>
                    <w:rPr>
                      <w:rFonts w:eastAsiaTheme="minorEastAsia"/>
                    </w:rPr>
                    <w:t>20T</w:t>
                  </w:r>
                </w:p>
              </w:tc>
              <w:tc>
                <w:tcPr>
                  <w:tcW w:w="2209" w:type="dxa"/>
                  <w:vAlign w:val="center"/>
                </w:tcPr>
                <w:p>
                  <w:pPr>
                    <w:contextualSpacing/>
                    <w:jc w:val="center"/>
                    <w:rPr>
                      <w:rFonts w:eastAsiaTheme="minorEastAsia"/>
                      <w:kern w:val="0"/>
                      <w:szCs w:val="21"/>
                    </w:rPr>
                  </w:pPr>
                  <w:r>
                    <w:rPr>
                      <w:rFonts w:eastAsiaTheme="minorEastAsia"/>
                      <w:kern w:val="0"/>
                      <w:szCs w:val="21"/>
                    </w:rPr>
                    <w:t>1</w:t>
                  </w:r>
                  <w:r>
                    <w:rPr>
                      <w:rFonts w:hint="eastAsia" w:eastAsiaTheme="minor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4</w:t>
                  </w:r>
                </w:p>
              </w:tc>
              <w:tc>
                <w:tcPr>
                  <w:tcW w:w="2527" w:type="dxa"/>
                  <w:vAlign w:val="center"/>
                </w:tcPr>
                <w:p>
                  <w:pPr>
                    <w:pStyle w:val="76"/>
                    <w:rPr>
                      <w:rFonts w:eastAsiaTheme="minorEastAsia"/>
                    </w:rPr>
                  </w:pPr>
                  <w:r>
                    <w:rPr>
                      <w:rFonts w:hint="eastAsia" w:eastAsiaTheme="minorEastAsia"/>
                    </w:rPr>
                    <w:t>千斤顶</w:t>
                  </w:r>
                </w:p>
              </w:tc>
              <w:tc>
                <w:tcPr>
                  <w:tcW w:w="2629" w:type="dxa"/>
                  <w:vAlign w:val="center"/>
                </w:tcPr>
                <w:p>
                  <w:pPr>
                    <w:pStyle w:val="76"/>
                    <w:rPr>
                      <w:rFonts w:eastAsiaTheme="minorEastAsia"/>
                    </w:rPr>
                  </w:pPr>
                  <w:r>
                    <w:rPr>
                      <w:rFonts w:eastAsiaTheme="minorEastAsia"/>
                    </w:rPr>
                    <w:t>/</w:t>
                  </w:r>
                </w:p>
              </w:tc>
              <w:tc>
                <w:tcPr>
                  <w:tcW w:w="2209" w:type="dxa"/>
                  <w:vAlign w:val="center"/>
                </w:tcPr>
                <w:p>
                  <w:pPr>
                    <w:contextualSpacing/>
                    <w:jc w:val="center"/>
                    <w:rPr>
                      <w:rFonts w:eastAsiaTheme="minorEastAsia"/>
                      <w:kern w:val="0"/>
                      <w:szCs w:val="21"/>
                    </w:rPr>
                  </w:pPr>
                  <w:r>
                    <w:rPr>
                      <w:rFonts w:eastAsiaTheme="minorEastAsia"/>
                      <w:kern w:val="0"/>
                      <w:szCs w:val="21"/>
                    </w:rPr>
                    <w:t>1</w:t>
                  </w:r>
                  <w:r>
                    <w:rPr>
                      <w:rFonts w:hint="eastAsia" w:eastAsiaTheme="minor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5</w:t>
                  </w:r>
                </w:p>
              </w:tc>
              <w:tc>
                <w:tcPr>
                  <w:tcW w:w="2527" w:type="dxa"/>
                  <w:vAlign w:val="center"/>
                </w:tcPr>
                <w:p>
                  <w:pPr>
                    <w:pStyle w:val="76"/>
                    <w:rPr>
                      <w:rFonts w:eastAsiaTheme="minorEastAsia"/>
                    </w:rPr>
                  </w:pPr>
                  <w:r>
                    <w:rPr>
                      <w:rFonts w:hint="eastAsia" w:eastAsiaTheme="minorEastAsia"/>
                    </w:rPr>
                    <w:t>通用扳手</w:t>
                  </w:r>
                </w:p>
              </w:tc>
              <w:tc>
                <w:tcPr>
                  <w:tcW w:w="2629" w:type="dxa"/>
                  <w:vAlign w:val="center"/>
                </w:tcPr>
                <w:p>
                  <w:pPr>
                    <w:pStyle w:val="76"/>
                    <w:rPr>
                      <w:rFonts w:eastAsiaTheme="minorEastAsia"/>
                    </w:rPr>
                  </w:pPr>
                  <w:r>
                    <w:rPr>
                      <w:rFonts w:eastAsiaTheme="minorEastAsia"/>
                    </w:rPr>
                    <w:t>/</w:t>
                  </w:r>
                </w:p>
              </w:tc>
              <w:tc>
                <w:tcPr>
                  <w:tcW w:w="2209" w:type="dxa"/>
                  <w:vAlign w:val="center"/>
                </w:tcPr>
                <w:p>
                  <w:pPr>
                    <w:contextualSpacing/>
                    <w:jc w:val="center"/>
                    <w:rPr>
                      <w:rFonts w:eastAsiaTheme="minorEastAsia"/>
                      <w:kern w:val="0"/>
                      <w:szCs w:val="21"/>
                    </w:rPr>
                  </w:pPr>
                  <w:r>
                    <w:rPr>
                      <w:rFonts w:eastAsiaTheme="minorEastAsia"/>
                      <w:kern w:val="0"/>
                      <w:szCs w:val="21"/>
                    </w:rPr>
                    <w:t>4</w:t>
                  </w:r>
                  <w:r>
                    <w:rPr>
                      <w:rFonts w:hint="eastAsia" w:eastAsiaTheme="minorEastAsia"/>
                      <w:kern w:val="0"/>
                      <w:szCs w:val="21"/>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6</w:t>
                  </w:r>
                </w:p>
              </w:tc>
              <w:tc>
                <w:tcPr>
                  <w:tcW w:w="2527" w:type="dxa"/>
                  <w:vAlign w:val="center"/>
                </w:tcPr>
                <w:p>
                  <w:pPr>
                    <w:pStyle w:val="76"/>
                    <w:rPr>
                      <w:rFonts w:eastAsiaTheme="minorEastAsia"/>
                    </w:rPr>
                  </w:pPr>
                  <w:r>
                    <w:rPr>
                      <w:rFonts w:hint="eastAsia" w:eastAsiaTheme="minorEastAsia"/>
                    </w:rPr>
                    <w:t>手电钻</w:t>
                  </w:r>
                </w:p>
              </w:tc>
              <w:tc>
                <w:tcPr>
                  <w:tcW w:w="2629" w:type="dxa"/>
                  <w:vAlign w:val="center"/>
                </w:tcPr>
                <w:p>
                  <w:pPr>
                    <w:pStyle w:val="76"/>
                    <w:rPr>
                      <w:rFonts w:eastAsiaTheme="minorEastAsia"/>
                    </w:rPr>
                  </w:pPr>
                  <w:r>
                    <w:rPr>
                      <w:rFonts w:eastAsiaTheme="minorEastAsia"/>
                    </w:rPr>
                    <w:t>FF-10A</w:t>
                  </w:r>
                </w:p>
              </w:tc>
              <w:tc>
                <w:tcPr>
                  <w:tcW w:w="2209" w:type="dxa"/>
                </w:tcPr>
                <w:p>
                  <w:pPr>
                    <w:jc w:val="center"/>
                    <w:rPr>
                      <w:rFonts w:eastAsiaTheme="minorEastAsia"/>
                      <w:szCs w:val="21"/>
                    </w:rPr>
                  </w:pPr>
                  <w:r>
                    <w:rPr>
                      <w:rFonts w:eastAsiaTheme="minorEastAsia"/>
                      <w:kern w:val="0"/>
                      <w:szCs w:val="21"/>
                    </w:rPr>
                    <w:t>1</w:t>
                  </w:r>
                  <w:r>
                    <w:rPr>
                      <w:rFonts w:hint="eastAsia" w:eastAsiaTheme="minor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7</w:t>
                  </w:r>
                </w:p>
              </w:tc>
              <w:tc>
                <w:tcPr>
                  <w:tcW w:w="2527" w:type="dxa"/>
                  <w:vAlign w:val="center"/>
                </w:tcPr>
                <w:p>
                  <w:pPr>
                    <w:pStyle w:val="76"/>
                    <w:rPr>
                      <w:rFonts w:eastAsiaTheme="minorEastAsia"/>
                      <w:kern w:val="0"/>
                    </w:rPr>
                  </w:pPr>
                  <w:r>
                    <w:rPr>
                      <w:rFonts w:hint="eastAsia" w:eastAsiaTheme="minorEastAsia"/>
                      <w:kern w:val="0"/>
                    </w:rPr>
                    <w:t>充电机</w:t>
                  </w:r>
                </w:p>
              </w:tc>
              <w:tc>
                <w:tcPr>
                  <w:tcW w:w="2629" w:type="dxa"/>
                </w:tcPr>
                <w:p>
                  <w:pPr>
                    <w:jc w:val="center"/>
                    <w:rPr>
                      <w:rFonts w:eastAsiaTheme="minorEastAsia"/>
                      <w:szCs w:val="21"/>
                    </w:rPr>
                  </w:pPr>
                  <w:r>
                    <w:rPr>
                      <w:rFonts w:eastAsiaTheme="minorEastAsia"/>
                      <w:szCs w:val="21"/>
                    </w:rPr>
                    <w:t>1200A</w:t>
                  </w:r>
                </w:p>
              </w:tc>
              <w:tc>
                <w:tcPr>
                  <w:tcW w:w="2209" w:type="dxa"/>
                </w:tcPr>
                <w:p>
                  <w:pPr>
                    <w:jc w:val="center"/>
                    <w:rPr>
                      <w:rFonts w:eastAsiaTheme="minorEastAsia"/>
                      <w:szCs w:val="21"/>
                    </w:rPr>
                  </w:pPr>
                  <w:r>
                    <w:rPr>
                      <w:rFonts w:eastAsiaTheme="minorEastAsia"/>
                      <w:kern w:val="0"/>
                      <w:szCs w:val="21"/>
                    </w:rPr>
                    <w:t>1</w:t>
                  </w:r>
                  <w:r>
                    <w:rPr>
                      <w:rFonts w:hint="eastAsia" w:eastAsiaTheme="minor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eastAsiaTheme="minorEastAsia"/>
                      <w:kern w:val="0"/>
                      <w:szCs w:val="21"/>
                    </w:rPr>
                    <w:t>8</w:t>
                  </w:r>
                </w:p>
              </w:tc>
              <w:tc>
                <w:tcPr>
                  <w:tcW w:w="2527" w:type="dxa"/>
                  <w:vAlign w:val="center"/>
                </w:tcPr>
                <w:p>
                  <w:pPr>
                    <w:pStyle w:val="76"/>
                    <w:rPr>
                      <w:rFonts w:eastAsiaTheme="minorEastAsia"/>
                      <w:kern w:val="0"/>
                    </w:rPr>
                  </w:pPr>
                  <w:r>
                    <w:rPr>
                      <w:rFonts w:hint="eastAsia" w:eastAsiaTheme="minorEastAsia"/>
                      <w:kern w:val="0"/>
                    </w:rPr>
                    <w:t>钳工工具</w:t>
                  </w:r>
                </w:p>
              </w:tc>
              <w:tc>
                <w:tcPr>
                  <w:tcW w:w="2629" w:type="dxa"/>
                  <w:vAlign w:val="center"/>
                </w:tcPr>
                <w:p>
                  <w:pPr>
                    <w:contextualSpacing/>
                    <w:jc w:val="center"/>
                    <w:rPr>
                      <w:rFonts w:eastAsiaTheme="minorEastAsia"/>
                      <w:kern w:val="0"/>
                      <w:szCs w:val="21"/>
                    </w:rPr>
                  </w:pPr>
                  <w:r>
                    <w:rPr>
                      <w:rFonts w:eastAsiaTheme="minorEastAsia"/>
                      <w:kern w:val="0"/>
                      <w:szCs w:val="21"/>
                    </w:rPr>
                    <w:t>/</w:t>
                  </w:r>
                </w:p>
              </w:tc>
              <w:tc>
                <w:tcPr>
                  <w:tcW w:w="2209" w:type="dxa"/>
                  <w:vAlign w:val="center"/>
                </w:tcPr>
                <w:p>
                  <w:pPr>
                    <w:contextualSpacing/>
                    <w:jc w:val="center"/>
                    <w:rPr>
                      <w:rFonts w:eastAsiaTheme="minorEastAsia"/>
                      <w:kern w:val="0"/>
                      <w:szCs w:val="21"/>
                    </w:rPr>
                  </w:pPr>
                  <w:r>
                    <w:rPr>
                      <w:rFonts w:eastAsiaTheme="minorEastAsia"/>
                      <w:kern w:val="0"/>
                      <w:szCs w:val="21"/>
                    </w:rPr>
                    <w:t>1</w:t>
                  </w:r>
                  <w:r>
                    <w:rPr>
                      <w:rFonts w:hint="eastAsia" w:eastAsiaTheme="minor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9</w:t>
                  </w:r>
                </w:p>
              </w:tc>
              <w:tc>
                <w:tcPr>
                  <w:tcW w:w="2527" w:type="dxa"/>
                  <w:vAlign w:val="center"/>
                </w:tcPr>
                <w:p>
                  <w:pPr>
                    <w:pStyle w:val="76"/>
                    <w:rPr>
                      <w:rFonts w:eastAsiaTheme="minorEastAsia"/>
                      <w:kern w:val="0"/>
                    </w:rPr>
                  </w:pPr>
                  <w:r>
                    <w:rPr>
                      <w:rFonts w:hint="eastAsia" w:eastAsiaTheme="minorEastAsia"/>
                      <w:kern w:val="0"/>
                    </w:rPr>
                    <w:t>风机</w:t>
                  </w:r>
                </w:p>
              </w:tc>
              <w:tc>
                <w:tcPr>
                  <w:tcW w:w="2629" w:type="dxa"/>
                  <w:vAlign w:val="center"/>
                </w:tcPr>
                <w:p>
                  <w:pPr>
                    <w:contextualSpacing/>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10</w:t>
                  </w:r>
                </w:p>
              </w:tc>
              <w:tc>
                <w:tcPr>
                  <w:tcW w:w="2527" w:type="dxa"/>
                  <w:vAlign w:val="center"/>
                </w:tcPr>
                <w:p>
                  <w:pPr>
                    <w:widowControl/>
                    <w:adjustRightInd w:val="0"/>
                    <w:snapToGrid w:val="0"/>
                    <w:jc w:val="center"/>
                    <w:rPr>
                      <w:rFonts w:eastAsiaTheme="minorEastAsia"/>
                      <w:kern w:val="0"/>
                      <w:szCs w:val="21"/>
                    </w:rPr>
                  </w:pPr>
                  <w:r>
                    <w:rPr>
                      <w:rFonts w:hint="eastAsia" w:eastAsiaTheme="minorEastAsia"/>
                      <w:kern w:val="0"/>
                      <w:szCs w:val="21"/>
                    </w:rPr>
                    <w:t>挖掘机</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小松240</w:t>
                  </w:r>
                </w:p>
              </w:tc>
              <w:tc>
                <w:tcPr>
                  <w:tcW w:w="2209" w:type="dxa"/>
                  <w:vAlign w:val="center"/>
                </w:tcPr>
                <w:p>
                  <w:pPr>
                    <w:contextualSpacing/>
                    <w:jc w:val="center"/>
                    <w:rPr>
                      <w:rFonts w:eastAsiaTheme="minorEastAsia"/>
                      <w:kern w:val="0"/>
                      <w:szCs w:val="21"/>
                    </w:rPr>
                  </w:pPr>
                  <w:r>
                    <w:rPr>
                      <w:rFonts w:eastAsiaTheme="minorEastAsia"/>
                      <w:kern w:val="0"/>
                      <w:szCs w:val="21"/>
                    </w:rPr>
                    <w:t>1</w:t>
                  </w:r>
                  <w:r>
                    <w:rPr>
                      <w:rFonts w:hint="eastAsia" w:eastAsiaTheme="minor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11</w:t>
                  </w:r>
                </w:p>
              </w:tc>
              <w:tc>
                <w:tcPr>
                  <w:tcW w:w="2527" w:type="dxa"/>
                  <w:vAlign w:val="center"/>
                </w:tcPr>
                <w:p>
                  <w:pPr>
                    <w:widowControl/>
                    <w:adjustRightInd w:val="0"/>
                    <w:snapToGrid w:val="0"/>
                    <w:jc w:val="center"/>
                    <w:rPr>
                      <w:rFonts w:eastAsiaTheme="minorEastAsia"/>
                      <w:kern w:val="0"/>
                      <w:szCs w:val="21"/>
                    </w:rPr>
                  </w:pPr>
                  <w:r>
                    <w:rPr>
                      <w:rFonts w:hint="eastAsia" w:eastAsiaTheme="minorEastAsia"/>
                      <w:szCs w:val="21"/>
                    </w:rPr>
                    <w:t>废油液专用储罐</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12</w:t>
                  </w:r>
                </w:p>
              </w:tc>
              <w:tc>
                <w:tcPr>
                  <w:tcW w:w="2527" w:type="dxa"/>
                  <w:vAlign w:val="center"/>
                </w:tcPr>
                <w:p>
                  <w:pPr>
                    <w:widowControl/>
                    <w:adjustRightInd w:val="0"/>
                    <w:snapToGrid w:val="0"/>
                    <w:jc w:val="center"/>
                    <w:rPr>
                      <w:rFonts w:eastAsiaTheme="minorEastAsia"/>
                      <w:kern w:val="0"/>
                      <w:szCs w:val="21"/>
                    </w:rPr>
                  </w:pPr>
                  <w:r>
                    <w:rPr>
                      <w:rFonts w:hint="eastAsia" w:eastAsiaTheme="minorEastAsia"/>
                      <w:szCs w:val="21"/>
                    </w:rPr>
                    <w:t>油水分离器</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13</w:t>
                  </w:r>
                </w:p>
              </w:tc>
              <w:tc>
                <w:tcPr>
                  <w:tcW w:w="2527" w:type="dxa"/>
                  <w:vAlign w:val="center"/>
                </w:tcPr>
                <w:p>
                  <w:pPr>
                    <w:widowControl/>
                    <w:adjustRightInd w:val="0"/>
                    <w:snapToGrid w:val="0"/>
                    <w:jc w:val="center"/>
                    <w:rPr>
                      <w:rFonts w:eastAsiaTheme="minorEastAsia"/>
                      <w:kern w:val="0"/>
                      <w:szCs w:val="21"/>
                    </w:rPr>
                  </w:pPr>
                  <w:r>
                    <w:rPr>
                      <w:rFonts w:hint="eastAsia" w:eastAsiaTheme="minorEastAsia"/>
                      <w:szCs w:val="21"/>
                    </w:rPr>
                    <w:t>废蓄电池专用存储区耐酸容器</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14</w:t>
                  </w:r>
                </w:p>
              </w:tc>
              <w:tc>
                <w:tcPr>
                  <w:tcW w:w="2527" w:type="dxa"/>
                  <w:vAlign w:val="center"/>
                </w:tcPr>
                <w:p>
                  <w:pPr>
                    <w:widowControl/>
                    <w:adjustRightInd w:val="0"/>
                    <w:snapToGrid w:val="0"/>
                    <w:jc w:val="center"/>
                    <w:rPr>
                      <w:rFonts w:eastAsiaTheme="minorEastAsia"/>
                      <w:kern w:val="0"/>
                      <w:szCs w:val="21"/>
                    </w:rPr>
                  </w:pPr>
                  <w:r>
                    <w:rPr>
                      <w:rFonts w:hint="eastAsia" w:eastAsiaTheme="minorEastAsia"/>
                      <w:szCs w:val="21"/>
                    </w:rPr>
                    <w:t>废防冻液专用储罐</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15</w:t>
                  </w:r>
                </w:p>
              </w:tc>
              <w:tc>
                <w:tcPr>
                  <w:tcW w:w="2527" w:type="dxa"/>
                  <w:vAlign w:val="center"/>
                </w:tcPr>
                <w:p>
                  <w:pPr>
                    <w:widowControl/>
                    <w:adjustRightInd w:val="0"/>
                    <w:snapToGrid w:val="0"/>
                    <w:jc w:val="center"/>
                    <w:rPr>
                      <w:rFonts w:eastAsiaTheme="minorEastAsia"/>
                      <w:szCs w:val="21"/>
                    </w:rPr>
                  </w:pPr>
                  <w:r>
                    <w:rPr>
                      <w:rFonts w:hint="eastAsia" w:eastAsiaTheme="minorEastAsia"/>
                      <w:szCs w:val="21"/>
                    </w:rPr>
                    <w:t>油液抽取装置</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16</w:t>
                  </w:r>
                </w:p>
              </w:tc>
              <w:tc>
                <w:tcPr>
                  <w:tcW w:w="2527" w:type="dxa"/>
                  <w:vAlign w:val="center"/>
                </w:tcPr>
                <w:p>
                  <w:pPr>
                    <w:widowControl/>
                    <w:adjustRightInd w:val="0"/>
                    <w:snapToGrid w:val="0"/>
                    <w:jc w:val="center"/>
                    <w:rPr>
                      <w:rFonts w:eastAsiaTheme="minorEastAsia"/>
                      <w:szCs w:val="21"/>
                    </w:rPr>
                  </w:pPr>
                  <w:r>
                    <w:rPr>
                      <w:rFonts w:hint="eastAsia" w:eastAsiaTheme="minorEastAsia"/>
                      <w:szCs w:val="21"/>
                    </w:rPr>
                    <w:t>布袋除尘器</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123" w:type="dxa"/>
                  <w:vAlign w:val="center"/>
                </w:tcPr>
                <w:p>
                  <w:pPr>
                    <w:contextualSpacing/>
                    <w:jc w:val="center"/>
                    <w:rPr>
                      <w:rFonts w:eastAsiaTheme="minorEastAsia"/>
                      <w:kern w:val="0"/>
                      <w:szCs w:val="21"/>
                    </w:rPr>
                  </w:pPr>
                  <w:r>
                    <w:rPr>
                      <w:rFonts w:hint="eastAsia" w:eastAsiaTheme="minorEastAsia"/>
                      <w:kern w:val="0"/>
                      <w:szCs w:val="21"/>
                    </w:rPr>
                    <w:t>17</w:t>
                  </w:r>
                </w:p>
              </w:tc>
              <w:tc>
                <w:tcPr>
                  <w:tcW w:w="2527" w:type="dxa"/>
                  <w:vAlign w:val="center"/>
                </w:tcPr>
                <w:p>
                  <w:pPr>
                    <w:widowControl/>
                    <w:adjustRightInd w:val="0"/>
                    <w:snapToGrid w:val="0"/>
                    <w:jc w:val="center"/>
                    <w:rPr>
                      <w:rFonts w:eastAsiaTheme="minorEastAsia"/>
                      <w:szCs w:val="21"/>
                    </w:rPr>
                  </w:pPr>
                  <w:r>
                    <w:rPr>
                      <w:rFonts w:eastAsiaTheme="minorEastAsia"/>
                      <w:bCs/>
                      <w:kern w:val="0"/>
                      <w:szCs w:val="21"/>
                    </w:rPr>
                    <w:t>二级活性炭吸附装置</w:t>
                  </w:r>
                </w:p>
              </w:tc>
              <w:tc>
                <w:tcPr>
                  <w:tcW w:w="2629" w:type="dxa"/>
                  <w:vAlign w:val="center"/>
                </w:tcPr>
                <w:p>
                  <w:pPr>
                    <w:widowControl/>
                    <w:adjustRightInd w:val="0"/>
                    <w:snapToGrid w:val="0"/>
                    <w:jc w:val="center"/>
                    <w:rPr>
                      <w:rFonts w:eastAsiaTheme="minorEastAsia"/>
                      <w:kern w:val="0"/>
                      <w:szCs w:val="21"/>
                    </w:rPr>
                  </w:pPr>
                  <w:r>
                    <w:rPr>
                      <w:rFonts w:hint="eastAsia" w:eastAsiaTheme="minorEastAsia"/>
                      <w:kern w:val="0"/>
                      <w:szCs w:val="21"/>
                    </w:rPr>
                    <w:t>/</w:t>
                  </w:r>
                </w:p>
              </w:tc>
              <w:tc>
                <w:tcPr>
                  <w:tcW w:w="2209" w:type="dxa"/>
                  <w:vAlign w:val="center"/>
                </w:tcPr>
                <w:p>
                  <w:pPr>
                    <w:contextualSpacing/>
                    <w:jc w:val="center"/>
                    <w:rPr>
                      <w:rFonts w:eastAsiaTheme="minorEastAsia"/>
                      <w:kern w:val="0"/>
                      <w:szCs w:val="21"/>
                    </w:rPr>
                  </w:pPr>
                  <w:r>
                    <w:rPr>
                      <w:rFonts w:hint="eastAsia" w:eastAsiaTheme="minorEastAsia"/>
                      <w:kern w:val="0"/>
                      <w:szCs w:val="21"/>
                    </w:rPr>
                    <w:t>2台</w:t>
                  </w:r>
                </w:p>
              </w:tc>
            </w:tr>
          </w:tbl>
          <w:p>
            <w:pPr>
              <w:spacing w:line="360" w:lineRule="auto"/>
              <w:ind w:firstLine="482" w:firstLineChars="200"/>
              <w:contextualSpacing/>
              <w:jc w:val="left"/>
              <w:rPr>
                <w:rFonts w:eastAsiaTheme="minorEastAsia"/>
                <w:b/>
                <w:kern w:val="0"/>
                <w:sz w:val="24"/>
              </w:rPr>
            </w:pPr>
            <w:r>
              <w:rPr>
                <w:rFonts w:eastAsiaTheme="minorEastAsia"/>
                <w:b/>
                <w:kern w:val="0"/>
                <w:sz w:val="24"/>
              </w:rPr>
              <w:t>3</w:t>
            </w:r>
            <w:r>
              <w:rPr>
                <w:rFonts w:hint="eastAsia" w:eastAsiaTheme="minorEastAsia"/>
                <w:b/>
                <w:kern w:val="0"/>
                <w:sz w:val="24"/>
              </w:rPr>
              <w:t>、主要原辅材料</w:t>
            </w:r>
          </w:p>
          <w:p>
            <w:pPr>
              <w:spacing w:line="360" w:lineRule="auto"/>
              <w:ind w:firstLine="480" w:firstLineChars="200"/>
              <w:contextualSpacing/>
              <w:jc w:val="left"/>
              <w:rPr>
                <w:rFonts w:eastAsiaTheme="minorEastAsia"/>
                <w:bCs/>
                <w:kern w:val="0"/>
                <w:sz w:val="24"/>
              </w:rPr>
            </w:pPr>
            <w:r>
              <w:rPr>
                <w:rFonts w:hint="eastAsia" w:eastAsiaTheme="minorEastAsia"/>
                <w:sz w:val="24"/>
              </w:rPr>
              <w:t>本项目主要原辅材料</w:t>
            </w:r>
            <w:r>
              <w:rPr>
                <w:rFonts w:hint="eastAsia" w:eastAsiaTheme="minorEastAsia"/>
                <w:kern w:val="0"/>
                <w:sz w:val="24"/>
              </w:rPr>
              <w:t>见下表</w:t>
            </w:r>
            <w:r>
              <w:rPr>
                <w:rFonts w:hint="eastAsia" w:eastAsiaTheme="minorEastAsia"/>
                <w:bCs/>
                <w:kern w:val="0"/>
                <w:sz w:val="24"/>
              </w:rPr>
              <w:t>。</w:t>
            </w:r>
          </w:p>
          <w:p>
            <w:pPr>
              <w:widowControl/>
              <w:shd w:val="clear" w:color="auto" w:fill="FFFFFF"/>
              <w:spacing w:line="360" w:lineRule="auto"/>
              <w:contextualSpacing/>
              <w:jc w:val="center"/>
              <w:rPr>
                <w:rFonts w:eastAsiaTheme="minorEastAsia"/>
                <w:b/>
                <w:bCs/>
                <w:kern w:val="0"/>
                <w:sz w:val="24"/>
              </w:rPr>
            </w:pPr>
            <w:r>
              <w:rPr>
                <w:rFonts w:hint="eastAsia" w:eastAsiaTheme="minorEastAsia"/>
                <w:b/>
                <w:bCs/>
                <w:kern w:val="0"/>
                <w:sz w:val="24"/>
              </w:rPr>
              <w:t>表</w:t>
            </w:r>
            <w:r>
              <w:rPr>
                <w:rFonts w:eastAsiaTheme="minorEastAsia"/>
                <w:b/>
                <w:bCs/>
                <w:kern w:val="0"/>
                <w:sz w:val="24"/>
              </w:rPr>
              <w:t xml:space="preserve">2-3 </w:t>
            </w:r>
            <w:r>
              <w:rPr>
                <w:rFonts w:hint="eastAsia" w:eastAsiaTheme="minorEastAsia"/>
                <w:b/>
                <w:bCs/>
                <w:kern w:val="0"/>
                <w:sz w:val="24"/>
              </w:rPr>
              <w:t>原辅材料一览表</w:t>
            </w:r>
          </w:p>
          <w:tbl>
            <w:tblPr>
              <w:tblStyle w:val="22"/>
              <w:tblW w:w="83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6"/>
              <w:gridCol w:w="1541"/>
              <w:gridCol w:w="2028"/>
              <w:gridCol w:w="33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76" w:type="dxa"/>
                  <w:vAlign w:val="center"/>
                </w:tcPr>
                <w:p>
                  <w:pPr>
                    <w:spacing w:line="0" w:lineRule="atLeast"/>
                    <w:contextualSpacing/>
                    <w:jc w:val="center"/>
                    <w:rPr>
                      <w:rFonts w:eastAsiaTheme="minorEastAsia"/>
                      <w:kern w:val="0"/>
                      <w:szCs w:val="21"/>
                    </w:rPr>
                  </w:pPr>
                  <w:r>
                    <w:rPr>
                      <w:rFonts w:hint="eastAsia" w:eastAsiaTheme="minorEastAsia"/>
                      <w:kern w:val="0"/>
                      <w:szCs w:val="21"/>
                    </w:rPr>
                    <w:t>序号</w:t>
                  </w:r>
                </w:p>
              </w:tc>
              <w:tc>
                <w:tcPr>
                  <w:tcW w:w="1541" w:type="dxa"/>
                  <w:vAlign w:val="center"/>
                </w:tcPr>
                <w:p>
                  <w:pPr>
                    <w:pStyle w:val="76"/>
                    <w:rPr>
                      <w:rFonts w:eastAsiaTheme="minorEastAsia"/>
                    </w:rPr>
                  </w:pPr>
                  <w:r>
                    <w:rPr>
                      <w:rFonts w:hint="eastAsia" w:eastAsiaTheme="minorEastAsia"/>
                    </w:rPr>
                    <w:t>名称</w:t>
                  </w:r>
                </w:p>
              </w:tc>
              <w:tc>
                <w:tcPr>
                  <w:tcW w:w="2028" w:type="dxa"/>
                  <w:vAlign w:val="center"/>
                </w:tcPr>
                <w:p>
                  <w:pPr>
                    <w:pStyle w:val="76"/>
                    <w:rPr>
                      <w:rFonts w:eastAsiaTheme="minorEastAsia"/>
                    </w:rPr>
                  </w:pPr>
                  <w:r>
                    <w:rPr>
                      <w:rFonts w:hint="eastAsia" w:eastAsiaTheme="minorEastAsia"/>
                    </w:rPr>
                    <w:t>年耗用量</w:t>
                  </w:r>
                </w:p>
              </w:tc>
              <w:tc>
                <w:tcPr>
                  <w:tcW w:w="3347" w:type="dxa"/>
                  <w:vAlign w:val="center"/>
                </w:tcPr>
                <w:p>
                  <w:pPr>
                    <w:pStyle w:val="76"/>
                    <w:rPr>
                      <w:rFonts w:eastAsiaTheme="minorEastAsia"/>
                    </w:rPr>
                  </w:pPr>
                  <w:r>
                    <w:rPr>
                      <w:rFonts w:hint="eastAsia" w:eastAsiaTheme="minorEastAsi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76" w:type="dxa"/>
                  <w:vAlign w:val="center"/>
                </w:tcPr>
                <w:p>
                  <w:pPr>
                    <w:spacing w:line="0" w:lineRule="atLeast"/>
                    <w:contextualSpacing/>
                    <w:jc w:val="center"/>
                    <w:rPr>
                      <w:rFonts w:eastAsiaTheme="minorEastAsia"/>
                      <w:kern w:val="0"/>
                      <w:szCs w:val="21"/>
                    </w:rPr>
                  </w:pPr>
                  <w:r>
                    <w:rPr>
                      <w:rFonts w:eastAsiaTheme="minorEastAsia"/>
                      <w:kern w:val="0"/>
                      <w:szCs w:val="21"/>
                    </w:rPr>
                    <w:t>1</w:t>
                  </w:r>
                </w:p>
              </w:tc>
              <w:tc>
                <w:tcPr>
                  <w:tcW w:w="1541" w:type="dxa"/>
                  <w:vAlign w:val="center"/>
                </w:tcPr>
                <w:p>
                  <w:pPr>
                    <w:pStyle w:val="76"/>
                    <w:rPr>
                      <w:rFonts w:eastAsiaTheme="minorEastAsia"/>
                      <w:kern w:val="0"/>
                    </w:rPr>
                  </w:pPr>
                  <w:r>
                    <w:rPr>
                      <w:rFonts w:hint="eastAsia" w:eastAsiaTheme="minorEastAsia"/>
                      <w:kern w:val="0"/>
                    </w:rPr>
                    <w:t>报废农机</w:t>
                  </w:r>
                </w:p>
              </w:tc>
              <w:tc>
                <w:tcPr>
                  <w:tcW w:w="2028" w:type="dxa"/>
                  <w:vAlign w:val="center"/>
                </w:tcPr>
                <w:p>
                  <w:pPr>
                    <w:pStyle w:val="76"/>
                    <w:rPr>
                      <w:rFonts w:eastAsiaTheme="minorEastAsia"/>
                      <w:kern w:val="0"/>
                    </w:rPr>
                  </w:pPr>
                  <w:r>
                    <w:rPr>
                      <w:rFonts w:hint="eastAsia" w:eastAsiaTheme="minorEastAsia"/>
                      <w:kern w:val="0"/>
                    </w:rPr>
                    <w:t>6</w:t>
                  </w:r>
                  <w:r>
                    <w:rPr>
                      <w:rFonts w:eastAsiaTheme="minorEastAsia"/>
                      <w:kern w:val="0"/>
                    </w:rPr>
                    <w:t>00</w:t>
                  </w:r>
                  <w:r>
                    <w:rPr>
                      <w:rFonts w:hint="eastAsia" w:eastAsiaTheme="minorEastAsia"/>
                      <w:kern w:val="0"/>
                    </w:rPr>
                    <w:t>台</w:t>
                  </w:r>
                </w:p>
              </w:tc>
              <w:tc>
                <w:tcPr>
                  <w:tcW w:w="3347" w:type="dxa"/>
                  <w:vAlign w:val="center"/>
                </w:tcPr>
                <w:p>
                  <w:pPr>
                    <w:pStyle w:val="76"/>
                    <w:rPr>
                      <w:rFonts w:eastAsiaTheme="minorEastAsia"/>
                      <w:kern w:val="0"/>
                    </w:rPr>
                  </w:pPr>
                  <w:r>
                    <w:rPr>
                      <w:rFonts w:hint="eastAsia" w:eastAsiaTheme="minorEastAsia"/>
                      <w:kern w:val="0"/>
                    </w:rPr>
                    <w:t>虎林市农机用户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76" w:type="dxa"/>
                  <w:vAlign w:val="center"/>
                </w:tcPr>
                <w:p>
                  <w:pPr>
                    <w:spacing w:line="0" w:lineRule="atLeast"/>
                    <w:contextualSpacing/>
                    <w:jc w:val="center"/>
                    <w:rPr>
                      <w:rFonts w:eastAsiaTheme="minorEastAsia"/>
                      <w:kern w:val="0"/>
                      <w:szCs w:val="21"/>
                    </w:rPr>
                  </w:pPr>
                  <w:r>
                    <w:rPr>
                      <w:rFonts w:hint="eastAsia" w:eastAsiaTheme="minorEastAsia"/>
                      <w:kern w:val="0"/>
                      <w:szCs w:val="21"/>
                    </w:rPr>
                    <w:t>2</w:t>
                  </w:r>
                </w:p>
              </w:tc>
              <w:tc>
                <w:tcPr>
                  <w:tcW w:w="1541" w:type="dxa"/>
                  <w:vAlign w:val="center"/>
                </w:tcPr>
                <w:p>
                  <w:pPr>
                    <w:pStyle w:val="76"/>
                    <w:rPr>
                      <w:rFonts w:hAnsi="宋体"/>
                      <w:kern w:val="0"/>
                    </w:rPr>
                  </w:pPr>
                  <w:r>
                    <w:rPr>
                      <w:rFonts w:hAnsi="宋体"/>
                      <w:kern w:val="0"/>
                    </w:rPr>
                    <w:t>絮凝剂</w:t>
                  </w:r>
                </w:p>
              </w:tc>
              <w:tc>
                <w:tcPr>
                  <w:tcW w:w="2028" w:type="dxa"/>
                  <w:vAlign w:val="center"/>
                </w:tcPr>
                <w:p>
                  <w:pPr>
                    <w:pStyle w:val="76"/>
                    <w:rPr>
                      <w:kern w:val="0"/>
                    </w:rPr>
                  </w:pPr>
                  <w:r>
                    <w:rPr>
                      <w:rFonts w:hint="eastAsia"/>
                      <w:kern w:val="0"/>
                    </w:rPr>
                    <w:t>0.12t</w:t>
                  </w:r>
                </w:p>
              </w:tc>
              <w:tc>
                <w:tcPr>
                  <w:tcW w:w="3347" w:type="dxa"/>
                  <w:vAlign w:val="center"/>
                </w:tcPr>
                <w:p>
                  <w:pPr>
                    <w:pStyle w:val="76"/>
                    <w:rPr>
                      <w:rFonts w:eastAsiaTheme="minorEastAsia"/>
                      <w:kern w:val="0"/>
                    </w:rPr>
                  </w:pPr>
                  <w:r>
                    <w:rPr>
                      <w:rFonts w:hint="eastAsia" w:eastAsiaTheme="minorEastAsia"/>
                      <w:kern w:val="0"/>
                    </w:rPr>
                    <w:t>外购，用于初期雨水</w:t>
                  </w:r>
                  <w:r>
                    <w:rPr>
                      <w:rFonts w:hint="eastAsia" w:eastAsiaTheme="minorEastAsia"/>
                      <w:bCs/>
                    </w:rPr>
                    <w:t>暂存池混凝沉淀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76" w:type="dxa"/>
                  <w:vAlign w:val="center"/>
                </w:tcPr>
                <w:p>
                  <w:pPr>
                    <w:spacing w:line="0" w:lineRule="atLeast"/>
                    <w:contextualSpacing/>
                    <w:jc w:val="center"/>
                    <w:rPr>
                      <w:rFonts w:eastAsiaTheme="minorEastAsia"/>
                      <w:kern w:val="0"/>
                      <w:szCs w:val="21"/>
                    </w:rPr>
                  </w:pPr>
                  <w:r>
                    <w:rPr>
                      <w:rFonts w:hint="eastAsia" w:eastAsiaTheme="minorEastAsia"/>
                      <w:kern w:val="0"/>
                      <w:szCs w:val="21"/>
                    </w:rPr>
                    <w:t>3</w:t>
                  </w:r>
                </w:p>
              </w:tc>
              <w:tc>
                <w:tcPr>
                  <w:tcW w:w="1541" w:type="dxa"/>
                  <w:vAlign w:val="center"/>
                </w:tcPr>
                <w:p>
                  <w:pPr>
                    <w:pStyle w:val="76"/>
                    <w:rPr>
                      <w:rFonts w:hAnsi="宋体"/>
                      <w:kern w:val="0"/>
                    </w:rPr>
                  </w:pPr>
                  <w:r>
                    <w:rPr>
                      <w:rFonts w:hAnsi="宋体"/>
                      <w:kern w:val="0"/>
                    </w:rPr>
                    <w:t>吸油毡、手套</w:t>
                  </w:r>
                </w:p>
              </w:tc>
              <w:tc>
                <w:tcPr>
                  <w:tcW w:w="2028" w:type="dxa"/>
                  <w:vAlign w:val="center"/>
                </w:tcPr>
                <w:p>
                  <w:pPr>
                    <w:pStyle w:val="76"/>
                    <w:rPr>
                      <w:kern w:val="0"/>
                    </w:rPr>
                  </w:pPr>
                  <w:r>
                    <w:rPr>
                      <w:rFonts w:hint="eastAsia"/>
                      <w:kern w:val="0"/>
                    </w:rPr>
                    <w:t>0.3t</w:t>
                  </w:r>
                </w:p>
              </w:tc>
              <w:tc>
                <w:tcPr>
                  <w:tcW w:w="3347" w:type="dxa"/>
                  <w:vAlign w:val="center"/>
                </w:tcPr>
                <w:p>
                  <w:pPr>
                    <w:pStyle w:val="76"/>
                    <w:rPr>
                      <w:rFonts w:eastAsiaTheme="minorEastAsia"/>
                      <w:kern w:val="0"/>
                    </w:rPr>
                  </w:pPr>
                  <w:r>
                    <w:rPr>
                      <w:rFonts w:hint="eastAsia" w:eastAsiaTheme="minorEastAsia"/>
                      <w:kern w:val="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76" w:type="dxa"/>
                  <w:vAlign w:val="center"/>
                </w:tcPr>
                <w:p>
                  <w:pPr>
                    <w:spacing w:line="0" w:lineRule="atLeast"/>
                    <w:contextualSpacing/>
                    <w:jc w:val="center"/>
                    <w:rPr>
                      <w:rFonts w:eastAsiaTheme="minorEastAsia"/>
                      <w:kern w:val="0"/>
                      <w:szCs w:val="21"/>
                    </w:rPr>
                  </w:pPr>
                  <w:r>
                    <w:rPr>
                      <w:rFonts w:hint="eastAsia" w:eastAsiaTheme="minorEastAsia"/>
                      <w:kern w:val="0"/>
                      <w:szCs w:val="21"/>
                    </w:rPr>
                    <w:t>4</w:t>
                  </w:r>
                </w:p>
              </w:tc>
              <w:tc>
                <w:tcPr>
                  <w:tcW w:w="1541" w:type="dxa"/>
                  <w:vAlign w:val="center"/>
                </w:tcPr>
                <w:p>
                  <w:pPr>
                    <w:pStyle w:val="76"/>
                    <w:rPr>
                      <w:rFonts w:hAnsi="宋体"/>
                      <w:kern w:val="0"/>
                    </w:rPr>
                  </w:pPr>
                  <w:r>
                    <w:rPr>
                      <w:rFonts w:hAnsi="宋体"/>
                      <w:kern w:val="0"/>
                    </w:rPr>
                    <w:t>活性炭</w:t>
                  </w:r>
                </w:p>
              </w:tc>
              <w:tc>
                <w:tcPr>
                  <w:tcW w:w="2028" w:type="dxa"/>
                  <w:vAlign w:val="center"/>
                </w:tcPr>
                <w:p>
                  <w:pPr>
                    <w:pStyle w:val="76"/>
                    <w:rPr>
                      <w:kern w:val="0"/>
                    </w:rPr>
                  </w:pPr>
                  <w:r>
                    <w:rPr>
                      <w:rFonts w:hint="eastAsia"/>
                      <w:kern w:val="0"/>
                    </w:rPr>
                    <w:t>0.03t</w:t>
                  </w:r>
                </w:p>
              </w:tc>
              <w:tc>
                <w:tcPr>
                  <w:tcW w:w="3347" w:type="dxa"/>
                  <w:vAlign w:val="center"/>
                </w:tcPr>
                <w:p>
                  <w:pPr>
                    <w:pStyle w:val="76"/>
                    <w:rPr>
                      <w:rFonts w:eastAsiaTheme="minorEastAsia"/>
                      <w:kern w:val="0"/>
                    </w:rPr>
                  </w:pPr>
                  <w:r>
                    <w:rPr>
                      <w:rFonts w:hint="eastAsia" w:eastAsiaTheme="minorEastAsia"/>
                      <w:kern w:val="0"/>
                    </w:rPr>
                    <w:t>外购</w:t>
                  </w:r>
                </w:p>
              </w:tc>
            </w:tr>
          </w:tbl>
          <w:p>
            <w:pPr>
              <w:spacing w:line="360" w:lineRule="auto"/>
              <w:ind w:firstLine="482" w:firstLineChars="200"/>
              <w:contextualSpacing/>
              <w:jc w:val="left"/>
              <w:rPr>
                <w:rFonts w:eastAsiaTheme="minorEastAsia"/>
                <w:b/>
                <w:kern w:val="0"/>
                <w:sz w:val="24"/>
              </w:rPr>
            </w:pPr>
            <w:r>
              <w:rPr>
                <w:rFonts w:eastAsiaTheme="minorEastAsia"/>
                <w:b/>
                <w:kern w:val="0"/>
                <w:sz w:val="24"/>
              </w:rPr>
              <w:t>4</w:t>
            </w:r>
            <w:r>
              <w:rPr>
                <w:rFonts w:hint="eastAsia" w:eastAsiaTheme="minorEastAsia"/>
                <w:b/>
                <w:kern w:val="0"/>
                <w:sz w:val="24"/>
              </w:rPr>
              <w:t>、产品方案</w:t>
            </w:r>
          </w:p>
          <w:p>
            <w:pPr>
              <w:spacing w:line="360" w:lineRule="auto"/>
              <w:ind w:firstLine="480" w:firstLineChars="200"/>
              <w:contextualSpacing/>
              <w:jc w:val="left"/>
              <w:rPr>
                <w:rFonts w:eastAsiaTheme="minorEastAsia"/>
                <w:bCs/>
                <w:kern w:val="0"/>
                <w:sz w:val="24"/>
              </w:rPr>
            </w:pPr>
            <w:r>
              <w:rPr>
                <w:rFonts w:hint="eastAsia" w:eastAsiaTheme="minorEastAsia"/>
                <w:bCs/>
                <w:kern w:val="0"/>
                <w:sz w:val="24"/>
              </w:rPr>
              <w:t>本项目年拆解报废农机约6</w:t>
            </w:r>
            <w:r>
              <w:rPr>
                <w:rFonts w:eastAsiaTheme="minorEastAsia"/>
                <w:bCs/>
                <w:kern w:val="0"/>
                <w:sz w:val="24"/>
              </w:rPr>
              <w:t xml:space="preserve">00 </w:t>
            </w:r>
            <w:r>
              <w:rPr>
                <w:rFonts w:hint="eastAsia" w:eastAsiaTheme="minorEastAsia"/>
                <w:bCs/>
                <w:kern w:val="0"/>
                <w:sz w:val="24"/>
              </w:rPr>
              <w:t>台，主要为收割机（50</w:t>
            </w:r>
            <w:r>
              <w:rPr>
                <w:rFonts w:eastAsiaTheme="minorEastAsia"/>
                <w:bCs/>
                <w:kern w:val="0"/>
                <w:sz w:val="24"/>
              </w:rPr>
              <w:t>0</w:t>
            </w:r>
            <w:r>
              <w:rPr>
                <w:rFonts w:hint="eastAsia" w:eastAsiaTheme="minorEastAsia"/>
                <w:bCs/>
                <w:kern w:val="0"/>
                <w:sz w:val="24"/>
              </w:rPr>
              <w:t>台）、拖拉机（4</w:t>
            </w:r>
            <w:r>
              <w:rPr>
                <w:rFonts w:eastAsiaTheme="minorEastAsia"/>
                <w:bCs/>
                <w:kern w:val="0"/>
                <w:sz w:val="24"/>
              </w:rPr>
              <w:t>0</w:t>
            </w:r>
            <w:r>
              <w:rPr>
                <w:rFonts w:hint="eastAsia" w:eastAsiaTheme="minorEastAsia"/>
                <w:bCs/>
                <w:kern w:val="0"/>
                <w:sz w:val="24"/>
              </w:rPr>
              <w:t>台）、乘坐式插秧机（60台），重约3</w:t>
            </w:r>
            <w:r>
              <w:rPr>
                <w:rFonts w:eastAsiaTheme="minorEastAsia"/>
                <w:bCs/>
                <w:kern w:val="0"/>
                <w:sz w:val="24"/>
              </w:rPr>
              <w:t>t/</w:t>
            </w:r>
            <w:r>
              <w:rPr>
                <w:rFonts w:hint="eastAsia" w:eastAsiaTheme="minorEastAsia"/>
                <w:bCs/>
                <w:kern w:val="0"/>
                <w:sz w:val="24"/>
              </w:rPr>
              <w:t>台，故本项目农机拆解量为18</w:t>
            </w:r>
            <w:r>
              <w:rPr>
                <w:rFonts w:eastAsiaTheme="minorEastAsia"/>
                <w:bCs/>
                <w:kern w:val="0"/>
                <w:sz w:val="24"/>
              </w:rPr>
              <w:t>00t/a</w:t>
            </w:r>
            <w:r>
              <w:rPr>
                <w:rFonts w:hint="eastAsia" w:eastAsiaTheme="minorEastAsia"/>
                <w:bCs/>
                <w:kern w:val="0"/>
                <w:sz w:val="24"/>
              </w:rPr>
              <w:t>。</w:t>
            </w:r>
          </w:p>
          <w:p>
            <w:pPr>
              <w:spacing w:line="360" w:lineRule="auto"/>
              <w:ind w:firstLine="480" w:firstLineChars="200"/>
              <w:contextualSpacing/>
              <w:jc w:val="left"/>
              <w:rPr>
                <w:rFonts w:eastAsiaTheme="minorEastAsia"/>
                <w:bCs/>
                <w:kern w:val="0"/>
                <w:sz w:val="24"/>
              </w:rPr>
            </w:pPr>
          </w:p>
          <w:p>
            <w:pPr>
              <w:spacing w:line="360" w:lineRule="auto"/>
              <w:ind w:firstLine="480" w:firstLineChars="200"/>
              <w:contextualSpacing/>
              <w:jc w:val="left"/>
              <w:rPr>
                <w:rFonts w:eastAsiaTheme="minorEastAsia"/>
                <w:bCs/>
                <w:kern w:val="0"/>
                <w:sz w:val="24"/>
              </w:rPr>
            </w:pPr>
          </w:p>
          <w:p>
            <w:pPr>
              <w:spacing w:line="360" w:lineRule="auto"/>
              <w:ind w:firstLine="480" w:firstLineChars="200"/>
              <w:contextualSpacing/>
              <w:jc w:val="left"/>
              <w:rPr>
                <w:rFonts w:eastAsiaTheme="minorEastAsia"/>
                <w:bCs/>
                <w:kern w:val="0"/>
                <w:sz w:val="24"/>
              </w:rPr>
            </w:pPr>
          </w:p>
          <w:p>
            <w:pPr>
              <w:spacing w:line="360" w:lineRule="auto"/>
              <w:ind w:firstLine="480" w:firstLineChars="200"/>
              <w:contextualSpacing/>
              <w:jc w:val="left"/>
              <w:rPr>
                <w:rFonts w:eastAsiaTheme="minorEastAsia"/>
                <w:bCs/>
                <w:kern w:val="0"/>
                <w:sz w:val="24"/>
              </w:rPr>
            </w:pPr>
          </w:p>
          <w:p>
            <w:pPr>
              <w:spacing w:line="360" w:lineRule="auto"/>
              <w:ind w:firstLine="480" w:firstLineChars="200"/>
              <w:contextualSpacing/>
              <w:jc w:val="left"/>
              <w:rPr>
                <w:rFonts w:eastAsiaTheme="minorEastAsia"/>
                <w:bCs/>
                <w:kern w:val="0"/>
                <w:sz w:val="24"/>
              </w:rPr>
            </w:pPr>
          </w:p>
          <w:p>
            <w:pPr>
              <w:spacing w:line="360" w:lineRule="auto"/>
              <w:ind w:firstLine="480" w:firstLineChars="200"/>
              <w:contextualSpacing/>
              <w:jc w:val="left"/>
              <w:rPr>
                <w:rFonts w:eastAsiaTheme="minorEastAsia"/>
                <w:bCs/>
                <w:kern w:val="0"/>
                <w:sz w:val="24"/>
              </w:rPr>
            </w:pPr>
          </w:p>
          <w:p>
            <w:pPr>
              <w:spacing w:line="360" w:lineRule="auto"/>
              <w:ind w:firstLine="480" w:firstLineChars="200"/>
              <w:contextualSpacing/>
              <w:jc w:val="left"/>
              <w:rPr>
                <w:rFonts w:eastAsiaTheme="minorEastAsia"/>
                <w:kern w:val="0"/>
                <w:sz w:val="24"/>
              </w:rPr>
            </w:pPr>
          </w:p>
          <w:p>
            <w:pPr>
              <w:widowControl/>
              <w:shd w:val="clear" w:color="auto" w:fill="FFFFFF"/>
              <w:spacing w:line="360" w:lineRule="auto"/>
              <w:contextualSpacing/>
              <w:jc w:val="center"/>
              <w:rPr>
                <w:rFonts w:eastAsiaTheme="minorEastAsia"/>
                <w:b/>
                <w:bCs/>
                <w:kern w:val="0"/>
                <w:sz w:val="24"/>
              </w:rPr>
            </w:pPr>
            <w:r>
              <w:rPr>
                <w:rFonts w:hint="eastAsia" w:eastAsiaTheme="minorEastAsia"/>
                <w:b/>
                <w:bCs/>
                <w:kern w:val="0"/>
                <w:sz w:val="24"/>
              </w:rPr>
              <w:t>表</w:t>
            </w:r>
            <w:r>
              <w:rPr>
                <w:rFonts w:eastAsiaTheme="minorEastAsia"/>
                <w:b/>
                <w:bCs/>
                <w:kern w:val="0"/>
                <w:sz w:val="24"/>
              </w:rPr>
              <w:t xml:space="preserve">2-4 </w:t>
            </w:r>
            <w:r>
              <w:rPr>
                <w:rFonts w:hint="eastAsia" w:eastAsiaTheme="minorEastAsia"/>
                <w:b/>
                <w:bCs/>
                <w:kern w:val="0"/>
                <w:sz w:val="24"/>
              </w:rPr>
              <w:t>拆解物品产生量一览表</w:t>
            </w:r>
          </w:p>
          <w:tbl>
            <w:tblPr>
              <w:tblStyle w:val="21"/>
              <w:tblW w:w="839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78"/>
              <w:gridCol w:w="1409"/>
              <w:gridCol w:w="1193"/>
              <w:gridCol w:w="1308"/>
              <w:gridCol w:w="3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ascii="Times New Roman" w:hAnsi="Times New Roman"/>
                    </w:rPr>
                    <w:t>序号</w:t>
                  </w:r>
                </w:p>
              </w:tc>
              <w:tc>
                <w:tcPr>
                  <w:tcW w:w="1409" w:type="dxa"/>
                  <w:vAlign w:val="center"/>
                </w:tcPr>
                <w:p>
                  <w:pPr>
                    <w:pStyle w:val="51"/>
                    <w:spacing w:line="240" w:lineRule="auto"/>
                    <w:rPr>
                      <w:rFonts w:ascii="Times New Roman" w:hAnsi="Times New Roman"/>
                    </w:rPr>
                  </w:pPr>
                  <w:r>
                    <w:rPr>
                      <w:rFonts w:ascii="Times New Roman" w:hAnsi="Times New Roman"/>
                    </w:rPr>
                    <w:t>名称</w:t>
                  </w:r>
                </w:p>
              </w:tc>
              <w:tc>
                <w:tcPr>
                  <w:tcW w:w="1193" w:type="dxa"/>
                  <w:vAlign w:val="center"/>
                </w:tcPr>
                <w:p>
                  <w:pPr>
                    <w:pStyle w:val="51"/>
                    <w:spacing w:line="240" w:lineRule="auto"/>
                    <w:rPr>
                      <w:rFonts w:ascii="Times New Roman" w:hAnsi="Times New Roman"/>
                    </w:rPr>
                  </w:pPr>
                  <w:r>
                    <w:rPr>
                      <w:rFonts w:ascii="Times New Roman" w:hAnsi="Times New Roman"/>
                    </w:rPr>
                    <w:t>比例（%）</w:t>
                  </w:r>
                </w:p>
              </w:tc>
              <w:tc>
                <w:tcPr>
                  <w:tcW w:w="1308" w:type="dxa"/>
                  <w:vAlign w:val="center"/>
                </w:tcPr>
                <w:p>
                  <w:pPr>
                    <w:pStyle w:val="51"/>
                    <w:spacing w:line="240" w:lineRule="auto"/>
                    <w:rPr>
                      <w:rFonts w:ascii="Times New Roman" w:hAnsi="Times New Roman"/>
                    </w:rPr>
                  </w:pPr>
                  <w:r>
                    <w:rPr>
                      <w:rFonts w:ascii="Times New Roman" w:hAnsi="Times New Roman"/>
                    </w:rPr>
                    <w:t>数量（t/a）</w:t>
                  </w:r>
                </w:p>
              </w:tc>
              <w:tc>
                <w:tcPr>
                  <w:tcW w:w="3704" w:type="dxa"/>
                  <w:vAlign w:val="center"/>
                </w:tcPr>
                <w:p>
                  <w:pPr>
                    <w:pStyle w:val="51"/>
                    <w:spacing w:line="240" w:lineRule="auto"/>
                    <w:rPr>
                      <w:rFonts w:ascii="Times New Roman" w:hAnsi="Times New Roman"/>
                    </w:rPr>
                  </w:pPr>
                  <w:r>
                    <w:rPr>
                      <w:rFonts w:ascii="Times New Roman" w:hAnsi="Times New Roma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8392" w:type="dxa"/>
                  <w:gridSpan w:val="5"/>
                  <w:vAlign w:val="center"/>
                </w:tcPr>
                <w:p>
                  <w:pPr>
                    <w:pStyle w:val="51"/>
                    <w:spacing w:line="240" w:lineRule="auto"/>
                    <w:rPr>
                      <w:rFonts w:ascii="Times New Roman" w:hAnsi="Times New Roman"/>
                    </w:rPr>
                  </w:pPr>
                  <w:r>
                    <w:rPr>
                      <w:rFonts w:ascii="Times New Roman" w:hAnsi="Times New Roman"/>
                    </w:rPr>
                    <w:t>一、拆解产品（可回收利用）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ascii="Times New Roman" w:hAnsi="Times New Roman"/>
                    </w:rPr>
                    <w:t>1</w:t>
                  </w:r>
                </w:p>
              </w:tc>
              <w:tc>
                <w:tcPr>
                  <w:tcW w:w="1409" w:type="dxa"/>
                  <w:vAlign w:val="center"/>
                </w:tcPr>
                <w:p>
                  <w:pPr>
                    <w:pStyle w:val="51"/>
                    <w:spacing w:line="240" w:lineRule="auto"/>
                    <w:rPr>
                      <w:rFonts w:ascii="Times New Roman" w:hAnsi="Times New Roman"/>
                    </w:rPr>
                  </w:pPr>
                  <w:r>
                    <w:rPr>
                      <w:rFonts w:ascii="Times New Roman" w:hAnsi="Times New Roman"/>
                    </w:rPr>
                    <w:t>废钢铁</w:t>
                  </w:r>
                </w:p>
              </w:tc>
              <w:tc>
                <w:tcPr>
                  <w:tcW w:w="1193" w:type="dxa"/>
                  <w:vAlign w:val="center"/>
                </w:tcPr>
                <w:p>
                  <w:pPr>
                    <w:pStyle w:val="51"/>
                    <w:spacing w:line="240" w:lineRule="auto"/>
                    <w:rPr>
                      <w:rFonts w:ascii="Times New Roman" w:hAnsi="Times New Roman"/>
                    </w:rPr>
                  </w:pPr>
                  <w:r>
                    <w:rPr>
                      <w:rFonts w:hint="eastAsia" w:ascii="Times New Roman" w:hAnsi="Times New Roman"/>
                    </w:rPr>
                    <w:t>72</w:t>
                  </w:r>
                </w:p>
              </w:tc>
              <w:tc>
                <w:tcPr>
                  <w:tcW w:w="1308" w:type="dxa"/>
                  <w:vAlign w:val="center"/>
                </w:tcPr>
                <w:p>
                  <w:pPr>
                    <w:pStyle w:val="51"/>
                    <w:spacing w:line="240" w:lineRule="auto"/>
                    <w:rPr>
                      <w:rFonts w:ascii="Times New Roman" w:hAnsi="Times New Roman"/>
                    </w:rPr>
                  </w:pPr>
                  <w:r>
                    <w:rPr>
                      <w:rFonts w:hint="eastAsia" w:ascii="Times New Roman" w:hAnsi="Times New Roman"/>
                    </w:rPr>
                    <w:t>1296</w:t>
                  </w:r>
                </w:p>
              </w:tc>
              <w:tc>
                <w:tcPr>
                  <w:tcW w:w="3704" w:type="dxa"/>
                  <w:vAlign w:val="center"/>
                </w:tcPr>
                <w:p>
                  <w:pPr>
                    <w:pStyle w:val="51"/>
                    <w:spacing w:line="240" w:lineRule="auto"/>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ascii="Times New Roman" w:hAnsi="Times New Roman"/>
                    </w:rPr>
                    <w:t>2</w:t>
                  </w:r>
                </w:p>
              </w:tc>
              <w:tc>
                <w:tcPr>
                  <w:tcW w:w="1409" w:type="dxa"/>
                  <w:vAlign w:val="center"/>
                </w:tcPr>
                <w:p>
                  <w:pPr>
                    <w:pStyle w:val="51"/>
                    <w:spacing w:line="240" w:lineRule="auto"/>
                    <w:rPr>
                      <w:rFonts w:ascii="Times New Roman" w:hAnsi="Times New Roman"/>
                    </w:rPr>
                  </w:pPr>
                  <w:r>
                    <w:rPr>
                      <w:rFonts w:ascii="Times New Roman" w:hAnsi="Times New Roman"/>
                    </w:rPr>
                    <w:t>废有色金属</w:t>
                  </w:r>
                </w:p>
              </w:tc>
              <w:tc>
                <w:tcPr>
                  <w:tcW w:w="1193" w:type="dxa"/>
                  <w:vAlign w:val="center"/>
                </w:tcPr>
                <w:p>
                  <w:pPr>
                    <w:pStyle w:val="51"/>
                    <w:spacing w:line="240" w:lineRule="auto"/>
                    <w:rPr>
                      <w:rFonts w:ascii="Times New Roman" w:hAnsi="Times New Roman"/>
                    </w:rPr>
                  </w:pPr>
                  <w:r>
                    <w:rPr>
                      <w:rFonts w:ascii="Times New Roman" w:hAnsi="Times New Roman"/>
                    </w:rPr>
                    <w:t>10</w:t>
                  </w:r>
                </w:p>
              </w:tc>
              <w:tc>
                <w:tcPr>
                  <w:tcW w:w="1308" w:type="dxa"/>
                  <w:vAlign w:val="center"/>
                </w:tcPr>
                <w:p>
                  <w:pPr>
                    <w:pStyle w:val="51"/>
                    <w:spacing w:line="240" w:lineRule="auto"/>
                    <w:rPr>
                      <w:rFonts w:ascii="Times New Roman" w:hAnsi="Times New Roman"/>
                    </w:rPr>
                  </w:pPr>
                  <w:r>
                    <w:rPr>
                      <w:rFonts w:hint="eastAsia" w:ascii="Times New Roman" w:hAnsi="Times New Roman"/>
                    </w:rPr>
                    <w:t>180</w:t>
                  </w:r>
                </w:p>
              </w:tc>
              <w:tc>
                <w:tcPr>
                  <w:tcW w:w="3704" w:type="dxa"/>
                  <w:vAlign w:val="center"/>
                </w:tcPr>
                <w:p>
                  <w:pPr>
                    <w:pStyle w:val="51"/>
                    <w:spacing w:line="240" w:lineRule="auto"/>
                    <w:rPr>
                      <w:rFonts w:ascii="Times New Roman" w:hAnsi="Times New Roman"/>
                    </w:rPr>
                  </w:pPr>
                  <w:r>
                    <w:rPr>
                      <w:rFonts w:ascii="Times New Roman" w:hAnsi="Times New Roman"/>
                    </w:rPr>
                    <w:t>铝71%、铜21%、其他8%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778" w:type="dxa"/>
                  <w:vAlign w:val="center"/>
                </w:tcPr>
                <w:p>
                  <w:pPr>
                    <w:pStyle w:val="51"/>
                    <w:spacing w:line="240" w:lineRule="auto"/>
                    <w:rPr>
                      <w:rFonts w:ascii="Times New Roman" w:hAnsi="Times New Roman"/>
                    </w:rPr>
                  </w:pPr>
                  <w:r>
                    <w:rPr>
                      <w:rFonts w:ascii="Times New Roman" w:hAnsi="Times New Roman"/>
                    </w:rPr>
                    <w:t>3</w:t>
                  </w:r>
                </w:p>
              </w:tc>
              <w:tc>
                <w:tcPr>
                  <w:tcW w:w="1409" w:type="dxa"/>
                  <w:vAlign w:val="center"/>
                </w:tcPr>
                <w:p>
                  <w:pPr>
                    <w:pStyle w:val="51"/>
                    <w:spacing w:line="240" w:lineRule="auto"/>
                    <w:rPr>
                      <w:rFonts w:ascii="Times New Roman" w:hAnsi="Times New Roman"/>
                    </w:rPr>
                  </w:pPr>
                  <w:r>
                    <w:rPr>
                      <w:rFonts w:ascii="Times New Roman" w:hAnsi="Times New Roman"/>
                    </w:rPr>
                    <w:t>废弃车用电子零部件</w:t>
                  </w:r>
                </w:p>
              </w:tc>
              <w:tc>
                <w:tcPr>
                  <w:tcW w:w="1193" w:type="dxa"/>
                  <w:vAlign w:val="center"/>
                </w:tcPr>
                <w:p>
                  <w:pPr>
                    <w:pStyle w:val="51"/>
                    <w:spacing w:line="240" w:lineRule="auto"/>
                    <w:rPr>
                      <w:rFonts w:ascii="Times New Roman" w:hAnsi="Times New Roman"/>
                    </w:rPr>
                  </w:pPr>
                  <w:r>
                    <w:rPr>
                      <w:rFonts w:ascii="Times New Roman" w:hAnsi="Times New Roman"/>
                    </w:rPr>
                    <w:t>0.5</w:t>
                  </w:r>
                </w:p>
              </w:tc>
              <w:tc>
                <w:tcPr>
                  <w:tcW w:w="1308" w:type="dxa"/>
                  <w:vAlign w:val="center"/>
                </w:tcPr>
                <w:p>
                  <w:pPr>
                    <w:pStyle w:val="51"/>
                    <w:spacing w:line="240" w:lineRule="auto"/>
                    <w:rPr>
                      <w:rFonts w:ascii="Times New Roman" w:hAnsi="Times New Roman"/>
                    </w:rPr>
                  </w:pPr>
                  <w:r>
                    <w:rPr>
                      <w:rFonts w:hint="eastAsia" w:ascii="Times New Roman" w:hAnsi="Times New Roman"/>
                    </w:rPr>
                    <w:t>9</w:t>
                  </w:r>
                </w:p>
              </w:tc>
              <w:tc>
                <w:tcPr>
                  <w:tcW w:w="3704" w:type="dxa"/>
                  <w:vAlign w:val="center"/>
                </w:tcPr>
                <w:p>
                  <w:pPr>
                    <w:pStyle w:val="51"/>
                    <w:spacing w:line="240" w:lineRule="auto"/>
                    <w:rPr>
                      <w:rFonts w:ascii="Times New Roman" w:hAnsi="Times New Roman"/>
                    </w:rPr>
                  </w:pPr>
                  <w:r>
                    <w:rPr>
                      <w:rFonts w:ascii="Times New Roman" w:hAnsi="Times New Roman"/>
                    </w:rPr>
                    <w:t>车控电子零部件和车载电子零部件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ascii="Times New Roman" w:hAnsi="Times New Roman"/>
                    </w:rPr>
                    <w:t>4</w:t>
                  </w:r>
                </w:p>
              </w:tc>
              <w:tc>
                <w:tcPr>
                  <w:tcW w:w="1409" w:type="dxa"/>
                  <w:vAlign w:val="center"/>
                </w:tcPr>
                <w:p>
                  <w:pPr>
                    <w:pStyle w:val="51"/>
                    <w:spacing w:line="240" w:lineRule="auto"/>
                    <w:rPr>
                      <w:rFonts w:ascii="Times New Roman" w:hAnsi="Times New Roman"/>
                    </w:rPr>
                  </w:pPr>
                  <w:r>
                    <w:rPr>
                      <w:rFonts w:ascii="Times New Roman"/>
                    </w:rPr>
                    <w:t>废塑料</w:t>
                  </w:r>
                </w:p>
              </w:tc>
              <w:tc>
                <w:tcPr>
                  <w:tcW w:w="1193" w:type="dxa"/>
                  <w:vAlign w:val="center"/>
                </w:tcPr>
                <w:p>
                  <w:pPr>
                    <w:pStyle w:val="51"/>
                    <w:spacing w:line="240" w:lineRule="auto"/>
                    <w:rPr>
                      <w:rFonts w:ascii="Times New Roman" w:hAnsi="Times New Roman"/>
                    </w:rPr>
                  </w:pPr>
                  <w:r>
                    <w:rPr>
                      <w:rFonts w:ascii="Times New Roman" w:hAnsi="Times New Roman"/>
                    </w:rPr>
                    <w:t>8</w:t>
                  </w:r>
                </w:p>
              </w:tc>
              <w:tc>
                <w:tcPr>
                  <w:tcW w:w="1308" w:type="dxa"/>
                  <w:vAlign w:val="center"/>
                </w:tcPr>
                <w:p>
                  <w:pPr>
                    <w:pStyle w:val="51"/>
                    <w:spacing w:line="240" w:lineRule="auto"/>
                    <w:rPr>
                      <w:rFonts w:ascii="Times New Roman" w:hAnsi="Times New Roman"/>
                    </w:rPr>
                  </w:pPr>
                  <w:r>
                    <w:rPr>
                      <w:rFonts w:hint="eastAsia" w:ascii="Times New Roman" w:hAnsi="Times New Roman"/>
                    </w:rPr>
                    <w:t>144</w:t>
                  </w:r>
                </w:p>
              </w:tc>
              <w:tc>
                <w:tcPr>
                  <w:tcW w:w="3704" w:type="dxa"/>
                  <w:vAlign w:val="center"/>
                </w:tcPr>
                <w:p>
                  <w:pPr>
                    <w:pStyle w:val="51"/>
                    <w:spacing w:line="240" w:lineRule="auto"/>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hint="eastAsia" w:ascii="Times New Roman" w:hAnsi="Times New Roman"/>
                    </w:rPr>
                    <w:t>5</w:t>
                  </w:r>
                </w:p>
              </w:tc>
              <w:tc>
                <w:tcPr>
                  <w:tcW w:w="1409" w:type="dxa"/>
                  <w:vAlign w:val="center"/>
                </w:tcPr>
                <w:p>
                  <w:pPr>
                    <w:pStyle w:val="51"/>
                    <w:spacing w:line="240" w:lineRule="auto"/>
                    <w:rPr>
                      <w:rFonts w:ascii="Times New Roman" w:hAnsi="Times New Roman"/>
                    </w:rPr>
                  </w:pPr>
                  <w:r>
                    <w:rPr>
                      <w:rFonts w:ascii="Times New Roman" w:hAnsi="Times New Roman"/>
                    </w:rPr>
                    <w:t>废旧玻璃</w:t>
                  </w:r>
                </w:p>
              </w:tc>
              <w:tc>
                <w:tcPr>
                  <w:tcW w:w="1193" w:type="dxa"/>
                  <w:vAlign w:val="center"/>
                </w:tcPr>
                <w:p>
                  <w:pPr>
                    <w:pStyle w:val="51"/>
                    <w:spacing w:line="240" w:lineRule="auto"/>
                    <w:rPr>
                      <w:rFonts w:ascii="Times New Roman" w:hAnsi="Times New Roman"/>
                    </w:rPr>
                  </w:pPr>
                  <w:r>
                    <w:rPr>
                      <w:rFonts w:ascii="Times New Roman" w:hAnsi="Times New Roman"/>
                    </w:rPr>
                    <w:t>3.2</w:t>
                  </w:r>
                </w:p>
              </w:tc>
              <w:tc>
                <w:tcPr>
                  <w:tcW w:w="1308" w:type="dxa"/>
                  <w:vAlign w:val="center"/>
                </w:tcPr>
                <w:p>
                  <w:pPr>
                    <w:pStyle w:val="51"/>
                    <w:spacing w:line="240" w:lineRule="auto"/>
                    <w:rPr>
                      <w:rFonts w:ascii="Times New Roman" w:hAnsi="Times New Roman"/>
                    </w:rPr>
                  </w:pPr>
                  <w:r>
                    <w:rPr>
                      <w:rFonts w:hint="eastAsia" w:ascii="Times New Roman" w:hAnsi="Times New Roman"/>
                    </w:rPr>
                    <w:t>57.6</w:t>
                  </w:r>
                </w:p>
              </w:tc>
              <w:tc>
                <w:tcPr>
                  <w:tcW w:w="3704" w:type="dxa"/>
                  <w:vAlign w:val="center"/>
                </w:tcPr>
                <w:p>
                  <w:pPr>
                    <w:pStyle w:val="51"/>
                    <w:spacing w:line="240" w:lineRule="auto"/>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hint="eastAsia" w:ascii="Times New Roman" w:hAnsi="Times New Roman"/>
                    </w:rPr>
                    <w:t>6</w:t>
                  </w:r>
                </w:p>
              </w:tc>
              <w:tc>
                <w:tcPr>
                  <w:tcW w:w="1409" w:type="dxa"/>
                  <w:vAlign w:val="center"/>
                </w:tcPr>
                <w:p>
                  <w:pPr>
                    <w:pStyle w:val="51"/>
                    <w:spacing w:line="240" w:lineRule="auto"/>
                    <w:rPr>
                      <w:rFonts w:ascii="Times New Roman" w:hAnsi="Times New Roman"/>
                    </w:rPr>
                  </w:pPr>
                  <w:r>
                    <w:rPr>
                      <w:rFonts w:ascii="Times New Roman"/>
                    </w:rPr>
                    <w:t>废橡胶</w:t>
                  </w:r>
                </w:p>
              </w:tc>
              <w:tc>
                <w:tcPr>
                  <w:tcW w:w="1193" w:type="dxa"/>
                  <w:vAlign w:val="center"/>
                </w:tcPr>
                <w:p>
                  <w:pPr>
                    <w:pStyle w:val="51"/>
                    <w:spacing w:line="240" w:lineRule="auto"/>
                    <w:rPr>
                      <w:rFonts w:ascii="Times New Roman" w:hAnsi="Times New Roman"/>
                    </w:rPr>
                  </w:pPr>
                  <w:r>
                    <w:rPr>
                      <w:rFonts w:ascii="Times New Roman" w:hAnsi="Times New Roman"/>
                    </w:rPr>
                    <w:t>5</w:t>
                  </w:r>
                </w:p>
              </w:tc>
              <w:tc>
                <w:tcPr>
                  <w:tcW w:w="1308" w:type="dxa"/>
                  <w:vAlign w:val="center"/>
                </w:tcPr>
                <w:p>
                  <w:pPr>
                    <w:pStyle w:val="51"/>
                    <w:spacing w:line="240" w:lineRule="auto"/>
                    <w:rPr>
                      <w:rFonts w:ascii="Times New Roman" w:hAnsi="Times New Roman"/>
                    </w:rPr>
                  </w:pPr>
                  <w:r>
                    <w:rPr>
                      <w:rFonts w:hint="eastAsia" w:ascii="Times New Roman" w:hAnsi="Times New Roman"/>
                    </w:rPr>
                    <w:t>90</w:t>
                  </w:r>
                </w:p>
              </w:tc>
              <w:tc>
                <w:tcPr>
                  <w:tcW w:w="3704" w:type="dxa"/>
                  <w:vAlign w:val="center"/>
                </w:tcPr>
                <w:p>
                  <w:pPr>
                    <w:pStyle w:val="51"/>
                    <w:spacing w:line="240" w:lineRule="auto"/>
                    <w:rPr>
                      <w:rFonts w:ascii="Times New Roman" w:hAnsi="Times New Roman"/>
                    </w:rPr>
                  </w:pPr>
                  <w:r>
                    <w:rPr>
                      <w:rFonts w:hint="eastAsia"/>
                    </w:rPr>
                    <w:t>含废轮胎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8392" w:type="dxa"/>
                  <w:gridSpan w:val="5"/>
                  <w:vAlign w:val="center"/>
                </w:tcPr>
                <w:p>
                  <w:pPr>
                    <w:pStyle w:val="51"/>
                    <w:spacing w:line="240" w:lineRule="auto"/>
                    <w:rPr>
                      <w:rFonts w:ascii="Times New Roman" w:hAnsi="Times New Roman"/>
                    </w:rPr>
                  </w:pPr>
                  <w:r>
                    <w:rPr>
                      <w:rFonts w:ascii="Times New Roman" w:hAnsi="Times New Roman"/>
                    </w:rPr>
                    <w:t>二、拆解产品（不可利用）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778" w:type="dxa"/>
                  <w:vAlign w:val="center"/>
                </w:tcPr>
                <w:p>
                  <w:pPr>
                    <w:pStyle w:val="51"/>
                    <w:spacing w:line="240" w:lineRule="auto"/>
                    <w:rPr>
                      <w:rFonts w:ascii="Times New Roman" w:hAnsi="Times New Roman"/>
                    </w:rPr>
                  </w:pPr>
                  <w:r>
                    <w:rPr>
                      <w:rFonts w:hint="eastAsia" w:ascii="Times New Roman" w:hAnsi="Times New Roman"/>
                    </w:rPr>
                    <w:t>7</w:t>
                  </w:r>
                </w:p>
              </w:tc>
              <w:tc>
                <w:tcPr>
                  <w:tcW w:w="1409" w:type="dxa"/>
                  <w:vAlign w:val="center"/>
                </w:tcPr>
                <w:p>
                  <w:pPr>
                    <w:pStyle w:val="51"/>
                    <w:spacing w:line="240" w:lineRule="auto"/>
                    <w:rPr>
                      <w:rFonts w:ascii="Times New Roman" w:hAnsi="Times New Roman"/>
                    </w:rPr>
                  </w:pPr>
                  <w:r>
                    <w:rPr>
                      <w:rFonts w:ascii="Times New Roman" w:hAnsi="Times New Roman"/>
                    </w:rPr>
                    <w:t>废有机溶剂与含有机溶剂废物</w:t>
                  </w:r>
                </w:p>
              </w:tc>
              <w:tc>
                <w:tcPr>
                  <w:tcW w:w="1193" w:type="dxa"/>
                  <w:vAlign w:val="center"/>
                </w:tcPr>
                <w:p>
                  <w:pPr>
                    <w:pStyle w:val="51"/>
                    <w:spacing w:line="240" w:lineRule="auto"/>
                    <w:rPr>
                      <w:rFonts w:ascii="Times New Roman" w:hAnsi="Times New Roman"/>
                    </w:rPr>
                  </w:pPr>
                  <w:r>
                    <w:rPr>
                      <w:rFonts w:hint="eastAsia" w:ascii="Times New Roman" w:hAnsi="Times New Roman"/>
                    </w:rPr>
                    <w:t>0.017</w:t>
                  </w:r>
                </w:p>
              </w:tc>
              <w:tc>
                <w:tcPr>
                  <w:tcW w:w="1308" w:type="dxa"/>
                  <w:vAlign w:val="center"/>
                </w:tcPr>
                <w:p>
                  <w:pPr>
                    <w:pStyle w:val="51"/>
                    <w:spacing w:line="240" w:lineRule="auto"/>
                    <w:rPr>
                      <w:rFonts w:ascii="Times New Roman" w:hAnsi="Times New Roman"/>
                    </w:rPr>
                  </w:pPr>
                  <w:r>
                    <w:rPr>
                      <w:rFonts w:hint="eastAsia" w:ascii="Times New Roman" w:hAnsi="Times New Roman"/>
                    </w:rPr>
                    <w:t>0.3</w:t>
                  </w:r>
                </w:p>
              </w:tc>
              <w:tc>
                <w:tcPr>
                  <w:tcW w:w="3704" w:type="dxa"/>
                  <w:vAlign w:val="center"/>
                </w:tcPr>
                <w:p>
                  <w:pPr>
                    <w:pStyle w:val="51"/>
                    <w:spacing w:line="240" w:lineRule="auto"/>
                    <w:rPr>
                      <w:rFonts w:ascii="Times New Roman" w:hAnsi="Times New Roman"/>
                    </w:rPr>
                  </w:pPr>
                  <w:r>
                    <w:rPr>
                      <w:rFonts w:ascii="Times New Roman" w:hAnsi="Times New Roman"/>
                    </w:rPr>
                    <w:t>危险废物，包含废有机溶剂、</w:t>
                  </w:r>
                  <w:r>
                    <w:rPr>
                      <w:rFonts w:hint="eastAsia" w:ascii="Times New Roman" w:hAnsi="Times New Roman"/>
                    </w:rPr>
                    <w:t>冷却液</w:t>
                  </w:r>
                  <w:r>
                    <w:rPr>
                      <w:rFonts w:ascii="Times New Roman" w:hAnsi="Times New Roman"/>
                    </w:rPr>
                    <w:t>、防冻液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778" w:type="dxa"/>
                  <w:vAlign w:val="center"/>
                </w:tcPr>
                <w:p>
                  <w:pPr>
                    <w:pStyle w:val="51"/>
                    <w:spacing w:line="240" w:lineRule="auto"/>
                    <w:rPr>
                      <w:rFonts w:ascii="Times New Roman" w:hAnsi="Times New Roman"/>
                    </w:rPr>
                  </w:pPr>
                  <w:r>
                    <w:rPr>
                      <w:rFonts w:hint="eastAsia" w:ascii="Times New Roman" w:hAnsi="Times New Roman"/>
                    </w:rPr>
                    <w:t>8</w:t>
                  </w:r>
                </w:p>
              </w:tc>
              <w:tc>
                <w:tcPr>
                  <w:tcW w:w="1409" w:type="dxa"/>
                  <w:vAlign w:val="center"/>
                </w:tcPr>
                <w:p>
                  <w:pPr>
                    <w:pStyle w:val="51"/>
                    <w:spacing w:line="240" w:lineRule="auto"/>
                    <w:rPr>
                      <w:rFonts w:ascii="Times New Roman" w:hAnsi="Times New Roman"/>
                    </w:rPr>
                  </w:pPr>
                  <w:r>
                    <w:rPr>
                      <w:rFonts w:ascii="Times New Roman" w:hAnsi="Times New Roman"/>
                    </w:rPr>
                    <w:t>废矿物油与含矿物油废物</w:t>
                  </w:r>
                </w:p>
              </w:tc>
              <w:tc>
                <w:tcPr>
                  <w:tcW w:w="1193" w:type="dxa"/>
                  <w:vAlign w:val="center"/>
                </w:tcPr>
                <w:p>
                  <w:pPr>
                    <w:pStyle w:val="51"/>
                    <w:spacing w:line="240" w:lineRule="auto"/>
                    <w:rPr>
                      <w:rFonts w:ascii="Times New Roman" w:hAnsi="Times New Roman"/>
                    </w:rPr>
                  </w:pPr>
                  <w:r>
                    <w:rPr>
                      <w:rFonts w:hint="eastAsia" w:ascii="Times New Roman" w:hAnsi="Times New Roman"/>
                    </w:rPr>
                    <w:t>0.17</w:t>
                  </w:r>
                </w:p>
              </w:tc>
              <w:tc>
                <w:tcPr>
                  <w:tcW w:w="1308" w:type="dxa"/>
                  <w:vAlign w:val="center"/>
                </w:tcPr>
                <w:p>
                  <w:pPr>
                    <w:pStyle w:val="51"/>
                    <w:spacing w:line="240" w:lineRule="auto"/>
                    <w:rPr>
                      <w:rFonts w:ascii="Times New Roman" w:hAnsi="Times New Roman"/>
                    </w:rPr>
                  </w:pPr>
                  <w:r>
                    <w:rPr>
                      <w:rFonts w:hint="eastAsia" w:ascii="Times New Roman" w:hAnsi="Times New Roman"/>
                    </w:rPr>
                    <w:t>3.003</w:t>
                  </w:r>
                </w:p>
              </w:tc>
              <w:tc>
                <w:tcPr>
                  <w:tcW w:w="3704" w:type="dxa"/>
                  <w:vAlign w:val="center"/>
                </w:tcPr>
                <w:p>
                  <w:pPr>
                    <w:pStyle w:val="51"/>
                    <w:spacing w:line="240" w:lineRule="auto"/>
                    <w:rPr>
                      <w:rFonts w:ascii="Times New Roman" w:hAnsi="Times New Roman"/>
                    </w:rPr>
                  </w:pPr>
                  <w:r>
                    <w:rPr>
                      <w:rFonts w:ascii="Times New Roman" w:hAnsi="Times New Roman"/>
                    </w:rPr>
                    <w:t>危险废物，包含机油、刹车油、液压油、润滑油、过滤介质（汽油、机油过滤器）；废柴油等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hint="eastAsia" w:ascii="Times New Roman" w:hAnsi="Times New Roman"/>
                    </w:rPr>
                    <w:t>9</w:t>
                  </w:r>
                </w:p>
              </w:tc>
              <w:tc>
                <w:tcPr>
                  <w:tcW w:w="1409" w:type="dxa"/>
                  <w:vAlign w:val="center"/>
                </w:tcPr>
                <w:p>
                  <w:pPr>
                    <w:pStyle w:val="51"/>
                    <w:spacing w:line="240" w:lineRule="auto"/>
                    <w:rPr>
                      <w:rFonts w:ascii="Times New Roman" w:hAnsi="Times New Roman"/>
                    </w:rPr>
                  </w:pPr>
                  <w:r>
                    <w:rPr>
                      <w:rFonts w:ascii="Times New Roman" w:hAnsi="Times New Roman"/>
                    </w:rPr>
                    <w:t>废铅蓄电池</w:t>
                  </w:r>
                </w:p>
              </w:tc>
              <w:tc>
                <w:tcPr>
                  <w:tcW w:w="1193" w:type="dxa"/>
                  <w:vAlign w:val="center"/>
                </w:tcPr>
                <w:p>
                  <w:pPr>
                    <w:pStyle w:val="51"/>
                    <w:spacing w:line="240" w:lineRule="auto"/>
                    <w:rPr>
                      <w:rFonts w:ascii="Times New Roman" w:hAnsi="Times New Roman"/>
                    </w:rPr>
                  </w:pPr>
                  <w:r>
                    <w:rPr>
                      <w:rFonts w:hint="eastAsia" w:ascii="Times New Roman" w:hAnsi="Times New Roman"/>
                    </w:rPr>
                    <w:t>0.17</w:t>
                  </w:r>
                </w:p>
              </w:tc>
              <w:tc>
                <w:tcPr>
                  <w:tcW w:w="1308" w:type="dxa"/>
                  <w:vAlign w:val="center"/>
                </w:tcPr>
                <w:p>
                  <w:pPr>
                    <w:pStyle w:val="51"/>
                    <w:spacing w:line="240" w:lineRule="auto"/>
                    <w:rPr>
                      <w:rFonts w:ascii="Times New Roman" w:hAnsi="Times New Roman"/>
                    </w:rPr>
                  </w:pPr>
                  <w:r>
                    <w:rPr>
                      <w:rFonts w:hint="eastAsia" w:ascii="Times New Roman" w:hAnsi="Times New Roman"/>
                    </w:rPr>
                    <w:t>3.0</w:t>
                  </w:r>
                </w:p>
              </w:tc>
              <w:tc>
                <w:tcPr>
                  <w:tcW w:w="3704" w:type="dxa"/>
                  <w:vAlign w:val="center"/>
                </w:tcPr>
                <w:p>
                  <w:pPr>
                    <w:pStyle w:val="51"/>
                    <w:spacing w:line="240" w:lineRule="auto"/>
                    <w:rPr>
                      <w:rFonts w:ascii="Times New Roman" w:hAnsi="Times New Roman"/>
                    </w:rPr>
                  </w:pPr>
                  <w:r>
                    <w:rPr>
                      <w:rFonts w:ascii="Times New Roman" w:hAnsi="Times New Roman"/>
                    </w:rPr>
                    <w:t>危险废物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778" w:type="dxa"/>
                  <w:vAlign w:val="center"/>
                </w:tcPr>
                <w:p>
                  <w:pPr>
                    <w:pStyle w:val="51"/>
                    <w:spacing w:line="240" w:lineRule="auto"/>
                    <w:rPr>
                      <w:rFonts w:ascii="Times New Roman" w:hAnsi="Times New Roman"/>
                    </w:rPr>
                  </w:pPr>
                  <w:r>
                    <w:rPr>
                      <w:rFonts w:hint="eastAsia" w:ascii="Times New Roman" w:hAnsi="Times New Roman"/>
                    </w:rPr>
                    <w:t>10</w:t>
                  </w:r>
                </w:p>
              </w:tc>
              <w:tc>
                <w:tcPr>
                  <w:tcW w:w="1409" w:type="dxa"/>
                  <w:vAlign w:val="center"/>
                </w:tcPr>
                <w:p>
                  <w:pPr>
                    <w:pStyle w:val="51"/>
                    <w:spacing w:line="240" w:lineRule="auto"/>
                    <w:rPr>
                      <w:rFonts w:ascii="Times New Roman" w:hAnsi="Times New Roman"/>
                    </w:rPr>
                  </w:pPr>
                  <w:r>
                    <w:rPr>
                      <w:rFonts w:hint="eastAsia" w:ascii="Times New Roman" w:hAnsi="Times New Roman"/>
                    </w:rPr>
                    <w:t>不可利用废物</w:t>
                  </w:r>
                </w:p>
              </w:tc>
              <w:tc>
                <w:tcPr>
                  <w:tcW w:w="1193" w:type="dxa"/>
                  <w:vAlign w:val="center"/>
                </w:tcPr>
                <w:p>
                  <w:pPr>
                    <w:pStyle w:val="51"/>
                    <w:spacing w:line="240" w:lineRule="auto"/>
                    <w:rPr>
                      <w:rFonts w:ascii="Times New Roman" w:hAnsi="Times New Roman"/>
                    </w:rPr>
                  </w:pPr>
                  <w:r>
                    <w:rPr>
                      <w:rFonts w:hint="eastAsia" w:ascii="Times New Roman" w:hAnsi="Times New Roman"/>
                    </w:rPr>
                    <w:t>0.95</w:t>
                  </w:r>
                </w:p>
              </w:tc>
              <w:tc>
                <w:tcPr>
                  <w:tcW w:w="1308" w:type="dxa"/>
                  <w:vAlign w:val="center"/>
                </w:tcPr>
                <w:p>
                  <w:pPr>
                    <w:pStyle w:val="51"/>
                    <w:spacing w:line="240" w:lineRule="auto"/>
                    <w:rPr>
                      <w:rFonts w:ascii="Times New Roman" w:hAnsi="Times New Roman"/>
                    </w:rPr>
                  </w:pPr>
                  <w:r>
                    <w:rPr>
                      <w:rFonts w:hint="eastAsia" w:ascii="Times New Roman" w:hAnsi="Times New Roman"/>
                    </w:rPr>
                    <w:t>17.097</w:t>
                  </w:r>
                </w:p>
              </w:tc>
              <w:tc>
                <w:tcPr>
                  <w:tcW w:w="3704" w:type="dxa"/>
                  <w:vAlign w:val="center"/>
                </w:tcPr>
                <w:p>
                  <w:pPr>
                    <w:pStyle w:val="51"/>
                    <w:spacing w:line="240" w:lineRule="auto"/>
                    <w:rPr>
                      <w:rFonts w:ascii="Times New Roman" w:hAnsi="Times New Roman"/>
                    </w:rPr>
                  </w:pPr>
                  <w:r>
                    <w:rPr>
                      <w:rFonts w:hint="eastAsia" w:ascii="Times New Roman" w:hAnsi="Times New Roman"/>
                      <w:bCs/>
                    </w:rPr>
                    <w:t>废革片、废灯、</w:t>
                  </w:r>
                  <w:r>
                    <w:rPr>
                      <w:rFonts w:ascii="Times New Roman"/>
                    </w:rPr>
                    <w:t>废座椅</w:t>
                  </w:r>
                  <w:r>
                    <w:rPr>
                      <w:rFonts w:hint="eastAsia" w:ascii="Times New Roman" w:hAnsi="Times New Roman"/>
                      <w:bCs/>
                    </w:rPr>
                    <w:t>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trPr>
              <w:tc>
                <w:tcPr>
                  <w:tcW w:w="3380" w:type="dxa"/>
                  <w:gridSpan w:val="3"/>
                  <w:vAlign w:val="center"/>
                </w:tcPr>
                <w:p>
                  <w:pPr>
                    <w:pStyle w:val="51"/>
                    <w:spacing w:line="240" w:lineRule="auto"/>
                    <w:rPr>
                      <w:rFonts w:ascii="Times New Roman" w:hAnsi="Times New Roman"/>
                    </w:rPr>
                  </w:pPr>
                  <w:r>
                    <w:rPr>
                      <w:rFonts w:ascii="Times New Roman" w:hAnsi="Times New Roman"/>
                    </w:rPr>
                    <w:t>合计</w:t>
                  </w:r>
                </w:p>
              </w:tc>
              <w:tc>
                <w:tcPr>
                  <w:tcW w:w="1308" w:type="dxa"/>
                  <w:vAlign w:val="center"/>
                </w:tcPr>
                <w:p>
                  <w:pPr>
                    <w:pStyle w:val="51"/>
                    <w:spacing w:line="240" w:lineRule="auto"/>
                    <w:rPr>
                      <w:rFonts w:ascii="Times New Roman" w:hAnsi="Times New Roman"/>
                    </w:rPr>
                  </w:pPr>
                  <w:r>
                    <w:rPr>
                      <w:rFonts w:hint="eastAsia" w:ascii="Times New Roman" w:hAnsi="Times New Roman"/>
                    </w:rPr>
                    <w:t>1800</w:t>
                  </w:r>
                </w:p>
              </w:tc>
              <w:tc>
                <w:tcPr>
                  <w:tcW w:w="3704" w:type="dxa"/>
                  <w:vAlign w:val="center"/>
                </w:tcPr>
                <w:p>
                  <w:pPr>
                    <w:pStyle w:val="51"/>
                    <w:spacing w:line="240" w:lineRule="auto"/>
                    <w:rPr>
                      <w:rFonts w:ascii="Times New Roman" w:hAnsi="Times New Roman"/>
                    </w:rPr>
                  </w:pPr>
                  <w:r>
                    <w:rPr>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8392" w:type="dxa"/>
                  <w:gridSpan w:val="5"/>
                  <w:vAlign w:val="center"/>
                </w:tcPr>
                <w:p>
                  <w:pPr>
                    <w:pStyle w:val="51"/>
                    <w:spacing w:line="240" w:lineRule="auto"/>
                    <w:rPr>
                      <w:rFonts w:ascii="Times New Roman" w:hAnsi="Times New Roman"/>
                      <w:lang w:val="zh-CN"/>
                    </w:rPr>
                  </w:pPr>
                  <w:r>
                    <w:rPr>
                      <w:rFonts w:ascii="Times New Roman" w:hAnsi="Times New Roman"/>
                      <w:lang w:val="zh-CN"/>
                    </w:rPr>
                    <w:t>拆解产物去向：</w:t>
                  </w:r>
                </w:p>
                <w:p>
                  <w:pPr>
                    <w:pStyle w:val="51"/>
                    <w:spacing w:line="240" w:lineRule="auto"/>
                    <w:rPr>
                      <w:rFonts w:ascii="Times New Roman" w:hAnsi="Times New Roman"/>
                      <w:lang w:val="zh-CN"/>
                    </w:rPr>
                  </w:pPr>
                  <w:r>
                    <w:rPr>
                      <w:rFonts w:ascii="Times New Roman"/>
                      <w:lang w:val="zh-CN"/>
                    </w:rPr>
                    <w:t>①</w:t>
                  </w:r>
                  <w:r>
                    <w:rPr>
                      <w:rFonts w:ascii="Times New Roman" w:hAnsi="Times New Roman"/>
                      <w:lang w:val="zh-CN"/>
                    </w:rPr>
                    <w:t>报废机械拆解后可回收产物：如钢铁、有色金属、非金属等交由具有相应处理能力或经营范围的单位利用和处置，由购买方自行运输；</w:t>
                  </w:r>
                </w:p>
                <w:p>
                  <w:pPr>
                    <w:pStyle w:val="51"/>
                    <w:spacing w:line="240" w:lineRule="auto"/>
                    <w:rPr>
                      <w:rFonts w:ascii="Times New Roman" w:hAnsi="Times New Roman"/>
                      <w:lang w:val="zh-CN"/>
                    </w:rPr>
                  </w:pPr>
                  <w:r>
                    <w:rPr>
                      <w:rFonts w:ascii="Times New Roman"/>
                      <w:lang w:val="zh-CN"/>
                    </w:rPr>
                    <w:t>②</w:t>
                  </w:r>
                  <w:r>
                    <w:rPr>
                      <w:rFonts w:ascii="Times New Roman" w:hAnsi="Times New Roman"/>
                      <w:lang w:val="zh-CN"/>
                    </w:rPr>
                    <w:t>其余不可回收产物：按一般固体废物处理，拆解后的一般固体废物交由具有相应处理能力或经营范围的单位利用和处置</w:t>
                  </w:r>
                  <w:r>
                    <w:rPr>
                      <w:rFonts w:ascii="Times New Roman" w:hAnsi="Times New Roman"/>
                    </w:rPr>
                    <w:t>；</w:t>
                  </w:r>
                </w:p>
                <w:p>
                  <w:pPr>
                    <w:pStyle w:val="51"/>
                    <w:spacing w:line="240" w:lineRule="auto"/>
                    <w:rPr>
                      <w:rFonts w:ascii="Times New Roman" w:hAnsi="Times New Roman"/>
                      <w:lang w:val="zh-CN"/>
                    </w:rPr>
                  </w:pPr>
                  <w:r>
                    <w:rPr>
                      <w:rFonts w:ascii="Times New Roman"/>
                      <w:lang w:val="zh-CN"/>
                    </w:rPr>
                    <w:t>③</w:t>
                  </w:r>
                  <w:r>
                    <w:rPr>
                      <w:rFonts w:ascii="Times New Roman" w:hAnsi="Times New Roman"/>
                      <w:lang w:val="zh-CN"/>
                    </w:rPr>
                    <w:t>拆解后的危险废物：严格按照</w:t>
                  </w:r>
                  <w:r>
                    <w:rPr>
                      <w:rFonts w:ascii="Times New Roman" w:hAnsi="Times New Roman"/>
                    </w:rPr>
                    <w:t>《危险废物转移管理办法》(2021部令 第23号)</w:t>
                  </w:r>
                  <w:r>
                    <w:rPr>
                      <w:rFonts w:ascii="Times New Roman" w:hAnsi="Times New Roman"/>
                      <w:lang w:val="zh-CN"/>
                    </w:rPr>
                    <w:t>管理交由有资质的单位处理处置；</w:t>
                  </w:r>
                </w:p>
                <w:p>
                  <w:pPr>
                    <w:pStyle w:val="88"/>
                    <w:spacing w:line="240" w:lineRule="auto"/>
                    <w:ind w:firstLine="0" w:firstLineChars="0"/>
                    <w:jc w:val="center"/>
                    <w:rPr>
                      <w:sz w:val="21"/>
                      <w:szCs w:val="21"/>
                    </w:rPr>
                  </w:pPr>
                  <w:r>
                    <w:rPr>
                      <w:rFonts w:hAnsi="宋体"/>
                      <w:kern w:val="0"/>
                      <w:sz w:val="21"/>
                      <w:szCs w:val="21"/>
                    </w:rPr>
                    <w:t>④</w:t>
                  </w:r>
                  <w:r>
                    <w:rPr>
                      <w:kern w:val="0"/>
                      <w:sz w:val="21"/>
                      <w:szCs w:val="21"/>
                    </w:rPr>
                    <w:t>拆解废物按照《报废机动车拆解企业污染控制技术规范》（HJ348-2022）表 A.1管理。</w:t>
                  </w:r>
                </w:p>
              </w:tc>
            </w:tr>
          </w:tbl>
          <w:p>
            <w:pPr>
              <w:widowControl/>
              <w:shd w:val="clear" w:color="auto" w:fill="FFFFFF"/>
              <w:spacing w:line="360" w:lineRule="auto"/>
              <w:contextualSpacing/>
              <w:jc w:val="center"/>
              <w:rPr>
                <w:rFonts w:eastAsiaTheme="minorEastAsia"/>
                <w:b/>
                <w:bCs/>
                <w:kern w:val="0"/>
                <w:sz w:val="24"/>
              </w:rPr>
            </w:pPr>
          </w:p>
          <w:p>
            <w:pPr>
              <w:widowControl/>
              <w:shd w:val="clear" w:color="auto" w:fill="FFFFFF"/>
              <w:spacing w:line="360" w:lineRule="auto"/>
              <w:contextualSpacing/>
              <w:jc w:val="center"/>
              <w:rPr>
                <w:rFonts w:eastAsiaTheme="minorEastAsia"/>
                <w:b/>
                <w:bCs/>
                <w:kern w:val="0"/>
                <w:sz w:val="24"/>
              </w:rPr>
            </w:pPr>
          </w:p>
          <w:p>
            <w:pPr>
              <w:widowControl/>
              <w:shd w:val="clear" w:color="auto" w:fill="FFFFFF"/>
              <w:spacing w:line="360" w:lineRule="auto"/>
              <w:contextualSpacing/>
              <w:jc w:val="center"/>
              <w:rPr>
                <w:rFonts w:eastAsiaTheme="minorEastAsia"/>
                <w:b/>
                <w:bCs/>
                <w:kern w:val="0"/>
                <w:sz w:val="24"/>
              </w:rPr>
            </w:pPr>
          </w:p>
          <w:p>
            <w:pPr>
              <w:widowControl/>
              <w:shd w:val="clear" w:color="auto" w:fill="FFFFFF"/>
              <w:spacing w:line="360" w:lineRule="auto"/>
              <w:contextualSpacing/>
              <w:jc w:val="center"/>
              <w:rPr>
                <w:rFonts w:eastAsiaTheme="minorEastAsia"/>
                <w:b/>
                <w:bCs/>
                <w:kern w:val="0"/>
                <w:sz w:val="24"/>
              </w:rPr>
            </w:pPr>
          </w:p>
          <w:p>
            <w:pPr>
              <w:widowControl/>
              <w:shd w:val="clear" w:color="auto" w:fill="FFFFFF"/>
              <w:spacing w:line="360" w:lineRule="auto"/>
              <w:contextualSpacing/>
              <w:jc w:val="center"/>
              <w:rPr>
                <w:rFonts w:eastAsiaTheme="minorEastAsia"/>
                <w:b/>
                <w:bCs/>
                <w:kern w:val="0"/>
                <w:sz w:val="24"/>
              </w:rPr>
            </w:pPr>
          </w:p>
          <w:p>
            <w:pPr>
              <w:widowControl/>
              <w:shd w:val="clear" w:color="auto" w:fill="FFFFFF"/>
              <w:spacing w:line="360" w:lineRule="auto"/>
              <w:contextualSpacing/>
              <w:jc w:val="center"/>
              <w:rPr>
                <w:rFonts w:eastAsiaTheme="minorEastAsia"/>
                <w:b/>
                <w:bCs/>
                <w:kern w:val="0"/>
                <w:sz w:val="24"/>
              </w:rPr>
            </w:pPr>
          </w:p>
          <w:p>
            <w:pPr>
              <w:widowControl/>
              <w:shd w:val="clear" w:color="auto" w:fill="FFFFFF"/>
              <w:spacing w:line="360" w:lineRule="auto"/>
              <w:contextualSpacing/>
              <w:jc w:val="center"/>
              <w:rPr>
                <w:rFonts w:eastAsiaTheme="minorEastAsia"/>
                <w:b/>
                <w:bCs/>
                <w:kern w:val="0"/>
                <w:sz w:val="24"/>
              </w:rPr>
            </w:pPr>
          </w:p>
          <w:p>
            <w:pPr>
              <w:widowControl/>
              <w:shd w:val="clear" w:color="auto" w:fill="FFFFFF"/>
              <w:spacing w:line="360" w:lineRule="auto"/>
              <w:contextualSpacing/>
              <w:jc w:val="center"/>
              <w:rPr>
                <w:rFonts w:eastAsiaTheme="minorEastAsia"/>
                <w:b/>
                <w:bCs/>
                <w:kern w:val="0"/>
                <w:sz w:val="24"/>
              </w:rPr>
            </w:pPr>
          </w:p>
          <w:p>
            <w:pPr>
              <w:spacing w:line="360" w:lineRule="auto"/>
              <w:contextualSpacing/>
              <w:jc w:val="left"/>
              <w:rPr>
                <w:rFonts w:eastAsiaTheme="minorEastAsia"/>
                <w:kern w:val="0"/>
                <w:sz w:val="24"/>
              </w:rPr>
            </w:pPr>
            <w:r>
              <w:rPr>
                <w:rFonts w:hint="eastAsia" w:eastAsiaTheme="minorEastAsia"/>
                <w:b/>
                <w:kern w:val="0"/>
                <w:sz w:val="24"/>
              </w:rPr>
              <w:t xml:space="preserve">           </w:t>
            </w:r>
            <w:r>
              <w:rPr>
                <w:rFonts w:eastAsiaTheme="minorEastAsia"/>
                <w:b/>
                <w:kern w:val="0"/>
                <w:sz w:val="24"/>
              </w:rPr>
              <mc:AlternateContent>
                <mc:Choice Requires="wpc">
                  <w:drawing>
                    <wp:inline distT="0" distB="0" distL="114300" distR="114300">
                      <wp:extent cx="3683635" cy="3955415"/>
                      <wp:effectExtent l="0" t="0" r="0" b="0"/>
                      <wp:docPr id="78" name="画布 2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42" name="文本框 246"/>
                              <wps:cNvSpPr txBox="1"/>
                              <wps:spPr>
                                <a:xfrm>
                                  <a:off x="255270" y="1779270"/>
                                  <a:ext cx="8001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pPr>
                                    <w:r>
                                      <w:t>报废农机</w:t>
                                    </w:r>
                                  </w:p>
                                </w:txbxContent>
                              </wps:txbx>
                              <wps:bodyPr upright="1"/>
                            </wps:wsp>
                            <wps:wsp>
                              <wps:cNvPr id="43" name="自选图形 247"/>
                              <wps:cNvCnPr/>
                              <wps:spPr>
                                <a:xfrm>
                                  <a:off x="1055370" y="1912620"/>
                                  <a:ext cx="381000" cy="635"/>
                                </a:xfrm>
                                <a:prstGeom prst="straightConnector1">
                                  <a:avLst/>
                                </a:prstGeom>
                                <a:ln w="9525" cap="flat" cmpd="sng">
                                  <a:solidFill>
                                    <a:srgbClr val="000000"/>
                                  </a:solidFill>
                                  <a:prstDash val="solid"/>
                                  <a:headEnd type="none" w="med" len="med"/>
                                  <a:tailEnd type="triangle" w="med" len="med"/>
                                </a:ln>
                              </wps:spPr>
                              <wps:bodyPr/>
                            </wps:wsp>
                            <wps:wsp>
                              <wps:cNvPr id="45" name="文本框 248"/>
                              <wps:cNvSpPr txBox="1"/>
                              <wps:spPr>
                                <a:xfrm>
                                  <a:off x="940435" y="1694180"/>
                                  <a:ext cx="582295" cy="266700"/>
                                </a:xfrm>
                                <a:prstGeom prst="rect">
                                  <a:avLst/>
                                </a:prstGeom>
                                <a:noFill/>
                                <a:ln w="9525">
                                  <a:noFill/>
                                </a:ln>
                              </wps:spPr>
                              <wps:txbx>
                                <w:txbxContent>
                                  <w:p>
                                    <w:pPr>
                                      <w:ind w:firstLine="105" w:firstLineChars="50"/>
                                    </w:pPr>
                                    <w:r>
                                      <w:rPr>
                                        <w:rFonts w:hint="eastAsia"/>
                                      </w:rPr>
                                      <w:t>1800</w:t>
                                    </w:r>
                                  </w:p>
                                </w:txbxContent>
                              </wps:txbx>
                              <wps:bodyPr upright="1"/>
                            </wps:wsp>
                            <wps:wsp>
                              <wps:cNvPr id="46" name="文本框 249"/>
                              <wps:cNvSpPr txBox="1"/>
                              <wps:spPr>
                                <a:xfrm>
                                  <a:off x="949960" y="1894205"/>
                                  <a:ext cx="582295" cy="266700"/>
                                </a:xfrm>
                                <a:prstGeom prst="rect">
                                  <a:avLst/>
                                </a:prstGeom>
                                <a:noFill/>
                                <a:ln w="9525">
                                  <a:noFill/>
                                </a:ln>
                              </wps:spPr>
                              <wps:txbx>
                                <w:txbxContent>
                                  <w:p>
                                    <w:pPr>
                                      <w:ind w:firstLine="105" w:firstLineChars="50"/>
                                    </w:pPr>
                                    <w:r>
                                      <w:rPr>
                                        <w:rFonts w:hint="eastAsia"/>
                                      </w:rPr>
                                      <w:t>拆解</w:t>
                                    </w:r>
                                  </w:p>
                                </w:txbxContent>
                              </wps:txbx>
                              <wps:bodyPr upright="1"/>
                            </wps:wsp>
                            <wps:wsp>
                              <wps:cNvPr id="47" name="自选图形 250"/>
                              <wps:cNvCnPr/>
                              <wps:spPr>
                                <a:xfrm>
                                  <a:off x="1436370" y="274320"/>
                                  <a:ext cx="19685" cy="3343275"/>
                                </a:xfrm>
                                <a:prstGeom prst="straightConnector1">
                                  <a:avLst/>
                                </a:prstGeom>
                                <a:ln w="9525" cap="flat" cmpd="sng">
                                  <a:solidFill>
                                    <a:srgbClr val="000000"/>
                                  </a:solidFill>
                                  <a:prstDash val="solid"/>
                                  <a:headEnd type="none" w="med" len="med"/>
                                  <a:tailEnd type="none" w="med" len="med"/>
                                </a:ln>
                              </wps:spPr>
                              <wps:bodyPr/>
                            </wps:wsp>
                            <wps:wsp>
                              <wps:cNvPr id="48" name="自选图形 251"/>
                              <wps:cNvCnPr/>
                              <wps:spPr>
                                <a:xfrm>
                                  <a:off x="1436370" y="274320"/>
                                  <a:ext cx="401320" cy="0"/>
                                </a:xfrm>
                                <a:prstGeom prst="straightConnector1">
                                  <a:avLst/>
                                </a:prstGeom>
                                <a:ln w="9525" cap="flat" cmpd="sng">
                                  <a:solidFill>
                                    <a:srgbClr val="000000"/>
                                  </a:solidFill>
                                  <a:prstDash val="solid"/>
                                  <a:headEnd type="none" w="med" len="med"/>
                                  <a:tailEnd type="triangle" w="med" len="med"/>
                                </a:ln>
                              </wps:spPr>
                              <wps:bodyPr/>
                            </wps:wsp>
                            <wps:wsp>
                              <wps:cNvPr id="49" name="自选图形 252"/>
                              <wps:cNvCnPr/>
                              <wps:spPr>
                                <a:xfrm>
                                  <a:off x="1436370" y="615315"/>
                                  <a:ext cx="401320" cy="635"/>
                                </a:xfrm>
                                <a:prstGeom prst="straightConnector1">
                                  <a:avLst/>
                                </a:prstGeom>
                                <a:ln w="9525" cap="flat" cmpd="sng">
                                  <a:solidFill>
                                    <a:srgbClr val="000000"/>
                                  </a:solidFill>
                                  <a:prstDash val="solid"/>
                                  <a:headEnd type="none" w="med" len="med"/>
                                  <a:tailEnd type="triangle" w="med" len="med"/>
                                </a:ln>
                              </wps:spPr>
                              <wps:bodyPr/>
                            </wps:wsp>
                            <wps:wsp>
                              <wps:cNvPr id="50" name="自选图形 253"/>
                              <wps:cNvCnPr/>
                              <wps:spPr>
                                <a:xfrm>
                                  <a:off x="1443355" y="976630"/>
                                  <a:ext cx="401320" cy="635"/>
                                </a:xfrm>
                                <a:prstGeom prst="straightConnector1">
                                  <a:avLst/>
                                </a:prstGeom>
                                <a:ln w="9525" cap="flat" cmpd="sng">
                                  <a:solidFill>
                                    <a:srgbClr val="000000"/>
                                  </a:solidFill>
                                  <a:prstDash val="solid"/>
                                  <a:headEnd type="none" w="med" len="med"/>
                                  <a:tailEnd type="triangle" w="med" len="med"/>
                                </a:ln>
                              </wps:spPr>
                              <wps:bodyPr/>
                            </wps:wsp>
                            <wps:wsp>
                              <wps:cNvPr id="51" name="自选图形 254"/>
                              <wps:cNvCnPr/>
                              <wps:spPr>
                                <a:xfrm>
                                  <a:off x="1436370" y="1363980"/>
                                  <a:ext cx="401320" cy="635"/>
                                </a:xfrm>
                                <a:prstGeom prst="straightConnector1">
                                  <a:avLst/>
                                </a:prstGeom>
                                <a:ln w="9525" cap="flat" cmpd="sng">
                                  <a:solidFill>
                                    <a:srgbClr val="000000"/>
                                  </a:solidFill>
                                  <a:prstDash val="solid"/>
                                  <a:headEnd type="none" w="med" len="med"/>
                                  <a:tailEnd type="triangle" w="med" len="med"/>
                                </a:ln>
                              </wps:spPr>
                              <wps:bodyPr/>
                            </wps:wsp>
                            <wps:wsp>
                              <wps:cNvPr id="52" name="自选图形 255"/>
                              <wps:cNvCnPr/>
                              <wps:spPr>
                                <a:xfrm>
                                  <a:off x="1456055" y="1755140"/>
                                  <a:ext cx="401320" cy="635"/>
                                </a:xfrm>
                                <a:prstGeom prst="straightConnector1">
                                  <a:avLst/>
                                </a:prstGeom>
                                <a:ln w="9525" cap="flat" cmpd="sng">
                                  <a:solidFill>
                                    <a:srgbClr val="000000"/>
                                  </a:solidFill>
                                  <a:prstDash val="solid"/>
                                  <a:headEnd type="none" w="med" len="med"/>
                                  <a:tailEnd type="triangle" w="med" len="med"/>
                                </a:ln>
                              </wps:spPr>
                              <wps:bodyPr/>
                            </wps:wsp>
                            <wps:wsp>
                              <wps:cNvPr id="53" name="自选图形 256"/>
                              <wps:cNvCnPr/>
                              <wps:spPr>
                                <a:xfrm>
                                  <a:off x="1457325" y="2159635"/>
                                  <a:ext cx="401320" cy="635"/>
                                </a:xfrm>
                                <a:prstGeom prst="straightConnector1">
                                  <a:avLst/>
                                </a:prstGeom>
                                <a:ln w="9525" cap="flat" cmpd="sng">
                                  <a:solidFill>
                                    <a:srgbClr val="000000"/>
                                  </a:solidFill>
                                  <a:prstDash val="solid"/>
                                  <a:headEnd type="none" w="med" len="med"/>
                                  <a:tailEnd type="triangle" w="med" len="med"/>
                                </a:ln>
                              </wps:spPr>
                              <wps:bodyPr/>
                            </wps:wsp>
                            <wps:wsp>
                              <wps:cNvPr id="54" name="自选图形 257"/>
                              <wps:cNvCnPr/>
                              <wps:spPr>
                                <a:xfrm>
                                  <a:off x="1464310" y="2571750"/>
                                  <a:ext cx="401320" cy="635"/>
                                </a:xfrm>
                                <a:prstGeom prst="straightConnector1">
                                  <a:avLst/>
                                </a:prstGeom>
                                <a:ln w="9525" cap="flat" cmpd="sng">
                                  <a:solidFill>
                                    <a:srgbClr val="000000"/>
                                  </a:solidFill>
                                  <a:prstDash val="solid"/>
                                  <a:headEnd type="none" w="med" len="med"/>
                                  <a:tailEnd type="triangle" w="med" len="med"/>
                                </a:ln>
                              </wps:spPr>
                              <wps:bodyPr/>
                            </wps:wsp>
                            <wps:wsp>
                              <wps:cNvPr id="55" name="自选图形 258"/>
                              <wps:cNvCnPr/>
                              <wps:spPr>
                                <a:xfrm>
                                  <a:off x="1454785" y="2956560"/>
                                  <a:ext cx="401320" cy="635"/>
                                </a:xfrm>
                                <a:prstGeom prst="straightConnector1">
                                  <a:avLst/>
                                </a:prstGeom>
                                <a:ln w="9525" cap="flat" cmpd="sng">
                                  <a:solidFill>
                                    <a:srgbClr val="000000"/>
                                  </a:solidFill>
                                  <a:prstDash val="solid"/>
                                  <a:headEnd type="none" w="med" len="med"/>
                                  <a:tailEnd type="triangle" w="med" len="med"/>
                                </a:ln>
                              </wps:spPr>
                              <wps:bodyPr/>
                            </wps:wsp>
                            <wps:wsp>
                              <wps:cNvPr id="56" name="自选图形 259"/>
                              <wps:cNvCnPr/>
                              <wps:spPr>
                                <a:xfrm>
                                  <a:off x="1452880" y="3617595"/>
                                  <a:ext cx="401320" cy="635"/>
                                </a:xfrm>
                                <a:prstGeom prst="straightConnector1">
                                  <a:avLst/>
                                </a:prstGeom>
                                <a:ln w="9525" cap="flat" cmpd="sng">
                                  <a:solidFill>
                                    <a:srgbClr val="000000"/>
                                  </a:solidFill>
                                  <a:prstDash val="solid"/>
                                  <a:headEnd type="none" w="med" len="med"/>
                                  <a:tailEnd type="triangle" w="med" len="med"/>
                                </a:ln>
                              </wps:spPr>
                              <wps:bodyPr/>
                            </wps:wsp>
                            <wps:wsp>
                              <wps:cNvPr id="57" name="文本框 260"/>
                              <wps:cNvSpPr txBox="1"/>
                              <wps:spPr>
                                <a:xfrm>
                                  <a:off x="1837690" y="149860"/>
                                  <a:ext cx="8001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pPr>
                                    <w:r>
                                      <w:t>废钢铁</w:t>
                                    </w:r>
                                  </w:p>
                                </w:txbxContent>
                              </wps:txbx>
                              <wps:bodyPr upright="1"/>
                            </wps:wsp>
                            <wps:wsp>
                              <wps:cNvPr id="58" name="自选图形 261"/>
                              <wps:cNvCnPr/>
                              <wps:spPr>
                                <a:xfrm>
                                  <a:off x="1454150" y="3288665"/>
                                  <a:ext cx="401320" cy="635"/>
                                </a:xfrm>
                                <a:prstGeom prst="straightConnector1">
                                  <a:avLst/>
                                </a:prstGeom>
                                <a:ln w="9525" cap="flat" cmpd="sng">
                                  <a:solidFill>
                                    <a:srgbClr val="000000"/>
                                  </a:solidFill>
                                  <a:prstDash val="solid"/>
                                  <a:headEnd type="none" w="med" len="med"/>
                                  <a:tailEnd type="triangle" w="med" len="med"/>
                                </a:ln>
                              </wps:spPr>
                              <wps:bodyPr/>
                            </wps:wsp>
                            <wps:wsp>
                              <wps:cNvPr id="59" name="文本框 262"/>
                              <wps:cNvSpPr txBox="1"/>
                              <wps:spPr>
                                <a:xfrm>
                                  <a:off x="1844675" y="485140"/>
                                  <a:ext cx="89408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t>废有色金属</w:t>
                                    </w:r>
                                  </w:p>
                                </w:txbxContent>
                              </wps:txbx>
                              <wps:bodyPr upright="1"/>
                            </wps:wsp>
                            <wps:wsp>
                              <wps:cNvPr id="60" name="文本框 263"/>
                              <wps:cNvSpPr txBox="1"/>
                              <wps:spPr>
                                <a:xfrm>
                                  <a:off x="1845945" y="842010"/>
                                  <a:ext cx="141922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t>废弃车用电子零部件</w:t>
                                    </w:r>
                                  </w:p>
                                </w:txbxContent>
                              </wps:txbx>
                              <wps:bodyPr upright="1"/>
                            </wps:wsp>
                            <wps:wsp>
                              <wps:cNvPr id="61" name="文本框 264"/>
                              <wps:cNvSpPr txBox="1"/>
                              <wps:spPr>
                                <a:xfrm>
                                  <a:off x="1845945" y="1233170"/>
                                  <a:ext cx="8382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t>废</w:t>
                                    </w:r>
                                    <w:r>
                                      <w:rPr>
                                        <w:rFonts w:hint="eastAsia"/>
                                      </w:rPr>
                                      <w:t>塑料</w:t>
                                    </w:r>
                                  </w:p>
                                </w:txbxContent>
                              </wps:txbx>
                              <wps:bodyPr upright="1"/>
                            </wps:wsp>
                            <wps:wsp>
                              <wps:cNvPr id="62" name="文本框 265"/>
                              <wps:cNvSpPr txBox="1"/>
                              <wps:spPr>
                                <a:xfrm>
                                  <a:off x="1865630" y="1645920"/>
                                  <a:ext cx="81851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t>废</w:t>
                                    </w:r>
                                    <w:r>
                                      <w:rPr>
                                        <w:rFonts w:hint="eastAsia"/>
                                      </w:rPr>
                                      <w:t>玻璃</w:t>
                                    </w:r>
                                  </w:p>
                                </w:txbxContent>
                              </wps:txbx>
                              <wps:bodyPr upright="1"/>
                            </wps:wsp>
                            <wps:wsp>
                              <wps:cNvPr id="63" name="文本框 266"/>
                              <wps:cNvSpPr txBox="1"/>
                              <wps:spPr>
                                <a:xfrm>
                                  <a:off x="1865630" y="2037080"/>
                                  <a:ext cx="81851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t>废</w:t>
                                    </w:r>
                                    <w:r>
                                      <w:rPr>
                                        <w:rFonts w:hint="eastAsia"/>
                                      </w:rPr>
                                      <w:t>橡胶</w:t>
                                    </w:r>
                                  </w:p>
                                </w:txbxContent>
                              </wps:txbx>
                              <wps:bodyPr upright="1"/>
                            </wps:wsp>
                            <wps:wsp>
                              <wps:cNvPr id="64" name="文本框 267"/>
                              <wps:cNvSpPr txBox="1"/>
                              <wps:spPr>
                                <a:xfrm>
                                  <a:off x="1874520" y="2452370"/>
                                  <a:ext cx="169227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t>废有机溶剂与含有机溶剂</w:t>
                                    </w:r>
                                    <w:r>
                                      <w:rPr>
                                        <w:color w:val="FF0000"/>
                                        <w:szCs w:val="21"/>
                                      </w:rPr>
                                      <w:t>废物</w:t>
                                    </w:r>
                                  </w:p>
                                </w:txbxContent>
                              </wps:txbx>
                              <wps:bodyPr upright="1"/>
                            </wps:wsp>
                            <wps:wsp>
                              <wps:cNvPr id="65" name="文本框 268"/>
                              <wps:cNvSpPr txBox="1"/>
                              <wps:spPr>
                                <a:xfrm>
                                  <a:off x="1855470" y="2823845"/>
                                  <a:ext cx="171132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szCs w:val="21"/>
                                      </w:rPr>
                                      <w:t>废矿物油与含矿物油废物</w:t>
                                    </w:r>
                                  </w:p>
                                </w:txbxContent>
                              </wps:txbx>
                              <wps:bodyPr upright="1"/>
                            </wps:wsp>
                            <wps:wsp>
                              <wps:cNvPr id="66" name="文本框 269"/>
                              <wps:cNvSpPr txBox="1"/>
                              <wps:spPr>
                                <a:xfrm>
                                  <a:off x="1865630" y="3151505"/>
                                  <a:ext cx="89408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t>废</w:t>
                                    </w:r>
                                    <w:r>
                                      <w:rPr>
                                        <w:szCs w:val="21"/>
                                      </w:rPr>
                                      <w:t>铅蓄电池</w:t>
                                    </w:r>
                                    <w:r>
                                      <w:rPr>
                                        <w:color w:val="FF0000"/>
                                        <w:szCs w:val="21"/>
                                      </w:rPr>
                                      <w:t>铅蓄电池</w:t>
                                    </w:r>
                                  </w:p>
                                </w:txbxContent>
                              </wps:txbx>
                              <wps:bodyPr upright="1"/>
                            </wps:wsp>
                            <wps:wsp>
                              <wps:cNvPr id="67" name="文本框 270"/>
                              <wps:cNvSpPr txBox="1"/>
                              <wps:spPr>
                                <a:xfrm>
                                  <a:off x="1865630" y="3487420"/>
                                  <a:ext cx="109728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不可利用废物</w:t>
                                    </w:r>
                                  </w:p>
                                </w:txbxContent>
                              </wps:txbx>
                              <wps:bodyPr upright="1"/>
                            </wps:wsp>
                            <wps:wsp>
                              <wps:cNvPr id="68" name="文本框 271"/>
                              <wps:cNvSpPr txBox="1"/>
                              <wps:spPr>
                                <a:xfrm>
                                  <a:off x="1341120" y="59690"/>
                                  <a:ext cx="582295" cy="266700"/>
                                </a:xfrm>
                                <a:prstGeom prst="rect">
                                  <a:avLst/>
                                </a:prstGeom>
                                <a:noFill/>
                                <a:ln w="9525">
                                  <a:noFill/>
                                </a:ln>
                              </wps:spPr>
                              <wps:txbx>
                                <w:txbxContent>
                                  <w:p>
                                    <w:pPr>
                                      <w:ind w:firstLine="105" w:firstLineChars="50"/>
                                    </w:pPr>
                                    <w:r>
                                      <w:rPr>
                                        <w:rFonts w:hint="eastAsia"/>
                                      </w:rPr>
                                      <w:t>1296</w:t>
                                    </w:r>
                                  </w:p>
                                </w:txbxContent>
                              </wps:txbx>
                              <wps:bodyPr upright="1"/>
                            </wps:wsp>
                            <wps:wsp>
                              <wps:cNvPr id="69" name="文本框 272"/>
                              <wps:cNvSpPr txBox="1"/>
                              <wps:spPr>
                                <a:xfrm>
                                  <a:off x="1328420" y="409575"/>
                                  <a:ext cx="582295" cy="266700"/>
                                </a:xfrm>
                                <a:prstGeom prst="rect">
                                  <a:avLst/>
                                </a:prstGeom>
                                <a:noFill/>
                                <a:ln w="9525">
                                  <a:noFill/>
                                </a:ln>
                              </wps:spPr>
                              <wps:txbx>
                                <w:txbxContent>
                                  <w:p>
                                    <w:pPr>
                                      <w:ind w:firstLine="105" w:firstLineChars="50"/>
                                    </w:pPr>
                                    <w:r>
                                      <w:rPr>
                                        <w:rFonts w:hint="eastAsia"/>
                                      </w:rPr>
                                      <w:t>180</w:t>
                                    </w:r>
                                  </w:p>
                                </w:txbxContent>
                              </wps:txbx>
                              <wps:bodyPr upright="1"/>
                            </wps:wsp>
                            <wps:wsp>
                              <wps:cNvPr id="70" name="文本框 273"/>
                              <wps:cNvSpPr txBox="1"/>
                              <wps:spPr>
                                <a:xfrm>
                                  <a:off x="1438275" y="751840"/>
                                  <a:ext cx="582295" cy="266700"/>
                                </a:xfrm>
                                <a:prstGeom prst="rect">
                                  <a:avLst/>
                                </a:prstGeom>
                                <a:noFill/>
                                <a:ln w="9525">
                                  <a:noFill/>
                                </a:ln>
                              </wps:spPr>
                              <wps:txbx>
                                <w:txbxContent>
                                  <w:p>
                                    <w:pPr>
                                      <w:ind w:firstLine="105" w:firstLineChars="50"/>
                                    </w:pPr>
                                    <w:r>
                                      <w:rPr>
                                        <w:rFonts w:hint="eastAsia"/>
                                      </w:rPr>
                                      <w:t>9</w:t>
                                    </w:r>
                                  </w:p>
                                </w:txbxContent>
                              </wps:txbx>
                              <wps:bodyPr upright="1"/>
                            </wps:wsp>
                            <wps:wsp>
                              <wps:cNvPr id="71" name="文本框 274"/>
                              <wps:cNvSpPr txBox="1"/>
                              <wps:spPr>
                                <a:xfrm>
                                  <a:off x="1339215" y="1146810"/>
                                  <a:ext cx="582295" cy="266700"/>
                                </a:xfrm>
                                <a:prstGeom prst="rect">
                                  <a:avLst/>
                                </a:prstGeom>
                                <a:noFill/>
                                <a:ln w="9525">
                                  <a:noFill/>
                                </a:ln>
                              </wps:spPr>
                              <wps:txbx>
                                <w:txbxContent>
                                  <w:p>
                                    <w:pPr>
                                      <w:ind w:firstLine="105" w:firstLineChars="50"/>
                                    </w:pPr>
                                    <w:r>
                                      <w:rPr>
                                        <w:rFonts w:hint="eastAsia"/>
                                      </w:rPr>
                                      <w:t>144</w:t>
                                    </w:r>
                                  </w:p>
                                </w:txbxContent>
                              </wps:txbx>
                              <wps:bodyPr upright="1"/>
                            </wps:wsp>
                            <wps:wsp>
                              <wps:cNvPr id="72" name="文本框 275"/>
                              <wps:cNvSpPr txBox="1"/>
                              <wps:spPr>
                                <a:xfrm>
                                  <a:off x="1330325" y="1555750"/>
                                  <a:ext cx="582295" cy="266700"/>
                                </a:xfrm>
                                <a:prstGeom prst="rect">
                                  <a:avLst/>
                                </a:prstGeom>
                                <a:noFill/>
                                <a:ln w="9525">
                                  <a:noFill/>
                                </a:ln>
                              </wps:spPr>
                              <wps:txbx>
                                <w:txbxContent>
                                  <w:p>
                                    <w:pPr>
                                      <w:ind w:firstLine="105" w:firstLineChars="50"/>
                                    </w:pPr>
                                    <w:r>
                                      <w:rPr>
                                        <w:rFonts w:hint="eastAsia"/>
                                      </w:rPr>
                                      <w:t>57.6</w:t>
                                    </w:r>
                                  </w:p>
                                </w:txbxContent>
                              </wps:txbx>
                              <wps:bodyPr upright="1"/>
                            </wps:wsp>
                            <wps:wsp>
                              <wps:cNvPr id="73" name="文本框 276"/>
                              <wps:cNvSpPr txBox="1"/>
                              <wps:spPr>
                                <a:xfrm>
                                  <a:off x="1405890" y="1943735"/>
                                  <a:ext cx="582295" cy="266700"/>
                                </a:xfrm>
                                <a:prstGeom prst="rect">
                                  <a:avLst/>
                                </a:prstGeom>
                                <a:noFill/>
                                <a:ln w="9525">
                                  <a:noFill/>
                                </a:ln>
                              </wps:spPr>
                              <wps:txbx>
                                <w:txbxContent>
                                  <w:p>
                                    <w:pPr>
                                      <w:ind w:firstLine="105" w:firstLineChars="50"/>
                                    </w:pPr>
                                    <w:r>
                                      <w:rPr>
                                        <w:rFonts w:hint="eastAsia"/>
                                      </w:rPr>
                                      <w:t>90</w:t>
                                    </w:r>
                                  </w:p>
                                </w:txbxContent>
                              </wps:txbx>
                              <wps:bodyPr upright="1"/>
                            </wps:wsp>
                            <wps:wsp>
                              <wps:cNvPr id="74" name="文本框 277"/>
                              <wps:cNvSpPr txBox="1"/>
                              <wps:spPr>
                                <a:xfrm>
                                  <a:off x="1393190" y="2365375"/>
                                  <a:ext cx="582295" cy="266700"/>
                                </a:xfrm>
                                <a:prstGeom prst="rect">
                                  <a:avLst/>
                                </a:prstGeom>
                                <a:noFill/>
                                <a:ln w="9525">
                                  <a:noFill/>
                                </a:ln>
                              </wps:spPr>
                              <wps:txbx>
                                <w:txbxContent>
                                  <w:p>
                                    <w:pPr>
                                      <w:ind w:firstLine="105" w:firstLineChars="50"/>
                                    </w:pPr>
                                    <w:r>
                                      <w:rPr>
                                        <w:rFonts w:hint="eastAsia"/>
                                      </w:rPr>
                                      <w:t>0.3</w:t>
                                    </w:r>
                                  </w:p>
                                </w:txbxContent>
                              </wps:txbx>
                              <wps:bodyPr upright="1"/>
                            </wps:wsp>
                            <wps:wsp>
                              <wps:cNvPr id="75" name="文本框 278"/>
                              <wps:cNvSpPr txBox="1"/>
                              <wps:spPr>
                                <a:xfrm>
                                  <a:off x="1339215" y="2743835"/>
                                  <a:ext cx="582295" cy="266700"/>
                                </a:xfrm>
                                <a:prstGeom prst="rect">
                                  <a:avLst/>
                                </a:prstGeom>
                                <a:noFill/>
                                <a:ln w="9525">
                                  <a:noFill/>
                                </a:ln>
                              </wps:spPr>
                              <wps:txbx>
                                <w:txbxContent>
                                  <w:p>
                                    <w:pPr>
                                      <w:ind w:firstLine="105" w:firstLineChars="50"/>
                                    </w:pPr>
                                    <w:r>
                                      <w:rPr>
                                        <w:rFonts w:hint="eastAsia"/>
                                      </w:rPr>
                                      <w:t>3.003</w:t>
                                    </w:r>
                                  </w:p>
                                </w:txbxContent>
                              </wps:txbx>
                              <wps:bodyPr upright="1"/>
                            </wps:wsp>
                            <wps:wsp>
                              <wps:cNvPr id="76" name="文本框 279"/>
                              <wps:cNvSpPr txBox="1"/>
                              <wps:spPr>
                                <a:xfrm>
                                  <a:off x="1382395" y="3090545"/>
                                  <a:ext cx="582295" cy="266700"/>
                                </a:xfrm>
                                <a:prstGeom prst="rect">
                                  <a:avLst/>
                                </a:prstGeom>
                                <a:noFill/>
                                <a:ln w="9525">
                                  <a:noFill/>
                                </a:ln>
                              </wps:spPr>
                              <wps:txbx>
                                <w:txbxContent>
                                  <w:p>
                                    <w:pPr>
                                      <w:ind w:firstLine="105" w:firstLineChars="50"/>
                                    </w:pPr>
                                    <w:r>
                                      <w:rPr>
                                        <w:rFonts w:hint="eastAsia"/>
                                      </w:rPr>
                                      <w:t>3.0</w:t>
                                    </w:r>
                                  </w:p>
                                </w:txbxContent>
                              </wps:txbx>
                              <wps:bodyPr upright="1"/>
                            </wps:wsp>
                            <wps:wsp>
                              <wps:cNvPr id="77" name="文本框 280"/>
                              <wps:cNvSpPr txBox="1"/>
                              <wps:spPr>
                                <a:xfrm>
                                  <a:off x="1296035" y="3411855"/>
                                  <a:ext cx="759460" cy="266700"/>
                                </a:xfrm>
                                <a:prstGeom prst="rect">
                                  <a:avLst/>
                                </a:prstGeom>
                                <a:noFill/>
                                <a:ln w="9525">
                                  <a:noFill/>
                                </a:ln>
                              </wps:spPr>
                              <wps:txbx>
                                <w:txbxContent>
                                  <w:p>
                                    <w:pPr>
                                      <w:ind w:firstLine="105" w:firstLineChars="50"/>
                                    </w:pPr>
                                    <w:r>
                                      <w:rPr>
                                        <w:rFonts w:hint="eastAsia"/>
                                      </w:rPr>
                                      <w:t>17.097</w:t>
                                    </w:r>
                                  </w:p>
                                </w:txbxContent>
                              </wps:txbx>
                              <wps:bodyPr upright="1"/>
                            </wps:wsp>
                          </wpc:wpc>
                        </a:graphicData>
                      </a:graphic>
                    </wp:inline>
                  </w:drawing>
                </mc:Choice>
                <mc:Fallback>
                  <w:pict>
                    <v:group id="画布 244" o:spid="_x0000_s1026" o:spt="203" style="height:311.45pt;width:290.05pt;" coordsize="3683635,3955415" editas="canvas" o:gfxdata="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">
                      <o:lock v:ext="edit" aspectratio="f"/>
                      <v:rect id="画布 244" o:spid="_x0000_s1026" o:spt="1" style="position:absolute;left:0;top:0;height:3955415;width:3683635;" filled="f" stroked="f" coordsize="21600,21600" o:gfxdata="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">
                        <v:fill on="f" focussize="0,0"/>
                        <v:stroke on="f"/>
                        <v:imagedata o:title=""/>
                        <o:lock v:ext="edit" text="t" aspectratio="t"/>
                      </v:rect>
                      <v:shape id="文本框 246" o:spid="_x0000_s1026" o:spt="202" type="#_x0000_t202" style="position:absolute;left:255269;top:1779270;height:266700;width:800100;"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nLvXo1gAAAAUBAAAPAAAAAAAAAAEAIAAAACIAAABkcnMvZG93bnJldi54bWxQ&#10;SwECFAAUAAAACACHTuJA4V3YKPkBAAD1AwAADgAAAAAAAAABACAAAAAlAQAAZHJzL2Uyb0RvYy54&#10;bWxQSwUGAAAAAAYABgBZAQAAkAUAAAAA&#10;">
                        <v:fill on="t" focussize="0,0"/>
                        <v:stroke color="#000000" joinstyle="miter"/>
                        <v:imagedata o:title=""/>
                        <o:lock v:ext="edit" aspectratio="f"/>
                        <v:textbox>
                          <w:txbxContent>
                            <w:p>
                              <w:pPr>
                                <w:ind w:firstLine="105" w:firstLineChars="50"/>
                              </w:pPr>
                              <w:r>
                                <w:t>报废农机</w:t>
                              </w:r>
                            </w:p>
                          </w:txbxContent>
                        </v:textbox>
                      </v:shape>
                      <v:shape id="自选图形 247" o:spid="_x0000_s1026" o:spt="32" type="#_x0000_t32" style="position:absolute;left:1055370;top:1912620;height:635;width:38100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z9438tcAAAAFAQAADwAAAAAAAAABACAAAAAiAAAAZHJzL2Rvd25yZXYueG1sUEsBAhQAFAAA&#10;AAgAh07iQKlsjGPwAQAAqQMAAA4AAAAAAAAAAQAgAAAAJgEAAGRycy9lMm9Eb2MueG1sUEsFBgAA&#10;AAAGAAYAWQEAAIgFAAAAAA==&#10;">
                        <v:fill on="f" focussize="0,0"/>
                        <v:stroke color="#000000" joinstyle="round" endarrow="block"/>
                        <v:imagedata o:title=""/>
                        <o:lock v:ext="edit" aspectratio="f"/>
                      </v:shape>
                      <v:shape id="文本框 248" o:spid="_x0000_s1026" o:spt="202" type="#_x0000_t202" style="position:absolute;left:940435;top:1694180;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UHalV0wAAAAUBAAAPAAAAAAAA&#10;AAEAIAAAACIAAABkcnMvZG93bnJldi54bWxQSwECFAAUAAAACACHTuJAZANk4aUBAAAWAwAADgAA&#10;AAAAAAABACAAAAAiAQAAZHJzL2Uyb0RvYy54bWxQSwUGAAAAAAYABgBZAQAAOQUAAAAA&#10;">
                        <v:fill on="f" focussize="0,0"/>
                        <v:stroke on="f"/>
                        <v:imagedata o:title=""/>
                        <o:lock v:ext="edit" aspectratio="f"/>
                        <v:textbox>
                          <w:txbxContent>
                            <w:p>
                              <w:pPr>
                                <w:ind w:firstLine="105" w:firstLineChars="50"/>
                              </w:pPr>
                              <w:r>
                                <w:rPr>
                                  <w:rFonts w:hint="eastAsia"/>
                                </w:rPr>
                                <w:t>1800</w:t>
                              </w:r>
                            </w:p>
                          </w:txbxContent>
                        </v:textbox>
                      </v:shape>
                      <v:shape id="文本框 249" o:spid="_x0000_s1026" o:spt="202" type="#_x0000_t202" style="position:absolute;left:949960;top:1894205;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FQdqVXTAAAABQEAAA8AAAAA&#10;AAAAAQAgAAAAIgAAAGRycy9kb3ducmV2LnhtbFBLAQIUABQAAAAIAIdO4kCgQay/pwEAABYDAAAO&#10;AAAAAAAAAAEAIAAAACIBAABkcnMvZTJvRG9jLnhtbFBLBQYAAAAABgAGAFkBAAA7BQAAAAA=&#10;">
                        <v:fill on="f" focussize="0,0"/>
                        <v:stroke on="f"/>
                        <v:imagedata o:title=""/>
                        <o:lock v:ext="edit" aspectratio="f"/>
                        <v:textbox>
                          <w:txbxContent>
                            <w:p>
                              <w:pPr>
                                <w:ind w:firstLine="105" w:firstLineChars="50"/>
                              </w:pPr>
                              <w:r>
                                <w:rPr>
                                  <w:rFonts w:hint="eastAsia"/>
                                </w:rPr>
                                <w:t>拆解</w:t>
                              </w:r>
                            </w:p>
                          </w:txbxContent>
                        </v:textbox>
                      </v:shape>
                      <v:shape id="自选图形 250" o:spid="_x0000_s1026" o:spt="32" type="#_x0000_t32" style="position:absolute;left:1436370;top:274320;height:3343275;width:19685;" filled="f" stroked="t" coordsize="21600,21600" o:gfxdata="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bGl0+1AAA&#10;AAUBAAAPAAAAAAAAAAEAIAAAACIAAABkcnMvZG93bnJldi54bWxQSwECFAAUAAAACACHTuJA/496&#10;bukBAACnAwAADgAAAAAAAAABACAAAAAjAQAAZHJzL2Uyb0RvYy54bWxQSwUGAAAAAAYABgBZAQAA&#10;fgUAAAAA&#10;">
                        <v:fill on="f" focussize="0,0"/>
                        <v:stroke color="#000000" joinstyle="round"/>
                        <v:imagedata o:title=""/>
                        <o:lock v:ext="edit" aspectratio="f"/>
                      </v:shape>
                      <v:shape id="自选图形 251" o:spid="_x0000_s1026" o:spt="32" type="#_x0000_t32" style="position:absolute;left:1436370;top:274320;height:0;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3jfy1wAAAAUBAAAPAAAAAAAAAAEAIAAAACIAAABkcnMvZG93bnJldi54bWxQSwECFAAUAAAA&#10;CACHTuJA+cm7de8BAACmAwAADgAAAAAAAAABACAAAAAmAQAAZHJzL2Uyb0RvYy54bWxQSwUGAAAA&#10;AAYABgBZAQAAhwUAAAAA&#10;">
                        <v:fill on="f" focussize="0,0"/>
                        <v:stroke color="#000000" joinstyle="round" endarrow="block"/>
                        <v:imagedata o:title=""/>
                        <o:lock v:ext="edit" aspectratio="f"/>
                      </v:shape>
                      <v:shape id="自选图形 252" o:spid="_x0000_s1026" o:spt="32" type="#_x0000_t32" style="position:absolute;left:1436370;top:615315;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eN/LXAAAABQEAAA8AAAAAAAAAAQAgAAAAIgAAAGRycy9kb3ducmV2LnhtbFBLAQIUABQA&#10;AAAIAIdO4kCFLwul8QEAAKgDAAAOAAAAAAAAAAEAIAAAACYBAABkcnMvZTJvRG9jLnhtbFBLBQYA&#10;AAAABgAGAFkBAACJBQAAAAA=&#10;">
                        <v:fill on="f" focussize="0,0"/>
                        <v:stroke color="#000000" joinstyle="round" endarrow="block"/>
                        <v:imagedata o:title=""/>
                        <o:lock v:ext="edit" aspectratio="f"/>
                      </v:shape>
                      <v:shape id="自选图形 253" o:spid="_x0000_s1026" o:spt="32" type="#_x0000_t32" style="position:absolute;left:1443355;top:976630;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3jfy1wAAAAUBAAAPAAAAAAAAAAEAIAAAACIAAABkcnMvZG93bnJldi54bWxQSwECFAAUAAAA&#10;CACHTuJARQ9/hu8BAACoAwAADgAAAAAAAAABACAAAAAmAQAAZHJzL2Uyb0RvYy54bWxQSwUGAAAA&#10;AAYABgBZAQAAhwUAAAAA&#10;">
                        <v:fill on="f" focussize="0,0"/>
                        <v:stroke color="#000000" joinstyle="round" endarrow="block"/>
                        <v:imagedata o:title=""/>
                        <o:lock v:ext="edit" aspectratio="f"/>
                      </v:shape>
                      <v:shape id="自选图形 254" o:spid="_x0000_s1026" o:spt="32" type="#_x0000_t32" style="position:absolute;left:1436370;top:1363980;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eN/LXAAAABQEAAA8AAAAAAAAAAQAgAAAAIgAAAGRycy9kb3ducmV2LnhtbFBLAQIUABQAAAAI&#10;AIdO4kASwLLs7gEAAKkDAAAOAAAAAAAAAAEAIAAAACYBAABkcnMvZTJvRG9jLnhtbFBLBQYAAAAA&#10;BgAGAFkBAACGBQAAAAA=&#10;">
                        <v:fill on="f" focussize="0,0"/>
                        <v:stroke color="#000000" joinstyle="round" endarrow="block"/>
                        <v:imagedata o:title=""/>
                        <o:lock v:ext="edit" aspectratio="f"/>
                      </v:shape>
                      <v:shape id="自选图形 255" o:spid="_x0000_s1026" o:spt="32" type="#_x0000_t32" style="position:absolute;left:1456055;top:1755140;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z9438tcAAAAFAQAADwAAAAAAAAABACAAAAAiAAAAZHJzL2Rvd25yZXYueG1sUEsBAhQAFAAA&#10;AAgAh07iQEto2PbwAQAAqQMAAA4AAAAAAAAAAQAgAAAAJgEAAGRycy9lMm9Eb2MueG1sUEsFBgAA&#10;AAAGAAYAWQEAAIgFAAAAAA==&#10;">
                        <v:fill on="f" focussize="0,0"/>
                        <v:stroke color="#000000" joinstyle="round" endarrow="block"/>
                        <v:imagedata o:title=""/>
                        <o:lock v:ext="edit" aspectratio="f"/>
                      </v:shape>
                      <v:shape id="自选图形 256" o:spid="_x0000_s1026" o:spt="32" type="#_x0000_t32" style="position:absolute;left:1457325;top:2159635;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3jfy1wAAAAUBAAAPAAAAAAAAAAEAIAAAACIAAABkcnMvZG93bnJldi54bWxQSwECFAAU&#10;AAAACACHTuJAzyf5nPIBAACpAwAADgAAAAAAAAABACAAAAAmAQAAZHJzL2Uyb0RvYy54bWxQSwUG&#10;AAAAAAYABgBZAQAAigUAAAAA&#10;">
                        <v:fill on="f" focussize="0,0"/>
                        <v:stroke color="#000000" joinstyle="round" endarrow="block"/>
                        <v:imagedata o:title=""/>
                        <o:lock v:ext="edit" aspectratio="f"/>
                      </v:shape>
                      <v:shape id="自选图形 257" o:spid="_x0000_s1026" o:spt="32" type="#_x0000_t32" style="position:absolute;left:1464310;top:2571750;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3jfy1wAAAAUBAAAPAAAAAAAAAAEAIAAAACIAAABkcnMvZG93bnJldi54bWxQSwECFAAUAAAA&#10;CACHTuJAZZCcN+8BAACpAwAADgAAAAAAAAABACAAAAAmAQAAZHJzL2Uyb0RvYy54bWxQSwUGAAAA&#10;AAYABgBZAQAAhwUAAAAA&#10;">
                        <v:fill on="f" focussize="0,0"/>
                        <v:stroke color="#000000" joinstyle="round" endarrow="block"/>
                        <v:imagedata o:title=""/>
                        <o:lock v:ext="edit" aspectratio="f"/>
                      </v:shape>
                      <v:shape id="自选图形 258" o:spid="_x0000_s1026" o:spt="32" type="#_x0000_t32" style="position:absolute;left:1454785;top:2956560;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z9438tcAAAAFAQAADwAAAAAAAAABACAAAAAiAAAAZHJzL2Rvd25yZXYueG1sUEsBAhQAFAAA&#10;AAgAh07iQBygq87wAQAAqQMAAA4AAAAAAAAAAQAgAAAAJgEAAGRycy9lMm9Eb2MueG1sUEsFBgAA&#10;AAAGAAYAWQEAAIgFAAAAAA==&#10;">
                        <v:fill on="f" focussize="0,0"/>
                        <v:stroke color="#000000" joinstyle="round" endarrow="block"/>
                        <v:imagedata o:title=""/>
                        <o:lock v:ext="edit" aspectratio="f"/>
                      </v:shape>
                      <v:shape id="自选图形 259" o:spid="_x0000_s1026" o:spt="32" type="#_x0000_t32" style="position:absolute;left:1452880;top:3617595;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9438tcAAAAFAQAADwAAAAAAAAABACAAAAAiAAAAZHJzL2Rvd25yZXYueG1sUEsBAhQA&#10;FAAAAAgAh07iQGBJkpTzAQAAqQMAAA4AAAAAAAAAAQAgAAAAJgEAAGRycy9lMm9Eb2MueG1sUEsF&#10;BgAAAAAGAAYAWQEAAIsFAAAAAA==&#10;">
                        <v:fill on="f" focussize="0,0"/>
                        <v:stroke color="#000000" joinstyle="round" endarrow="block"/>
                        <v:imagedata o:title=""/>
                        <o:lock v:ext="edit" aspectratio="f"/>
                      </v:shape>
                      <v:shape id="文本框 260" o:spid="_x0000_s1026" o:spt="202" type="#_x0000_t202" style="position:absolute;left:1837690;top:149860;height:266700;width:800100;"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nLvXo1gAAAAUBAAAPAAAAAAAAAAEAIAAAACIAAABkcnMvZG93bnJldi54bWxQ&#10;SwECFAAUAAAACACHTuJAeTIc1fkBAAD1AwAADgAAAAAAAAABACAAAAAlAQAAZHJzL2Uyb0RvYy54&#10;bWxQSwUGAAAAAAYABgBZAQAAkAUAAAAA&#10;">
                        <v:fill on="t" focussize="0,0"/>
                        <v:stroke color="#000000" joinstyle="miter"/>
                        <v:imagedata o:title=""/>
                        <o:lock v:ext="edit" aspectratio="f"/>
                        <v:textbox>
                          <w:txbxContent>
                            <w:p>
                              <w:pPr>
                                <w:ind w:firstLine="210" w:firstLineChars="100"/>
                              </w:pPr>
                              <w:r>
                                <w:t>废钢铁</w:t>
                              </w:r>
                            </w:p>
                          </w:txbxContent>
                        </v:textbox>
                      </v:shape>
                      <v:shape id="自选图形 261" o:spid="_x0000_s1026" o:spt="32" type="#_x0000_t32" style="position:absolute;left:1454150;top:3288665;height:635;width:401320;" filled="f" stroked="t" coordsize="21600,21600" o:gfxdata="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3jfy1wAAAAUBAAAPAAAAAAAAAAEAIAAAACIAAABkcnMvZG93bnJldi54bWxQSwECFAAU&#10;AAAACACHTuJAmxs9k/IBAACpAwAADgAAAAAAAAABACAAAAAmAQAAZHJzL2Uyb0RvYy54bWxQSwUG&#10;AAAAAAYABgBZAQAAigUAAAAA&#10;">
                        <v:fill on="f" focussize="0,0"/>
                        <v:stroke color="#000000" joinstyle="round" endarrow="block"/>
                        <v:imagedata o:title=""/>
                        <o:lock v:ext="edit" aspectratio="f"/>
                      </v:shape>
                      <v:shape id="文本框 262" o:spid="_x0000_s1026" o:spt="202" type="#_x0000_t202" style="position:absolute;left:1844675;top:485140;height:266700;width:894080;"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cu9ejWAAAABQEAAA8AAAAAAAAAAQAgAAAAIgAAAGRycy9kb3ducmV2&#10;LnhtbFBLAQIUABQAAAAIAIdO4kDrhH0w/gEAAPUDAAAOAAAAAAAAAAEAIAAAACUBAABkcnMvZTJv&#10;RG9jLnhtbFBLBQYAAAAABgAGAFkBAACVBQAAAAA=&#10;">
                        <v:fill on="t" focussize="0,0"/>
                        <v:stroke color="#000000" joinstyle="miter"/>
                        <v:imagedata o:title=""/>
                        <o:lock v:ext="edit" aspectratio="f"/>
                        <v:textbox>
                          <w:txbxContent>
                            <w:p>
                              <w:r>
                                <w:t>废有色金属</w:t>
                              </w:r>
                            </w:p>
                          </w:txbxContent>
                        </v:textbox>
                      </v:shape>
                      <v:shape id="文本框 263" o:spid="_x0000_s1026" o:spt="202" type="#_x0000_t202" style="position:absolute;left:1845945;top:842010;height:266700;width:1419225;"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cu9ejWAAAABQEAAA8AAAAAAAAAAQAgAAAAIgAAAGRycy9kb3ducmV2Lnht&#10;bFBLAQIUABQAAAAIAIdO4kCzj+NH+wEAAPYDAAAOAAAAAAAAAAEAIAAAACUBAABkcnMvZTJvRG9j&#10;LnhtbFBLBQYAAAAABgAGAFkBAACSBQAAAAA=&#10;">
                        <v:fill on="t" focussize="0,0"/>
                        <v:stroke color="#000000" joinstyle="miter"/>
                        <v:imagedata o:title=""/>
                        <o:lock v:ext="edit" aspectratio="f"/>
                        <v:textbox>
                          <w:txbxContent>
                            <w:p>
                              <w:r>
                                <w:t>废弃车用电子零部件</w:t>
                              </w:r>
                            </w:p>
                          </w:txbxContent>
                        </v:textbox>
                      </v:shape>
                      <v:shape id="文本框 264" o:spid="_x0000_s1026" o:spt="202" type="#_x0000_t202" style="position:absolute;left:1845945;top:1233170;height:266700;width:838200;"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nLvXo1gAAAAUBAAAPAAAAAAAAAAEAIAAAACIAAABkcnMvZG93bnJldi54&#10;bWxQSwECFAAUAAAACACHTuJAMytIMPwBAAD2AwAADgAAAAAAAAABACAAAAAlAQAAZHJzL2Uyb0Rv&#10;Yy54bWxQSwUGAAAAAAYABgBZAQAAkwUAAAAA&#10;">
                        <v:fill on="t" focussize="0,0"/>
                        <v:stroke color="#000000" joinstyle="miter"/>
                        <v:imagedata o:title=""/>
                        <o:lock v:ext="edit" aspectratio="f"/>
                        <v:textbox>
                          <w:txbxContent>
                            <w:p>
                              <w:r>
                                <w:t>废</w:t>
                              </w:r>
                              <w:r>
                                <w:rPr>
                                  <w:rFonts w:hint="eastAsia"/>
                                </w:rPr>
                                <w:t>塑料</w:t>
                              </w:r>
                            </w:p>
                          </w:txbxContent>
                        </v:textbox>
                      </v:shape>
                      <v:shape id="文本框 265" o:spid="_x0000_s1026" o:spt="202" type="#_x0000_t202" style="position:absolute;left:1865630;top:1645920;height:266700;width:818515;"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y716NYAAAAFAQAADwAAAAAAAAABACAAAAAiAAAAZHJzL2Rvd25yZXYu&#10;eG1sUEsBAhQAFAAAAAgAh07iQEHNWGT9AQAA9gMAAA4AAAAAAAAAAQAgAAAAJQEAAGRycy9lMm9E&#10;b2MueG1sUEsFBgAAAAAGAAYAWQEAAJQFAAAAAA==&#10;">
                        <v:fill on="t" focussize="0,0"/>
                        <v:stroke color="#000000" joinstyle="miter"/>
                        <v:imagedata o:title=""/>
                        <o:lock v:ext="edit" aspectratio="f"/>
                        <v:textbox>
                          <w:txbxContent>
                            <w:p>
                              <w:r>
                                <w:t>废</w:t>
                              </w:r>
                              <w:r>
                                <w:rPr>
                                  <w:rFonts w:hint="eastAsia"/>
                                </w:rPr>
                                <w:t>玻璃</w:t>
                              </w:r>
                            </w:p>
                          </w:txbxContent>
                        </v:textbox>
                      </v:shape>
                      <v:shape id="文本框 266" o:spid="_x0000_s1026" o:spt="202" type="#_x0000_t202" style="position:absolute;left:1865630;top:2037080;height:266700;width:818515;"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cu9ejWAAAABQEAAA8AAAAAAAAAAQAgAAAAIgAAAGRycy9kb3ducmV2&#10;LnhtbFBLAQIUABQAAAAIAIdO4kCpyYRs/gEAAPYDAAAOAAAAAAAAAAEAIAAAACUBAABkcnMvZTJv&#10;RG9jLnhtbFBLBQYAAAAABgAGAFkBAACVBQAAAAA=&#10;">
                        <v:fill on="t" focussize="0,0"/>
                        <v:stroke color="#000000" joinstyle="miter"/>
                        <v:imagedata o:title=""/>
                        <o:lock v:ext="edit" aspectratio="f"/>
                        <v:textbox>
                          <w:txbxContent>
                            <w:p>
                              <w:r>
                                <w:t>废</w:t>
                              </w:r>
                              <w:r>
                                <w:rPr>
                                  <w:rFonts w:hint="eastAsia"/>
                                </w:rPr>
                                <w:t>橡胶</w:t>
                              </w:r>
                            </w:p>
                          </w:txbxContent>
                        </v:textbox>
                      </v:shape>
                      <v:shape id="文本框 267" o:spid="_x0000_s1026" o:spt="202" type="#_x0000_t202" style="position:absolute;left:1874520;top:2452370;height:266700;width:1692275;"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y716NYAAAAFAQAADwAAAAAAAAABACAAAAAiAAAAZHJzL2Rvd25yZXYu&#10;eG1sUEsBAhQAFAAAAAgAh07iQB12aVL9AQAA9wMAAA4AAAAAAAAAAQAgAAAAJQEAAGRycy9lMm9E&#10;b2MueG1sUEsFBgAAAAAGAAYAWQEAAJQFAAAAAA==&#10;">
                        <v:fill on="t" focussize="0,0"/>
                        <v:stroke color="#000000" joinstyle="miter"/>
                        <v:imagedata o:title=""/>
                        <o:lock v:ext="edit" aspectratio="f"/>
                        <v:textbox>
                          <w:txbxContent>
                            <w:p>
                              <w:r>
                                <w:t>废有机溶剂与含有机溶剂</w:t>
                              </w:r>
                              <w:r>
                                <w:rPr>
                                  <w:color w:val="FF0000"/>
                                  <w:szCs w:val="21"/>
                                </w:rPr>
                                <w:t>废物</w:t>
                              </w:r>
                            </w:p>
                          </w:txbxContent>
                        </v:textbox>
                      </v:shape>
                      <v:shape id="文本框 268" o:spid="_x0000_s1026" o:spt="202" type="#_x0000_t202" style="position:absolute;left:1855469;top:2823845;height:266700;width:1711325;"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cu9ejWAAAABQEAAA8AAAAAAAAAAQAgAAAAIgAAAGRycy9kb3ducmV2&#10;LnhtbFBLAQIUABQAAAAIAIdO4kCZCwfW/gEAAPcDAAAOAAAAAAAAAAEAIAAAACUBAABkcnMvZTJv&#10;RG9jLnhtbFBLBQYAAAAABgAGAFkBAACVBQAAAAA=&#10;">
                        <v:fill on="t" focussize="0,0"/>
                        <v:stroke color="#000000" joinstyle="miter"/>
                        <v:imagedata o:title=""/>
                        <o:lock v:ext="edit" aspectratio="f"/>
                        <v:textbox>
                          <w:txbxContent>
                            <w:p>
                              <w:r>
                                <w:rPr>
                                  <w:szCs w:val="21"/>
                                </w:rPr>
                                <w:t>废矿物油与含矿物油废物</w:t>
                              </w:r>
                            </w:p>
                          </w:txbxContent>
                        </v:textbox>
                      </v:shape>
                      <v:shape id="文本框 269" o:spid="_x0000_s1026" o:spt="202" type="#_x0000_t202" style="position:absolute;left:1865630;top:3151505;height:266700;width:894080;"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cu9ejWAAAABQEAAA8AAAAAAAAAAQAgAAAAIgAAAGRycy9kb3ducmV2&#10;LnhtbFBLAQIUABQAAAAIAIdO4kB8lxP6/gEAAPYDAAAOAAAAAAAAAAEAIAAAACUBAABkcnMvZTJv&#10;RG9jLnhtbFBLBQYAAAAABgAGAFkBAACVBQAAAAA=&#10;">
                        <v:fill on="t" focussize="0,0"/>
                        <v:stroke color="#000000" joinstyle="miter"/>
                        <v:imagedata o:title=""/>
                        <o:lock v:ext="edit" aspectratio="f"/>
                        <v:textbox>
                          <w:txbxContent>
                            <w:p>
                              <w:r>
                                <w:t>废</w:t>
                              </w:r>
                              <w:r>
                                <w:rPr>
                                  <w:szCs w:val="21"/>
                                </w:rPr>
                                <w:t>铅蓄电池</w:t>
                              </w:r>
                              <w:r>
                                <w:rPr>
                                  <w:color w:val="FF0000"/>
                                  <w:szCs w:val="21"/>
                                </w:rPr>
                                <w:t>铅蓄电池</w:t>
                              </w:r>
                            </w:p>
                          </w:txbxContent>
                        </v:textbox>
                      </v:shape>
                      <v:shape id="文本框 270" o:spid="_x0000_s1026" o:spt="202" type="#_x0000_t202" style="position:absolute;left:1865630;top:3487420;height:266700;width:1097280;" fillcolor="#FFFFFF" filled="t" stroked="t" coordsize="21600,21600" o:gfxdata="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nLvXo1gAAAAUBAAAPAAAAAAAAAAEAIAAAACIAAABkcnMvZG93bnJl&#10;di54bWxQSwECFAAUAAAACACHTuJAAKeYiv8BAAD3AwAADgAAAAAAAAABACAAAAAlAQAAZHJzL2Uy&#10;b0RvYy54bWxQSwUGAAAAAAYABgBZAQAAlgUAAAAA&#10;">
                        <v:fill on="t" focussize="0,0"/>
                        <v:stroke color="#000000" joinstyle="miter"/>
                        <v:imagedata o:title=""/>
                        <o:lock v:ext="edit" aspectratio="f"/>
                        <v:textbox>
                          <w:txbxContent>
                            <w:p>
                              <w:r>
                                <w:rPr>
                                  <w:rFonts w:hint="eastAsia"/>
                                </w:rPr>
                                <w:t>不可利用废物</w:t>
                              </w:r>
                            </w:p>
                          </w:txbxContent>
                        </v:textbox>
                      </v:shape>
                      <v:shape id="文本框 271" o:spid="_x0000_s1026" o:spt="202" type="#_x0000_t202" style="position:absolute;left:1341120;top:59690;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FQdqVXTAAAABQEAAA8AAAAAAAAA&#10;AQAgAAAAIgAAAGRycy9kb3ducmV2LnhtbFBLAQIUABQAAAAIAIdO4kB3HI8CpAEAABUDAAAOAAAA&#10;AAAAAAEAIAAAACIBAABkcnMvZTJvRG9jLnhtbFBLBQYAAAAABgAGAFkBAAA4BQAAAAA=&#10;">
                        <v:fill on="f" focussize="0,0"/>
                        <v:stroke on="f"/>
                        <v:imagedata o:title=""/>
                        <o:lock v:ext="edit" aspectratio="f"/>
                        <v:textbox>
                          <w:txbxContent>
                            <w:p>
                              <w:pPr>
                                <w:ind w:firstLine="105" w:firstLineChars="50"/>
                              </w:pPr>
                              <w:r>
                                <w:rPr>
                                  <w:rFonts w:hint="eastAsia"/>
                                </w:rPr>
                                <w:t>1296</w:t>
                              </w:r>
                            </w:p>
                          </w:txbxContent>
                        </v:textbox>
                      </v:shape>
                      <v:shape id="文本框 272" o:spid="_x0000_s1026" o:spt="202" type="#_x0000_t202" style="position:absolute;left:1328420;top:409575;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VB2pVdMAAAAFAQAADwAAAAAA&#10;AAABACAAAAAiAAAAZHJzL2Rvd25yZXYueG1sUEsBAhQAFAAAAAgAh07iQNQyCp+mAQAAFgMAAA4A&#10;AAAAAAAAAQAgAAAAIgEAAGRycy9lMm9Eb2MueG1sUEsFBgAAAAAGAAYAWQEAADoFAAAAAA==&#10;">
                        <v:fill on="f" focussize="0,0"/>
                        <v:stroke on="f"/>
                        <v:imagedata o:title=""/>
                        <o:lock v:ext="edit" aspectratio="f"/>
                        <v:textbox>
                          <w:txbxContent>
                            <w:p>
                              <w:pPr>
                                <w:ind w:firstLine="105" w:firstLineChars="50"/>
                              </w:pPr>
                              <w:r>
                                <w:rPr>
                                  <w:rFonts w:hint="eastAsia"/>
                                </w:rPr>
                                <w:t>180</w:t>
                              </w:r>
                            </w:p>
                          </w:txbxContent>
                        </v:textbox>
                      </v:shape>
                      <v:shape id="文本框 273" o:spid="_x0000_s1026" o:spt="202" type="#_x0000_t202" style="position:absolute;left:1438275;top:751840;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UHalV0wAAAAUBAAAPAAAAAAAA&#10;AAEAIAAAACIAAABkcnMvZG93bnJldi54bWxQSwECFAAUAAAACACHTuJAhu1f4aUBAAAWAwAADgAA&#10;AAAAAAABACAAAAAiAQAAZHJzL2Uyb0RvYy54bWxQSwUGAAAAAAYABgBZAQAAOQUAAAAA&#10;">
                        <v:fill on="f" focussize="0,0"/>
                        <v:stroke on="f"/>
                        <v:imagedata o:title=""/>
                        <o:lock v:ext="edit" aspectratio="f"/>
                        <v:textbox>
                          <w:txbxContent>
                            <w:p>
                              <w:pPr>
                                <w:ind w:firstLine="105" w:firstLineChars="50"/>
                              </w:pPr>
                              <w:r>
                                <w:rPr>
                                  <w:rFonts w:hint="eastAsia"/>
                                </w:rPr>
                                <w:t>9</w:t>
                              </w:r>
                            </w:p>
                          </w:txbxContent>
                        </v:textbox>
                      </v:shape>
                      <v:shape id="文本框 274" o:spid="_x0000_s1026" o:spt="202" type="#_x0000_t202" style="position:absolute;left:1339215;top:1146810;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VB2pVdMAAAAFAQAADwAAAAAA&#10;AAABACAAAAAiAAAAZHJzL2Rvd25yZXYueG1sUEsBAhQAFAAAAAgAh07iQPGi59GmAQAAFwMAAA4A&#10;AAAAAAAAAQAgAAAAIgEAAGRycy9lMm9Eb2MueG1sUEsFBgAAAAAGAAYAWQEAADoFAAAAAA==&#10;">
                        <v:fill on="f" focussize="0,0"/>
                        <v:stroke on="f"/>
                        <v:imagedata o:title=""/>
                        <o:lock v:ext="edit" aspectratio="f"/>
                        <v:textbox>
                          <w:txbxContent>
                            <w:p>
                              <w:pPr>
                                <w:ind w:firstLine="105" w:firstLineChars="50"/>
                              </w:pPr>
                              <w:r>
                                <w:rPr>
                                  <w:rFonts w:hint="eastAsia"/>
                                </w:rPr>
                                <w:t>144</w:t>
                              </w:r>
                            </w:p>
                          </w:txbxContent>
                        </v:textbox>
                      </v:shape>
                      <v:shape id="文本框 275" o:spid="_x0000_s1026" o:spt="202" type="#_x0000_t202" style="position:absolute;left:1330325;top:1555750;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FQdqVXTAAAABQEAAA8AAAAAAAAA&#10;AQAgAAAAIgAAAGRycy9kb3ducmV2LnhtbFBLAQIUABQAAAAIAIdO4kB6yqRgpAEAABcDAAAOAAAA&#10;AAAAAAEAIAAAACIBAABkcnMvZTJvRG9jLnhtbFBLBQYAAAAABgAGAFkBAAA4BQAAAAA=&#10;">
                        <v:fill on="f" focussize="0,0"/>
                        <v:stroke on="f"/>
                        <v:imagedata o:title=""/>
                        <o:lock v:ext="edit" aspectratio="f"/>
                        <v:textbox>
                          <w:txbxContent>
                            <w:p>
                              <w:pPr>
                                <w:ind w:firstLine="105" w:firstLineChars="50"/>
                              </w:pPr>
                              <w:r>
                                <w:rPr>
                                  <w:rFonts w:hint="eastAsia"/>
                                </w:rPr>
                                <w:t>57.6</w:t>
                              </w:r>
                            </w:p>
                          </w:txbxContent>
                        </v:textbox>
                      </v:shape>
                      <v:shape id="文本框 276" o:spid="_x0000_s1026" o:spt="202" type="#_x0000_t202" style="position:absolute;left:1405890;top:1943735;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BUHalV0wAAAAUBAAAPAAAA&#10;AAAAAAEAIAAAACIAAABkcnMvZG93bnJldi54bWxQSwECFAAUAAAACACHTuJAfsphiagBAAAXAwAA&#10;DgAAAAAAAAABACAAAAAiAQAAZHJzL2Uyb0RvYy54bWxQSwUGAAAAAAYABgBZAQAAPAUAAAAA&#10;">
                        <v:fill on="f" focussize="0,0"/>
                        <v:stroke on="f"/>
                        <v:imagedata o:title=""/>
                        <o:lock v:ext="edit" aspectratio="f"/>
                        <v:textbox>
                          <w:txbxContent>
                            <w:p>
                              <w:pPr>
                                <w:ind w:firstLine="105" w:firstLineChars="50"/>
                              </w:pPr>
                              <w:r>
                                <w:rPr>
                                  <w:rFonts w:hint="eastAsia"/>
                                </w:rPr>
                                <w:t>90</w:t>
                              </w:r>
                            </w:p>
                          </w:txbxContent>
                        </v:textbox>
                      </v:shape>
                      <v:shape id="文本框 277" o:spid="_x0000_s1026" o:spt="202" type="#_x0000_t202" style="position:absolute;left:1393190;top:2365375;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FQdqVXTAAAABQEAAA8AAAAA&#10;AAAAAQAgAAAAIgAAAGRycy9kb3ducmV2LnhtbFBLAQIUABQAAAAIAIdO4kAYPIexpwEAABcDAAAO&#10;AAAAAAAAAAEAIAAAACIBAABkcnMvZTJvRG9jLnhtbFBLBQYAAAAABgAGAFkBAAA7BQAAAAA=&#10;">
                        <v:fill on="f" focussize="0,0"/>
                        <v:stroke on="f"/>
                        <v:imagedata o:title=""/>
                        <o:lock v:ext="edit" aspectratio="f"/>
                        <v:textbox>
                          <w:txbxContent>
                            <w:p>
                              <w:pPr>
                                <w:ind w:firstLine="105" w:firstLineChars="50"/>
                              </w:pPr>
                              <w:r>
                                <w:rPr>
                                  <w:rFonts w:hint="eastAsia"/>
                                </w:rPr>
                                <w:t>0.3</w:t>
                              </w:r>
                            </w:p>
                          </w:txbxContent>
                        </v:textbox>
                      </v:shape>
                      <v:shape id="文本框 278" o:spid="_x0000_s1026" o:spt="202" type="#_x0000_t202" style="position:absolute;left:1339215;top:2743835;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FQdqVXTAAAABQEAAA8AAAAA&#10;AAAAAQAgAAAAIgAAAGRycy9kb3ducmV2LnhtbFBLAQIUABQAAAAIAIdO4kD1MBXgpwEAABcDAAAO&#10;AAAAAAAAAAEAIAAAACIBAABkcnMvZTJvRG9jLnhtbFBLBQYAAAAABgAGAFkBAAA7BQAAAAA=&#10;">
                        <v:fill on="f" focussize="0,0"/>
                        <v:stroke on="f"/>
                        <v:imagedata o:title=""/>
                        <o:lock v:ext="edit" aspectratio="f"/>
                        <v:textbox>
                          <w:txbxContent>
                            <w:p>
                              <w:pPr>
                                <w:ind w:firstLine="105" w:firstLineChars="50"/>
                              </w:pPr>
                              <w:r>
                                <w:rPr>
                                  <w:rFonts w:hint="eastAsia"/>
                                </w:rPr>
                                <w:t>3.003</w:t>
                              </w:r>
                            </w:p>
                          </w:txbxContent>
                        </v:textbox>
                      </v:shape>
                      <v:shape id="文本框 279" o:spid="_x0000_s1026" o:spt="202" type="#_x0000_t202" style="position:absolute;left:1382395;top:3090545;height:266700;width:582295;"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FQdqVXTAAAABQEAAA8AAAAA&#10;AAAAAQAgAAAAIgAAAGRycy9kb3ducmV2LnhtbFBLAQIUABQAAAAIAIdO4kDcn1oEpwEAABcDAAAO&#10;AAAAAAAAAAEAIAAAACIBAABkcnMvZTJvRG9jLnhtbFBLBQYAAAAABgAGAFkBAAA7BQAAAAA=&#10;">
                        <v:fill on="f" focussize="0,0"/>
                        <v:stroke on="f"/>
                        <v:imagedata o:title=""/>
                        <o:lock v:ext="edit" aspectratio="f"/>
                        <v:textbox>
                          <w:txbxContent>
                            <w:p>
                              <w:pPr>
                                <w:ind w:firstLine="105" w:firstLineChars="50"/>
                              </w:pPr>
                              <w:r>
                                <w:rPr>
                                  <w:rFonts w:hint="eastAsia"/>
                                </w:rPr>
                                <w:t>3.0</w:t>
                              </w:r>
                            </w:p>
                          </w:txbxContent>
                        </v:textbox>
                      </v:shape>
                      <v:shape id="文本框 280" o:spid="_x0000_s1026" o:spt="202" type="#_x0000_t202" style="position:absolute;left:1296035;top:3411855;height:266700;width:759460;" filled="f" stroked="f" coordsize="21600,21600" o:gfxdata="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FQdqVXTAAAABQEAAA8AAAAA&#10;AAAAAQAgAAAAIgAAAGRycy9kb3ducmV2LnhtbFBLAQIUABQAAAAIAIdO4kD/v65NpwEAABcDAAAO&#10;AAAAAAAAAAEAIAAAACIBAABkcnMvZTJvRG9jLnhtbFBLBQYAAAAABgAGAFkBAAA7BQAAAAA=&#10;">
                        <v:fill on="f" focussize="0,0"/>
                        <v:stroke on="f"/>
                        <v:imagedata o:title=""/>
                        <o:lock v:ext="edit" aspectratio="f"/>
                        <v:textbox>
                          <w:txbxContent>
                            <w:p>
                              <w:pPr>
                                <w:ind w:firstLine="105" w:firstLineChars="50"/>
                              </w:pPr>
                              <w:r>
                                <w:rPr>
                                  <w:rFonts w:hint="eastAsia"/>
                                </w:rPr>
                                <w:t>17.097</w:t>
                              </w:r>
                            </w:p>
                          </w:txbxContent>
                        </v:textbox>
                      </v:shape>
                      <w10:wrap type="none"/>
                      <w10:anchorlock/>
                    </v:group>
                  </w:pict>
                </mc:Fallback>
              </mc:AlternateContent>
            </w:r>
          </w:p>
          <w:p>
            <w:pPr>
              <w:pStyle w:val="89"/>
              <w:ind w:left="0" w:firstLine="0"/>
            </w:pPr>
            <w:r>
              <w:rPr>
                <w:rFonts w:hint="eastAsia"/>
              </w:rPr>
              <w:t>图2-1</w:t>
            </w:r>
            <w:r>
              <w:t>项目物料平衡图（单位：t/a）</w:t>
            </w:r>
          </w:p>
          <w:p>
            <w:pPr>
              <w:spacing w:line="360" w:lineRule="auto"/>
              <w:ind w:firstLine="482" w:firstLineChars="200"/>
              <w:contextualSpacing/>
              <w:jc w:val="left"/>
              <w:rPr>
                <w:rFonts w:eastAsiaTheme="minorEastAsia"/>
                <w:b/>
                <w:kern w:val="0"/>
                <w:sz w:val="24"/>
              </w:rPr>
            </w:pPr>
            <w:r>
              <w:rPr>
                <w:rFonts w:eastAsiaTheme="minorEastAsia"/>
                <w:b/>
                <w:kern w:val="0"/>
                <w:sz w:val="24"/>
              </w:rPr>
              <w:t>5</w:t>
            </w:r>
            <w:r>
              <w:rPr>
                <w:rFonts w:hint="eastAsia" w:eastAsiaTheme="minorEastAsia"/>
                <w:b/>
                <w:kern w:val="0"/>
                <w:sz w:val="24"/>
              </w:rPr>
              <w:t>、公用工程</w:t>
            </w:r>
          </w:p>
          <w:p>
            <w:pPr>
              <w:spacing w:line="360" w:lineRule="auto"/>
              <w:ind w:firstLine="480" w:firstLineChars="200"/>
              <w:contextualSpacing/>
              <w:rPr>
                <w:rFonts w:eastAsiaTheme="minorEastAsia"/>
                <w:sz w:val="24"/>
              </w:rPr>
            </w:pPr>
            <w:r>
              <w:rPr>
                <w:rFonts w:hint="eastAsia" w:eastAsiaTheme="minorEastAsia"/>
                <w:sz w:val="24"/>
              </w:rPr>
              <w:t>（</w:t>
            </w:r>
            <w:r>
              <w:rPr>
                <w:rFonts w:eastAsiaTheme="minorEastAsia"/>
                <w:sz w:val="24"/>
              </w:rPr>
              <w:t>1</w:t>
            </w:r>
            <w:r>
              <w:rPr>
                <w:rFonts w:hint="eastAsia" w:eastAsiaTheme="minorEastAsia"/>
                <w:sz w:val="24"/>
              </w:rPr>
              <w:t>）供水：本项目用水来源为东城镇饮用水水源自来水，</w:t>
            </w:r>
            <w:r>
              <w:rPr>
                <w:rFonts w:eastAsiaTheme="minorEastAsia"/>
                <w:sz w:val="24"/>
              </w:rPr>
              <w:t>生活用水量计算参照</w:t>
            </w:r>
            <w:r>
              <w:rPr>
                <w:rFonts w:eastAsiaTheme="minorEastAsia"/>
                <w:bCs/>
                <w:sz w:val="24"/>
              </w:rPr>
              <w:t>《黑龙江省地方标准用水定额》（DB23/T727-2021）</w:t>
            </w:r>
            <w:r>
              <w:rPr>
                <w:rFonts w:eastAsiaTheme="minorEastAsia"/>
                <w:sz w:val="24"/>
              </w:rPr>
              <w:t>取</w:t>
            </w:r>
            <w:r>
              <w:rPr>
                <w:rFonts w:hint="eastAsia" w:eastAsiaTheme="minorEastAsia"/>
                <w:sz w:val="24"/>
              </w:rPr>
              <w:t>80L/人</w:t>
            </w:r>
            <w:r>
              <w:rPr>
                <w:rFonts w:eastAsiaTheme="minorEastAsia"/>
                <w:sz w:val="24"/>
              </w:rPr>
              <w:t>·</w:t>
            </w:r>
            <w:r>
              <w:rPr>
                <w:rFonts w:hint="eastAsia" w:eastAsiaTheme="minorEastAsia"/>
                <w:sz w:val="24"/>
              </w:rPr>
              <w:t>d</w:t>
            </w:r>
            <w:r>
              <w:rPr>
                <w:rFonts w:eastAsiaTheme="minorEastAsia"/>
                <w:sz w:val="24"/>
              </w:rPr>
              <w:t>，</w:t>
            </w:r>
            <w:r>
              <w:rPr>
                <w:rFonts w:hint="eastAsia" w:eastAsiaTheme="minorEastAsia"/>
                <w:sz w:val="24"/>
              </w:rPr>
              <w:t>本项目员工8人，故</w:t>
            </w:r>
            <w:r>
              <w:rPr>
                <w:rFonts w:eastAsiaTheme="minorEastAsia"/>
                <w:sz w:val="24"/>
              </w:rPr>
              <w:t>生活用水量为</w:t>
            </w:r>
            <w:r>
              <w:rPr>
                <w:rFonts w:hint="eastAsia" w:eastAsiaTheme="minorEastAsia"/>
                <w:sz w:val="24"/>
              </w:rPr>
              <w:t>0.64</w:t>
            </w:r>
            <w:r>
              <w:rPr>
                <w:rFonts w:eastAsiaTheme="minorEastAsia"/>
                <w:sz w:val="24"/>
              </w:rPr>
              <w:t>t/d，</w:t>
            </w:r>
            <w:r>
              <w:rPr>
                <w:rFonts w:hint="eastAsia" w:eastAsiaTheme="minorEastAsia"/>
                <w:sz w:val="24"/>
              </w:rPr>
              <w:t>153.6</w:t>
            </w:r>
            <w:r>
              <w:rPr>
                <w:rFonts w:eastAsiaTheme="minorEastAsia"/>
                <w:sz w:val="24"/>
              </w:rPr>
              <w:t>t/a</w:t>
            </w:r>
            <w:r>
              <w:rPr>
                <w:rFonts w:hint="eastAsia" w:eastAsiaTheme="minorEastAsia"/>
                <w:sz w:val="24"/>
              </w:rPr>
              <w:t>。</w:t>
            </w:r>
          </w:p>
          <w:p>
            <w:pPr>
              <w:widowControl/>
              <w:spacing w:line="360" w:lineRule="auto"/>
              <w:ind w:firstLine="480" w:firstLineChars="200"/>
              <w:contextualSpacing/>
              <w:rPr>
                <w:rFonts w:eastAsiaTheme="minorEastAsia"/>
                <w:sz w:val="24"/>
              </w:rPr>
            </w:pPr>
            <w:r>
              <w:rPr>
                <w:rFonts w:hint="eastAsia" w:eastAsiaTheme="minorEastAsia"/>
                <w:sz w:val="24"/>
              </w:rPr>
              <w:t>（</w:t>
            </w:r>
            <w:r>
              <w:rPr>
                <w:rFonts w:eastAsiaTheme="minorEastAsia"/>
                <w:sz w:val="24"/>
              </w:rPr>
              <w:t>2</w:t>
            </w:r>
            <w:r>
              <w:rPr>
                <w:rFonts w:hint="eastAsia" w:eastAsiaTheme="minorEastAsia"/>
                <w:sz w:val="24"/>
              </w:rPr>
              <w:t>）</w:t>
            </w:r>
            <w:r>
              <w:rPr>
                <w:rFonts w:hint="eastAsia" w:eastAsiaTheme="minorEastAsia"/>
                <w:kern w:val="0"/>
                <w:sz w:val="24"/>
              </w:rPr>
              <w:t>排水：本项目产生的废水主要为员工的生活污水，生活污水产生量按生活用水量的</w:t>
            </w:r>
            <w:r>
              <w:rPr>
                <w:rFonts w:eastAsiaTheme="minorEastAsia"/>
                <w:kern w:val="0"/>
                <w:sz w:val="24"/>
              </w:rPr>
              <w:t>80%</w:t>
            </w:r>
            <w:r>
              <w:rPr>
                <w:rFonts w:hint="eastAsia" w:eastAsiaTheme="minorEastAsia"/>
                <w:kern w:val="0"/>
                <w:sz w:val="24"/>
              </w:rPr>
              <w:t>计算，产生量为0.51</w:t>
            </w:r>
            <w:r>
              <w:rPr>
                <w:rFonts w:eastAsiaTheme="minorEastAsia"/>
                <w:kern w:val="0"/>
                <w:sz w:val="24"/>
              </w:rPr>
              <w:t>t/d</w:t>
            </w:r>
            <w:r>
              <w:rPr>
                <w:rFonts w:hint="eastAsia" w:eastAsiaTheme="minorEastAsia"/>
                <w:kern w:val="0"/>
                <w:sz w:val="24"/>
              </w:rPr>
              <w:t>，122.9</w:t>
            </w:r>
            <w:r>
              <w:rPr>
                <w:rFonts w:eastAsiaTheme="minorEastAsia"/>
                <w:kern w:val="0"/>
                <w:sz w:val="24"/>
              </w:rPr>
              <w:t>t/a</w:t>
            </w:r>
            <w:r>
              <w:rPr>
                <w:rFonts w:hint="eastAsia" w:eastAsiaTheme="minorEastAsia"/>
                <w:kern w:val="0"/>
                <w:sz w:val="24"/>
              </w:rPr>
              <w:t>。排入防渗旱厕，定期清掏，外运堆肥，不外排</w:t>
            </w:r>
            <w:r>
              <w:rPr>
                <w:rFonts w:hint="eastAsia" w:eastAsiaTheme="minorEastAsia"/>
                <w:sz w:val="24"/>
              </w:rPr>
              <w:t>。</w:t>
            </w:r>
          </w:p>
          <w:p>
            <w:pPr>
              <w:spacing w:line="360" w:lineRule="auto"/>
              <w:ind w:firstLine="480" w:firstLineChars="200"/>
              <w:contextualSpacing/>
              <w:rPr>
                <w:rFonts w:eastAsiaTheme="minorEastAsia"/>
                <w:sz w:val="24"/>
              </w:rPr>
            </w:pPr>
            <w:r>
              <w:rPr>
                <w:rFonts w:hint="eastAsia" w:eastAsiaTheme="minorEastAsia"/>
                <w:sz w:val="24"/>
              </w:rPr>
              <w:t>厂区初期雨水考虑降雨形成地面径流后</w:t>
            </w:r>
            <w:r>
              <w:rPr>
                <w:rFonts w:eastAsiaTheme="minorEastAsia"/>
                <w:sz w:val="24"/>
              </w:rPr>
              <w:t>15min</w:t>
            </w:r>
            <w:r>
              <w:rPr>
                <w:rFonts w:hint="eastAsia" w:eastAsiaTheme="minorEastAsia"/>
                <w:sz w:val="24"/>
              </w:rPr>
              <w:t>内，收集的厂区受污染区域的地面雨水，厂区分为污染区和非污染区，非污染区主要指厂区办公区、产品贮存间等，污染区为停车场（4200</w:t>
            </w:r>
            <w:r>
              <w:rPr>
                <w:rFonts w:eastAsiaTheme="minorEastAsia"/>
                <w:sz w:val="24"/>
              </w:rPr>
              <w:t>m</w:t>
            </w:r>
            <w:r>
              <w:rPr>
                <w:rFonts w:eastAsiaTheme="minorEastAsia"/>
                <w:sz w:val="24"/>
                <w:vertAlign w:val="superscript"/>
              </w:rPr>
              <w:t>2</w:t>
            </w:r>
            <w:r>
              <w:rPr>
                <w:rFonts w:hint="eastAsia" w:eastAsiaTheme="minorEastAsia"/>
                <w:sz w:val="24"/>
              </w:rPr>
              <w:t>）和全封闭式拆解车间（3000</w:t>
            </w:r>
            <w:r>
              <w:rPr>
                <w:rFonts w:eastAsiaTheme="minorEastAsia"/>
                <w:sz w:val="24"/>
              </w:rPr>
              <w:t>m</w:t>
            </w:r>
            <w:r>
              <w:rPr>
                <w:rFonts w:eastAsiaTheme="minorEastAsia"/>
                <w:sz w:val="24"/>
                <w:vertAlign w:val="superscript"/>
              </w:rPr>
              <w:t>2</w:t>
            </w:r>
            <w:r>
              <w:rPr>
                <w:rFonts w:hint="eastAsia" w:eastAsiaTheme="minorEastAsia"/>
                <w:sz w:val="24"/>
              </w:rPr>
              <w:t>），故厂区汇水面积约为7200</w:t>
            </w:r>
            <w:r>
              <w:rPr>
                <w:rFonts w:eastAsiaTheme="minorEastAsia"/>
                <w:sz w:val="24"/>
              </w:rPr>
              <w:t>m</w:t>
            </w:r>
            <w:r>
              <w:rPr>
                <w:rFonts w:eastAsiaTheme="minorEastAsia"/>
                <w:sz w:val="24"/>
                <w:vertAlign w:val="superscript"/>
              </w:rPr>
              <w:t>2</w:t>
            </w:r>
            <w:r>
              <w:rPr>
                <w:rFonts w:hint="eastAsia" w:eastAsiaTheme="minorEastAsia"/>
                <w:bCs/>
                <w:sz w:val="24"/>
              </w:rPr>
              <w:t>。</w:t>
            </w:r>
            <w:r>
              <w:rPr>
                <w:rFonts w:hint="eastAsia" w:eastAsiaTheme="minorEastAsia"/>
                <w:sz w:val="24"/>
              </w:rPr>
              <w:t>降雨初期地面水与气象条件密切相关，具有间歇性、时间间隔的变化大等特点。本环评根据鸡西市地区暴雨强度公式计算初期雨水量。</w:t>
            </w:r>
          </w:p>
          <w:p>
            <w:pPr>
              <w:spacing w:line="360" w:lineRule="auto"/>
              <w:ind w:firstLine="480" w:firstLineChars="200"/>
              <w:contextualSpacing/>
              <w:jc w:val="center"/>
              <w:rPr>
                <w:rFonts w:eastAsiaTheme="minorEastAsia"/>
                <w:sz w:val="24"/>
              </w:rPr>
            </w:pPr>
            <w:r>
              <w:rPr>
                <w:rFonts w:eastAsiaTheme="minorEastAsia"/>
                <w:sz w:val="24"/>
              </w:rPr>
              <w:t>q=2054(1+0.76lgP)/(t+7)</w:t>
            </w:r>
            <w:r>
              <w:rPr>
                <w:rFonts w:eastAsiaTheme="minorEastAsia"/>
                <w:sz w:val="24"/>
                <w:vertAlign w:val="superscript"/>
              </w:rPr>
              <w:t>0.87</w:t>
            </w:r>
          </w:p>
          <w:p>
            <w:pPr>
              <w:spacing w:line="360" w:lineRule="auto"/>
              <w:ind w:firstLine="480" w:firstLineChars="200"/>
              <w:contextualSpacing/>
              <w:rPr>
                <w:rFonts w:eastAsiaTheme="minorEastAsia"/>
                <w:sz w:val="24"/>
              </w:rPr>
            </w:pPr>
            <w:r>
              <w:rPr>
                <w:rFonts w:hint="eastAsia" w:eastAsiaTheme="minorEastAsia"/>
                <w:sz w:val="24"/>
              </w:rPr>
              <w:t>其中：</w:t>
            </w:r>
            <w:r>
              <w:rPr>
                <w:rFonts w:eastAsiaTheme="minorEastAsia"/>
                <w:sz w:val="24"/>
              </w:rPr>
              <w:t>q</w:t>
            </w:r>
            <w:r>
              <w:rPr>
                <w:rFonts w:hint="eastAsia" w:eastAsiaTheme="minorEastAsia"/>
                <w:sz w:val="24"/>
              </w:rPr>
              <w:t>：暴雨强度（</w:t>
            </w:r>
            <w:r>
              <w:rPr>
                <w:rFonts w:eastAsiaTheme="minorEastAsia"/>
                <w:sz w:val="24"/>
              </w:rPr>
              <w:t>L/s·</w:t>
            </w:r>
            <w:r>
              <w:rPr>
                <w:rFonts w:hint="eastAsia" w:eastAsiaTheme="minorEastAsia"/>
                <w:sz w:val="24"/>
              </w:rPr>
              <w:t>万</w:t>
            </w:r>
            <w:r>
              <w:rPr>
                <w:rFonts w:eastAsiaTheme="minorEastAsia"/>
                <w:sz w:val="24"/>
              </w:rPr>
              <w:t>m</w:t>
            </w:r>
            <w:r>
              <w:rPr>
                <w:rFonts w:eastAsiaTheme="minorEastAsia"/>
                <w:sz w:val="24"/>
                <w:vertAlign w:val="superscript"/>
              </w:rPr>
              <w:t>2</w:t>
            </w:r>
            <w:r>
              <w:rPr>
                <w:rFonts w:hint="eastAsia" w:eastAsiaTheme="minorEastAsia"/>
                <w:sz w:val="24"/>
              </w:rPr>
              <w:t>）</w:t>
            </w:r>
          </w:p>
          <w:p>
            <w:pPr>
              <w:spacing w:line="360" w:lineRule="auto"/>
              <w:ind w:firstLine="480" w:firstLineChars="200"/>
              <w:contextualSpacing/>
              <w:rPr>
                <w:rFonts w:eastAsiaTheme="minorEastAsia"/>
                <w:sz w:val="24"/>
              </w:rPr>
            </w:pPr>
            <w:r>
              <w:rPr>
                <w:rFonts w:eastAsiaTheme="minorEastAsia"/>
                <w:sz w:val="24"/>
              </w:rPr>
              <w:t xml:space="preserve">      P</w:t>
            </w:r>
            <w:r>
              <w:rPr>
                <w:rFonts w:hint="eastAsia" w:eastAsiaTheme="minorEastAsia"/>
                <w:sz w:val="24"/>
              </w:rPr>
              <w:t>：重现期，本项目取</w:t>
            </w:r>
            <w:r>
              <w:rPr>
                <w:rFonts w:eastAsiaTheme="minorEastAsia"/>
                <w:sz w:val="24"/>
              </w:rPr>
              <w:t>1</w:t>
            </w:r>
            <w:r>
              <w:rPr>
                <w:rFonts w:hint="eastAsia" w:eastAsiaTheme="minorEastAsia"/>
                <w:sz w:val="24"/>
              </w:rPr>
              <w:t>年</w:t>
            </w:r>
          </w:p>
          <w:p>
            <w:pPr>
              <w:spacing w:line="360" w:lineRule="auto"/>
              <w:ind w:firstLine="480" w:firstLineChars="200"/>
              <w:contextualSpacing/>
              <w:rPr>
                <w:rFonts w:eastAsiaTheme="minorEastAsia"/>
                <w:sz w:val="24"/>
              </w:rPr>
            </w:pPr>
            <w:r>
              <w:rPr>
                <w:rFonts w:eastAsiaTheme="minorEastAsia"/>
                <w:sz w:val="24"/>
              </w:rPr>
              <w:t xml:space="preserve">      t</w:t>
            </w:r>
            <w:r>
              <w:rPr>
                <w:rFonts w:hint="eastAsia" w:eastAsiaTheme="minorEastAsia"/>
                <w:sz w:val="24"/>
              </w:rPr>
              <w:t>：降雨历时（</w:t>
            </w:r>
            <w:r>
              <w:rPr>
                <w:rFonts w:eastAsiaTheme="minorEastAsia"/>
                <w:sz w:val="24"/>
              </w:rPr>
              <w:t>min</w:t>
            </w:r>
            <w:r>
              <w:rPr>
                <w:rFonts w:hint="eastAsia" w:eastAsiaTheme="minorEastAsia"/>
                <w:sz w:val="24"/>
              </w:rPr>
              <w:t>），本项目按</w:t>
            </w:r>
            <w:r>
              <w:rPr>
                <w:rFonts w:eastAsiaTheme="minorEastAsia"/>
                <w:sz w:val="24"/>
              </w:rPr>
              <w:t>15min</w:t>
            </w:r>
            <w:r>
              <w:rPr>
                <w:rFonts w:hint="eastAsia" w:eastAsiaTheme="minorEastAsia"/>
                <w:sz w:val="24"/>
              </w:rPr>
              <w:t>计算。</w:t>
            </w:r>
          </w:p>
          <w:p>
            <w:pPr>
              <w:spacing w:line="360" w:lineRule="auto"/>
              <w:ind w:firstLine="480" w:firstLineChars="200"/>
              <w:contextualSpacing/>
              <w:rPr>
                <w:rFonts w:eastAsiaTheme="minorEastAsia"/>
                <w:sz w:val="24"/>
              </w:rPr>
            </w:pPr>
            <w:r>
              <w:rPr>
                <w:rFonts w:hint="eastAsia" w:eastAsiaTheme="minorEastAsia"/>
                <w:sz w:val="24"/>
              </w:rPr>
              <w:t>根据计算，本项目的暴雨强度为</w:t>
            </w:r>
            <w:r>
              <w:rPr>
                <w:rFonts w:eastAsiaTheme="minorEastAsia"/>
                <w:sz w:val="24"/>
              </w:rPr>
              <w:t>140L/s·</w:t>
            </w:r>
            <w:r>
              <w:rPr>
                <w:rFonts w:hint="eastAsia" w:eastAsiaTheme="minorEastAsia"/>
                <w:sz w:val="24"/>
              </w:rPr>
              <w:t>万</w:t>
            </w:r>
            <w:r>
              <w:rPr>
                <w:rFonts w:eastAsiaTheme="minorEastAsia"/>
                <w:sz w:val="24"/>
              </w:rPr>
              <w:t>m</w:t>
            </w:r>
            <w:r>
              <w:rPr>
                <w:rFonts w:eastAsiaTheme="minorEastAsia"/>
                <w:sz w:val="24"/>
                <w:vertAlign w:val="superscript"/>
              </w:rPr>
              <w:t>2</w:t>
            </w:r>
            <w:r>
              <w:rPr>
                <w:rFonts w:hint="eastAsia" w:eastAsiaTheme="minorEastAsia"/>
                <w:sz w:val="24"/>
              </w:rPr>
              <w:t>。</w:t>
            </w:r>
          </w:p>
          <w:p>
            <w:pPr>
              <w:spacing w:line="360" w:lineRule="auto"/>
              <w:ind w:firstLine="480" w:firstLineChars="200"/>
              <w:contextualSpacing/>
              <w:rPr>
                <w:rFonts w:eastAsiaTheme="minorEastAsia"/>
                <w:kern w:val="0"/>
                <w:sz w:val="24"/>
              </w:rPr>
            </w:pPr>
            <w:r>
              <w:rPr>
                <w:rFonts w:hint="eastAsia" w:eastAsiaTheme="minorEastAsia"/>
                <w:sz w:val="24"/>
              </w:rPr>
              <w:t>故厂区的初期雨水量约为90.7</w:t>
            </w:r>
            <w:r>
              <w:rPr>
                <w:rFonts w:eastAsiaTheme="minorEastAsia"/>
                <w:sz w:val="24"/>
              </w:rPr>
              <w:t>m</w:t>
            </w:r>
            <w:r>
              <w:rPr>
                <w:rFonts w:eastAsiaTheme="minorEastAsia"/>
                <w:sz w:val="24"/>
                <w:vertAlign w:val="superscript"/>
              </w:rPr>
              <w:t>3</w:t>
            </w:r>
            <w:r>
              <w:rPr>
                <w:rFonts w:eastAsiaTheme="minorEastAsia"/>
                <w:sz w:val="24"/>
              </w:rPr>
              <w:t>/</w:t>
            </w:r>
            <w:r>
              <w:rPr>
                <w:rFonts w:hint="eastAsia" w:eastAsiaTheme="minorEastAsia"/>
                <w:sz w:val="24"/>
              </w:rPr>
              <w:t>次，根据虎林市（</w:t>
            </w:r>
            <w:r>
              <w:rPr>
                <w:rFonts w:eastAsiaTheme="minorEastAsia"/>
                <w:sz w:val="24"/>
              </w:rPr>
              <w:t>2000~2020</w:t>
            </w:r>
            <w:r>
              <w:rPr>
                <w:rFonts w:hint="eastAsia" w:eastAsiaTheme="minorEastAsia"/>
                <w:sz w:val="24"/>
              </w:rPr>
              <w:t>年）气象观测站数据，虎林市平均年降雨次数为</w:t>
            </w:r>
            <w:r>
              <w:rPr>
                <w:rFonts w:eastAsiaTheme="minorEastAsia"/>
                <w:sz w:val="24"/>
              </w:rPr>
              <w:t>23</w:t>
            </w:r>
            <w:r>
              <w:rPr>
                <w:rFonts w:hint="eastAsia" w:eastAsiaTheme="minorEastAsia"/>
                <w:sz w:val="24"/>
              </w:rPr>
              <w:t>次，故本项目初期雨水量为2086</w:t>
            </w:r>
            <w:r>
              <w:rPr>
                <w:rFonts w:eastAsiaTheme="minorEastAsia"/>
                <w:sz w:val="24"/>
              </w:rPr>
              <w:t>t/a</w:t>
            </w:r>
            <w:r>
              <w:rPr>
                <w:rFonts w:hint="eastAsia" w:eastAsiaTheme="minorEastAsia"/>
                <w:sz w:val="24"/>
              </w:rPr>
              <w:t>。</w:t>
            </w:r>
            <w:r>
              <w:rPr>
                <w:rFonts w:hint="eastAsia" w:eastAsiaTheme="minorEastAsia"/>
                <w:bCs/>
                <w:sz w:val="24"/>
              </w:rPr>
              <w:t>本项目采用雨污分流制，</w:t>
            </w:r>
            <w:r>
              <w:rPr>
                <w:rFonts w:hint="eastAsia" w:eastAsiaTheme="minorEastAsia"/>
                <w:sz w:val="24"/>
              </w:rPr>
              <w:t>项目厂区内地面及道路全部硬化，在污染区四周设置环形导流沟，初期雨水进入厂区东侧的</w:t>
            </w:r>
            <w:r>
              <w:rPr>
                <w:rFonts w:hint="eastAsia" w:eastAsiaTheme="minorEastAsia"/>
                <w:bCs/>
                <w:sz w:val="24"/>
              </w:rPr>
              <w:t>20m</w:t>
            </w:r>
            <w:r>
              <w:rPr>
                <w:rFonts w:hint="eastAsia" w:eastAsiaTheme="minorEastAsia"/>
                <w:bCs/>
                <w:sz w:val="24"/>
                <w:vertAlign w:val="superscript"/>
              </w:rPr>
              <w:t>3</w:t>
            </w:r>
            <w:r>
              <w:rPr>
                <w:rFonts w:hint="eastAsia" w:eastAsiaTheme="minorEastAsia"/>
                <w:sz w:val="24"/>
              </w:rPr>
              <w:t>收集池，</w:t>
            </w:r>
            <w:r>
              <w:rPr>
                <w:rFonts w:hint="eastAsia" w:eastAsiaTheme="minorEastAsia"/>
                <w:bCs/>
                <w:sz w:val="24"/>
              </w:rPr>
              <w:t>经油水分离器处理后进入100m</w:t>
            </w:r>
            <w:r>
              <w:rPr>
                <w:rFonts w:hint="eastAsia" w:eastAsiaTheme="minorEastAsia"/>
                <w:bCs/>
                <w:sz w:val="24"/>
                <w:vertAlign w:val="superscript"/>
              </w:rPr>
              <w:t>3</w:t>
            </w:r>
            <w:r>
              <w:rPr>
                <w:rFonts w:hint="eastAsia" w:eastAsiaTheme="minorEastAsia"/>
                <w:bCs/>
                <w:sz w:val="24"/>
              </w:rPr>
              <w:t>暂存池，每收集一次初期雨水后采用罐车拉运至八五六农场污水处理厂，经处理后污水排放浓度达到《城镇污水处理厂污染物排放标准》（</w:t>
            </w:r>
            <w:r>
              <w:rPr>
                <w:rFonts w:eastAsiaTheme="minorEastAsia"/>
                <w:bCs/>
                <w:sz w:val="24"/>
              </w:rPr>
              <w:t>GB18918-2002</w:t>
            </w:r>
            <w:r>
              <w:rPr>
                <w:rFonts w:hint="eastAsia" w:eastAsiaTheme="minorEastAsia"/>
                <w:bCs/>
                <w:sz w:val="24"/>
              </w:rPr>
              <w:t>）一级</w:t>
            </w:r>
            <w:r>
              <w:rPr>
                <w:rFonts w:eastAsiaTheme="minorEastAsia"/>
                <w:bCs/>
                <w:sz w:val="24"/>
              </w:rPr>
              <w:t>A</w:t>
            </w:r>
            <w:r>
              <w:rPr>
                <w:rFonts w:hint="eastAsia" w:eastAsiaTheme="minorEastAsia"/>
                <w:bCs/>
                <w:sz w:val="24"/>
              </w:rPr>
              <w:t>标准后排入穆棱河</w:t>
            </w:r>
            <w:r>
              <w:rPr>
                <w:rFonts w:hint="eastAsia" w:eastAsiaTheme="minorEastAsia"/>
                <w:kern w:val="0"/>
                <w:sz w:val="24"/>
              </w:rPr>
              <w:t>。</w:t>
            </w:r>
          </w:p>
          <w:p>
            <w:pPr>
              <w:widowControl/>
              <w:spacing w:line="360" w:lineRule="auto"/>
              <w:contextualSpacing/>
              <w:rPr>
                <w:rFonts w:eastAsiaTheme="minorEastAsia"/>
              </w:rPr>
            </w:pPr>
            <w:r>
              <w:rPr>
                <w:rFonts w:eastAsiaTheme="minorEastAsia"/>
              </w:rPr>
              <mc:AlternateContent>
                <mc:Choice Requires="wpc">
                  <w:drawing>
                    <wp:inline distT="0" distB="0" distL="114300" distR="114300">
                      <wp:extent cx="5356860" cy="2016125"/>
                      <wp:effectExtent l="0" t="0" r="0" b="0"/>
                      <wp:docPr id="93" name="画布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noFill/>
                              </a:ln>
                            </wpc:whole>
                            <wps:wsp>
                              <wps:cNvPr id="79" name="文本框 72"/>
                              <wps:cNvSpPr txBox="1"/>
                              <wps:spPr>
                                <a:xfrm>
                                  <a:off x="636270" y="573405"/>
                                  <a:ext cx="716915" cy="2559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t>新鲜水</w:t>
                                    </w:r>
                                  </w:p>
                                </w:txbxContent>
                              </wps:txbx>
                              <wps:bodyPr upright="1"/>
                            </wps:wsp>
                            <wps:wsp>
                              <wps:cNvPr id="80" name="文本框 73"/>
                              <wps:cNvSpPr txBox="1"/>
                              <wps:spPr>
                                <a:xfrm>
                                  <a:off x="859790" y="1301750"/>
                                  <a:ext cx="102806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初期雨水</w:t>
                                    </w:r>
                                  </w:p>
                                </w:txbxContent>
                              </wps:txbx>
                              <wps:bodyPr upright="1"/>
                            </wps:wsp>
                            <wps:wsp>
                              <wps:cNvPr id="81" name="文本框 74"/>
                              <wps:cNvSpPr txBox="1"/>
                              <wps:spPr>
                                <a:xfrm>
                                  <a:off x="1905000" y="535940"/>
                                  <a:ext cx="114236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生活用水</w:t>
                                    </w:r>
                                  </w:p>
                                </w:txbxContent>
                              </wps:txbx>
                              <wps:bodyPr upright="1"/>
                            </wps:wsp>
                            <wps:wsp>
                              <wps:cNvPr id="82" name="自选图形 75"/>
                              <wps:cNvCnPr/>
                              <wps:spPr>
                                <a:xfrm>
                                  <a:off x="1353185" y="698500"/>
                                  <a:ext cx="559435" cy="635"/>
                                </a:xfrm>
                                <a:prstGeom prst="straightConnector1">
                                  <a:avLst/>
                                </a:prstGeom>
                                <a:ln w="9525" cap="flat" cmpd="sng">
                                  <a:solidFill>
                                    <a:srgbClr val="000000"/>
                                  </a:solidFill>
                                  <a:prstDash val="solid"/>
                                  <a:headEnd type="none" w="med" len="med"/>
                                  <a:tailEnd type="triangle" w="med" len="med"/>
                                </a:ln>
                              </wps:spPr>
                              <wps:bodyPr/>
                            </wps:wsp>
                            <wps:wsp>
                              <wps:cNvPr id="83" name="自选图形 79"/>
                              <wps:cNvCnPr/>
                              <wps:spPr>
                                <a:xfrm>
                                  <a:off x="3047365" y="702310"/>
                                  <a:ext cx="559435" cy="635"/>
                                </a:xfrm>
                                <a:prstGeom prst="straightConnector1">
                                  <a:avLst/>
                                </a:prstGeom>
                                <a:ln w="9525" cap="flat" cmpd="sng">
                                  <a:solidFill>
                                    <a:srgbClr val="000000"/>
                                  </a:solidFill>
                                  <a:prstDash val="solid"/>
                                  <a:headEnd type="none" w="med" len="med"/>
                                  <a:tailEnd type="triangle" w="med" len="med"/>
                                </a:ln>
                              </wps:spPr>
                              <wps:bodyPr/>
                            </wps:wsp>
                            <wps:wsp>
                              <wps:cNvPr id="84" name="自选图形 80"/>
                              <wps:cNvCnPr/>
                              <wps:spPr>
                                <a:xfrm>
                                  <a:off x="1912620" y="1417320"/>
                                  <a:ext cx="565150" cy="635"/>
                                </a:xfrm>
                                <a:prstGeom prst="straightConnector1">
                                  <a:avLst/>
                                </a:prstGeom>
                                <a:ln w="9525" cap="flat" cmpd="sng">
                                  <a:solidFill>
                                    <a:srgbClr val="000000"/>
                                  </a:solidFill>
                                  <a:prstDash val="solid"/>
                                  <a:headEnd type="none" w="med" len="med"/>
                                  <a:tailEnd type="triangle" w="med" len="med"/>
                                </a:ln>
                              </wps:spPr>
                              <wps:bodyPr/>
                            </wps:wsp>
                            <wps:wsp>
                              <wps:cNvPr id="85" name="文本框 81"/>
                              <wps:cNvSpPr txBox="1"/>
                              <wps:spPr>
                                <a:xfrm>
                                  <a:off x="3590290" y="474980"/>
                                  <a:ext cx="1601470" cy="469265"/>
                                </a:xfrm>
                                <a:prstGeom prst="rect">
                                  <a:avLst/>
                                </a:prstGeom>
                                <a:noFill/>
                                <a:ln w="9525">
                                  <a:noFill/>
                                </a:ln>
                              </wps:spPr>
                              <wps:txbx>
                                <w:txbxContent>
                                  <w:p>
                                    <w:pPr>
                                      <w:rPr>
                                        <w:szCs w:val="21"/>
                                      </w:rPr>
                                    </w:pPr>
                                    <w:r>
                                      <w:rPr>
                                        <w:rFonts w:hint="eastAsia"/>
                                        <w:bCs/>
                                        <w:color w:val="000000" w:themeColor="text1"/>
                                        <w:kern w:val="0"/>
                                        <w:szCs w:val="21"/>
                                      </w:rPr>
                                      <w:t>排入防渗旱厕，定期清掏，外运堆肥，不外排</w:t>
                                    </w:r>
                                  </w:p>
                                </w:txbxContent>
                              </wps:txbx>
                              <wps:bodyPr upright="1"/>
                            </wps:wsp>
                            <wps:wsp>
                              <wps:cNvPr id="86" name="文本框 82"/>
                              <wps:cNvSpPr txBox="1"/>
                              <wps:spPr>
                                <a:xfrm>
                                  <a:off x="2510790" y="950595"/>
                                  <a:ext cx="2846070" cy="996315"/>
                                </a:xfrm>
                                <a:prstGeom prst="rect">
                                  <a:avLst/>
                                </a:prstGeom>
                                <a:noFill/>
                                <a:ln w="9525">
                                  <a:noFill/>
                                </a:ln>
                              </wps:spPr>
                              <wps:txbx>
                                <w:txbxContent>
                                  <w:p>
                                    <w:pPr>
                                      <w:rPr>
                                        <w:color w:val="000000" w:themeColor="text1"/>
                                        <w:szCs w:val="21"/>
                                      </w:rPr>
                                    </w:pPr>
                                    <w:r>
                                      <w:rPr>
                                        <w:rFonts w:hint="eastAsia"/>
                                        <w:bCs/>
                                        <w:color w:val="000000" w:themeColor="text1"/>
                                        <w:kern w:val="0"/>
                                        <w:szCs w:val="21"/>
                                      </w:rPr>
                                      <w:t>在污染区四周设置环形导流沟，初期雨水进入厂区东侧的20m</w:t>
                                    </w:r>
                                    <w:r>
                                      <w:rPr>
                                        <w:rFonts w:hint="eastAsia"/>
                                        <w:bCs/>
                                        <w:color w:val="000000" w:themeColor="text1"/>
                                        <w:kern w:val="0"/>
                                        <w:szCs w:val="21"/>
                                        <w:vertAlign w:val="superscript"/>
                                      </w:rPr>
                                      <w:t>3</w:t>
                                    </w:r>
                                    <w:r>
                                      <w:rPr>
                                        <w:rFonts w:hint="eastAsia"/>
                                        <w:bCs/>
                                        <w:color w:val="000000" w:themeColor="text1"/>
                                        <w:kern w:val="0"/>
                                        <w:szCs w:val="21"/>
                                      </w:rPr>
                                      <w:t>收集池，经油水分离器处理后进入100m</w:t>
                                    </w:r>
                                    <w:r>
                                      <w:rPr>
                                        <w:rFonts w:hint="eastAsia"/>
                                        <w:bCs/>
                                        <w:color w:val="000000" w:themeColor="text1"/>
                                        <w:kern w:val="0"/>
                                        <w:szCs w:val="21"/>
                                        <w:vertAlign w:val="superscript"/>
                                      </w:rPr>
                                      <w:t>3</w:t>
                                    </w:r>
                                    <w:r>
                                      <w:rPr>
                                        <w:rFonts w:hint="eastAsia"/>
                                        <w:bCs/>
                                        <w:color w:val="000000" w:themeColor="text1"/>
                                        <w:kern w:val="0"/>
                                        <w:szCs w:val="21"/>
                                      </w:rPr>
                                      <w:t>暂存池，每收集一次初期雨水后采用罐车拉运至八五六农场污水处理厂，经处理后污水排放浓度达标准后排入穆棱河</w:t>
                                    </w:r>
                                  </w:p>
                                </w:txbxContent>
                              </wps:txbx>
                              <wps:bodyPr upright="1"/>
                            </wps:wsp>
                            <wps:wsp>
                              <wps:cNvPr id="87" name="文本框 84"/>
                              <wps:cNvSpPr txBox="1"/>
                              <wps:spPr>
                                <a:xfrm>
                                  <a:off x="1379855" y="461645"/>
                                  <a:ext cx="525145" cy="256540"/>
                                </a:xfrm>
                                <a:prstGeom prst="rect">
                                  <a:avLst/>
                                </a:prstGeom>
                                <a:noFill/>
                                <a:ln w="9525">
                                  <a:noFill/>
                                </a:ln>
                              </wps:spPr>
                              <wps:txbx>
                                <w:txbxContent>
                                  <w:p>
                                    <w:pPr>
                                      <w:jc w:val="center"/>
                                    </w:pPr>
                                    <w:r>
                                      <w:rPr>
                                        <w:rFonts w:hint="eastAsia"/>
                                      </w:rPr>
                                      <w:t>0.64</w:t>
                                    </w:r>
                                  </w:p>
                                </w:txbxContent>
                              </wps:txbx>
                              <wps:bodyPr upright="1"/>
                            </wps:wsp>
                            <wps:wsp>
                              <wps:cNvPr id="88" name="文本框 86"/>
                              <wps:cNvSpPr txBox="1"/>
                              <wps:spPr>
                                <a:xfrm>
                                  <a:off x="3081655" y="484505"/>
                                  <a:ext cx="525145" cy="256540"/>
                                </a:xfrm>
                                <a:prstGeom prst="rect">
                                  <a:avLst/>
                                </a:prstGeom>
                                <a:noFill/>
                                <a:ln w="9525">
                                  <a:noFill/>
                                </a:ln>
                              </wps:spPr>
                              <wps:txbx>
                                <w:txbxContent>
                                  <w:p>
                                    <w:r>
                                      <w:rPr>
                                        <w:rFonts w:hint="eastAsia"/>
                                      </w:rPr>
                                      <w:t>0.51</w:t>
                                    </w:r>
                                  </w:p>
                                </w:txbxContent>
                              </wps:txbx>
                              <wps:bodyPr upright="1"/>
                            </wps:wsp>
                            <wps:wsp>
                              <wps:cNvPr id="89" name="文本框 87"/>
                              <wps:cNvSpPr txBox="1"/>
                              <wps:spPr>
                                <a:xfrm>
                                  <a:off x="1944370" y="1204595"/>
                                  <a:ext cx="525145" cy="256540"/>
                                </a:xfrm>
                                <a:prstGeom prst="rect">
                                  <a:avLst/>
                                </a:prstGeom>
                                <a:noFill/>
                                <a:ln w="9525">
                                  <a:noFill/>
                                </a:ln>
                              </wps:spPr>
                              <wps:txbx>
                                <w:txbxContent>
                                  <w:p>
                                    <w:pPr>
                                      <w:jc w:val="center"/>
                                    </w:pPr>
                                    <w:r>
                                      <w:rPr>
                                        <w:rFonts w:hint="eastAsia"/>
                                      </w:rPr>
                                      <w:t>8.7</w:t>
                                    </w:r>
                                  </w:p>
                                </w:txbxContent>
                              </wps:txbx>
                              <wps:bodyPr upright="1"/>
                            </wps:wsp>
                            <wps:wsp>
                              <wps:cNvPr id="90" name="自选图形 88"/>
                              <wps:cNvCnPr/>
                              <wps:spPr>
                                <a:xfrm flipV="1">
                                  <a:off x="2476500" y="227330"/>
                                  <a:ext cx="635" cy="308610"/>
                                </a:xfrm>
                                <a:prstGeom prst="straightConnector1">
                                  <a:avLst/>
                                </a:prstGeom>
                                <a:ln w="9525" cap="flat" cmpd="sng">
                                  <a:solidFill>
                                    <a:srgbClr val="000000"/>
                                  </a:solidFill>
                                  <a:prstDash val="dash"/>
                                  <a:headEnd type="none" w="med" len="med"/>
                                  <a:tailEnd type="triangle" w="med" len="med"/>
                                </a:ln>
                              </wps:spPr>
                              <wps:bodyPr/>
                            </wps:wsp>
                            <wps:wsp>
                              <wps:cNvPr id="91" name="文本框 90"/>
                              <wps:cNvSpPr txBox="1"/>
                              <wps:spPr>
                                <a:xfrm>
                                  <a:off x="2421890" y="297815"/>
                                  <a:ext cx="525145" cy="256540"/>
                                </a:xfrm>
                                <a:prstGeom prst="rect">
                                  <a:avLst/>
                                </a:prstGeom>
                                <a:noFill/>
                                <a:ln w="9525">
                                  <a:noFill/>
                                </a:ln>
                              </wps:spPr>
                              <wps:txbx>
                                <w:txbxContent>
                                  <w:p>
                                    <w:pPr>
                                      <w:jc w:val="center"/>
                                    </w:pPr>
                                    <w:r>
                                      <w:rPr>
                                        <w:rFonts w:hint="eastAsia"/>
                                      </w:rPr>
                                      <w:t>0.13</w:t>
                                    </w:r>
                                  </w:p>
                                </w:txbxContent>
                              </wps:txbx>
                              <wps:bodyPr upright="1"/>
                            </wps:wsp>
                            <wps:wsp>
                              <wps:cNvPr id="92" name="文本框 92"/>
                              <wps:cNvSpPr txBox="1"/>
                              <wps:spPr>
                                <a:xfrm>
                                  <a:off x="2203450" y="42545"/>
                                  <a:ext cx="525145" cy="256540"/>
                                </a:xfrm>
                                <a:prstGeom prst="rect">
                                  <a:avLst/>
                                </a:prstGeom>
                                <a:noFill/>
                                <a:ln w="9525">
                                  <a:noFill/>
                                </a:ln>
                              </wps:spPr>
                              <wps:txbx>
                                <w:txbxContent>
                                  <w:p>
                                    <w:pPr>
                                      <w:jc w:val="center"/>
                                    </w:pPr>
                                    <w:r>
                                      <w:rPr>
                                        <w:rFonts w:hint="eastAsia"/>
                                      </w:rPr>
                                      <w:t>损耗</w:t>
                                    </w:r>
                                  </w:p>
                                </w:txbxContent>
                              </wps:txbx>
                              <wps:bodyPr upright="1"/>
                            </wps:wsp>
                          </wpc:wpc>
                        </a:graphicData>
                      </a:graphic>
                    </wp:inline>
                  </w:drawing>
                </mc:Choice>
                <mc:Fallback>
                  <w:pict>
                    <v:group id="画布 70" o:spid="_x0000_s1026" o:spt="203" style="height:158.75pt;width:421.8pt;" coordsize="5356860,2016125" editas="canvas" o:gfxdata="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">
                      <o:lock v:ext="edit" aspectratio="f"/>
                      <v:rect id="画布 70" o:spid="_x0000_s1026" o:spt="1" style="position:absolute;left:0;top:0;height:2016125;width:5356860;" filled="f" stroked="f" coordsize="21600,21600" o:gfxdata="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">
                        <v:fill on="f" focussize="0,0"/>
                        <v:stroke on="f"/>
                        <v:imagedata o:title=""/>
                        <o:lock v:ext="edit" text="t" aspectratio="t"/>
                      </v:rect>
                      <v:shape id="文本框 72" o:spid="_x0000_s1026" o:spt="202" type="#_x0000_t202" style="position:absolute;left:636270;top:573405;height:255905;width:716915;" fillcolor="#FFFFFF" filled="t" stroked="t" coordsize="21600,21600" o:gfxdata="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5ySOdcAAAAFAQAADwAAAAAAAAABACAAAAAiAAAAZHJzL2Rvd25yZXYu&#10;eG1sUEsBAhQAFAAAAAgAh07iQO/iy8v8AQAA8wMAAA4AAAAAAAAAAQAgAAAAJgEAAGRycy9lMm9E&#10;b2MueG1sUEsFBgAAAAAGAAYAWQEAAJQFAAAAAA==&#10;">
                        <v:fill on="t" focussize="0,0"/>
                        <v:stroke color="#000000" joinstyle="miter"/>
                        <v:imagedata o:title=""/>
                        <o:lock v:ext="edit" aspectratio="f"/>
                        <v:textbox>
                          <w:txbxContent>
                            <w:p>
                              <w:pPr>
                                <w:jc w:val="center"/>
                              </w:pPr>
                              <w:r>
                                <w:t>新鲜水</w:t>
                              </w:r>
                            </w:p>
                          </w:txbxContent>
                        </v:textbox>
                      </v:shape>
                      <v:shape id="文本框 73" o:spid="_x0000_s1026" o:spt="202" type="#_x0000_t202" style="position:absolute;left:859790;top:1301750;height:256540;width:1028065;" fillcolor="#FFFFFF" filled="t" stroked="t" coordsize="21600,21600" o:gfxdata="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ckjnXAAAABQEAAA8AAAAAAAAAAQAgAAAAIgAAAGRycy9kb3ducmV2&#10;LnhtbFBLAQIUABQAAAAIAIdO4kD7Zi+X/QEAAPUDAAAOAAAAAAAAAAEAIAAAACYBAABkcnMvZTJv&#10;RG9jLnhtbFBLBQYAAAAABgAGAFkBAACVBQAAAAA=&#10;">
                        <v:fill on="t" focussize="0,0"/>
                        <v:stroke color="#000000" joinstyle="miter"/>
                        <v:imagedata o:title=""/>
                        <o:lock v:ext="edit" aspectratio="f"/>
                        <v:textbox>
                          <w:txbxContent>
                            <w:p>
                              <w:pPr>
                                <w:jc w:val="center"/>
                              </w:pPr>
                              <w:r>
                                <w:rPr>
                                  <w:rFonts w:hint="eastAsia"/>
                                </w:rPr>
                                <w:t>初期雨水</w:t>
                              </w:r>
                            </w:p>
                          </w:txbxContent>
                        </v:textbox>
                      </v:shape>
                      <v:shape id="文本框 74" o:spid="_x0000_s1026" o:spt="202" type="#_x0000_t202" style="position:absolute;left:1905000;top:535940;height:256540;width:1142365;" fillcolor="#FFFFFF" filled="t" stroked="t" coordsize="21600,21600" o:gfxdata="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ckjnXAAAABQEAAA8AAAAAAAAAAQAgAAAAIgAAAGRycy9kb3ducmV2&#10;LnhtbFBLAQIUABQAAAAIAIdO4kATvLjE/QEAAPUDAAAOAAAAAAAAAAEAIAAAACYBAABkcnMvZTJv&#10;RG9jLnhtbFBLBQYAAAAABgAGAFkBAACVBQAAAAA=&#10;">
                        <v:fill on="t" focussize="0,0"/>
                        <v:stroke color="#000000" joinstyle="miter"/>
                        <v:imagedata o:title=""/>
                        <o:lock v:ext="edit" aspectratio="f"/>
                        <v:textbox>
                          <w:txbxContent>
                            <w:p>
                              <w:pPr>
                                <w:jc w:val="center"/>
                              </w:pPr>
                              <w:r>
                                <w:rPr>
                                  <w:rFonts w:hint="eastAsia"/>
                                </w:rPr>
                                <w:t>生活用水</w:t>
                              </w:r>
                            </w:p>
                          </w:txbxContent>
                        </v:textbox>
                      </v:shape>
                      <v:shape id="自选图形 75" o:spid="_x0000_s1026" o:spt="32" type="#_x0000_t32" style="position:absolute;left:1353185;top:698500;height:635;width:559435;" filled="f" stroked="t" coordsize="21600,21600" o:gfxdata="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X&#10;bFAj1wAAAAUBAAAPAAAAAAAAAAEAIAAAACIAAABkcnMvZG93bnJldi54bWxQSwECFAAUAAAACACH&#10;TuJAVp1xFewBAACnAwAADgAAAAAAAAABACAAAAAmAQAAZHJzL2Uyb0RvYy54bWxQSwUGAAAAAAYA&#10;BgBZAQAAhAUAAAAA&#10;">
                        <v:fill on="f" focussize="0,0"/>
                        <v:stroke color="#000000" joinstyle="round" endarrow="block"/>
                        <v:imagedata o:title=""/>
                        <o:lock v:ext="edit" aspectratio="f"/>
                      </v:shape>
                      <v:shape id="自选图形 79" o:spid="_x0000_s1026" o:spt="32" type="#_x0000_t32" style="position:absolute;left:3047365;top:702310;height:635;width:559435;" filled="f" stroked="t" coordsize="21600,21600" o:gfxdata="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JdsUCPXAAAABQEAAA8AAAAAAAAAAQAgAAAAIgAAAGRycy9kb3ducmV2LnhtbFBLAQIUABQAAAAI&#10;AIdO4kAFCpcT7gEAAKcDAAAOAAAAAAAAAAEAIAAAACYBAABkcnMvZTJvRG9jLnhtbFBLBQYAAAAA&#10;BgAGAFkBAACGBQAAAAA=&#10;">
                        <v:fill on="f" focussize="0,0"/>
                        <v:stroke color="#000000" joinstyle="round" endarrow="block"/>
                        <v:imagedata o:title=""/>
                        <o:lock v:ext="edit" aspectratio="f"/>
                      </v:shape>
                      <v:shape id="自选图形 80" o:spid="_x0000_s1026" o:spt="32" type="#_x0000_t32" style="position:absolute;left:1912620;top:1417320;height:635;width:565150;" filled="f" stroked="t" coordsize="21600,21600" o:gfxdata="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2xQI9cAAAAFAQAADwAAAAAAAAABACAAAAAiAAAAZHJzL2Rvd25yZXYueG1sUEsBAhQAFAAAAAgA&#10;h07iQB74KrntAQAAqAMAAA4AAAAAAAAAAQAgAAAAJgEAAGRycy9lMm9Eb2MueG1sUEsFBgAAAAAG&#10;AAYAWQEAAIUFAAAAAA==&#10;">
                        <v:fill on="f" focussize="0,0"/>
                        <v:stroke color="#000000" joinstyle="round" endarrow="block"/>
                        <v:imagedata o:title=""/>
                        <o:lock v:ext="edit" aspectratio="f"/>
                      </v:shape>
                      <v:shape id="文本框 81" o:spid="_x0000_s1026" o:spt="202" type="#_x0000_t202" style="position:absolute;left:3590289;top:474980;height:469265;width:1601470;" filled="f" stroked="f" coordsize="21600,21600" o:gfxdata="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DK/OhNQAAAAFAQAADwAAAAAA&#10;AAABACAAAAAiAAAAZHJzL2Rvd25yZXYueG1sUEsBAhQAFAAAAAgAh07iQLgF6E2lAQAAFgMAAA4A&#10;AAAAAAAAAQAgAAAAIwEAAGRycy9lMm9Eb2MueG1sUEsFBgAAAAAGAAYAWQEAADoFAAAAAA==&#10;">
                        <v:fill on="f" focussize="0,0"/>
                        <v:stroke on="f"/>
                        <v:imagedata o:title=""/>
                        <o:lock v:ext="edit" aspectratio="f"/>
                        <v:textbox>
                          <w:txbxContent>
                            <w:p>
                              <w:pPr>
                                <w:rPr>
                                  <w:szCs w:val="21"/>
                                </w:rPr>
                              </w:pPr>
                              <w:r>
                                <w:rPr>
                                  <w:rFonts w:hint="eastAsia"/>
                                  <w:bCs/>
                                  <w:color w:val="000000" w:themeColor="text1"/>
                                  <w:kern w:val="0"/>
                                  <w:szCs w:val="21"/>
                                </w:rPr>
                                <w:t>排入防渗旱厕，定期清掏，外运堆肥，不外排</w:t>
                              </w:r>
                            </w:p>
                          </w:txbxContent>
                        </v:textbox>
                      </v:shape>
                      <v:shape id="文本框 82" o:spid="_x0000_s1026" o:spt="202" type="#_x0000_t202" style="position:absolute;left:2510790;top:950595;height:996315;width:2846070;" filled="f" stroked="f" coordsize="21600,21600" o:gfxdata="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DK/OhNQAAAAFAQAADwAAAAAA&#10;AAABACAAAAAiAAAAZHJzL2Rvd25yZXYueG1sUEsBAhQAFAAAAAgAh07iQG4rDsSlAQAAFgMAAA4A&#10;AAAAAAAAAQAgAAAAIwEAAGRycy9lMm9Eb2MueG1sUEsFBgAAAAAGAAYAWQEAADoFAAAAAA==&#10;">
                        <v:fill on="f" focussize="0,0"/>
                        <v:stroke on="f"/>
                        <v:imagedata o:title=""/>
                        <o:lock v:ext="edit" aspectratio="f"/>
                        <v:textbox>
                          <w:txbxContent>
                            <w:p>
                              <w:pPr>
                                <w:rPr>
                                  <w:color w:val="000000" w:themeColor="text1"/>
                                  <w:szCs w:val="21"/>
                                </w:rPr>
                              </w:pPr>
                              <w:r>
                                <w:rPr>
                                  <w:rFonts w:hint="eastAsia"/>
                                  <w:bCs/>
                                  <w:color w:val="000000" w:themeColor="text1"/>
                                  <w:kern w:val="0"/>
                                  <w:szCs w:val="21"/>
                                </w:rPr>
                                <w:t>在污染区四周设置环形导流沟，初期雨水进入厂区东侧的20m</w:t>
                              </w:r>
                              <w:r>
                                <w:rPr>
                                  <w:rFonts w:hint="eastAsia"/>
                                  <w:bCs/>
                                  <w:color w:val="000000" w:themeColor="text1"/>
                                  <w:kern w:val="0"/>
                                  <w:szCs w:val="21"/>
                                  <w:vertAlign w:val="superscript"/>
                                </w:rPr>
                                <w:t>3</w:t>
                              </w:r>
                              <w:r>
                                <w:rPr>
                                  <w:rFonts w:hint="eastAsia"/>
                                  <w:bCs/>
                                  <w:color w:val="000000" w:themeColor="text1"/>
                                  <w:kern w:val="0"/>
                                  <w:szCs w:val="21"/>
                                </w:rPr>
                                <w:t>收集池，经油水分离器处理后进入100m</w:t>
                              </w:r>
                              <w:r>
                                <w:rPr>
                                  <w:rFonts w:hint="eastAsia"/>
                                  <w:bCs/>
                                  <w:color w:val="000000" w:themeColor="text1"/>
                                  <w:kern w:val="0"/>
                                  <w:szCs w:val="21"/>
                                  <w:vertAlign w:val="superscript"/>
                                </w:rPr>
                                <w:t>3</w:t>
                              </w:r>
                              <w:r>
                                <w:rPr>
                                  <w:rFonts w:hint="eastAsia"/>
                                  <w:bCs/>
                                  <w:color w:val="000000" w:themeColor="text1"/>
                                  <w:kern w:val="0"/>
                                  <w:szCs w:val="21"/>
                                </w:rPr>
                                <w:t>暂存池，每收集一次初期雨水后采用罐车拉运至八五六农场污水处理厂，经处理后污水排放浓度达标准后排入穆棱河</w:t>
                              </w:r>
                            </w:p>
                          </w:txbxContent>
                        </v:textbox>
                      </v:shape>
                      <v:shape id="文本框 84" o:spid="_x0000_s1026" o:spt="202" type="#_x0000_t202" style="position:absolute;left:1379855;top:461645;height:256540;width:525145;" filled="f" stroked="f" coordsize="21600,21600" o:gfxdata="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DK/OhNQAAAAFAQAADwAAAAAA&#10;AAABACAAAAAiAAAAZHJzL2Rvd25yZXYueG1sUEsBAhQAFAAAAAgAh07iQDr86CSlAQAAFQMAAA4A&#10;AAAAAAAAAQAgAAAAIwEAAGRycy9lMm9Eb2MueG1sUEsFBgAAAAAGAAYAWQEAADoFAAAAAA==&#10;">
                        <v:fill on="f" focussize="0,0"/>
                        <v:stroke on="f"/>
                        <v:imagedata o:title=""/>
                        <o:lock v:ext="edit" aspectratio="f"/>
                        <v:textbox>
                          <w:txbxContent>
                            <w:p>
                              <w:pPr>
                                <w:jc w:val="center"/>
                              </w:pPr>
                              <w:r>
                                <w:rPr>
                                  <w:rFonts w:hint="eastAsia"/>
                                </w:rPr>
                                <w:t>0.64</w:t>
                              </w:r>
                            </w:p>
                          </w:txbxContent>
                        </v:textbox>
                      </v:shape>
                      <v:shape id="文本框 86" o:spid="_x0000_s1026" o:spt="202" type="#_x0000_t202" style="position:absolute;left:3081655;top:484505;height:256540;width:525145;" filled="f" stroked="f" coordsize="21600,21600" o:gfxdata="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DK/OhNQAAAAFAQAADwAAAAAA&#10;AAABACAAAAAiAAAAZHJzL2Rvd25yZXYueG1sUEsBAhQAFAAAAAgAh07iQC6v8RClAQAAFQMAAA4A&#10;AAAAAAAAAQAgAAAAIwEAAGRycy9lMm9Eb2MueG1sUEsFBgAAAAAGAAYAWQEAADoFAAAAAA==&#10;">
                        <v:fill on="f" focussize="0,0"/>
                        <v:stroke on="f"/>
                        <v:imagedata o:title=""/>
                        <o:lock v:ext="edit" aspectratio="f"/>
                        <v:textbox>
                          <w:txbxContent>
                            <w:p>
                              <w:r>
                                <w:rPr>
                                  <w:rFonts w:hint="eastAsia"/>
                                </w:rPr>
                                <w:t>0.51</w:t>
                              </w:r>
                            </w:p>
                          </w:txbxContent>
                        </v:textbox>
                      </v:shape>
                      <v:shape id="文本框 87" o:spid="_x0000_s1026" o:spt="202" type="#_x0000_t202" style="position:absolute;left:1944370;top:1204595;height:256540;width:525145;" filled="f" stroked="f" coordsize="21600,21600" o:gfxdata="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AyvzoTUAAAABQEAAA8AAAAA&#10;AAAAAQAgAAAAIgAAAGRycy9kb3ducmV2LnhtbFBLAQIUABQAAAAIAIdO4kAAl9j8pgEAABYDAAAO&#10;AAAAAAAAAAEAIAAAACMBAABkcnMvZTJvRG9jLnhtbFBLBQYAAAAABgAGAFkBAAA7BQAAAAA=&#10;">
                        <v:fill on="f" focussize="0,0"/>
                        <v:stroke on="f"/>
                        <v:imagedata o:title=""/>
                        <o:lock v:ext="edit" aspectratio="f"/>
                        <v:textbox>
                          <w:txbxContent>
                            <w:p>
                              <w:pPr>
                                <w:jc w:val="center"/>
                              </w:pPr>
                              <w:r>
                                <w:rPr>
                                  <w:rFonts w:hint="eastAsia"/>
                                </w:rPr>
                                <w:t>8.7</w:t>
                              </w:r>
                            </w:p>
                          </w:txbxContent>
                        </v:textbox>
                      </v:shape>
                      <v:shape id="自选图形 88" o:spid="_x0000_s1026" o:spt="32" type="#_x0000_t32" style="position:absolute;left:2476500;top:227330;flip:y;height:308610;width:635;" filled="f" stroked="t" coordsize="21600,21600" o:gfxdata="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MJTO60wAAAAUBAAAPAAAAAAAAAAEAIAAAACIAAABkcnMvZG93bnJldi54bWxQSwECFAAU&#10;AAAACACHTuJA1xiCkfYBAACwAwAADgAAAAAAAAABACAAAAAiAQAAZHJzL2Uyb0RvYy54bWxQSwUG&#10;AAAAAAYABgBZAQAAigUAAAAA&#10;">
                        <v:fill on="f" focussize="0,0"/>
                        <v:stroke color="#000000" joinstyle="round" dashstyle="dash" endarrow="block"/>
                        <v:imagedata o:title=""/>
                        <o:lock v:ext="edit" aspectratio="f"/>
                      </v:shape>
                      <v:shape id="文本框 90" o:spid="_x0000_s1026" o:spt="202" type="#_x0000_t202" style="position:absolute;left:2421890;top:297815;height:256540;width:525145;" filled="f" stroked="f" coordsize="21600,21600" o:gfxdata="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DK/OhNQAAAAFAQAADwAAAAAAAAAB&#10;ACAAAAAiAAAAZHJzL2Rvd25yZXYueG1sUEsBAhQAFAAAAAgAh07iQGZOqMqiAQAAFQMAAA4AAAAA&#10;AAAAAQAgAAAAIwEAAGRycy9lMm9Eb2MueG1sUEsFBgAAAAAGAAYAWQEAADcFAAAAAA==&#10;">
                        <v:fill on="f" focussize="0,0"/>
                        <v:stroke on="f"/>
                        <v:imagedata o:title=""/>
                        <o:lock v:ext="edit" aspectratio="f"/>
                        <v:textbox>
                          <w:txbxContent>
                            <w:p>
                              <w:pPr>
                                <w:jc w:val="center"/>
                              </w:pPr>
                              <w:r>
                                <w:rPr>
                                  <w:rFonts w:hint="eastAsia"/>
                                </w:rPr>
                                <w:t>0.13</w:t>
                              </w:r>
                            </w:p>
                          </w:txbxContent>
                        </v:textbox>
                      </v:shape>
                      <v:shape id="_x0000_s1026" o:spid="_x0000_s1026" o:spt="202" type="#_x0000_t202" style="position:absolute;left:2203450;top:42545;height:256540;width:525145;" filled="f" stroked="f" coordsize="21600,21600" o:gfxdata="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DK/OhNQAAAAFAQAADwAAAAAAAAABACAA&#10;AAAiAAAAZHJzL2Rvd25yZXYueG1sUEsBAhQAFAAAAAgAh07iQMSF87ufAQAAFAMAAA4AAAAAAAAA&#10;AQAgAAAAIwEAAGRycy9lMm9Eb2MueG1sUEsFBgAAAAAGAAYAWQEAADQFAAAAAA==&#10;">
                        <v:fill on="f" focussize="0,0"/>
                        <v:stroke on="f"/>
                        <v:imagedata o:title=""/>
                        <o:lock v:ext="edit" aspectratio="f"/>
                        <v:textbox>
                          <w:txbxContent>
                            <w:p>
                              <w:pPr>
                                <w:jc w:val="center"/>
                              </w:pPr>
                              <w:r>
                                <w:rPr>
                                  <w:rFonts w:hint="eastAsia"/>
                                </w:rPr>
                                <w:t>损耗</w:t>
                              </w:r>
                            </w:p>
                          </w:txbxContent>
                        </v:textbox>
                      </v:shape>
                      <w10:wrap type="none"/>
                      <w10:anchorlock/>
                    </v:group>
                  </w:pict>
                </mc:Fallback>
              </mc:AlternateContent>
            </w:r>
          </w:p>
          <w:p>
            <w:pPr>
              <w:spacing w:line="360" w:lineRule="auto"/>
              <w:ind w:firstLine="482" w:firstLineChars="200"/>
              <w:contextualSpacing/>
              <w:jc w:val="center"/>
              <w:rPr>
                <w:rFonts w:eastAsiaTheme="minorEastAsia"/>
                <w:b/>
                <w:kern w:val="0"/>
                <w:sz w:val="24"/>
              </w:rPr>
            </w:pPr>
            <w:r>
              <w:rPr>
                <w:rFonts w:hAnsiTheme="minorEastAsia" w:eastAsiaTheme="minorEastAsia"/>
                <w:b/>
                <w:sz w:val="24"/>
              </w:rPr>
              <w:t>图</w:t>
            </w:r>
            <w:r>
              <w:rPr>
                <w:rFonts w:eastAsiaTheme="minorEastAsia"/>
                <w:b/>
                <w:sz w:val="24"/>
              </w:rPr>
              <w:t>2-</w:t>
            </w:r>
            <w:r>
              <w:rPr>
                <w:rFonts w:hint="eastAsia" w:eastAsiaTheme="minorEastAsia"/>
                <w:b/>
                <w:sz w:val="24"/>
              </w:rPr>
              <w:t>2</w:t>
            </w:r>
            <w:r>
              <w:rPr>
                <w:rFonts w:hAnsiTheme="minorEastAsia" w:eastAsiaTheme="minorEastAsia"/>
                <w:b/>
                <w:sz w:val="24"/>
              </w:rPr>
              <w:t>项目水平衡图单位：</w:t>
            </w:r>
            <w:r>
              <w:rPr>
                <w:rFonts w:eastAsiaTheme="minorEastAsia"/>
                <w:b/>
                <w:sz w:val="24"/>
              </w:rPr>
              <w:t>t/d</w:t>
            </w:r>
          </w:p>
          <w:p>
            <w:pPr>
              <w:spacing w:line="360" w:lineRule="auto"/>
              <w:ind w:firstLine="480" w:firstLineChars="200"/>
              <w:contextualSpacing/>
              <w:jc w:val="left"/>
              <w:rPr>
                <w:rFonts w:eastAsiaTheme="minorEastAsia"/>
                <w:kern w:val="0"/>
                <w:sz w:val="24"/>
              </w:rPr>
            </w:pPr>
            <w:r>
              <w:rPr>
                <w:rFonts w:hint="eastAsia" w:eastAsiaTheme="minorEastAsia"/>
                <w:bCs/>
                <w:kern w:val="0"/>
                <w:sz w:val="24"/>
              </w:rPr>
              <w:t>（</w:t>
            </w:r>
            <w:r>
              <w:rPr>
                <w:rFonts w:eastAsiaTheme="minorEastAsia"/>
                <w:bCs/>
                <w:kern w:val="0"/>
                <w:sz w:val="24"/>
              </w:rPr>
              <w:t>3</w:t>
            </w:r>
            <w:r>
              <w:rPr>
                <w:rFonts w:hint="eastAsia" w:eastAsiaTheme="minorEastAsia"/>
                <w:bCs/>
                <w:kern w:val="0"/>
                <w:sz w:val="24"/>
              </w:rPr>
              <w:t>）供热：本项目冬季不生产，无需供暖。</w:t>
            </w:r>
          </w:p>
          <w:p>
            <w:pPr>
              <w:spacing w:line="360" w:lineRule="auto"/>
              <w:ind w:firstLine="480" w:firstLineChars="200"/>
              <w:contextualSpacing/>
              <w:jc w:val="left"/>
              <w:rPr>
                <w:rFonts w:eastAsiaTheme="minorEastAsia"/>
                <w:kern w:val="0"/>
                <w:sz w:val="24"/>
              </w:rPr>
            </w:pPr>
            <w:r>
              <w:rPr>
                <w:rFonts w:hint="eastAsia" w:eastAsiaTheme="minorEastAsia"/>
                <w:kern w:val="0"/>
                <w:sz w:val="24"/>
              </w:rPr>
              <w:t>（</w:t>
            </w:r>
            <w:r>
              <w:rPr>
                <w:rFonts w:eastAsiaTheme="minorEastAsia"/>
                <w:kern w:val="0"/>
                <w:sz w:val="24"/>
              </w:rPr>
              <w:t>4</w:t>
            </w:r>
            <w:r>
              <w:rPr>
                <w:rFonts w:hint="eastAsia" w:eastAsiaTheme="minorEastAsia"/>
                <w:kern w:val="0"/>
                <w:sz w:val="24"/>
              </w:rPr>
              <w:t>）供电：由厂区变压器提供。</w:t>
            </w:r>
          </w:p>
          <w:p>
            <w:pPr>
              <w:spacing w:line="360" w:lineRule="auto"/>
              <w:ind w:firstLine="482" w:firstLineChars="200"/>
              <w:contextualSpacing/>
              <w:jc w:val="left"/>
              <w:rPr>
                <w:rFonts w:eastAsiaTheme="minorEastAsia"/>
                <w:b/>
                <w:kern w:val="0"/>
                <w:sz w:val="24"/>
              </w:rPr>
            </w:pPr>
            <w:r>
              <w:rPr>
                <w:rFonts w:eastAsiaTheme="minorEastAsia"/>
                <w:b/>
                <w:kern w:val="0"/>
                <w:sz w:val="24"/>
              </w:rPr>
              <w:t>5</w:t>
            </w:r>
            <w:r>
              <w:rPr>
                <w:rFonts w:hint="eastAsia" w:eastAsiaTheme="minorEastAsia"/>
                <w:b/>
                <w:kern w:val="0"/>
                <w:sz w:val="24"/>
              </w:rPr>
              <w:t>、劳动定员及工作制度</w:t>
            </w:r>
          </w:p>
          <w:p>
            <w:pPr>
              <w:spacing w:line="360" w:lineRule="auto"/>
              <w:ind w:firstLine="480" w:firstLineChars="200"/>
              <w:contextualSpacing/>
              <w:jc w:val="left"/>
              <w:rPr>
                <w:rFonts w:eastAsiaTheme="minorEastAsia"/>
                <w:kern w:val="0"/>
                <w:sz w:val="24"/>
              </w:rPr>
            </w:pPr>
            <w:r>
              <w:rPr>
                <w:rFonts w:hint="eastAsia" w:eastAsiaTheme="minorEastAsia"/>
                <w:sz w:val="24"/>
              </w:rPr>
              <w:t>本项目员工8人，年工作240天，</w:t>
            </w:r>
            <w:r>
              <w:rPr>
                <w:rFonts w:eastAsiaTheme="minorEastAsia"/>
                <w:sz w:val="24"/>
              </w:rPr>
              <w:t>3</w:t>
            </w:r>
            <w:r>
              <w:rPr>
                <w:rFonts w:hint="eastAsia" w:eastAsiaTheme="minorEastAsia"/>
                <w:sz w:val="24"/>
              </w:rPr>
              <w:t>月</w:t>
            </w:r>
            <w:r>
              <w:rPr>
                <w:rFonts w:eastAsiaTheme="minorEastAsia"/>
                <w:sz w:val="24"/>
              </w:rPr>
              <w:t>-</w:t>
            </w:r>
            <w:r>
              <w:rPr>
                <w:rFonts w:hint="eastAsia" w:eastAsiaTheme="minorEastAsia"/>
                <w:sz w:val="24"/>
              </w:rPr>
              <w:t>11月之间生产，一班制，每班</w:t>
            </w:r>
            <w:r>
              <w:rPr>
                <w:rFonts w:eastAsiaTheme="minorEastAsia"/>
                <w:sz w:val="24"/>
              </w:rPr>
              <w:t>8</w:t>
            </w:r>
            <w:r>
              <w:rPr>
                <w:rFonts w:hint="eastAsia" w:eastAsiaTheme="minorEastAsia"/>
                <w:sz w:val="24"/>
              </w:rPr>
              <w:t>小时。厂区内无食堂，无宿舍。</w:t>
            </w:r>
          </w:p>
          <w:p>
            <w:pPr>
              <w:spacing w:line="360" w:lineRule="auto"/>
              <w:ind w:firstLine="482" w:firstLineChars="200"/>
              <w:contextualSpacing/>
              <w:jc w:val="left"/>
              <w:rPr>
                <w:rFonts w:eastAsiaTheme="minorEastAsia"/>
                <w:b/>
                <w:kern w:val="0"/>
                <w:sz w:val="24"/>
              </w:rPr>
            </w:pPr>
            <w:r>
              <w:rPr>
                <w:rFonts w:eastAsiaTheme="minorEastAsia"/>
                <w:b/>
                <w:kern w:val="0"/>
                <w:sz w:val="24"/>
              </w:rPr>
              <w:t>6</w:t>
            </w:r>
            <w:r>
              <w:rPr>
                <w:rFonts w:hint="eastAsia" w:eastAsiaTheme="minorEastAsia"/>
                <w:b/>
                <w:kern w:val="0"/>
                <w:sz w:val="24"/>
              </w:rPr>
              <w:t>、厂区平面布置</w:t>
            </w:r>
          </w:p>
          <w:p>
            <w:pPr>
              <w:spacing w:line="360" w:lineRule="auto"/>
              <w:ind w:firstLine="480" w:firstLineChars="200"/>
              <w:contextualSpacing/>
              <w:jc w:val="left"/>
              <w:rPr>
                <w:rFonts w:eastAsiaTheme="minorEastAsia"/>
                <w:kern w:val="0"/>
                <w:sz w:val="24"/>
              </w:rPr>
            </w:pPr>
            <w:r>
              <w:rPr>
                <w:rFonts w:hint="eastAsia" w:eastAsiaTheme="minorEastAsia"/>
                <w:kern w:val="0"/>
                <w:sz w:val="24"/>
              </w:rPr>
              <w:t>本项目办公室位于厂区北侧，一般固废存放间位于厂区南侧，危险废物贮存库位于一般固废存放间北侧，拆解车间位于险废物贮存库北侧，停车场位于厂区东侧、拆解车间东侧，距离较近，便于运输，总体布局合理。厂区平面布置图见附图</w:t>
            </w:r>
            <w:r>
              <w:rPr>
                <w:rFonts w:eastAsiaTheme="minorEastAsia"/>
                <w:kern w:val="0"/>
                <w:sz w:val="24"/>
              </w:rPr>
              <w:t>2</w:t>
            </w:r>
            <w:r>
              <w:rPr>
                <w:rFonts w:hint="eastAsia" w:eastAsiaTheme="minorEastAsia"/>
                <w:kern w:val="0"/>
                <w:sz w:val="24"/>
              </w:rPr>
              <w:t>。</w:t>
            </w:r>
          </w:p>
          <w:p>
            <w:pPr>
              <w:spacing w:line="360" w:lineRule="auto"/>
              <w:ind w:firstLine="482" w:firstLineChars="200"/>
              <w:contextualSpacing/>
              <w:jc w:val="left"/>
              <w:rPr>
                <w:rFonts w:eastAsiaTheme="minorEastAsia"/>
                <w:b/>
                <w:kern w:val="0"/>
                <w:sz w:val="24"/>
              </w:rPr>
            </w:pPr>
            <w:r>
              <w:rPr>
                <w:rFonts w:hint="eastAsia" w:eastAsiaTheme="minorEastAsia"/>
                <w:b/>
                <w:kern w:val="0"/>
                <w:sz w:val="24"/>
              </w:rPr>
              <w:t>7、环保投资概算</w:t>
            </w:r>
          </w:p>
          <w:p>
            <w:pPr>
              <w:widowControl/>
              <w:shd w:val="clear" w:color="auto" w:fill="FFFFFF"/>
              <w:spacing w:line="360" w:lineRule="auto"/>
              <w:contextualSpacing/>
              <w:jc w:val="center"/>
              <w:rPr>
                <w:rFonts w:eastAsiaTheme="minorEastAsia"/>
                <w:b/>
                <w:bCs/>
                <w:kern w:val="0"/>
                <w:sz w:val="24"/>
              </w:rPr>
            </w:pPr>
            <w:r>
              <w:rPr>
                <w:rFonts w:hint="eastAsia" w:eastAsiaTheme="minorEastAsia"/>
                <w:b/>
                <w:bCs/>
                <w:kern w:val="0"/>
                <w:sz w:val="24"/>
              </w:rPr>
              <w:t>表</w:t>
            </w:r>
            <w:r>
              <w:rPr>
                <w:rFonts w:eastAsiaTheme="minorEastAsia"/>
                <w:b/>
                <w:bCs/>
                <w:kern w:val="0"/>
                <w:sz w:val="24"/>
              </w:rPr>
              <w:t>2-</w:t>
            </w:r>
            <w:r>
              <w:rPr>
                <w:rFonts w:hint="eastAsia" w:eastAsiaTheme="minorEastAsia"/>
                <w:b/>
                <w:bCs/>
                <w:kern w:val="0"/>
                <w:sz w:val="24"/>
              </w:rPr>
              <w:t>5环保投资一览表</w:t>
            </w:r>
          </w:p>
          <w:tbl>
            <w:tblPr>
              <w:tblStyle w:val="22"/>
              <w:tblW w:w="83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276"/>
              <w:gridCol w:w="1418"/>
              <w:gridCol w:w="3827"/>
              <w:gridCol w:w="13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7" w:hRule="atLeast"/>
              </w:trPr>
              <w:tc>
                <w:tcPr>
                  <w:tcW w:w="1816" w:type="dxa"/>
                  <w:gridSpan w:val="2"/>
                  <w:vAlign w:val="center"/>
                </w:tcPr>
                <w:p>
                  <w:pPr>
                    <w:spacing w:line="0" w:lineRule="atLeast"/>
                    <w:contextualSpacing/>
                    <w:jc w:val="center"/>
                    <w:rPr>
                      <w:rFonts w:eastAsiaTheme="minorEastAsia"/>
                      <w:kern w:val="0"/>
                      <w:szCs w:val="21"/>
                    </w:rPr>
                  </w:pPr>
                  <w:r>
                    <w:rPr>
                      <w:rFonts w:hint="eastAsia"/>
                      <w:szCs w:val="21"/>
                    </w:rPr>
                    <w:t>项目</w:t>
                  </w:r>
                </w:p>
              </w:tc>
              <w:tc>
                <w:tcPr>
                  <w:tcW w:w="1418" w:type="dxa"/>
                  <w:vAlign w:val="center"/>
                </w:tcPr>
                <w:p>
                  <w:pPr>
                    <w:pStyle w:val="76"/>
                    <w:rPr>
                      <w:rFonts w:eastAsiaTheme="minorEastAsia"/>
                    </w:rPr>
                  </w:pPr>
                  <w:r>
                    <w:rPr>
                      <w:rFonts w:eastAsiaTheme="minorEastAsia"/>
                    </w:rPr>
                    <w:t>污染源</w:t>
                  </w:r>
                </w:p>
              </w:tc>
              <w:tc>
                <w:tcPr>
                  <w:tcW w:w="3827" w:type="dxa"/>
                  <w:vAlign w:val="center"/>
                </w:tcPr>
                <w:p>
                  <w:pPr>
                    <w:pStyle w:val="76"/>
                    <w:rPr>
                      <w:rFonts w:eastAsiaTheme="minorEastAsia"/>
                    </w:rPr>
                  </w:pPr>
                  <w:r>
                    <w:rPr>
                      <w:rFonts w:hint="eastAsia"/>
                    </w:rPr>
                    <w:t>具体措施</w:t>
                  </w:r>
                </w:p>
              </w:tc>
              <w:tc>
                <w:tcPr>
                  <w:tcW w:w="1331" w:type="dxa"/>
                  <w:vAlign w:val="center"/>
                </w:tcPr>
                <w:p>
                  <w:pPr>
                    <w:pStyle w:val="76"/>
                    <w:rPr>
                      <w:rFonts w:eastAsiaTheme="minorEastAsia"/>
                    </w:rPr>
                  </w:pPr>
                  <w:r>
                    <w:rPr>
                      <w:rFonts w:hint="eastAsia" w:eastAsiaTheme="minorEastAsia"/>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1816" w:type="dxa"/>
                  <w:gridSpan w:val="2"/>
                  <w:vAlign w:val="center"/>
                </w:tcPr>
                <w:p>
                  <w:pPr>
                    <w:spacing w:line="0" w:lineRule="atLeast"/>
                    <w:contextualSpacing/>
                    <w:jc w:val="center"/>
                    <w:rPr>
                      <w:rFonts w:eastAsiaTheme="minorEastAsia"/>
                      <w:kern w:val="0"/>
                      <w:szCs w:val="21"/>
                    </w:rPr>
                  </w:pPr>
                  <w:r>
                    <w:rPr>
                      <w:rFonts w:hint="eastAsia"/>
                      <w:szCs w:val="21"/>
                    </w:rPr>
                    <w:t>施工期</w:t>
                  </w:r>
                </w:p>
              </w:tc>
              <w:tc>
                <w:tcPr>
                  <w:tcW w:w="1418" w:type="dxa"/>
                  <w:vAlign w:val="center"/>
                </w:tcPr>
                <w:p>
                  <w:pPr>
                    <w:pStyle w:val="76"/>
                    <w:rPr>
                      <w:rFonts w:eastAsiaTheme="minorEastAsia"/>
                      <w:kern w:val="0"/>
                    </w:rPr>
                  </w:pPr>
                  <w:r>
                    <w:rPr>
                      <w:rFonts w:hint="eastAsia" w:eastAsiaTheme="minorEastAsia"/>
                      <w:kern w:val="0"/>
                    </w:rPr>
                    <w:t>废气、噪声、废水、固废</w:t>
                  </w:r>
                </w:p>
              </w:tc>
              <w:tc>
                <w:tcPr>
                  <w:tcW w:w="3827" w:type="dxa"/>
                  <w:vAlign w:val="center"/>
                </w:tcPr>
                <w:p>
                  <w:pPr>
                    <w:pStyle w:val="76"/>
                    <w:rPr>
                      <w:rFonts w:eastAsiaTheme="minorEastAsia"/>
                      <w:kern w:val="0"/>
                    </w:rPr>
                  </w:pPr>
                  <w:r>
                    <w:rPr>
                      <w:rFonts w:hint="eastAsia" w:eastAsiaTheme="minorEastAsia"/>
                      <w:kern w:val="0"/>
                    </w:rPr>
                    <w:t>定期清理清扫，洒水降尘，防渗旱厕，采用低噪声设备，定期维护，建筑垃圾及生活垃圾清运，施工期临时环保措施拆除</w:t>
                  </w:r>
                </w:p>
              </w:tc>
              <w:tc>
                <w:tcPr>
                  <w:tcW w:w="1331" w:type="dxa"/>
                  <w:vAlign w:val="center"/>
                </w:tcPr>
                <w:p>
                  <w:pPr>
                    <w:pStyle w:val="76"/>
                    <w:rPr>
                      <w:rFonts w:eastAsiaTheme="minorEastAsia"/>
                      <w:kern w:val="0"/>
                    </w:rPr>
                  </w:pPr>
                  <w:r>
                    <w:rPr>
                      <w:rFonts w:hint="eastAsia" w:eastAsiaTheme="minorEastAsia"/>
                      <w:kern w:val="0"/>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540" w:type="dxa"/>
                  <w:vMerge w:val="restart"/>
                  <w:vAlign w:val="center"/>
                </w:tcPr>
                <w:p>
                  <w:pPr>
                    <w:spacing w:line="0" w:lineRule="atLeast"/>
                    <w:contextualSpacing/>
                    <w:jc w:val="center"/>
                    <w:rPr>
                      <w:rFonts w:eastAsiaTheme="minorEastAsia"/>
                      <w:kern w:val="0"/>
                      <w:szCs w:val="21"/>
                    </w:rPr>
                  </w:pPr>
                  <w:r>
                    <w:rPr>
                      <w:rFonts w:hint="eastAsia" w:eastAsiaTheme="minorEastAsia"/>
                      <w:kern w:val="0"/>
                      <w:szCs w:val="21"/>
                    </w:rPr>
                    <w:t>运</w:t>
                  </w:r>
                </w:p>
                <w:p>
                  <w:pPr>
                    <w:spacing w:line="0" w:lineRule="atLeast"/>
                    <w:contextualSpacing/>
                    <w:jc w:val="center"/>
                    <w:rPr>
                      <w:rFonts w:eastAsiaTheme="minorEastAsia"/>
                      <w:kern w:val="0"/>
                      <w:szCs w:val="21"/>
                    </w:rPr>
                  </w:pPr>
                  <w:r>
                    <w:rPr>
                      <w:rFonts w:hint="eastAsia" w:eastAsiaTheme="minorEastAsia"/>
                      <w:kern w:val="0"/>
                      <w:szCs w:val="21"/>
                    </w:rPr>
                    <w:t>营</w:t>
                  </w:r>
                </w:p>
                <w:p>
                  <w:pPr>
                    <w:spacing w:line="0" w:lineRule="atLeast"/>
                    <w:contextualSpacing/>
                    <w:jc w:val="center"/>
                    <w:rPr>
                      <w:rFonts w:eastAsiaTheme="minorEastAsia"/>
                      <w:kern w:val="0"/>
                      <w:szCs w:val="21"/>
                    </w:rPr>
                  </w:pPr>
                  <w:r>
                    <w:rPr>
                      <w:rFonts w:hint="eastAsia" w:eastAsiaTheme="minorEastAsia"/>
                      <w:kern w:val="0"/>
                      <w:szCs w:val="21"/>
                    </w:rPr>
                    <w:t>期</w:t>
                  </w:r>
                </w:p>
              </w:tc>
              <w:tc>
                <w:tcPr>
                  <w:tcW w:w="1276" w:type="dxa"/>
                  <w:vMerge w:val="restart"/>
                  <w:vAlign w:val="center"/>
                </w:tcPr>
                <w:p>
                  <w:pPr>
                    <w:spacing w:line="0" w:lineRule="atLeast"/>
                    <w:contextualSpacing/>
                    <w:jc w:val="center"/>
                    <w:rPr>
                      <w:rFonts w:eastAsiaTheme="minorEastAsia"/>
                      <w:kern w:val="0"/>
                      <w:szCs w:val="21"/>
                    </w:rPr>
                  </w:pPr>
                  <w:r>
                    <w:rPr>
                      <w:rFonts w:hint="eastAsia"/>
                      <w:szCs w:val="21"/>
                    </w:rPr>
                    <w:t>废气治理</w:t>
                  </w:r>
                </w:p>
              </w:tc>
              <w:tc>
                <w:tcPr>
                  <w:tcW w:w="1418" w:type="dxa"/>
                  <w:vAlign w:val="center"/>
                </w:tcPr>
                <w:p>
                  <w:pPr>
                    <w:jc w:val="center"/>
                    <w:rPr>
                      <w:rFonts w:eastAsiaTheme="minorEastAsia"/>
                      <w:kern w:val="0"/>
                    </w:rPr>
                  </w:pPr>
                  <w:r>
                    <w:rPr>
                      <w:rFonts w:hint="eastAsia"/>
                      <w:szCs w:val="21"/>
                    </w:rPr>
                    <w:t>切割工段</w:t>
                  </w:r>
                </w:p>
              </w:tc>
              <w:tc>
                <w:tcPr>
                  <w:tcW w:w="3827" w:type="dxa"/>
                  <w:vAlign w:val="center"/>
                </w:tcPr>
                <w:p>
                  <w:pPr>
                    <w:pStyle w:val="76"/>
                    <w:rPr>
                      <w:rFonts w:eastAsiaTheme="minorEastAsia"/>
                      <w:kern w:val="0"/>
                    </w:rPr>
                  </w:pPr>
                  <w:r>
                    <w:rPr>
                      <w:rFonts w:hint="eastAsia" w:eastAsiaTheme="minorEastAsia"/>
                      <w:kern w:val="0"/>
                    </w:rPr>
                    <w:t>集气罩、布袋除尘器、</w:t>
                  </w:r>
                  <w:r>
                    <w:rPr>
                      <w:rFonts w:eastAsiaTheme="minorEastAsia"/>
                      <w:kern w:val="0"/>
                    </w:rPr>
                    <w:t>15m</w:t>
                  </w:r>
                  <w:r>
                    <w:rPr>
                      <w:rFonts w:hint="eastAsia" w:eastAsiaTheme="minorEastAsia"/>
                      <w:kern w:val="0"/>
                    </w:rPr>
                    <w:t>高排气筒</w:t>
                  </w:r>
                </w:p>
              </w:tc>
              <w:tc>
                <w:tcPr>
                  <w:tcW w:w="1331" w:type="dxa"/>
                  <w:vAlign w:val="center"/>
                </w:tcPr>
                <w:p>
                  <w:pPr>
                    <w:pStyle w:val="76"/>
                    <w:rPr>
                      <w:rFonts w:eastAsiaTheme="minorEastAsia"/>
                      <w:kern w:val="0"/>
                    </w:rPr>
                  </w:pPr>
                  <w:r>
                    <w:rPr>
                      <w:rFonts w:hint="eastAsia" w:eastAsiaTheme="minorEastAsia"/>
                      <w:kern w:val="0"/>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540" w:type="dxa"/>
                  <w:vMerge w:val="continue"/>
                  <w:vAlign w:val="center"/>
                </w:tcPr>
                <w:p>
                  <w:pPr>
                    <w:spacing w:line="0" w:lineRule="atLeast"/>
                    <w:contextualSpacing/>
                    <w:jc w:val="center"/>
                    <w:rPr>
                      <w:rFonts w:eastAsiaTheme="minorEastAsia"/>
                      <w:kern w:val="0"/>
                      <w:szCs w:val="21"/>
                    </w:rPr>
                  </w:pPr>
                </w:p>
              </w:tc>
              <w:tc>
                <w:tcPr>
                  <w:tcW w:w="1276" w:type="dxa"/>
                  <w:vMerge w:val="continue"/>
                  <w:vAlign w:val="center"/>
                </w:tcPr>
                <w:p>
                  <w:pPr>
                    <w:spacing w:line="0" w:lineRule="atLeast"/>
                    <w:contextualSpacing/>
                    <w:jc w:val="center"/>
                    <w:rPr>
                      <w:szCs w:val="21"/>
                    </w:rPr>
                  </w:pPr>
                </w:p>
              </w:tc>
              <w:tc>
                <w:tcPr>
                  <w:tcW w:w="1418" w:type="dxa"/>
                  <w:vAlign w:val="center"/>
                </w:tcPr>
                <w:p>
                  <w:pPr>
                    <w:jc w:val="center"/>
                    <w:rPr>
                      <w:rFonts w:eastAsiaTheme="minorEastAsia"/>
                      <w:kern w:val="0"/>
                    </w:rPr>
                  </w:pPr>
                  <w:r>
                    <w:rPr>
                      <w:rFonts w:hint="eastAsia"/>
                      <w:szCs w:val="21"/>
                    </w:rPr>
                    <w:t>拆解工段</w:t>
                  </w:r>
                </w:p>
              </w:tc>
              <w:tc>
                <w:tcPr>
                  <w:tcW w:w="3827" w:type="dxa"/>
                  <w:vAlign w:val="center"/>
                </w:tcPr>
                <w:p>
                  <w:pPr>
                    <w:pStyle w:val="76"/>
                    <w:rPr>
                      <w:rFonts w:eastAsiaTheme="minorEastAsia"/>
                      <w:kern w:val="0"/>
                    </w:rPr>
                  </w:pPr>
                  <w:r>
                    <w:rPr>
                      <w:rFonts w:hint="eastAsia" w:eastAsiaTheme="minorEastAsia"/>
                      <w:kern w:val="0"/>
                    </w:rPr>
                    <w:t>集气罩、二级活性炭吸附装置、</w:t>
                  </w:r>
                  <w:r>
                    <w:rPr>
                      <w:rFonts w:eastAsiaTheme="minorEastAsia"/>
                      <w:kern w:val="0"/>
                    </w:rPr>
                    <w:t>15m</w:t>
                  </w:r>
                  <w:r>
                    <w:rPr>
                      <w:rFonts w:hint="eastAsia" w:eastAsiaTheme="minorEastAsia"/>
                      <w:kern w:val="0"/>
                    </w:rPr>
                    <w:t>高排气筒</w:t>
                  </w:r>
                </w:p>
              </w:tc>
              <w:tc>
                <w:tcPr>
                  <w:tcW w:w="1331" w:type="dxa"/>
                  <w:vAlign w:val="center"/>
                </w:tcPr>
                <w:p>
                  <w:pPr>
                    <w:pStyle w:val="76"/>
                    <w:rPr>
                      <w:rFonts w:eastAsiaTheme="minorEastAsia"/>
                      <w:kern w:val="0"/>
                    </w:rPr>
                  </w:pPr>
                  <w:r>
                    <w:rPr>
                      <w:rFonts w:hint="eastAsia" w:eastAsiaTheme="minorEastAsia"/>
                      <w:kern w:val="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540" w:type="dxa"/>
                  <w:vMerge w:val="continue"/>
                  <w:vAlign w:val="center"/>
                </w:tcPr>
                <w:p>
                  <w:pPr>
                    <w:spacing w:line="0" w:lineRule="atLeast"/>
                    <w:contextualSpacing/>
                    <w:jc w:val="center"/>
                    <w:rPr>
                      <w:rFonts w:eastAsiaTheme="minorEastAsia"/>
                      <w:kern w:val="0"/>
                      <w:szCs w:val="21"/>
                    </w:rPr>
                  </w:pPr>
                </w:p>
              </w:tc>
              <w:tc>
                <w:tcPr>
                  <w:tcW w:w="1276" w:type="dxa"/>
                  <w:vMerge w:val="continue"/>
                  <w:vAlign w:val="center"/>
                </w:tcPr>
                <w:p>
                  <w:pPr>
                    <w:spacing w:line="0" w:lineRule="atLeast"/>
                    <w:contextualSpacing/>
                    <w:jc w:val="center"/>
                    <w:rPr>
                      <w:szCs w:val="21"/>
                    </w:rPr>
                  </w:pPr>
                </w:p>
              </w:tc>
              <w:tc>
                <w:tcPr>
                  <w:tcW w:w="1418" w:type="dxa"/>
                  <w:vAlign w:val="center"/>
                </w:tcPr>
                <w:p>
                  <w:pPr>
                    <w:jc w:val="center"/>
                    <w:rPr>
                      <w:rFonts w:eastAsiaTheme="minorEastAsia"/>
                      <w:kern w:val="0"/>
                    </w:rPr>
                  </w:pPr>
                  <w:r>
                    <w:rPr>
                      <w:rFonts w:hint="eastAsia"/>
                      <w:szCs w:val="21"/>
                    </w:rPr>
                    <w:t>危废贮存库</w:t>
                  </w:r>
                </w:p>
              </w:tc>
              <w:tc>
                <w:tcPr>
                  <w:tcW w:w="3827" w:type="dxa"/>
                  <w:vAlign w:val="center"/>
                </w:tcPr>
                <w:p>
                  <w:pPr>
                    <w:pStyle w:val="76"/>
                    <w:rPr>
                      <w:rFonts w:eastAsiaTheme="minorEastAsia"/>
                      <w:kern w:val="0"/>
                    </w:rPr>
                  </w:pPr>
                  <w:r>
                    <w:rPr>
                      <w:rFonts w:hint="eastAsia" w:eastAsiaTheme="minorEastAsia"/>
                      <w:kern w:val="0"/>
                    </w:rPr>
                    <w:t>集气、二级活性炭吸附装置、</w:t>
                  </w:r>
                  <w:r>
                    <w:rPr>
                      <w:rFonts w:eastAsiaTheme="minorEastAsia"/>
                      <w:kern w:val="0"/>
                    </w:rPr>
                    <w:t>15m</w:t>
                  </w:r>
                  <w:r>
                    <w:rPr>
                      <w:rFonts w:hint="eastAsia" w:eastAsiaTheme="minorEastAsia"/>
                      <w:kern w:val="0"/>
                    </w:rPr>
                    <w:t>高排气筒</w:t>
                  </w:r>
                </w:p>
              </w:tc>
              <w:tc>
                <w:tcPr>
                  <w:tcW w:w="1331" w:type="dxa"/>
                  <w:vAlign w:val="center"/>
                </w:tcPr>
                <w:p>
                  <w:pPr>
                    <w:pStyle w:val="76"/>
                    <w:rPr>
                      <w:rFonts w:eastAsiaTheme="minorEastAsia"/>
                      <w:kern w:val="0"/>
                    </w:rPr>
                  </w:pPr>
                  <w:r>
                    <w:rPr>
                      <w:rFonts w:hint="eastAsia" w:eastAsiaTheme="minorEastAsia"/>
                      <w:kern w:val="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540" w:type="dxa"/>
                  <w:vMerge w:val="continue"/>
                  <w:vAlign w:val="center"/>
                </w:tcPr>
                <w:p>
                  <w:pPr>
                    <w:spacing w:line="0" w:lineRule="atLeast"/>
                    <w:contextualSpacing/>
                    <w:jc w:val="center"/>
                    <w:rPr>
                      <w:rFonts w:eastAsiaTheme="minorEastAsia"/>
                      <w:kern w:val="0"/>
                      <w:szCs w:val="21"/>
                    </w:rPr>
                  </w:pPr>
                </w:p>
              </w:tc>
              <w:tc>
                <w:tcPr>
                  <w:tcW w:w="1276" w:type="dxa"/>
                  <w:vAlign w:val="center"/>
                </w:tcPr>
                <w:p>
                  <w:pPr>
                    <w:spacing w:line="0" w:lineRule="atLeast"/>
                    <w:contextualSpacing/>
                    <w:jc w:val="center"/>
                    <w:rPr>
                      <w:rFonts w:eastAsiaTheme="minorEastAsia"/>
                      <w:kern w:val="0"/>
                      <w:szCs w:val="21"/>
                    </w:rPr>
                  </w:pPr>
                  <w:r>
                    <w:rPr>
                      <w:rFonts w:hint="eastAsia"/>
                      <w:szCs w:val="21"/>
                    </w:rPr>
                    <w:t>噪声治理</w:t>
                  </w:r>
                </w:p>
              </w:tc>
              <w:tc>
                <w:tcPr>
                  <w:tcW w:w="1418" w:type="dxa"/>
                  <w:vAlign w:val="center"/>
                </w:tcPr>
                <w:p>
                  <w:pPr>
                    <w:jc w:val="center"/>
                    <w:rPr>
                      <w:szCs w:val="21"/>
                    </w:rPr>
                  </w:pPr>
                  <w:r>
                    <w:rPr>
                      <w:rFonts w:hint="eastAsia"/>
                      <w:szCs w:val="21"/>
                    </w:rPr>
                    <w:t>设备噪声</w:t>
                  </w:r>
                </w:p>
              </w:tc>
              <w:tc>
                <w:tcPr>
                  <w:tcW w:w="3827" w:type="dxa"/>
                  <w:vAlign w:val="center"/>
                </w:tcPr>
                <w:p>
                  <w:pPr>
                    <w:widowControl/>
                    <w:jc w:val="center"/>
                    <w:rPr>
                      <w:rFonts w:ascii="宋体" w:hAnsi="宋体" w:cs="宋体"/>
                      <w:kern w:val="0"/>
                      <w:sz w:val="24"/>
                    </w:rPr>
                  </w:pPr>
                  <w:r>
                    <w:rPr>
                      <w:rFonts w:hint="eastAsia" w:ascii="宋体" w:hAnsi="宋体" w:cs="宋体"/>
                      <w:kern w:val="0"/>
                      <w:szCs w:val="21"/>
                    </w:rPr>
                    <w:t>选用低噪声设备，隔声减振、车间采用隔声门窗等</w:t>
                  </w:r>
                </w:p>
              </w:tc>
              <w:tc>
                <w:tcPr>
                  <w:tcW w:w="1331" w:type="dxa"/>
                  <w:vAlign w:val="center"/>
                </w:tcPr>
                <w:p>
                  <w:pPr>
                    <w:pStyle w:val="76"/>
                    <w:rPr>
                      <w:rFonts w:eastAsiaTheme="minorEastAsia"/>
                      <w:kern w:val="0"/>
                    </w:rPr>
                  </w:pPr>
                  <w:r>
                    <w:rPr>
                      <w:rFonts w:hint="eastAsia" w:eastAsiaTheme="minorEastAsia"/>
                      <w:kern w:val="0"/>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540" w:type="dxa"/>
                  <w:vMerge w:val="continue"/>
                  <w:vAlign w:val="center"/>
                </w:tcPr>
                <w:p>
                  <w:pPr>
                    <w:spacing w:line="0" w:lineRule="atLeast"/>
                    <w:contextualSpacing/>
                    <w:jc w:val="center"/>
                    <w:rPr>
                      <w:rFonts w:eastAsiaTheme="minorEastAsia"/>
                      <w:kern w:val="0"/>
                      <w:szCs w:val="21"/>
                    </w:rPr>
                  </w:pPr>
                </w:p>
              </w:tc>
              <w:tc>
                <w:tcPr>
                  <w:tcW w:w="1276" w:type="dxa"/>
                  <w:vAlign w:val="center"/>
                </w:tcPr>
                <w:p>
                  <w:pPr>
                    <w:spacing w:line="0" w:lineRule="atLeast"/>
                    <w:contextualSpacing/>
                    <w:jc w:val="center"/>
                    <w:rPr>
                      <w:rFonts w:eastAsiaTheme="minorEastAsia"/>
                      <w:kern w:val="0"/>
                      <w:szCs w:val="21"/>
                    </w:rPr>
                  </w:pPr>
                  <w:r>
                    <w:rPr>
                      <w:rFonts w:hint="eastAsia"/>
                      <w:szCs w:val="21"/>
                    </w:rPr>
                    <w:t>废水治理</w:t>
                  </w:r>
                </w:p>
              </w:tc>
              <w:tc>
                <w:tcPr>
                  <w:tcW w:w="1418" w:type="dxa"/>
                  <w:vAlign w:val="center"/>
                </w:tcPr>
                <w:p>
                  <w:pPr>
                    <w:jc w:val="center"/>
                    <w:rPr>
                      <w:rFonts w:eastAsiaTheme="minorEastAsia"/>
                      <w:kern w:val="0"/>
                    </w:rPr>
                  </w:pPr>
                  <w:r>
                    <w:rPr>
                      <w:rFonts w:hint="eastAsia"/>
                      <w:szCs w:val="21"/>
                    </w:rPr>
                    <w:t>初期雨水</w:t>
                  </w:r>
                </w:p>
              </w:tc>
              <w:tc>
                <w:tcPr>
                  <w:tcW w:w="3827" w:type="dxa"/>
                  <w:vAlign w:val="center"/>
                </w:tcPr>
                <w:p>
                  <w:pPr>
                    <w:pStyle w:val="76"/>
                    <w:rPr>
                      <w:rFonts w:eastAsiaTheme="minorEastAsia"/>
                      <w:kern w:val="0"/>
                    </w:rPr>
                  </w:pPr>
                  <w:r>
                    <w:rPr>
                      <w:rFonts w:hint="eastAsia"/>
                    </w:rPr>
                    <w:t>油水分离器、初期雨水暂存池、收集池</w:t>
                  </w:r>
                </w:p>
              </w:tc>
              <w:tc>
                <w:tcPr>
                  <w:tcW w:w="1331" w:type="dxa"/>
                  <w:vAlign w:val="center"/>
                </w:tcPr>
                <w:p>
                  <w:pPr>
                    <w:pStyle w:val="76"/>
                    <w:rPr>
                      <w:rFonts w:eastAsiaTheme="minorEastAsia"/>
                      <w:kern w:val="0"/>
                    </w:rPr>
                  </w:pPr>
                  <w:r>
                    <w:rPr>
                      <w:rFonts w:hint="eastAsia" w:eastAsiaTheme="minorEastAsia"/>
                      <w:kern w:val="0"/>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540" w:type="dxa"/>
                  <w:vMerge w:val="continue"/>
                  <w:vAlign w:val="center"/>
                </w:tcPr>
                <w:p>
                  <w:pPr>
                    <w:spacing w:line="0" w:lineRule="atLeast"/>
                    <w:contextualSpacing/>
                    <w:jc w:val="center"/>
                    <w:rPr>
                      <w:rFonts w:eastAsiaTheme="minorEastAsia"/>
                      <w:kern w:val="0"/>
                      <w:szCs w:val="21"/>
                    </w:rPr>
                  </w:pPr>
                </w:p>
              </w:tc>
              <w:tc>
                <w:tcPr>
                  <w:tcW w:w="1276" w:type="dxa"/>
                  <w:vAlign w:val="center"/>
                </w:tcPr>
                <w:p>
                  <w:pPr>
                    <w:spacing w:line="0" w:lineRule="atLeast"/>
                    <w:contextualSpacing/>
                    <w:jc w:val="center"/>
                    <w:rPr>
                      <w:rFonts w:eastAsiaTheme="minorEastAsia"/>
                      <w:kern w:val="0"/>
                      <w:szCs w:val="21"/>
                    </w:rPr>
                  </w:pPr>
                  <w:r>
                    <w:rPr>
                      <w:rFonts w:hint="eastAsia" w:eastAsiaTheme="minorEastAsia"/>
                      <w:kern w:val="0"/>
                      <w:szCs w:val="21"/>
                    </w:rPr>
                    <w:t>固废治理</w:t>
                  </w:r>
                </w:p>
              </w:tc>
              <w:tc>
                <w:tcPr>
                  <w:tcW w:w="1418" w:type="dxa"/>
                  <w:vAlign w:val="center"/>
                </w:tcPr>
                <w:p>
                  <w:pPr>
                    <w:jc w:val="center"/>
                    <w:rPr>
                      <w:rFonts w:eastAsiaTheme="minorEastAsia"/>
                      <w:kern w:val="0"/>
                    </w:rPr>
                  </w:pPr>
                  <w:r>
                    <w:rPr>
                      <w:rFonts w:hint="eastAsia"/>
                      <w:szCs w:val="21"/>
                    </w:rPr>
                    <w:t>生活垃圾、一般固体废物、危险废物</w:t>
                  </w:r>
                </w:p>
              </w:tc>
              <w:tc>
                <w:tcPr>
                  <w:tcW w:w="3827" w:type="dxa"/>
                  <w:vAlign w:val="center"/>
                </w:tcPr>
                <w:p>
                  <w:pPr>
                    <w:pStyle w:val="76"/>
                    <w:rPr>
                      <w:rFonts w:eastAsiaTheme="minorEastAsia"/>
                      <w:kern w:val="0"/>
                    </w:rPr>
                  </w:pPr>
                  <w:r>
                    <w:rPr>
                      <w:rFonts w:hint="eastAsia"/>
                    </w:rPr>
                    <w:t>设置生活垃圾收集箱、一般固体废物存储装置、危险废物委托有资质单位处理、危废贮存库</w:t>
                  </w:r>
                </w:p>
              </w:tc>
              <w:tc>
                <w:tcPr>
                  <w:tcW w:w="1331" w:type="dxa"/>
                  <w:vAlign w:val="center"/>
                </w:tcPr>
                <w:p>
                  <w:pPr>
                    <w:pStyle w:val="76"/>
                    <w:rPr>
                      <w:rFonts w:eastAsiaTheme="minorEastAsia"/>
                      <w:kern w:val="0"/>
                    </w:rPr>
                  </w:pPr>
                  <w:r>
                    <w:rPr>
                      <w:rFonts w:hint="eastAsia" w:eastAsiaTheme="minorEastAsia"/>
                      <w:kern w:val="0"/>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540" w:type="dxa"/>
                  <w:vMerge w:val="continue"/>
                  <w:vAlign w:val="center"/>
                </w:tcPr>
                <w:p>
                  <w:pPr>
                    <w:spacing w:line="0" w:lineRule="atLeast"/>
                    <w:contextualSpacing/>
                    <w:jc w:val="center"/>
                    <w:rPr>
                      <w:rFonts w:eastAsiaTheme="minorEastAsia"/>
                      <w:kern w:val="0"/>
                      <w:szCs w:val="21"/>
                    </w:rPr>
                  </w:pPr>
                </w:p>
              </w:tc>
              <w:tc>
                <w:tcPr>
                  <w:tcW w:w="1276" w:type="dxa"/>
                  <w:vAlign w:val="center"/>
                </w:tcPr>
                <w:p>
                  <w:pPr>
                    <w:spacing w:line="0" w:lineRule="atLeast"/>
                    <w:contextualSpacing/>
                    <w:jc w:val="center"/>
                    <w:rPr>
                      <w:rFonts w:eastAsiaTheme="minorEastAsia"/>
                      <w:kern w:val="0"/>
                      <w:szCs w:val="21"/>
                    </w:rPr>
                  </w:pPr>
                  <w:r>
                    <w:rPr>
                      <w:rFonts w:eastAsiaTheme="minorEastAsia"/>
                      <w:kern w:val="0"/>
                      <w:szCs w:val="21"/>
                    </w:rPr>
                    <w:t>地下水、土壤</w:t>
                  </w:r>
                </w:p>
              </w:tc>
              <w:tc>
                <w:tcPr>
                  <w:tcW w:w="1418" w:type="dxa"/>
                  <w:vAlign w:val="center"/>
                </w:tcPr>
                <w:p>
                  <w:pPr>
                    <w:jc w:val="center"/>
                    <w:rPr>
                      <w:rFonts w:eastAsiaTheme="minorEastAsia"/>
                      <w:kern w:val="0"/>
                    </w:rPr>
                  </w:pPr>
                  <w:r>
                    <w:rPr>
                      <w:rFonts w:eastAsiaTheme="minorEastAsia"/>
                      <w:kern w:val="0"/>
                    </w:rPr>
                    <w:t>防渗</w:t>
                  </w:r>
                </w:p>
              </w:tc>
              <w:tc>
                <w:tcPr>
                  <w:tcW w:w="3827" w:type="dxa"/>
                  <w:vAlign w:val="center"/>
                </w:tcPr>
                <w:p>
                  <w:pPr>
                    <w:pStyle w:val="76"/>
                    <w:rPr>
                      <w:rFonts w:eastAsiaTheme="minorEastAsia"/>
                      <w:kern w:val="0"/>
                    </w:rPr>
                  </w:pPr>
                  <w:r>
                    <w:rPr>
                      <w:rFonts w:hint="eastAsia" w:eastAsiaTheme="minorEastAsia"/>
                      <w:kern w:val="0"/>
                    </w:rPr>
                    <w:t>1 个地下水跟踪监测井；厂区防渗</w:t>
                  </w:r>
                </w:p>
              </w:tc>
              <w:tc>
                <w:tcPr>
                  <w:tcW w:w="1331" w:type="dxa"/>
                  <w:vAlign w:val="center"/>
                </w:tcPr>
                <w:p>
                  <w:pPr>
                    <w:pStyle w:val="76"/>
                    <w:rPr>
                      <w:rFonts w:eastAsiaTheme="minorEastAsia"/>
                      <w:kern w:val="0"/>
                    </w:rPr>
                  </w:pPr>
                  <w:r>
                    <w:rPr>
                      <w:rFonts w:hint="eastAsia" w:eastAsiaTheme="minorEastAsia"/>
                      <w:kern w:val="0"/>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3234" w:type="dxa"/>
                  <w:gridSpan w:val="3"/>
                  <w:vAlign w:val="center"/>
                </w:tcPr>
                <w:p>
                  <w:pPr>
                    <w:pStyle w:val="76"/>
                    <w:rPr>
                      <w:rFonts w:eastAsiaTheme="minorEastAsia"/>
                      <w:kern w:val="0"/>
                    </w:rPr>
                  </w:pPr>
                  <w:r>
                    <w:rPr>
                      <w:rFonts w:eastAsiaTheme="minorEastAsia"/>
                      <w:kern w:val="0"/>
                    </w:rPr>
                    <w:t>环境风险</w:t>
                  </w:r>
                </w:p>
              </w:tc>
              <w:tc>
                <w:tcPr>
                  <w:tcW w:w="3827" w:type="dxa"/>
                  <w:vAlign w:val="center"/>
                </w:tcPr>
                <w:p>
                  <w:pPr>
                    <w:pStyle w:val="76"/>
                    <w:rPr>
                      <w:rFonts w:eastAsiaTheme="minorEastAsia"/>
                      <w:kern w:val="0"/>
                    </w:rPr>
                  </w:pPr>
                  <w:r>
                    <w:rPr>
                      <w:rFonts w:eastAsiaTheme="minorEastAsia"/>
                      <w:kern w:val="0"/>
                    </w:rPr>
                    <w:t>制定应急预案；</w:t>
                  </w:r>
                  <w:r>
                    <w:rPr>
                      <w:rFonts w:hint="eastAsia" w:eastAsiaTheme="minorEastAsia"/>
                      <w:kern w:val="0"/>
                    </w:rPr>
                    <w:t>泄漏液体收集装置、消防</w:t>
                  </w:r>
                  <w:r>
                    <w:rPr>
                      <w:rFonts w:eastAsiaTheme="minorEastAsia"/>
                      <w:kern w:val="0"/>
                    </w:rPr>
                    <w:t>设施</w:t>
                  </w:r>
                </w:p>
              </w:tc>
              <w:tc>
                <w:tcPr>
                  <w:tcW w:w="1331" w:type="dxa"/>
                  <w:vAlign w:val="center"/>
                </w:tcPr>
                <w:p>
                  <w:pPr>
                    <w:pStyle w:val="76"/>
                    <w:rPr>
                      <w:rFonts w:eastAsiaTheme="minorEastAsia"/>
                      <w:kern w:val="0"/>
                    </w:rPr>
                  </w:pPr>
                  <w:r>
                    <w:rPr>
                      <w:rFonts w:hint="eastAsia" w:eastAsiaTheme="minorEastAsia"/>
                      <w:kern w:val="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7061" w:type="dxa"/>
                  <w:gridSpan w:val="4"/>
                  <w:vAlign w:val="center"/>
                </w:tcPr>
                <w:p>
                  <w:pPr>
                    <w:pStyle w:val="76"/>
                    <w:rPr>
                      <w:rFonts w:eastAsiaTheme="minorEastAsia"/>
                      <w:kern w:val="0"/>
                    </w:rPr>
                  </w:pPr>
                  <w:r>
                    <w:rPr>
                      <w:rFonts w:hint="eastAsia"/>
                    </w:rPr>
                    <w:t>运行、管理、维护、环境管理、验收、监测费</w:t>
                  </w:r>
                </w:p>
              </w:tc>
              <w:tc>
                <w:tcPr>
                  <w:tcW w:w="1331" w:type="dxa"/>
                  <w:vAlign w:val="center"/>
                </w:tcPr>
                <w:p>
                  <w:pPr>
                    <w:pStyle w:val="76"/>
                    <w:rPr>
                      <w:rFonts w:eastAsiaTheme="minorEastAsia"/>
                      <w:kern w:val="0"/>
                    </w:rPr>
                  </w:pPr>
                  <w:r>
                    <w:rPr>
                      <w:rFonts w:hint="eastAsia" w:eastAsiaTheme="minorEastAsia"/>
                      <w:kern w:val="0"/>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7061" w:type="dxa"/>
                  <w:gridSpan w:val="4"/>
                  <w:vAlign w:val="center"/>
                </w:tcPr>
                <w:p>
                  <w:pPr>
                    <w:pStyle w:val="76"/>
                    <w:rPr>
                      <w:rFonts w:eastAsiaTheme="minorEastAsia"/>
                      <w:kern w:val="0"/>
                    </w:rPr>
                  </w:pPr>
                  <w:r>
                    <w:rPr>
                      <w:rFonts w:hint="eastAsia"/>
                    </w:rPr>
                    <w:t>环保投资合计</w:t>
                  </w:r>
                </w:p>
              </w:tc>
              <w:tc>
                <w:tcPr>
                  <w:tcW w:w="1331" w:type="dxa"/>
                  <w:vAlign w:val="center"/>
                </w:tcPr>
                <w:p>
                  <w:pPr>
                    <w:pStyle w:val="76"/>
                    <w:rPr>
                      <w:rFonts w:eastAsiaTheme="minorEastAsia"/>
                      <w:kern w:val="0"/>
                    </w:rPr>
                  </w:pPr>
                  <w:r>
                    <w:rPr>
                      <w:rFonts w:hint="eastAsia" w:eastAsiaTheme="minorEastAsia"/>
                      <w:kern w:val="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7061" w:type="dxa"/>
                  <w:gridSpan w:val="4"/>
                  <w:vAlign w:val="center"/>
                </w:tcPr>
                <w:p>
                  <w:pPr>
                    <w:pStyle w:val="76"/>
                    <w:rPr>
                      <w:rFonts w:eastAsiaTheme="minorEastAsia"/>
                      <w:kern w:val="0"/>
                    </w:rPr>
                  </w:pPr>
                  <w:r>
                    <w:rPr>
                      <w:rFonts w:hint="eastAsia"/>
                    </w:rPr>
                    <w:t>总投资</w:t>
                  </w:r>
                </w:p>
              </w:tc>
              <w:tc>
                <w:tcPr>
                  <w:tcW w:w="1331" w:type="dxa"/>
                  <w:vAlign w:val="center"/>
                </w:tcPr>
                <w:p>
                  <w:pPr>
                    <w:pStyle w:val="76"/>
                    <w:rPr>
                      <w:rFonts w:eastAsiaTheme="minorEastAsia"/>
                      <w:kern w:val="0"/>
                    </w:rPr>
                  </w:pPr>
                  <w:r>
                    <w:rPr>
                      <w:rFonts w:hint="eastAsia" w:eastAsiaTheme="minorEastAsia"/>
                      <w:kern w:val="0"/>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7061" w:type="dxa"/>
                  <w:gridSpan w:val="4"/>
                  <w:vAlign w:val="center"/>
                </w:tcPr>
                <w:p>
                  <w:pPr>
                    <w:widowControl/>
                    <w:jc w:val="center"/>
                    <w:rPr>
                      <w:rFonts w:ascii="宋体" w:hAnsi="宋体" w:cs="宋体"/>
                      <w:kern w:val="0"/>
                      <w:sz w:val="24"/>
                    </w:rPr>
                  </w:pPr>
                  <w:r>
                    <w:rPr>
                      <w:rFonts w:hint="eastAsia" w:ascii="宋体" w:hAnsi="宋体" w:cs="宋体"/>
                      <w:kern w:val="0"/>
                      <w:szCs w:val="21"/>
                    </w:rPr>
                    <w:t>环保投资占比</w:t>
                  </w:r>
                </w:p>
              </w:tc>
              <w:tc>
                <w:tcPr>
                  <w:tcW w:w="1331" w:type="dxa"/>
                  <w:vAlign w:val="center"/>
                </w:tcPr>
                <w:p>
                  <w:pPr>
                    <w:pStyle w:val="76"/>
                    <w:rPr>
                      <w:rFonts w:eastAsiaTheme="minorEastAsia"/>
                      <w:kern w:val="0"/>
                    </w:rPr>
                  </w:pPr>
                  <w:r>
                    <w:rPr>
                      <w:rFonts w:hint="eastAsia" w:eastAsiaTheme="minorEastAsia"/>
                      <w:kern w:val="0"/>
                    </w:rPr>
                    <w:t>6%</w:t>
                  </w:r>
                </w:p>
              </w:tc>
            </w:tr>
          </w:tbl>
          <w:p>
            <w:pPr>
              <w:spacing w:line="360" w:lineRule="auto"/>
              <w:ind w:firstLine="482" w:firstLineChars="200"/>
              <w:contextualSpacing/>
              <w:jc w:val="left"/>
              <w:rPr>
                <w:rFonts w:eastAsiaTheme="minorEastAsia"/>
                <w:b/>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52" w:type="dxa"/>
            <w:vAlign w:val="center"/>
          </w:tcPr>
          <w:p>
            <w:pPr>
              <w:pStyle w:val="16"/>
              <w:adjustRightInd w:val="0"/>
              <w:snapToGrid w:val="0"/>
              <w:spacing w:before="0" w:beforeAutospacing="0" w:after="0" w:afterAutospacing="0"/>
              <w:jc w:val="center"/>
              <w:rPr>
                <w:rFonts w:ascii="Times New Roman" w:hAnsi="Times New Roman" w:eastAsiaTheme="minorEastAsia"/>
                <w:szCs w:val="24"/>
              </w:rPr>
            </w:pPr>
            <w:r>
              <w:rPr>
                <w:rFonts w:hint="eastAsia" w:ascii="Times New Roman" w:hAnsi="Times New Roman" w:eastAsiaTheme="minorEastAsia"/>
                <w:szCs w:val="24"/>
              </w:rPr>
              <w:t>工艺流程和产排污环节</w:t>
            </w:r>
          </w:p>
        </w:tc>
        <w:tc>
          <w:tcPr>
            <w:tcW w:w="8608" w:type="dxa"/>
          </w:tcPr>
          <w:p>
            <w:pPr>
              <w:spacing w:line="360" w:lineRule="auto"/>
              <w:contextualSpacing/>
              <w:rPr>
                <w:rFonts w:eastAsiaTheme="minorEastAsia"/>
                <w:b/>
                <w:bCs/>
                <w:sz w:val="28"/>
              </w:rPr>
            </w:pPr>
            <w:r>
              <w:rPr>
                <w:rFonts w:hint="eastAsia" w:eastAsiaTheme="minorEastAsia"/>
                <w:b/>
                <w:bCs/>
                <w:sz w:val="28"/>
              </w:rPr>
              <w:t>施工期工程分析</w:t>
            </w:r>
          </w:p>
          <w:p>
            <w:pPr>
              <w:spacing w:line="360" w:lineRule="auto"/>
              <w:contextualSpacing/>
              <w:jc w:val="center"/>
              <w:rPr>
                <w:rFonts w:eastAsiaTheme="minorEastAsia"/>
                <w:b/>
                <w:bCs/>
                <w:sz w:val="24"/>
              </w:rPr>
            </w:pPr>
            <w:r>
              <w:rPr>
                <w:rFonts w:eastAsiaTheme="minorEastAsia"/>
                <w:b/>
                <w:bCs/>
                <w:sz w:val="24"/>
              </w:rPr>
              <w:drawing>
                <wp:inline distT="0" distB="0" distL="0" distR="0">
                  <wp:extent cx="5200650" cy="1400175"/>
                  <wp:effectExtent l="1905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2" cstate="print"/>
                          <a:srcRect/>
                          <a:stretch>
                            <a:fillRect/>
                          </a:stretch>
                        </pic:blipFill>
                        <pic:spPr>
                          <a:xfrm>
                            <a:off x="0" y="0"/>
                            <a:ext cx="5200650" cy="1400175"/>
                          </a:xfrm>
                          <a:prstGeom prst="rect">
                            <a:avLst/>
                          </a:prstGeom>
                          <a:noFill/>
                          <a:ln w="9525">
                            <a:noFill/>
                            <a:miter lim="800000"/>
                            <a:headEnd/>
                            <a:tailEnd/>
                          </a:ln>
                        </pic:spPr>
                      </pic:pic>
                    </a:graphicData>
                  </a:graphic>
                </wp:inline>
              </w:drawing>
            </w:r>
          </w:p>
          <w:p>
            <w:pPr>
              <w:spacing w:line="360" w:lineRule="auto"/>
              <w:contextualSpacing/>
              <w:jc w:val="center"/>
              <w:rPr>
                <w:rFonts w:eastAsiaTheme="minorEastAsia"/>
                <w:b/>
                <w:bCs/>
                <w:sz w:val="24"/>
              </w:rPr>
            </w:pPr>
            <w:r>
              <w:rPr>
                <w:rFonts w:hint="eastAsia" w:eastAsiaTheme="minorEastAsia"/>
                <w:b/>
                <w:bCs/>
                <w:sz w:val="24"/>
              </w:rPr>
              <w:t>图</w:t>
            </w:r>
            <w:r>
              <w:rPr>
                <w:rFonts w:eastAsiaTheme="minorEastAsia"/>
                <w:b/>
                <w:bCs/>
                <w:sz w:val="24"/>
              </w:rPr>
              <w:t>2-</w:t>
            </w:r>
            <w:r>
              <w:rPr>
                <w:rFonts w:hint="eastAsia" w:eastAsiaTheme="minorEastAsia"/>
                <w:b/>
                <w:bCs/>
                <w:sz w:val="24"/>
              </w:rPr>
              <w:t>3施工期</w:t>
            </w:r>
            <w:r>
              <w:rPr>
                <w:rFonts w:hint="eastAsia" w:eastAsiaTheme="minorEastAsia"/>
                <w:b/>
                <w:sz w:val="24"/>
              </w:rPr>
              <w:t>工艺流程及产污节点</w:t>
            </w:r>
          </w:p>
          <w:p>
            <w:pPr>
              <w:spacing w:line="360" w:lineRule="auto"/>
              <w:ind w:firstLine="482" w:firstLineChars="200"/>
              <w:contextualSpacing/>
              <w:rPr>
                <w:rFonts w:eastAsiaTheme="minorEastAsia"/>
                <w:b/>
                <w:sz w:val="24"/>
              </w:rPr>
            </w:pPr>
            <w:r>
              <w:rPr>
                <w:rFonts w:eastAsiaTheme="minorEastAsia"/>
                <w:b/>
                <w:sz w:val="24"/>
              </w:rPr>
              <w:t>1</w:t>
            </w:r>
            <w:r>
              <w:rPr>
                <w:rFonts w:hint="eastAsia" w:eastAsiaTheme="minorEastAsia"/>
                <w:b/>
                <w:sz w:val="24"/>
              </w:rPr>
              <w:t>、环境空气</w:t>
            </w:r>
          </w:p>
          <w:p>
            <w:pPr>
              <w:spacing w:line="360" w:lineRule="auto"/>
              <w:ind w:firstLine="480" w:firstLineChars="200"/>
              <w:contextualSpacing/>
              <w:rPr>
                <w:rFonts w:eastAsiaTheme="minorEastAsia"/>
                <w:sz w:val="24"/>
              </w:rPr>
            </w:pPr>
            <w:r>
              <w:rPr>
                <w:rFonts w:hint="eastAsia" w:eastAsiaTheme="minorEastAsia"/>
                <w:sz w:val="24"/>
              </w:rPr>
              <w:t>本项目建设施工过程中，各种燃油动力机械和运输车辆排放的废气；挖土、运土、填土、夯实和汽车运输过程的扬尘，都将会造成周围环境的大气污染。污染大气的主要因素是</w:t>
            </w:r>
            <w:r>
              <w:rPr>
                <w:rFonts w:eastAsiaTheme="minorEastAsia"/>
                <w:sz w:val="24"/>
              </w:rPr>
              <w:t>NO</w:t>
            </w:r>
            <w:r>
              <w:rPr>
                <w:rFonts w:eastAsiaTheme="minorEastAsia"/>
                <w:sz w:val="24"/>
                <w:vertAlign w:val="subscript"/>
              </w:rPr>
              <w:t>2</w:t>
            </w:r>
            <w:r>
              <w:rPr>
                <w:rFonts w:hint="eastAsia" w:eastAsiaTheme="minorEastAsia"/>
                <w:sz w:val="24"/>
              </w:rPr>
              <w:t>、</w:t>
            </w:r>
            <w:r>
              <w:rPr>
                <w:rFonts w:eastAsiaTheme="minorEastAsia"/>
                <w:sz w:val="24"/>
              </w:rPr>
              <w:t>CO</w:t>
            </w:r>
            <w:r>
              <w:rPr>
                <w:rFonts w:hint="eastAsia" w:eastAsiaTheme="minorEastAsia"/>
                <w:sz w:val="24"/>
              </w:rPr>
              <w:t>、</w:t>
            </w:r>
            <w:r>
              <w:rPr>
                <w:rFonts w:eastAsiaTheme="minorEastAsia"/>
                <w:sz w:val="24"/>
              </w:rPr>
              <w:t>SO</w:t>
            </w:r>
            <w:r>
              <w:rPr>
                <w:rFonts w:eastAsiaTheme="minorEastAsia"/>
                <w:sz w:val="24"/>
                <w:vertAlign w:val="subscript"/>
              </w:rPr>
              <w:t>2</w:t>
            </w:r>
            <w:r>
              <w:rPr>
                <w:rFonts w:hint="eastAsia" w:eastAsiaTheme="minorEastAsia"/>
                <w:sz w:val="24"/>
              </w:rPr>
              <w:t>和粉尘，尤其粉尘污染最为严重。</w:t>
            </w:r>
          </w:p>
          <w:p>
            <w:pPr>
              <w:spacing w:line="360" w:lineRule="auto"/>
              <w:ind w:firstLine="480" w:firstLineChars="200"/>
              <w:contextualSpacing/>
              <w:rPr>
                <w:rFonts w:eastAsiaTheme="minorEastAsia"/>
                <w:sz w:val="24"/>
              </w:rPr>
            </w:pPr>
            <w:r>
              <w:rPr>
                <w:rFonts w:hint="eastAsia" w:eastAsiaTheme="minorEastAsia"/>
                <w:sz w:val="24"/>
              </w:rPr>
              <w:t>裸露的堆土，在风吹尘扬以及车辆过往时，使大气中浮尘含量骤增，影响周围环境。施工扬尘将使附近的建筑物、植物等蒙上尘土，给环境的整洁带来麻烦。</w:t>
            </w:r>
          </w:p>
          <w:p>
            <w:pPr>
              <w:spacing w:line="360" w:lineRule="auto"/>
              <w:ind w:firstLine="482" w:firstLineChars="200"/>
              <w:contextualSpacing/>
              <w:rPr>
                <w:rFonts w:eastAsiaTheme="minorEastAsia"/>
                <w:b/>
                <w:sz w:val="24"/>
              </w:rPr>
            </w:pPr>
            <w:r>
              <w:rPr>
                <w:rFonts w:eastAsiaTheme="minorEastAsia"/>
                <w:b/>
                <w:sz w:val="24"/>
              </w:rPr>
              <w:t>2</w:t>
            </w:r>
            <w:r>
              <w:rPr>
                <w:rFonts w:hint="eastAsia" w:eastAsiaTheme="minorEastAsia"/>
                <w:b/>
                <w:sz w:val="24"/>
              </w:rPr>
              <w:t>、水环境</w:t>
            </w:r>
          </w:p>
          <w:p>
            <w:pPr>
              <w:spacing w:line="360" w:lineRule="auto"/>
              <w:ind w:firstLine="480" w:firstLineChars="200"/>
              <w:contextualSpacing/>
              <w:rPr>
                <w:rFonts w:eastAsiaTheme="minorEastAsia"/>
                <w:sz w:val="24"/>
              </w:rPr>
            </w:pPr>
            <w:r>
              <w:rPr>
                <w:rFonts w:hint="eastAsia" w:eastAsiaTheme="minorEastAsia"/>
                <w:sz w:val="24"/>
              </w:rPr>
              <w:t>施工期的废水主要为施工人员的生活污水和施工废水。施工人员</w:t>
            </w:r>
            <w:r>
              <w:rPr>
                <w:rFonts w:eastAsiaTheme="minorEastAsia"/>
                <w:sz w:val="24"/>
              </w:rPr>
              <w:t>10</w:t>
            </w:r>
            <w:r>
              <w:rPr>
                <w:rFonts w:hint="eastAsia" w:eastAsiaTheme="minorEastAsia"/>
                <w:sz w:val="24"/>
              </w:rPr>
              <w:t>人，产生生活污水约为</w:t>
            </w:r>
            <w:r>
              <w:rPr>
                <w:rFonts w:eastAsiaTheme="minorEastAsia"/>
                <w:sz w:val="24"/>
              </w:rPr>
              <w:t>0.32t/d</w:t>
            </w:r>
            <w:r>
              <w:rPr>
                <w:rFonts w:hint="eastAsia" w:eastAsiaTheme="minorEastAsia"/>
                <w:sz w:val="24"/>
              </w:rPr>
              <w:t>，生活污水排入防渗旱厕，定期清掏，外运堆肥，不外排。施工废水产生量约为</w:t>
            </w:r>
            <w:r>
              <w:rPr>
                <w:rFonts w:eastAsiaTheme="minorEastAsia"/>
                <w:sz w:val="24"/>
              </w:rPr>
              <w:t>0.3t/d</w:t>
            </w:r>
            <w:r>
              <w:rPr>
                <w:rFonts w:hint="eastAsia" w:eastAsiaTheme="minorEastAsia"/>
                <w:sz w:val="24"/>
              </w:rPr>
              <w:t>，经沉淀池沉淀后用于厂区降尘，不外排。</w:t>
            </w:r>
          </w:p>
          <w:p>
            <w:pPr>
              <w:spacing w:line="360" w:lineRule="auto"/>
              <w:ind w:firstLine="482" w:firstLineChars="200"/>
              <w:contextualSpacing/>
              <w:rPr>
                <w:rFonts w:eastAsiaTheme="minorEastAsia"/>
                <w:b/>
                <w:sz w:val="24"/>
              </w:rPr>
            </w:pPr>
            <w:r>
              <w:rPr>
                <w:rFonts w:eastAsiaTheme="minorEastAsia"/>
                <w:b/>
                <w:sz w:val="24"/>
              </w:rPr>
              <w:t>3</w:t>
            </w:r>
            <w:r>
              <w:rPr>
                <w:rFonts w:hint="eastAsia" w:eastAsiaTheme="minorEastAsia"/>
                <w:b/>
                <w:sz w:val="24"/>
              </w:rPr>
              <w:t>、噪声</w:t>
            </w:r>
          </w:p>
          <w:p>
            <w:pPr>
              <w:spacing w:line="360" w:lineRule="auto"/>
              <w:ind w:firstLine="480" w:firstLineChars="200"/>
              <w:contextualSpacing/>
              <w:rPr>
                <w:rFonts w:eastAsiaTheme="minorEastAsia"/>
                <w:sz w:val="24"/>
              </w:rPr>
            </w:pPr>
            <w:r>
              <w:rPr>
                <w:rFonts w:hint="eastAsia" w:eastAsiaTheme="minorEastAsia"/>
                <w:sz w:val="24"/>
              </w:rPr>
              <w:t>施工期噪声主要来自各类施工机械及运输车辆，在</w:t>
            </w:r>
            <w:r>
              <w:rPr>
                <w:rFonts w:eastAsiaTheme="minorEastAsia"/>
                <w:sz w:val="24"/>
              </w:rPr>
              <w:t>5</w:t>
            </w:r>
            <w:r>
              <w:rPr>
                <w:rFonts w:hint="eastAsia" w:eastAsiaTheme="minorEastAsia"/>
                <w:sz w:val="24"/>
              </w:rPr>
              <w:t>米范围内一般为</w:t>
            </w:r>
            <w:r>
              <w:rPr>
                <w:rFonts w:eastAsiaTheme="minorEastAsia"/>
                <w:sz w:val="24"/>
              </w:rPr>
              <w:t>70—90dB(A)</w:t>
            </w:r>
            <w:r>
              <w:rPr>
                <w:rFonts w:hint="eastAsia" w:eastAsiaTheme="minorEastAsia"/>
                <w:sz w:val="24"/>
              </w:rPr>
              <w:t>，施工期间会对周围环境产生一定的影响。</w:t>
            </w:r>
          </w:p>
          <w:p>
            <w:pPr>
              <w:spacing w:line="360" w:lineRule="auto"/>
              <w:ind w:firstLine="482" w:firstLineChars="200"/>
              <w:contextualSpacing/>
              <w:rPr>
                <w:rFonts w:eastAsiaTheme="minorEastAsia"/>
                <w:b/>
                <w:sz w:val="24"/>
              </w:rPr>
            </w:pPr>
            <w:r>
              <w:rPr>
                <w:rFonts w:eastAsiaTheme="minorEastAsia"/>
                <w:b/>
                <w:sz w:val="24"/>
              </w:rPr>
              <w:t>4</w:t>
            </w:r>
            <w:r>
              <w:rPr>
                <w:rFonts w:hint="eastAsia" w:eastAsiaTheme="minorEastAsia"/>
                <w:b/>
                <w:sz w:val="24"/>
              </w:rPr>
              <w:t>、固体废物</w:t>
            </w:r>
          </w:p>
          <w:p>
            <w:pPr>
              <w:spacing w:line="360" w:lineRule="auto"/>
              <w:ind w:firstLine="480" w:firstLineChars="200"/>
              <w:contextualSpacing/>
              <w:rPr>
                <w:rFonts w:eastAsiaTheme="minorEastAsia"/>
                <w:sz w:val="24"/>
              </w:rPr>
            </w:pPr>
            <w:r>
              <w:rPr>
                <w:rFonts w:hint="eastAsia" w:eastAsiaTheme="minorEastAsia"/>
                <w:sz w:val="24"/>
              </w:rPr>
              <w:t>施工残土、建筑垃圾为主要固体废物，应及时清运，并按市政部门指定地点堆放。运输车辆加盖遮挡，防止产生二次扬尘。生活垃圾统一收集后由市政统一处理。</w:t>
            </w:r>
          </w:p>
          <w:p>
            <w:pPr>
              <w:spacing w:line="360" w:lineRule="auto"/>
              <w:contextualSpacing/>
              <w:rPr>
                <w:rFonts w:eastAsiaTheme="minorEastAsia"/>
                <w:b/>
                <w:bCs/>
                <w:sz w:val="28"/>
              </w:rPr>
            </w:pPr>
            <w:r>
              <w:rPr>
                <w:rFonts w:hint="eastAsia" w:eastAsiaTheme="minorEastAsia"/>
                <w:b/>
                <w:bCs/>
                <w:sz w:val="28"/>
              </w:rPr>
              <w:t>营运期工程分析</w:t>
            </w:r>
          </w:p>
          <w:p>
            <w:pPr>
              <w:spacing w:line="360" w:lineRule="auto"/>
              <w:ind w:firstLine="482" w:firstLineChars="200"/>
              <w:contextualSpacing/>
              <w:rPr>
                <w:rFonts w:eastAsiaTheme="minorEastAsia"/>
                <w:b/>
                <w:bCs/>
                <w:sz w:val="24"/>
              </w:rPr>
            </w:pPr>
            <w:r>
              <w:rPr>
                <w:rFonts w:eastAsiaTheme="minorEastAsia"/>
                <w:b/>
                <w:bCs/>
                <w:sz w:val="24"/>
              </w:rPr>
              <w:t>1</w:t>
            </w:r>
            <w:r>
              <w:rPr>
                <w:rFonts w:hint="eastAsia" w:eastAsiaTheme="minorEastAsia"/>
                <w:b/>
                <w:bCs/>
                <w:sz w:val="24"/>
              </w:rPr>
              <w:t>、运营期生产工艺流程</w:t>
            </w: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ind w:firstLine="482" w:firstLineChars="200"/>
              <w:contextualSpacing/>
              <w:rPr>
                <w:rFonts w:eastAsiaTheme="minorEastAsia"/>
                <w:b/>
                <w:bCs/>
                <w:sz w:val="24"/>
              </w:rPr>
            </w:pPr>
          </w:p>
          <w:p>
            <w:pPr>
              <w:spacing w:line="360" w:lineRule="auto"/>
              <w:contextualSpacing/>
              <w:jc w:val="center"/>
              <w:rPr>
                <w:rFonts w:eastAsiaTheme="minorEastAsia"/>
                <w:b/>
                <w:bCs/>
                <w:sz w:val="24"/>
              </w:rPr>
            </w:pPr>
            <w:r>
              <w:rPr>
                <w:rFonts w:eastAsiaTheme="minorEastAsia"/>
              </w:rPr>
              <mc:AlternateContent>
                <mc:Choice Requires="wps">
                  <w:drawing>
                    <wp:anchor distT="0" distB="0" distL="114300" distR="114300" simplePos="0" relativeHeight="251661312" behindDoc="0" locked="0" layoutInCell="1" allowOverlap="1">
                      <wp:simplePos x="0" y="0"/>
                      <wp:positionH relativeFrom="column">
                        <wp:posOffset>12700</wp:posOffset>
                      </wp:positionH>
                      <wp:positionV relativeFrom="paragraph">
                        <wp:posOffset>1555750</wp:posOffset>
                      </wp:positionV>
                      <wp:extent cx="834390" cy="333375"/>
                      <wp:effectExtent l="0" t="0" r="3810" b="9525"/>
                      <wp:wrapNone/>
                      <wp:docPr id="96" name="文本框 8"/>
                      <wp:cNvGraphicFramePr/>
                      <a:graphic xmlns:a="http://schemas.openxmlformats.org/drawingml/2006/main">
                        <a:graphicData uri="http://schemas.microsoft.com/office/word/2010/wordprocessingShape">
                          <wps:wsp>
                            <wps:cNvSpPr txBox="1"/>
                            <wps:spPr>
                              <a:xfrm>
                                <a:off x="0" y="0"/>
                                <a:ext cx="834390" cy="333375"/>
                              </a:xfrm>
                              <a:prstGeom prst="rect">
                                <a:avLst/>
                              </a:prstGeom>
                              <a:solidFill>
                                <a:srgbClr val="FFFFFF"/>
                              </a:solidFill>
                              <a:ln w="9525">
                                <a:noFill/>
                              </a:ln>
                            </wps:spPr>
                            <wps:txbx>
                              <w:txbxContent>
                                <w:p>
                                  <w:r>
                                    <w:rPr>
                                      <w:rFonts w:hint="eastAsia"/>
                                    </w:rPr>
                                    <w:t>废气、危废</w:t>
                                  </w:r>
                                </w:p>
                              </w:txbxContent>
                            </wps:txbx>
                            <wps:bodyPr upright="1"/>
                          </wps:wsp>
                        </a:graphicData>
                      </a:graphic>
                    </wp:anchor>
                  </w:drawing>
                </mc:Choice>
                <mc:Fallback>
                  <w:pict>
                    <v:shape id="文本框 8" o:spid="_x0000_s1026" o:spt="202" type="#_x0000_t202" style="position:absolute;left:0pt;margin-left:1pt;margin-top:122.5pt;height:26.25pt;width:65.7pt;z-index:251661312;mso-width-relative:page;mso-height-relative:page;" fillcolor="#FFFFFF" filled="t" stroked="f" coordsize="21600,21600" o:gfxdata="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WnKfg1wAAAAkB&#10;AAAPAAAAAAAAAAEAIAAAACIAAABkcnMvZG93bnJldi54bWxQSwECFAAUAAAACACHTuJAbjlA1KoB&#10;AAAyAwAADgAAAAAAAAABACAAAAAmAQAAZHJzL2Uyb0RvYy54bWxQSwUGAAAAAAYABgBZAQAAQgUA&#10;AAAA&#10;">
                      <v:fill on="t" focussize="0,0"/>
                      <v:stroke on="f"/>
                      <v:imagedata o:title=""/>
                      <o:lock v:ext="edit" aspectratio="f"/>
                      <v:textbox>
                        <w:txbxContent>
                          <w:p>
                            <w:r>
                              <w:rPr>
                                <w:rFonts w:hint="eastAsia"/>
                              </w:rPr>
                              <w:t>废气、危废</w:t>
                            </w:r>
                          </w:p>
                        </w:txbxContent>
                      </v:textbox>
                    </v:shape>
                  </w:pict>
                </mc:Fallback>
              </mc:AlternateContent>
            </w:r>
            <w:r>
              <w:rPr>
                <w:rFonts w:eastAsiaTheme="minorEastAsia"/>
              </w:rPr>
              <mc:AlternateContent>
                <mc:Choice Requires="wps">
                  <w:drawing>
                    <wp:anchor distT="0" distB="0" distL="114300" distR="114300" simplePos="0" relativeHeight="251662336" behindDoc="0" locked="0" layoutInCell="1" allowOverlap="1">
                      <wp:simplePos x="0" y="0"/>
                      <wp:positionH relativeFrom="column">
                        <wp:posOffset>1006475</wp:posOffset>
                      </wp:positionH>
                      <wp:positionV relativeFrom="paragraph">
                        <wp:posOffset>1501775</wp:posOffset>
                      </wp:positionV>
                      <wp:extent cx="848360" cy="460375"/>
                      <wp:effectExtent l="4445" t="4445" r="23495" b="11430"/>
                      <wp:wrapNone/>
                      <wp:docPr id="98" name="文本框 9"/>
                      <wp:cNvGraphicFramePr/>
                      <a:graphic xmlns:a="http://schemas.openxmlformats.org/drawingml/2006/main">
                        <a:graphicData uri="http://schemas.microsoft.com/office/word/2010/wordprocessingShape">
                          <wps:wsp>
                            <wps:cNvSpPr txBox="1"/>
                            <wps:spPr>
                              <a:xfrm>
                                <a:off x="0" y="0"/>
                                <a:ext cx="848360" cy="46037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排空</w:t>
                                  </w:r>
                                  <w:r>
                                    <w:rPr>
                                      <w:rFonts w:hint="eastAsia" w:eastAsiaTheme="minorEastAsia"/>
                                      <w:bCs/>
                                      <w:szCs w:val="21"/>
                                    </w:rPr>
                                    <w:t>油液、防冻液</w:t>
                                  </w:r>
                                  <w:r>
                                    <w:rPr>
                                      <w:rFonts w:hint="eastAsia"/>
                                    </w:rPr>
                                    <w:t>等</w:t>
                                  </w:r>
                                </w:p>
                              </w:txbxContent>
                            </wps:txbx>
                            <wps:bodyPr upright="1"/>
                          </wps:wsp>
                        </a:graphicData>
                      </a:graphic>
                    </wp:anchor>
                  </w:drawing>
                </mc:Choice>
                <mc:Fallback>
                  <w:pict>
                    <v:shape id="文本框 9" o:spid="_x0000_s1026" o:spt="202" type="#_x0000_t202" style="position:absolute;left:0pt;margin-left:79.25pt;margin-top:118.25pt;height:36.25pt;width:66.8pt;z-index:251662336;mso-width-relative:page;mso-height-relative:page;" fillcolor="#FFFFFF" filled="t" stroked="t" coordsize="21600,21600" o:gfxdata="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OSoI39oAAAALAQAADwAAAAAAAAABACAAAAAiAAAAZHJzL2Rvd25yZXYueG1sUEsBAhQA&#10;FAAAAAgAh07iQJc05P/wAQAA6AMAAA4AAAAAAAAAAQAgAAAAKQEAAGRycy9lMm9Eb2MueG1sUEsF&#10;BgAAAAAGAAYAWQEAAIsFAAAAAA==&#10;">
                      <v:fill on="t" focussize="0,0"/>
                      <v:stroke color="#000000" joinstyle="miter"/>
                      <v:imagedata o:title=""/>
                      <o:lock v:ext="edit" aspectratio="f"/>
                      <v:textbox>
                        <w:txbxContent>
                          <w:p>
                            <w:r>
                              <w:rPr>
                                <w:rFonts w:hint="eastAsia"/>
                              </w:rPr>
                              <w:t>排空</w:t>
                            </w:r>
                            <w:r>
                              <w:rPr>
                                <w:rFonts w:hint="eastAsia" w:eastAsiaTheme="minorEastAsia"/>
                                <w:bCs/>
                                <w:szCs w:val="21"/>
                              </w:rPr>
                              <w:t>油液、防冻液</w:t>
                            </w:r>
                            <w:r>
                              <w:rPr>
                                <w:rFonts w:hint="eastAsia"/>
                              </w:rPr>
                              <w:t>等</w:t>
                            </w:r>
                          </w:p>
                        </w:txbxContent>
                      </v:textbox>
                    </v:shape>
                  </w:pict>
                </mc:Fallback>
              </mc:AlternateContent>
            </w:r>
            <w:r>
              <w:rPr>
                <w:rFonts w:eastAsiaTheme="minorEastAsia"/>
              </w:rPr>
              <mc:AlternateContent>
                <mc:Choice Requires="wps">
                  <w:drawing>
                    <wp:anchor distT="0" distB="0" distL="114300" distR="114300" simplePos="0" relativeHeight="251660288" behindDoc="0" locked="0" layoutInCell="1" allowOverlap="1">
                      <wp:simplePos x="0" y="0"/>
                      <wp:positionH relativeFrom="column">
                        <wp:posOffset>4759325</wp:posOffset>
                      </wp:positionH>
                      <wp:positionV relativeFrom="paragraph">
                        <wp:posOffset>1028065</wp:posOffset>
                      </wp:positionV>
                      <wp:extent cx="563245" cy="473710"/>
                      <wp:effectExtent l="0" t="0" r="8255" b="2540"/>
                      <wp:wrapNone/>
                      <wp:docPr id="95" name="文本框 6"/>
                      <wp:cNvGraphicFramePr/>
                      <a:graphic xmlns:a="http://schemas.openxmlformats.org/drawingml/2006/main">
                        <a:graphicData uri="http://schemas.microsoft.com/office/word/2010/wordprocessingShape">
                          <wps:wsp>
                            <wps:cNvSpPr txBox="1"/>
                            <wps:spPr>
                              <a:xfrm>
                                <a:off x="0" y="0"/>
                                <a:ext cx="563245" cy="473710"/>
                              </a:xfrm>
                              <a:prstGeom prst="rect">
                                <a:avLst/>
                              </a:prstGeom>
                              <a:solidFill>
                                <a:srgbClr val="FFFFFF"/>
                              </a:solidFill>
                              <a:ln w="9525">
                                <a:noFill/>
                              </a:ln>
                            </wps:spPr>
                            <wps:txbx>
                              <w:txbxContent>
                                <w:p>
                                  <w:r>
                                    <w:rPr>
                                      <w:rFonts w:hint="eastAsia"/>
                                    </w:rPr>
                                    <w:t>噪声、粉尘</w:t>
                                  </w:r>
                                </w:p>
                              </w:txbxContent>
                            </wps:txbx>
                            <wps:bodyPr upright="1"/>
                          </wps:wsp>
                        </a:graphicData>
                      </a:graphic>
                    </wp:anchor>
                  </w:drawing>
                </mc:Choice>
                <mc:Fallback>
                  <w:pict>
                    <v:shape id="文本框 6" o:spid="_x0000_s1026" o:spt="202" type="#_x0000_t202" style="position:absolute;left:0pt;margin-left:374.75pt;margin-top:80.95pt;height:37.3pt;width:44.35pt;z-index:251660288;mso-width-relative:page;mso-height-relative:page;" fillcolor="#FFFFFF" filled="t" stroked="f" coordsize="21600,21600" o:gfxdata="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2CZhj&#10;2QAAAAsBAAAPAAAAAAAAAAEAIAAAACIAAABkcnMvZG93bnJldi54bWxQSwECFAAUAAAACACHTuJA&#10;owdEcK4BAAAyAwAADgAAAAAAAAABACAAAAAoAQAAZHJzL2Uyb0RvYy54bWxQSwUGAAAAAAYABgBZ&#10;AQAASAUAAAAA&#10;">
                      <v:fill on="t" focussize="0,0"/>
                      <v:stroke on="f"/>
                      <v:imagedata o:title=""/>
                      <o:lock v:ext="edit" aspectratio="f"/>
                      <v:textbox>
                        <w:txbxContent>
                          <w:p>
                            <w:r>
                              <w:rPr>
                                <w:rFonts w:hint="eastAsia"/>
                              </w:rPr>
                              <w:t>噪声、粉尘</w:t>
                            </w:r>
                          </w:p>
                        </w:txbxContent>
                      </v:textbox>
                    </v:shape>
                  </w:pict>
                </mc:Fallback>
              </mc:AlternateContent>
            </w:r>
            <w:r>
              <w:rPr>
                <w:rFonts w:eastAsiaTheme="minorEastAsia"/>
              </w:rPr>
              <mc:AlternateContent>
                <mc:Choice Requires="wps">
                  <w:drawing>
                    <wp:anchor distT="0" distB="0" distL="114300" distR="114300" simplePos="0" relativeHeight="251658240" behindDoc="0" locked="0" layoutInCell="1" allowOverlap="1">
                      <wp:simplePos x="0" y="0"/>
                      <wp:positionH relativeFrom="column">
                        <wp:posOffset>3962400</wp:posOffset>
                      </wp:positionH>
                      <wp:positionV relativeFrom="paragraph">
                        <wp:posOffset>1103630</wp:posOffset>
                      </wp:positionV>
                      <wp:extent cx="488950" cy="319405"/>
                      <wp:effectExtent l="5080" t="4445" r="20320" b="19050"/>
                      <wp:wrapNone/>
                      <wp:docPr id="94" name="文本框 2"/>
                      <wp:cNvGraphicFramePr/>
                      <a:graphic xmlns:a="http://schemas.openxmlformats.org/drawingml/2006/main">
                        <a:graphicData uri="http://schemas.microsoft.com/office/word/2010/wordprocessingShape">
                          <wps:wsp>
                            <wps:cNvSpPr txBox="1"/>
                            <wps:spPr>
                              <a:xfrm>
                                <a:off x="0" y="0"/>
                                <a:ext cx="488950" cy="3194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rPr>
                                      <w:szCs w:val="21"/>
                                    </w:rPr>
                                  </w:pPr>
                                  <w:r>
                                    <w:rPr>
                                      <w:rFonts w:hint="eastAsia"/>
                                      <w:szCs w:val="21"/>
                                    </w:rPr>
                                    <w:t>切割</w:t>
                                  </w:r>
                                </w:p>
                              </w:txbxContent>
                            </wps:txbx>
                            <wps:bodyPr upright="1"/>
                          </wps:wsp>
                        </a:graphicData>
                      </a:graphic>
                    </wp:anchor>
                  </w:drawing>
                </mc:Choice>
                <mc:Fallback>
                  <w:pict>
                    <v:shape id="文本框 2" o:spid="_x0000_s1026" o:spt="202" type="#_x0000_t202" style="position:absolute;left:0pt;margin-left:312pt;margin-top:86.9pt;height:25.15pt;width:38.5pt;z-index:251658240;mso-width-relative:page;mso-height-relative:page;" fillcolor="#FFFFFF" filled="t" stroked="t" coordsize="21600,21600" o:gfxdata="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IVQ6F2QAAAAsBAAAPAAAAAAAAAAEAIAAAACIAAABkcnMvZG93bnJldi54bWxQSwECFAAU&#10;AAAACACHTuJAV7akefABAADoAwAADgAAAAAAAAABACAAAAAoAQAAZHJzL2Uyb0RvYy54bWxQSwUG&#10;AAAAAAYABgBZAQAAigUAAAAA&#10;">
                      <v:fill on="t" focussize="0,0"/>
                      <v:stroke color="#000000" joinstyle="miter"/>
                      <v:imagedata o:title=""/>
                      <o:lock v:ext="edit" aspectratio="f"/>
                      <v:textbox>
                        <w:txbxContent>
                          <w:p>
                            <w:pPr>
                              <w:spacing w:line="0" w:lineRule="atLeast"/>
                              <w:rPr>
                                <w:szCs w:val="21"/>
                              </w:rPr>
                            </w:pPr>
                            <w:r>
                              <w:rPr>
                                <w:rFonts w:hint="eastAsia"/>
                                <w:szCs w:val="21"/>
                              </w:rPr>
                              <w:t>切割</w:t>
                            </w:r>
                          </w:p>
                        </w:txbxContent>
                      </v:textbox>
                    </v:shape>
                  </w:pict>
                </mc:Fallback>
              </mc:AlternateContent>
            </w:r>
            <w:r>
              <w:rPr>
                <w:rFonts w:eastAsiaTheme="minorEastAsia"/>
              </w:rPr>
              <w:drawing>
                <wp:inline distT="0" distB="0" distL="0" distR="0">
                  <wp:extent cx="5378450" cy="3500120"/>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3" cstate="print"/>
                          <a:srcRect/>
                          <a:stretch>
                            <a:fillRect/>
                          </a:stretch>
                        </pic:blipFill>
                        <pic:spPr>
                          <a:xfrm>
                            <a:off x="0" y="0"/>
                            <a:ext cx="5381211" cy="3502252"/>
                          </a:xfrm>
                          <a:prstGeom prst="rect">
                            <a:avLst/>
                          </a:prstGeom>
                          <a:noFill/>
                          <a:ln w="9525">
                            <a:noFill/>
                            <a:miter lim="800000"/>
                            <a:headEnd/>
                            <a:tailEnd/>
                          </a:ln>
                        </pic:spPr>
                      </pic:pic>
                    </a:graphicData>
                  </a:graphic>
                </wp:inline>
              </w:drawing>
            </w:r>
          </w:p>
          <w:p>
            <w:pPr>
              <w:spacing w:line="360" w:lineRule="auto"/>
              <w:contextualSpacing/>
              <w:jc w:val="center"/>
              <w:rPr>
                <w:rFonts w:eastAsiaTheme="minorEastAsia"/>
                <w:b/>
                <w:bCs/>
                <w:sz w:val="24"/>
              </w:rPr>
            </w:pPr>
            <w:r>
              <w:rPr>
                <w:rFonts w:hint="eastAsia" w:eastAsiaTheme="minorEastAsia"/>
                <w:b/>
                <w:bCs/>
                <w:sz w:val="24"/>
              </w:rPr>
              <w:t>图</w:t>
            </w:r>
            <w:r>
              <w:rPr>
                <w:rFonts w:eastAsiaTheme="minorEastAsia"/>
                <w:b/>
                <w:bCs/>
                <w:sz w:val="24"/>
              </w:rPr>
              <w:t>2-</w:t>
            </w:r>
            <w:r>
              <w:rPr>
                <w:rFonts w:hint="eastAsia" w:eastAsiaTheme="minorEastAsia"/>
                <w:b/>
                <w:bCs/>
                <w:sz w:val="24"/>
              </w:rPr>
              <w:t>4生产</w:t>
            </w:r>
            <w:r>
              <w:rPr>
                <w:rFonts w:hint="eastAsia" w:eastAsiaTheme="minorEastAsia"/>
                <w:b/>
                <w:sz w:val="24"/>
              </w:rPr>
              <w:t>工艺</w:t>
            </w:r>
            <w:r>
              <w:rPr>
                <w:rFonts w:hint="eastAsia" w:eastAsiaTheme="minorEastAsia"/>
                <w:b/>
                <w:bCs/>
                <w:sz w:val="24"/>
              </w:rPr>
              <w:t>流程及产排污节点图</w:t>
            </w:r>
          </w:p>
          <w:p>
            <w:pPr>
              <w:spacing w:line="360" w:lineRule="auto"/>
              <w:ind w:firstLine="480" w:firstLineChars="200"/>
              <w:rPr>
                <w:rFonts w:eastAsiaTheme="minorEastAsia"/>
                <w:bCs/>
                <w:sz w:val="24"/>
              </w:rPr>
            </w:pPr>
            <w:r>
              <w:rPr>
                <w:rFonts w:hint="eastAsia" w:eastAsiaTheme="minorEastAsia"/>
                <w:bCs/>
                <w:sz w:val="24"/>
              </w:rPr>
              <w:t>生产工艺流程简述：</w:t>
            </w:r>
          </w:p>
          <w:p>
            <w:pPr>
              <w:spacing w:line="360" w:lineRule="auto"/>
              <w:ind w:firstLine="480" w:firstLineChars="200"/>
              <w:rPr>
                <w:rFonts w:eastAsiaTheme="minorEastAsia"/>
                <w:bCs/>
                <w:sz w:val="24"/>
              </w:rPr>
            </w:pPr>
            <w:r>
              <w:rPr>
                <w:rFonts w:hint="eastAsia" w:eastAsiaTheme="minorEastAsia"/>
                <w:bCs/>
                <w:sz w:val="24"/>
              </w:rPr>
              <w:t>本项目为农机拆解</w:t>
            </w:r>
            <w:r>
              <w:rPr>
                <w:rFonts w:hint="eastAsia" w:asciiTheme="minorEastAsia" w:hAnsiTheme="minorEastAsia" w:eastAsiaTheme="minorEastAsia"/>
                <w:bCs/>
                <w:sz w:val="24"/>
              </w:rPr>
              <w:t>项目，一般而言，拆解工艺有</w:t>
            </w:r>
            <w:r>
              <w:rPr>
                <w:rFonts w:asciiTheme="minorEastAsia" w:hAnsiTheme="minorEastAsia" w:eastAsiaTheme="minorEastAsia"/>
                <w:bCs/>
                <w:sz w:val="24"/>
              </w:rPr>
              <w:t>“</w:t>
            </w:r>
            <w:r>
              <w:rPr>
                <w:rFonts w:hint="eastAsia" w:asciiTheme="minorEastAsia" w:hAnsiTheme="minorEastAsia" w:eastAsiaTheme="minorEastAsia"/>
                <w:bCs/>
                <w:sz w:val="24"/>
              </w:rPr>
              <w:t>非破坏性拆解</w:t>
            </w:r>
            <w:r>
              <w:rPr>
                <w:rFonts w:asciiTheme="minorEastAsia" w:hAnsiTheme="minorEastAsia" w:eastAsiaTheme="minorEastAsia"/>
                <w:bCs/>
                <w:sz w:val="24"/>
              </w:rPr>
              <w:t>”</w:t>
            </w:r>
            <w:r>
              <w:rPr>
                <w:rFonts w:hint="eastAsia" w:asciiTheme="minorEastAsia" w:hAnsiTheme="minorEastAsia" w:eastAsiaTheme="minorEastAsia"/>
                <w:bCs/>
                <w:sz w:val="24"/>
              </w:rPr>
              <w:t>、</w:t>
            </w:r>
            <w:r>
              <w:rPr>
                <w:rFonts w:asciiTheme="minorEastAsia" w:hAnsiTheme="minorEastAsia" w:eastAsiaTheme="minorEastAsia"/>
                <w:bCs/>
                <w:sz w:val="24"/>
              </w:rPr>
              <w:t>“</w:t>
            </w:r>
            <w:r>
              <w:rPr>
                <w:rFonts w:hint="eastAsia" w:asciiTheme="minorEastAsia" w:hAnsiTheme="minorEastAsia" w:eastAsiaTheme="minorEastAsia"/>
                <w:bCs/>
                <w:sz w:val="24"/>
              </w:rPr>
              <w:t>准破坏性抵触</w:t>
            </w:r>
            <w:r>
              <w:rPr>
                <w:rFonts w:asciiTheme="minorEastAsia" w:hAnsiTheme="minorEastAsia" w:eastAsiaTheme="minorEastAsia"/>
                <w:bCs/>
                <w:sz w:val="24"/>
              </w:rPr>
              <w:t>”</w:t>
            </w:r>
            <w:r>
              <w:rPr>
                <w:rFonts w:hint="eastAsia" w:asciiTheme="minorEastAsia" w:hAnsiTheme="minorEastAsia" w:eastAsiaTheme="minorEastAsia"/>
                <w:bCs/>
                <w:sz w:val="24"/>
              </w:rPr>
              <w:t>、</w:t>
            </w:r>
            <w:r>
              <w:rPr>
                <w:rFonts w:asciiTheme="minorEastAsia" w:hAnsiTheme="minorEastAsia" w:eastAsiaTheme="minorEastAsia"/>
                <w:bCs/>
                <w:sz w:val="24"/>
              </w:rPr>
              <w:t>“</w:t>
            </w:r>
            <w:r>
              <w:rPr>
                <w:rFonts w:hint="eastAsia" w:asciiTheme="minorEastAsia" w:hAnsiTheme="minorEastAsia" w:eastAsiaTheme="minorEastAsia"/>
                <w:bCs/>
                <w:sz w:val="24"/>
              </w:rPr>
              <w:t>破坏性拆解</w:t>
            </w:r>
            <w:r>
              <w:rPr>
                <w:rFonts w:asciiTheme="minorEastAsia" w:hAnsiTheme="minorEastAsia" w:eastAsiaTheme="minorEastAsia"/>
                <w:bCs/>
                <w:sz w:val="24"/>
              </w:rPr>
              <w:t>”</w:t>
            </w:r>
            <w:r>
              <w:rPr>
                <w:rFonts w:hint="eastAsia" w:asciiTheme="minorEastAsia" w:hAnsiTheme="minorEastAsia" w:eastAsiaTheme="minorEastAsia"/>
                <w:bCs/>
                <w:sz w:val="24"/>
              </w:rPr>
              <w:t>之分。绝大多数农机</w:t>
            </w:r>
            <w:r>
              <w:rPr>
                <w:rFonts w:hint="eastAsia" w:eastAsiaTheme="minorEastAsia"/>
                <w:bCs/>
                <w:sz w:val="24"/>
              </w:rPr>
              <w:t>经长年使用报废后，零件的回收价值已不大；另一方面，本项目拆解工艺不考虑零件回收问题；根据农机各部分的具体结构情况及拆解操作的方便程度，综合利用氧割、各种手工、电动拆解工具进行拆解，属</w:t>
            </w:r>
            <w:r>
              <w:rPr>
                <w:rFonts w:hint="eastAsia" w:asciiTheme="minorEastAsia" w:hAnsiTheme="minorEastAsia" w:eastAsiaTheme="minorEastAsia"/>
                <w:bCs/>
                <w:sz w:val="24"/>
              </w:rPr>
              <w:t>于</w:t>
            </w:r>
            <w:r>
              <w:rPr>
                <w:rFonts w:asciiTheme="minorEastAsia" w:hAnsiTheme="minorEastAsia" w:eastAsiaTheme="minorEastAsia"/>
                <w:bCs/>
                <w:sz w:val="24"/>
              </w:rPr>
              <w:t>“</w:t>
            </w:r>
            <w:r>
              <w:rPr>
                <w:rFonts w:hint="eastAsia" w:asciiTheme="minorEastAsia" w:hAnsiTheme="minorEastAsia" w:eastAsiaTheme="minorEastAsia"/>
                <w:bCs/>
                <w:sz w:val="24"/>
              </w:rPr>
              <w:t>破坏性拆解</w:t>
            </w:r>
            <w:r>
              <w:rPr>
                <w:rFonts w:asciiTheme="minorEastAsia" w:hAnsiTheme="minorEastAsia" w:eastAsiaTheme="minorEastAsia"/>
                <w:bCs/>
                <w:sz w:val="24"/>
              </w:rPr>
              <w:t>”</w:t>
            </w:r>
            <w:r>
              <w:rPr>
                <w:rFonts w:hint="eastAsia" w:eastAsiaTheme="minorEastAsia"/>
                <w:bCs/>
                <w:sz w:val="24"/>
              </w:rPr>
              <w:t>。</w:t>
            </w:r>
          </w:p>
          <w:p>
            <w:pPr>
              <w:spacing w:line="360" w:lineRule="auto"/>
              <w:ind w:firstLine="480" w:firstLineChars="200"/>
              <w:rPr>
                <w:rFonts w:eastAsiaTheme="minorEastAsia"/>
                <w:bCs/>
                <w:sz w:val="24"/>
              </w:rPr>
            </w:pPr>
            <w:r>
              <w:rPr>
                <w:rFonts w:hAnsiTheme="minorEastAsia" w:eastAsiaTheme="minorEastAsia"/>
                <w:bCs/>
                <w:sz w:val="24"/>
              </w:rPr>
              <w:t>①</w:t>
            </w:r>
            <w:r>
              <w:rPr>
                <w:rFonts w:hint="eastAsia" w:eastAsiaTheme="minorEastAsia"/>
                <w:bCs/>
                <w:sz w:val="24"/>
              </w:rPr>
              <w:t>农机入厂</w:t>
            </w:r>
          </w:p>
          <w:p>
            <w:pPr>
              <w:spacing w:line="360" w:lineRule="auto"/>
              <w:ind w:firstLine="480" w:firstLineChars="200"/>
              <w:rPr>
                <w:rFonts w:eastAsiaTheme="minorEastAsia"/>
                <w:bCs/>
                <w:sz w:val="24"/>
              </w:rPr>
            </w:pPr>
            <w:r>
              <w:rPr>
                <w:rFonts w:hint="eastAsia" w:eastAsiaTheme="minorEastAsia"/>
                <w:bCs/>
                <w:sz w:val="24"/>
              </w:rPr>
              <w:t>将收购来的报废农机运至厂区，准备进行拆解工作，报废电动汽车进场检测时，受损变形以及漏液、漏电、电源供应工作不正常或其他的事故车辆应进行明显标识，及时隔离并优先处理，避免造成环境风险。</w:t>
            </w:r>
          </w:p>
          <w:p>
            <w:pPr>
              <w:spacing w:line="360" w:lineRule="auto"/>
              <w:ind w:firstLine="480" w:firstLineChars="200"/>
              <w:rPr>
                <w:rFonts w:eastAsiaTheme="minorEastAsia"/>
                <w:bCs/>
                <w:sz w:val="24"/>
              </w:rPr>
            </w:pPr>
            <w:r>
              <w:rPr>
                <w:rFonts w:hAnsiTheme="minorEastAsia" w:eastAsiaTheme="minorEastAsia"/>
                <w:bCs/>
                <w:sz w:val="24"/>
              </w:rPr>
              <w:t>②</w:t>
            </w:r>
            <w:r>
              <w:rPr>
                <w:rFonts w:hint="eastAsia" w:eastAsiaTheme="minorEastAsia"/>
                <w:bCs/>
                <w:sz w:val="24"/>
              </w:rPr>
              <w:t>拆解前预处理</w:t>
            </w:r>
          </w:p>
          <w:p>
            <w:pPr>
              <w:spacing w:line="360" w:lineRule="auto"/>
              <w:ind w:firstLine="480" w:firstLineChars="200"/>
              <w:rPr>
                <w:rFonts w:eastAsiaTheme="minorEastAsia"/>
                <w:bCs/>
                <w:sz w:val="24"/>
              </w:rPr>
            </w:pPr>
            <w:r>
              <w:rPr>
                <w:rFonts w:hint="eastAsia" w:eastAsiaTheme="minorEastAsia"/>
                <w:bCs/>
                <w:sz w:val="24"/>
              </w:rPr>
              <w:t>预处理：本项目将按照农业机械生产企业所提供的拆解信息或拆解手册进行合理拆解，在正式拆解前，拆下蓄电池，放净发动机润滑油、液压油、防冻液，油箱中如有残余燃油，放净回收，然后拆下油箱。预处理是为了保证安全拆解、防止污染，其中蓄电池仅拆下，不进行拆解。</w:t>
            </w:r>
          </w:p>
          <w:p>
            <w:pPr>
              <w:spacing w:line="360" w:lineRule="auto"/>
              <w:ind w:firstLine="480" w:firstLineChars="200"/>
              <w:rPr>
                <w:rFonts w:eastAsiaTheme="minorEastAsia"/>
                <w:bCs/>
                <w:sz w:val="24"/>
              </w:rPr>
            </w:pPr>
            <w:r>
              <w:rPr>
                <w:rFonts w:hAnsiTheme="minorEastAsia" w:eastAsiaTheme="minorEastAsia"/>
                <w:bCs/>
                <w:sz w:val="24"/>
              </w:rPr>
              <w:t>③</w:t>
            </w:r>
            <w:r>
              <w:rPr>
                <w:rFonts w:hint="eastAsia" w:eastAsiaTheme="minorEastAsia"/>
                <w:bCs/>
                <w:sz w:val="24"/>
              </w:rPr>
              <w:t>总成拆除</w:t>
            </w:r>
          </w:p>
          <w:p>
            <w:pPr>
              <w:spacing w:line="360" w:lineRule="auto"/>
              <w:ind w:firstLine="480" w:firstLineChars="200"/>
              <w:rPr>
                <w:rFonts w:eastAsiaTheme="minorEastAsia"/>
                <w:bCs/>
                <w:sz w:val="24"/>
              </w:rPr>
            </w:pPr>
            <w:r>
              <w:rPr>
                <w:rFonts w:hint="eastAsia" w:eastAsiaTheme="minorEastAsia"/>
                <w:bCs/>
                <w:sz w:val="24"/>
              </w:rPr>
              <w:t>拆下发动机及变速箱等总成，并按《报废农业机械回收办法》对以上总成进行毁形（留证）、解体。从结构复杂性与操纵舒适性两方面来说，农业机械通常比汽车简单许多、操纵性能要求也低，故其总成数较少。</w:t>
            </w:r>
          </w:p>
          <w:p>
            <w:pPr>
              <w:spacing w:line="360" w:lineRule="auto"/>
              <w:ind w:firstLine="480" w:firstLineChars="200"/>
              <w:rPr>
                <w:rFonts w:eastAsiaTheme="minorEastAsia"/>
                <w:bCs/>
                <w:sz w:val="24"/>
              </w:rPr>
            </w:pPr>
            <w:r>
              <w:rPr>
                <w:rFonts w:hAnsiTheme="minorEastAsia" w:eastAsiaTheme="minorEastAsia"/>
                <w:bCs/>
                <w:sz w:val="24"/>
              </w:rPr>
              <w:t>④</w:t>
            </w:r>
            <w:r>
              <w:rPr>
                <w:rFonts w:hint="eastAsia" w:eastAsiaTheme="minorEastAsia"/>
                <w:bCs/>
                <w:sz w:val="24"/>
              </w:rPr>
              <w:t>机架解体</w:t>
            </w:r>
          </w:p>
          <w:p>
            <w:pPr>
              <w:spacing w:line="360" w:lineRule="auto"/>
              <w:ind w:firstLine="480" w:firstLineChars="200"/>
              <w:rPr>
                <w:rFonts w:eastAsiaTheme="minorEastAsia"/>
                <w:bCs/>
                <w:sz w:val="24"/>
              </w:rPr>
            </w:pPr>
            <w:r>
              <w:rPr>
                <w:rFonts w:hint="eastAsia" w:eastAsiaTheme="minorEastAsia"/>
                <w:bCs/>
                <w:sz w:val="24"/>
              </w:rPr>
              <w:t>对拆除总成后的整体机架进行解体，主要在拆解车间内切割区进行，机架拆解以能对拆解物进行粗略归类为原则。视局部结构与可拆性的差异，分别用氧割、小型工具进行解体；对尺寸较大、或较占空间的拆解件，用剪断机切断。对以上拆解物进行初步分类存放，定期出售给废旧物资回收公司，拆解物分为金属与非金属两大类。金属类包括废钢材等有色金属，非金属类有橡胶（主要是废履带橡胶板、废旧轮胎）、塑料外壳、皮具、织物等。</w:t>
            </w:r>
          </w:p>
          <w:p>
            <w:pPr>
              <w:spacing w:line="360" w:lineRule="auto"/>
              <w:ind w:firstLine="480" w:firstLineChars="200"/>
              <w:rPr>
                <w:rFonts w:eastAsiaTheme="minorEastAsia"/>
                <w:bCs/>
                <w:sz w:val="24"/>
              </w:rPr>
            </w:pPr>
            <w:r>
              <w:rPr>
                <w:rFonts w:hint="eastAsia" w:eastAsiaTheme="minorEastAsia"/>
                <w:bCs/>
                <w:sz w:val="24"/>
              </w:rPr>
              <w:t>拆解区地面定期清理油垢，在清理油垢时会产生含油抹布。不进行冲洗。</w:t>
            </w:r>
          </w:p>
          <w:p>
            <w:pPr>
              <w:spacing w:line="360" w:lineRule="auto"/>
              <w:ind w:firstLine="482" w:firstLineChars="200"/>
              <w:contextualSpacing/>
              <w:rPr>
                <w:rFonts w:eastAsiaTheme="minorEastAsia"/>
                <w:b/>
                <w:bCs/>
                <w:sz w:val="24"/>
              </w:rPr>
            </w:pPr>
            <w:r>
              <w:rPr>
                <w:rFonts w:hint="eastAsia" w:eastAsiaTheme="minorEastAsia"/>
                <w:b/>
                <w:bCs/>
                <w:sz w:val="24"/>
              </w:rPr>
              <w:t>产排污环节分析：</w:t>
            </w:r>
          </w:p>
          <w:p>
            <w:pPr>
              <w:spacing w:line="360" w:lineRule="auto"/>
              <w:ind w:firstLine="480" w:firstLineChars="200"/>
              <w:contextualSpacing/>
              <w:rPr>
                <w:rFonts w:eastAsiaTheme="minorEastAsia"/>
                <w:bCs/>
                <w:sz w:val="24"/>
              </w:rPr>
            </w:pPr>
            <w:r>
              <w:rPr>
                <w:rFonts w:hint="eastAsia" w:eastAsiaTheme="minorEastAsia"/>
                <w:sz w:val="24"/>
              </w:rPr>
              <w:t>本项目污染物主要为</w:t>
            </w:r>
            <w:r>
              <w:rPr>
                <w:rFonts w:hint="eastAsia" w:eastAsiaTheme="minorEastAsia"/>
                <w:bCs/>
                <w:sz w:val="24"/>
              </w:rPr>
              <w:t>油类物质、防冻液等挥发废气</w:t>
            </w:r>
            <w:r>
              <w:rPr>
                <w:rFonts w:hint="eastAsia" w:eastAsiaTheme="minorEastAsia"/>
                <w:sz w:val="24"/>
              </w:rPr>
              <w:t>、</w:t>
            </w:r>
            <w:r>
              <w:rPr>
                <w:rFonts w:hint="eastAsia" w:eastAsiaTheme="minorEastAsia"/>
                <w:bCs/>
                <w:sz w:val="24"/>
              </w:rPr>
              <w:t>切割粉尘</w:t>
            </w:r>
            <w:r>
              <w:rPr>
                <w:rFonts w:hint="eastAsia" w:eastAsiaTheme="minorEastAsia"/>
                <w:sz w:val="24"/>
              </w:rPr>
              <w:t>，生活污水、初期雨水，设备噪声，生产固废</w:t>
            </w:r>
            <w:r>
              <w:rPr>
                <w:rFonts w:hint="eastAsia" w:eastAsiaTheme="minorEastAsia"/>
                <w:bCs/>
                <w:sz w:val="24"/>
              </w:rPr>
              <w:t>。</w:t>
            </w:r>
          </w:p>
          <w:p>
            <w:pPr>
              <w:spacing w:line="360" w:lineRule="auto"/>
              <w:ind w:firstLine="480" w:firstLineChars="200"/>
              <w:contextualSpacing/>
              <w:rPr>
                <w:rFonts w:eastAsiaTheme="minorEastAsia"/>
                <w:bCs/>
                <w:sz w:val="24"/>
              </w:rPr>
            </w:pPr>
            <w:r>
              <w:rPr>
                <w:rFonts w:eastAsiaTheme="minorEastAsia"/>
                <w:bCs/>
                <w:sz w:val="24"/>
              </w:rPr>
              <w:t>1</w:t>
            </w:r>
            <w:r>
              <w:rPr>
                <w:rFonts w:hint="eastAsia" w:eastAsiaTheme="minorEastAsia"/>
                <w:bCs/>
                <w:sz w:val="24"/>
              </w:rPr>
              <w:t>、废气：油类物质、防冻液等挥发废气</w:t>
            </w:r>
            <w:r>
              <w:rPr>
                <w:rFonts w:hint="eastAsia" w:eastAsiaTheme="minorEastAsia"/>
                <w:sz w:val="24"/>
              </w:rPr>
              <w:t>、</w:t>
            </w:r>
            <w:r>
              <w:rPr>
                <w:rFonts w:hint="eastAsia" w:eastAsiaTheme="minorEastAsia"/>
                <w:bCs/>
                <w:sz w:val="24"/>
              </w:rPr>
              <w:t>切割粉尘；</w:t>
            </w:r>
          </w:p>
          <w:p>
            <w:pPr>
              <w:spacing w:line="360" w:lineRule="auto"/>
              <w:ind w:firstLine="480" w:firstLineChars="200"/>
              <w:contextualSpacing/>
              <w:rPr>
                <w:rFonts w:eastAsiaTheme="minorEastAsia"/>
                <w:bCs/>
                <w:sz w:val="24"/>
              </w:rPr>
            </w:pPr>
            <w:r>
              <w:rPr>
                <w:rFonts w:eastAsiaTheme="minorEastAsia"/>
                <w:bCs/>
                <w:sz w:val="24"/>
              </w:rPr>
              <w:t>2</w:t>
            </w:r>
            <w:r>
              <w:rPr>
                <w:rFonts w:hint="eastAsia" w:eastAsiaTheme="minorEastAsia"/>
                <w:bCs/>
                <w:sz w:val="24"/>
              </w:rPr>
              <w:t>、噪声：主要噪声来自于手电钻、等离子切割机、充电机等设备；</w:t>
            </w:r>
          </w:p>
          <w:p>
            <w:pPr>
              <w:spacing w:line="360" w:lineRule="auto"/>
              <w:ind w:firstLine="480" w:firstLineChars="200"/>
              <w:contextualSpacing/>
              <w:rPr>
                <w:rFonts w:eastAsiaTheme="minorEastAsia"/>
                <w:bCs/>
                <w:sz w:val="24"/>
              </w:rPr>
            </w:pPr>
            <w:r>
              <w:rPr>
                <w:rFonts w:eastAsiaTheme="minorEastAsia"/>
                <w:bCs/>
                <w:sz w:val="24"/>
              </w:rPr>
              <w:t>3</w:t>
            </w:r>
            <w:r>
              <w:rPr>
                <w:rFonts w:hint="eastAsia" w:eastAsiaTheme="minorEastAsia"/>
                <w:bCs/>
                <w:sz w:val="24"/>
              </w:rPr>
              <w:t>、废水：</w:t>
            </w:r>
            <w:r>
              <w:rPr>
                <w:rFonts w:hint="eastAsia" w:eastAsiaTheme="minorEastAsia"/>
                <w:sz w:val="24"/>
              </w:rPr>
              <w:t>生活污水、初期雨水；</w:t>
            </w:r>
          </w:p>
          <w:p>
            <w:pPr>
              <w:spacing w:line="360" w:lineRule="auto"/>
              <w:ind w:firstLine="480" w:firstLineChars="200"/>
              <w:contextualSpacing/>
              <w:rPr>
                <w:rFonts w:eastAsiaTheme="minorEastAsia"/>
                <w:bCs/>
                <w:sz w:val="24"/>
              </w:rPr>
            </w:pPr>
            <w:r>
              <w:rPr>
                <w:rFonts w:eastAsiaTheme="minorEastAsia"/>
                <w:bCs/>
                <w:sz w:val="24"/>
              </w:rPr>
              <w:t>4</w:t>
            </w:r>
            <w:r>
              <w:rPr>
                <w:rFonts w:hint="eastAsia" w:eastAsiaTheme="minorEastAsia"/>
                <w:bCs/>
                <w:sz w:val="24"/>
              </w:rPr>
              <w:t>、固废：生活垃圾（SW64 900-001-S64）、废革片（SW59 900-099-S59）、废灯（SW59 900-099-S59）、废座椅（SW59 900-099-S59）、布袋除尘器收集的粉尘（SW59 900-099-S59）、废铅酸蓄电池（类别：</w:t>
            </w:r>
            <w:r>
              <w:rPr>
                <w:rFonts w:eastAsiaTheme="minorEastAsia"/>
                <w:bCs/>
                <w:sz w:val="24"/>
              </w:rPr>
              <w:t>HW31</w:t>
            </w:r>
            <w:r>
              <w:rPr>
                <w:rFonts w:hint="eastAsia" w:eastAsiaTheme="minorEastAsia"/>
                <w:bCs/>
                <w:sz w:val="24"/>
              </w:rPr>
              <w:t>，代码：</w:t>
            </w:r>
            <w:r>
              <w:rPr>
                <w:rFonts w:eastAsiaTheme="minorEastAsia"/>
                <w:bCs/>
                <w:sz w:val="24"/>
              </w:rPr>
              <w:t>900-052-31</w:t>
            </w:r>
            <w:r>
              <w:rPr>
                <w:rFonts w:hint="eastAsia" w:eastAsiaTheme="minorEastAsia"/>
                <w:bCs/>
                <w:sz w:val="24"/>
              </w:rPr>
              <w:t>）、废柴油、废液压油、废润滑油、废发动机油、变速器</w:t>
            </w:r>
            <w:r>
              <w:rPr>
                <w:rFonts w:eastAsiaTheme="minorEastAsia"/>
                <w:bCs/>
                <w:sz w:val="24"/>
              </w:rPr>
              <w:t>/</w:t>
            </w:r>
            <w:r>
              <w:rPr>
                <w:rFonts w:hint="eastAsia" w:eastAsiaTheme="minorEastAsia"/>
                <w:bCs/>
                <w:sz w:val="24"/>
              </w:rPr>
              <w:t>齿轮箱</w:t>
            </w:r>
            <w:r>
              <w:rPr>
                <w:rFonts w:eastAsiaTheme="minorEastAsia"/>
                <w:bCs/>
                <w:sz w:val="24"/>
              </w:rPr>
              <w:t>油、</w:t>
            </w:r>
            <w:r>
              <w:rPr>
                <w:rFonts w:hint="eastAsia" w:eastAsiaTheme="minorEastAsia"/>
                <w:bCs/>
                <w:sz w:val="24"/>
              </w:rPr>
              <w:t>动力转向油等油类物质（类别：</w:t>
            </w:r>
            <w:r>
              <w:rPr>
                <w:rFonts w:eastAsiaTheme="minorEastAsia"/>
                <w:bCs/>
                <w:sz w:val="24"/>
              </w:rPr>
              <w:t>HW08</w:t>
            </w:r>
            <w:r>
              <w:rPr>
                <w:rFonts w:hint="eastAsia" w:eastAsiaTheme="minorEastAsia"/>
                <w:bCs/>
                <w:sz w:val="24"/>
              </w:rPr>
              <w:t>，代码：</w:t>
            </w:r>
            <w:r>
              <w:rPr>
                <w:rFonts w:eastAsiaTheme="minorEastAsia"/>
                <w:bCs/>
                <w:sz w:val="24"/>
              </w:rPr>
              <w:t>900-199-08</w:t>
            </w:r>
            <w:r>
              <w:rPr>
                <w:rFonts w:hint="eastAsia" w:eastAsiaTheme="minorEastAsia"/>
                <w:bCs/>
                <w:sz w:val="24"/>
              </w:rPr>
              <w:t>）、含油抹布及手套（类别：</w:t>
            </w:r>
            <w:r>
              <w:rPr>
                <w:rFonts w:eastAsiaTheme="minorEastAsia"/>
                <w:bCs/>
                <w:sz w:val="24"/>
              </w:rPr>
              <w:t>HW49</w:t>
            </w:r>
            <w:r>
              <w:rPr>
                <w:rFonts w:hint="eastAsia" w:eastAsiaTheme="minorEastAsia"/>
                <w:bCs/>
                <w:sz w:val="24"/>
              </w:rPr>
              <w:t>，代码：</w:t>
            </w:r>
            <w:r>
              <w:rPr>
                <w:rFonts w:eastAsiaTheme="minorEastAsia"/>
                <w:bCs/>
                <w:sz w:val="24"/>
              </w:rPr>
              <w:t>900-041-49</w:t>
            </w:r>
            <w:r>
              <w:rPr>
                <w:rFonts w:hint="eastAsia" w:eastAsiaTheme="minorEastAsia"/>
                <w:bCs/>
                <w:sz w:val="24"/>
              </w:rPr>
              <w:t>）、油泥（类别：</w:t>
            </w:r>
            <w:r>
              <w:rPr>
                <w:rFonts w:eastAsiaTheme="minorEastAsia"/>
                <w:bCs/>
                <w:sz w:val="24"/>
              </w:rPr>
              <w:t>HW08</w:t>
            </w:r>
            <w:r>
              <w:rPr>
                <w:rFonts w:hint="eastAsia" w:eastAsiaTheme="minorEastAsia"/>
                <w:bCs/>
                <w:sz w:val="24"/>
              </w:rPr>
              <w:t>，代码：</w:t>
            </w:r>
            <w:r>
              <w:rPr>
                <w:rFonts w:eastAsiaTheme="minorEastAsia"/>
                <w:bCs/>
                <w:sz w:val="24"/>
              </w:rPr>
              <w:t>900-210-08</w:t>
            </w:r>
            <w:r>
              <w:rPr>
                <w:rFonts w:hint="eastAsia" w:eastAsiaTheme="minorEastAsia"/>
                <w:bCs/>
                <w:sz w:val="24"/>
              </w:rPr>
              <w:t>）、废防冻液</w:t>
            </w:r>
            <w:r>
              <w:rPr>
                <w:rFonts w:hint="eastAsia" w:eastAsiaTheme="minorEastAsia"/>
                <w:b/>
                <w:bCs/>
                <w:sz w:val="24"/>
              </w:rPr>
              <w:t>、</w:t>
            </w:r>
            <w:r>
              <w:rPr>
                <w:rFonts w:hint="eastAsia" w:eastAsiaTheme="minorEastAsia"/>
                <w:bCs/>
                <w:sz w:val="24"/>
              </w:rPr>
              <w:t>废冷却液（</w:t>
            </w:r>
            <w:r>
              <w:rPr>
                <w:rFonts w:eastAsiaTheme="minorEastAsia"/>
                <w:bCs/>
                <w:sz w:val="24"/>
              </w:rPr>
              <w:t>类别：HW06，代码：900-404-06</w:t>
            </w:r>
            <w:r>
              <w:rPr>
                <w:rFonts w:hint="eastAsia" w:eastAsiaTheme="minorEastAsia"/>
                <w:bCs/>
                <w:sz w:val="24"/>
              </w:rPr>
              <w:t>）、</w:t>
            </w:r>
            <w:r>
              <w:rPr>
                <w:rFonts w:hint="eastAsia" w:hAnsiTheme="minorEastAsia" w:eastAsiaTheme="minorEastAsia"/>
                <w:bCs/>
                <w:sz w:val="24"/>
              </w:rPr>
              <w:t>废活性炭（</w:t>
            </w:r>
            <w:r>
              <w:rPr>
                <w:rFonts w:hint="eastAsia"/>
                <w:sz w:val="24"/>
              </w:rPr>
              <w:t>类别：HW49，代码：900-039-49）、</w:t>
            </w:r>
            <w:r>
              <w:rPr>
                <w:rFonts w:hint="eastAsia" w:hAnsiTheme="minorEastAsia" w:eastAsiaTheme="minorEastAsia"/>
                <w:sz w:val="24"/>
              </w:rPr>
              <w:t>机油过滤器</w:t>
            </w:r>
            <w:r>
              <w:rPr>
                <w:rFonts w:hint="eastAsia" w:eastAsiaTheme="minorEastAsia"/>
                <w:bCs/>
                <w:sz w:val="24"/>
              </w:rPr>
              <w:t>（类别：</w:t>
            </w:r>
            <w:r>
              <w:rPr>
                <w:rFonts w:eastAsiaTheme="minorEastAsia"/>
                <w:bCs/>
                <w:sz w:val="24"/>
              </w:rPr>
              <w:t>HW08</w:t>
            </w:r>
            <w:r>
              <w:rPr>
                <w:rFonts w:hint="eastAsia" w:eastAsiaTheme="minorEastAsia"/>
                <w:bCs/>
                <w:sz w:val="24"/>
              </w:rPr>
              <w:t>，代码：900-213-08）。</w:t>
            </w: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452" w:type="dxa"/>
            <w:vAlign w:val="center"/>
          </w:tcPr>
          <w:p>
            <w:pPr>
              <w:pStyle w:val="16"/>
              <w:adjustRightInd w:val="0"/>
              <w:snapToGrid w:val="0"/>
              <w:spacing w:before="0" w:beforeAutospacing="0" w:after="0" w:afterAutospacing="0"/>
              <w:jc w:val="center"/>
              <w:rPr>
                <w:rFonts w:ascii="Times New Roman" w:hAnsi="Times New Roman" w:eastAsiaTheme="minorEastAsia"/>
                <w:szCs w:val="24"/>
              </w:rPr>
            </w:pPr>
            <w:r>
              <w:rPr>
                <w:rFonts w:hint="eastAsia" w:ascii="Times New Roman" w:hAnsi="Times New Roman" w:eastAsiaTheme="minorEastAsia"/>
                <w:bCs/>
                <w:kern w:val="2"/>
                <w:szCs w:val="24"/>
              </w:rPr>
              <w:t>与项目有关的原有环境污染问题</w:t>
            </w:r>
          </w:p>
        </w:tc>
        <w:tc>
          <w:tcPr>
            <w:tcW w:w="8608" w:type="dxa"/>
          </w:tcPr>
          <w:p>
            <w:pPr>
              <w:spacing w:line="360" w:lineRule="auto"/>
              <w:ind w:firstLine="480" w:firstLineChars="200"/>
              <w:contextualSpacing/>
              <w:jc w:val="left"/>
              <w:rPr>
                <w:rFonts w:eastAsiaTheme="minorEastAsia"/>
                <w:kern w:val="0"/>
                <w:sz w:val="24"/>
              </w:rPr>
            </w:pPr>
            <w:r>
              <w:rPr>
                <w:rFonts w:hint="eastAsia" w:eastAsiaTheme="minorEastAsia"/>
                <w:bCs/>
                <w:sz w:val="24"/>
              </w:rPr>
              <w:t>本项目为新建项目，无与本项目有关的原有污染情况及主要环境问题。</w:t>
            </w: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ind w:firstLine="480" w:firstLineChars="200"/>
              <w:contextualSpacing/>
              <w:rPr>
                <w:rFonts w:eastAsiaTheme="minorEastAsia"/>
                <w:bCs/>
                <w:kern w:val="0"/>
                <w:sz w:val="24"/>
              </w:rPr>
            </w:pPr>
          </w:p>
          <w:p>
            <w:pPr>
              <w:spacing w:line="360" w:lineRule="auto"/>
              <w:contextualSpacing/>
              <w:rPr>
                <w:rFonts w:eastAsiaTheme="minorEastAsia"/>
                <w:bCs/>
                <w:kern w:val="0"/>
                <w:sz w:val="24"/>
              </w:rPr>
            </w:pPr>
          </w:p>
          <w:p>
            <w:pPr>
              <w:spacing w:line="360" w:lineRule="auto"/>
              <w:contextualSpacing/>
              <w:rPr>
                <w:rFonts w:eastAsiaTheme="minorEastAsia"/>
                <w:bCs/>
                <w:kern w:val="0"/>
                <w:sz w:val="24"/>
              </w:rPr>
            </w:pPr>
          </w:p>
          <w:p>
            <w:pPr>
              <w:spacing w:line="360" w:lineRule="auto"/>
              <w:contextualSpacing/>
              <w:rPr>
                <w:rFonts w:eastAsiaTheme="minorEastAsia"/>
                <w:bCs/>
                <w:kern w:val="0"/>
                <w:sz w:val="24"/>
              </w:rPr>
            </w:pPr>
          </w:p>
        </w:tc>
      </w:tr>
    </w:tbl>
    <w:p>
      <w:pPr>
        <w:pStyle w:val="16"/>
        <w:jc w:val="center"/>
        <w:rPr>
          <w:rFonts w:ascii="Times New Roman" w:hAnsi="Times New Roman" w:eastAsiaTheme="minorEastAsia"/>
          <w:snapToGrid w:val="0"/>
          <w:sz w:val="36"/>
          <w:szCs w:val="36"/>
        </w:rPr>
        <w:sectPr>
          <w:pgSz w:w="11906" w:h="16838"/>
          <w:pgMar w:top="1701" w:right="1531" w:bottom="1701" w:left="1531" w:header="851" w:footer="851" w:gutter="0"/>
          <w:cols w:space="720" w:num="1"/>
          <w:docGrid w:linePitch="312" w:charSpace="0"/>
        </w:sectPr>
      </w:pPr>
    </w:p>
    <w:p>
      <w:pPr>
        <w:pStyle w:val="16"/>
        <w:jc w:val="center"/>
        <w:outlineLvl w:val="0"/>
        <w:rPr>
          <w:rFonts w:ascii="Times New Roman" w:hAnsi="Times New Roman" w:eastAsiaTheme="minorEastAsia"/>
          <w:snapToGrid w:val="0"/>
          <w:sz w:val="30"/>
          <w:szCs w:val="30"/>
        </w:rPr>
      </w:pPr>
      <w:bookmarkStart w:id="6" w:name="_Toc114492904"/>
      <w:r>
        <w:rPr>
          <w:rFonts w:hint="eastAsia" w:ascii="Times New Roman" w:hAnsi="Times New Roman" w:eastAsiaTheme="minorEastAsia"/>
          <w:snapToGrid w:val="0"/>
          <w:sz w:val="30"/>
          <w:szCs w:val="30"/>
        </w:rPr>
        <w:t>三、区域环境质量现状、环境保护目标及评价标准</w:t>
      </w:r>
      <w:bookmarkEnd w:id="6"/>
    </w:p>
    <w:tbl>
      <w:tblPr>
        <w:tblStyle w:val="21"/>
        <w:tblW w:w="906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2"/>
        <w:gridCol w:w="86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06" w:hRule="atLeast"/>
          <w:jc w:val="center"/>
        </w:trPr>
        <w:tc>
          <w:tcPr>
            <w:tcW w:w="452" w:type="dxa"/>
            <w:vAlign w:val="center"/>
          </w:tcPr>
          <w:p>
            <w:pPr>
              <w:adjustRightInd w:val="0"/>
              <w:snapToGrid w:val="0"/>
              <w:jc w:val="center"/>
              <w:rPr>
                <w:rFonts w:eastAsiaTheme="minorEastAsia"/>
                <w:kern w:val="0"/>
                <w:sz w:val="24"/>
              </w:rPr>
            </w:pPr>
            <w:r>
              <w:rPr>
                <w:rFonts w:hint="eastAsia" w:eastAsiaTheme="minorEastAsia"/>
                <w:kern w:val="0"/>
                <w:sz w:val="24"/>
              </w:rPr>
              <w:t>区域</w:t>
            </w:r>
          </w:p>
          <w:p>
            <w:pPr>
              <w:adjustRightInd w:val="0"/>
              <w:snapToGrid w:val="0"/>
              <w:jc w:val="center"/>
              <w:rPr>
                <w:rFonts w:eastAsiaTheme="minorEastAsia"/>
                <w:kern w:val="0"/>
                <w:sz w:val="24"/>
              </w:rPr>
            </w:pPr>
            <w:r>
              <w:rPr>
                <w:rFonts w:hint="eastAsia" w:eastAsiaTheme="minorEastAsia"/>
                <w:kern w:val="0"/>
                <w:sz w:val="24"/>
              </w:rPr>
              <w:t>环境</w:t>
            </w:r>
          </w:p>
          <w:p>
            <w:pPr>
              <w:adjustRightInd w:val="0"/>
              <w:snapToGrid w:val="0"/>
              <w:jc w:val="center"/>
              <w:rPr>
                <w:rFonts w:eastAsiaTheme="minorEastAsia"/>
                <w:kern w:val="0"/>
                <w:sz w:val="24"/>
              </w:rPr>
            </w:pPr>
            <w:r>
              <w:rPr>
                <w:rFonts w:hint="eastAsia" w:eastAsiaTheme="minorEastAsia"/>
                <w:kern w:val="0"/>
                <w:sz w:val="24"/>
              </w:rPr>
              <w:t>质量</w:t>
            </w:r>
          </w:p>
          <w:p>
            <w:pPr>
              <w:adjustRightInd w:val="0"/>
              <w:snapToGrid w:val="0"/>
              <w:jc w:val="center"/>
              <w:rPr>
                <w:rFonts w:eastAsiaTheme="minorEastAsia"/>
                <w:kern w:val="0"/>
                <w:sz w:val="24"/>
              </w:rPr>
            </w:pPr>
            <w:r>
              <w:rPr>
                <w:rFonts w:hint="eastAsia" w:eastAsiaTheme="minorEastAsia"/>
                <w:kern w:val="0"/>
                <w:sz w:val="24"/>
              </w:rPr>
              <w:t>现状</w:t>
            </w:r>
          </w:p>
        </w:tc>
        <w:tc>
          <w:tcPr>
            <w:tcW w:w="8609" w:type="dxa"/>
            <w:vAlign w:val="center"/>
          </w:tcPr>
          <w:p>
            <w:pPr>
              <w:pStyle w:val="42"/>
              <w:spacing w:beforeLines="0" w:afterLines="0" w:line="360" w:lineRule="auto"/>
              <w:ind w:firstLine="482"/>
              <w:contextualSpacing/>
              <w:rPr>
                <w:rFonts w:eastAsiaTheme="minorEastAsia"/>
                <w:b/>
                <w:color w:val="auto"/>
              </w:rPr>
            </w:pPr>
            <w:r>
              <w:rPr>
                <w:rFonts w:eastAsiaTheme="minorEastAsia"/>
                <w:b/>
                <w:color w:val="auto"/>
              </w:rPr>
              <w:t>1</w:t>
            </w:r>
            <w:r>
              <w:rPr>
                <w:rFonts w:hint="eastAsia" w:eastAsiaTheme="minorEastAsia"/>
                <w:b/>
                <w:color w:val="auto"/>
              </w:rPr>
              <w:t>、环境空气</w:t>
            </w:r>
          </w:p>
          <w:p>
            <w:pPr>
              <w:spacing w:line="360" w:lineRule="auto"/>
              <w:ind w:firstLine="480" w:firstLineChars="200"/>
              <w:contextualSpacing/>
              <w:rPr>
                <w:sz w:val="24"/>
              </w:rPr>
            </w:pPr>
            <w:r>
              <w:rPr>
                <w:rFonts w:hint="eastAsia"/>
                <w:sz w:val="24"/>
              </w:rPr>
              <w:t>根据《2023年黑龙江省生态环境质量状况》，鸡西市2023年</w:t>
            </w:r>
            <w:r>
              <w:rPr>
                <w:sz w:val="24"/>
              </w:rPr>
              <w:t>空气质量级别达二级标准，达标天数为340天(95.0%)，</w:t>
            </w:r>
            <w:r>
              <w:rPr>
                <w:rFonts w:hint="eastAsia"/>
                <w:sz w:val="24"/>
              </w:rPr>
              <w:t>SO</w:t>
            </w:r>
            <w:r>
              <w:rPr>
                <w:rFonts w:hint="eastAsia"/>
                <w:sz w:val="24"/>
                <w:vertAlign w:val="subscript"/>
              </w:rPr>
              <w:t>2</w:t>
            </w:r>
            <w:r>
              <w:rPr>
                <w:rFonts w:hint="eastAsia"/>
                <w:sz w:val="24"/>
              </w:rPr>
              <w:t>、NO</w:t>
            </w:r>
            <w:r>
              <w:rPr>
                <w:rFonts w:hint="eastAsia"/>
                <w:sz w:val="24"/>
                <w:vertAlign w:val="subscript"/>
              </w:rPr>
              <w:t>2</w:t>
            </w:r>
            <w:r>
              <w:rPr>
                <w:rFonts w:hint="eastAsia"/>
                <w:sz w:val="24"/>
              </w:rPr>
              <w:t>、PM</w:t>
            </w:r>
            <w:r>
              <w:rPr>
                <w:rFonts w:hint="eastAsia"/>
                <w:sz w:val="24"/>
                <w:vertAlign w:val="subscript"/>
              </w:rPr>
              <w:t>10</w:t>
            </w:r>
            <w:r>
              <w:rPr>
                <w:rFonts w:hint="eastAsia"/>
                <w:sz w:val="24"/>
              </w:rPr>
              <w:t>、PM</w:t>
            </w:r>
            <w:r>
              <w:rPr>
                <w:rFonts w:hint="eastAsia"/>
                <w:sz w:val="24"/>
                <w:vertAlign w:val="subscript"/>
              </w:rPr>
              <w:t>2.5</w:t>
            </w:r>
            <w:r>
              <w:rPr>
                <w:rFonts w:hint="eastAsia"/>
                <w:sz w:val="24"/>
              </w:rPr>
              <w:t>年均浓度分别为8ug/m</w:t>
            </w:r>
            <w:r>
              <w:rPr>
                <w:rFonts w:hint="eastAsia"/>
                <w:sz w:val="24"/>
                <w:vertAlign w:val="superscript"/>
              </w:rPr>
              <w:t>3</w:t>
            </w:r>
            <w:r>
              <w:rPr>
                <w:rFonts w:hint="eastAsia"/>
                <w:sz w:val="24"/>
              </w:rPr>
              <w:t>、20ug/m</w:t>
            </w:r>
            <w:r>
              <w:rPr>
                <w:rFonts w:hint="eastAsia"/>
                <w:sz w:val="24"/>
                <w:vertAlign w:val="superscript"/>
              </w:rPr>
              <w:t>3</w:t>
            </w:r>
            <w:r>
              <w:rPr>
                <w:rFonts w:hint="eastAsia"/>
                <w:sz w:val="24"/>
              </w:rPr>
              <w:t>、50ug/m</w:t>
            </w:r>
            <w:r>
              <w:rPr>
                <w:rFonts w:hint="eastAsia"/>
                <w:sz w:val="24"/>
                <w:vertAlign w:val="superscript"/>
              </w:rPr>
              <w:t>3</w:t>
            </w:r>
            <w:r>
              <w:rPr>
                <w:rFonts w:hint="eastAsia"/>
                <w:sz w:val="24"/>
              </w:rPr>
              <w:t>、28ug/m</w:t>
            </w:r>
            <w:r>
              <w:rPr>
                <w:rFonts w:hint="eastAsia"/>
                <w:sz w:val="24"/>
                <w:vertAlign w:val="superscript"/>
              </w:rPr>
              <w:t>3</w:t>
            </w:r>
            <w:r>
              <w:rPr>
                <w:rFonts w:hint="eastAsia"/>
                <w:sz w:val="24"/>
              </w:rPr>
              <w:t>；CO 24小时平均第95百分位数为1.0mg/m</w:t>
            </w:r>
            <w:r>
              <w:rPr>
                <w:rFonts w:hint="eastAsia"/>
                <w:sz w:val="24"/>
                <w:vertAlign w:val="superscript"/>
              </w:rPr>
              <w:t>3</w:t>
            </w:r>
            <w:r>
              <w:rPr>
                <w:rFonts w:hint="eastAsia"/>
                <w:sz w:val="24"/>
              </w:rPr>
              <w:t>，O</w:t>
            </w:r>
            <w:r>
              <w:rPr>
                <w:rFonts w:hint="eastAsia"/>
                <w:sz w:val="24"/>
                <w:vertAlign w:val="subscript"/>
              </w:rPr>
              <w:t>3</w:t>
            </w:r>
            <w:r>
              <w:rPr>
                <w:rFonts w:hint="eastAsia"/>
                <w:sz w:val="24"/>
              </w:rPr>
              <w:t>日最大8小时平均第90百分位数为98ug/m</w:t>
            </w:r>
            <w:r>
              <w:rPr>
                <w:rFonts w:hint="eastAsia"/>
                <w:sz w:val="24"/>
                <w:vertAlign w:val="superscript"/>
              </w:rPr>
              <w:t>3</w:t>
            </w:r>
            <w:r>
              <w:rPr>
                <w:rFonts w:hint="eastAsia"/>
                <w:sz w:val="24"/>
              </w:rPr>
              <w:t>；各污染物平均浓度均优于《环境空气质量标准》（GB3095-2012）中二级标准限值。综上所述，本项目所在区域环境空气质量属于达标区</w:t>
            </w:r>
            <w:r>
              <w:rPr>
                <w:rFonts w:hint="eastAsia" w:eastAsiaTheme="minorEastAsia"/>
                <w:sz w:val="24"/>
              </w:rPr>
              <w:t>。</w:t>
            </w:r>
          </w:p>
          <w:p>
            <w:pPr>
              <w:spacing w:line="360" w:lineRule="auto"/>
              <w:ind w:firstLine="480" w:firstLineChars="200"/>
              <w:contextualSpacing/>
              <w:rPr>
                <w:bCs/>
                <w:sz w:val="24"/>
              </w:rPr>
            </w:pPr>
            <w:r>
              <w:rPr>
                <w:rFonts w:hint="eastAsia"/>
                <w:sz w:val="24"/>
                <w:szCs w:val="22"/>
              </w:rPr>
              <w:t>根据《建设项目环境影响报告表编制技术指南》（污染影响类）（试行）内要求选择当季主导风向下风向设置1个监测点位，监测时间为3天</w:t>
            </w:r>
            <w:r>
              <w:rPr>
                <w:rFonts w:hint="eastAsia" w:eastAsiaTheme="minorEastAsia"/>
                <w:snapToGrid w:val="0"/>
                <w:kern w:val="0"/>
                <w:sz w:val="24"/>
              </w:rPr>
              <w:t>。</w:t>
            </w:r>
            <w:r>
              <w:rPr>
                <w:bCs/>
                <w:sz w:val="24"/>
              </w:rPr>
              <w:t>根据哈尔滨新巨环保科技有限公司于2024年</w:t>
            </w:r>
            <w:r>
              <w:rPr>
                <w:rFonts w:hint="eastAsia"/>
                <w:bCs/>
                <w:sz w:val="24"/>
              </w:rPr>
              <w:t>10</w:t>
            </w:r>
            <w:r>
              <w:rPr>
                <w:bCs/>
                <w:sz w:val="24"/>
              </w:rPr>
              <w:t>月</w:t>
            </w:r>
            <w:r>
              <w:rPr>
                <w:rFonts w:hint="eastAsia"/>
                <w:bCs/>
                <w:sz w:val="24"/>
              </w:rPr>
              <w:t>08</w:t>
            </w:r>
            <w:r>
              <w:rPr>
                <w:bCs/>
                <w:sz w:val="24"/>
              </w:rPr>
              <w:t>日</w:t>
            </w:r>
            <w:r>
              <w:rPr>
                <w:rFonts w:hint="eastAsia" w:eastAsiaTheme="minorEastAsia"/>
                <w:snapToGrid w:val="0"/>
                <w:kern w:val="0"/>
                <w:sz w:val="24"/>
              </w:rPr>
              <w:t>补充现状监测统计结果分析情况见下表。</w:t>
            </w:r>
          </w:p>
          <w:p>
            <w:pPr>
              <w:pStyle w:val="72"/>
              <w:adjustRightInd/>
              <w:snapToGrid/>
              <w:spacing w:line="360" w:lineRule="auto"/>
              <w:contextualSpacing/>
              <w:rPr>
                <w:rFonts w:eastAsiaTheme="minorEastAsia"/>
                <w:b/>
                <w:szCs w:val="24"/>
              </w:rPr>
            </w:pPr>
            <w:r>
              <w:rPr>
                <w:rFonts w:hint="eastAsia" w:eastAsiaTheme="minorEastAsia"/>
                <w:b/>
                <w:szCs w:val="24"/>
              </w:rPr>
              <w:t>表</w:t>
            </w:r>
            <w:r>
              <w:rPr>
                <w:rFonts w:eastAsiaTheme="minorEastAsia"/>
                <w:b/>
                <w:szCs w:val="24"/>
              </w:rPr>
              <w:t>3-</w:t>
            </w:r>
            <w:r>
              <w:rPr>
                <w:rFonts w:hint="eastAsia" w:eastAsiaTheme="minorEastAsia"/>
                <w:b/>
                <w:szCs w:val="24"/>
              </w:rPr>
              <w:t>1</w:t>
            </w:r>
            <w:r>
              <w:rPr>
                <w:rFonts w:hint="eastAsia" w:eastAsiaTheme="minorEastAsia"/>
                <w:b/>
                <w:bCs/>
                <w:szCs w:val="24"/>
              </w:rPr>
              <w:t>厂区点位及其他污染物监测点位基本信息表</w:t>
            </w:r>
          </w:p>
          <w:tbl>
            <w:tblPr>
              <w:tblStyle w:val="21"/>
              <w:tblW w:w="817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1"/>
              <w:gridCol w:w="1465"/>
              <w:gridCol w:w="1250"/>
              <w:gridCol w:w="1051"/>
              <w:gridCol w:w="1364"/>
              <w:gridCol w:w="864"/>
              <w:gridCol w:w="12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941" w:type="dxa"/>
                  <w:vMerge w:val="restart"/>
                  <w:vAlign w:val="center"/>
                </w:tcPr>
                <w:p>
                  <w:pPr>
                    <w:widowControl/>
                    <w:jc w:val="center"/>
                    <w:rPr>
                      <w:rFonts w:ascii="宋体" w:hAnsi="宋体" w:cs="宋体"/>
                      <w:kern w:val="0"/>
                      <w:sz w:val="24"/>
                    </w:rPr>
                  </w:pPr>
                  <w:r>
                    <w:rPr>
                      <w:rFonts w:hint="eastAsia" w:ascii="宋体" w:hAnsi="宋体" w:cs="宋体"/>
                      <w:kern w:val="0"/>
                      <w:szCs w:val="21"/>
                    </w:rPr>
                    <w:t>监测点</w:t>
                  </w:r>
                  <w:r>
                    <w:rPr>
                      <w:rFonts w:hint="eastAsia" w:ascii="宋体" w:hAnsi="宋体" w:cs="宋体"/>
                      <w:szCs w:val="21"/>
                    </w:rPr>
                    <w:t>名称</w:t>
                  </w:r>
                </w:p>
              </w:tc>
              <w:tc>
                <w:tcPr>
                  <w:tcW w:w="2715" w:type="dxa"/>
                  <w:gridSpan w:val="2"/>
                  <w:vAlign w:val="center"/>
                </w:tcPr>
                <w:p>
                  <w:pPr>
                    <w:pStyle w:val="67"/>
                    <w:contextualSpacing/>
                    <w:rPr>
                      <w:rFonts w:eastAsiaTheme="minorEastAsia"/>
                      <w:sz w:val="21"/>
                      <w:szCs w:val="21"/>
                    </w:rPr>
                  </w:pPr>
                  <w:r>
                    <w:rPr>
                      <w:rFonts w:hint="eastAsia"/>
                      <w:sz w:val="21"/>
                      <w:szCs w:val="21"/>
                    </w:rPr>
                    <w:t>监测点坐标</w:t>
                  </w:r>
                </w:p>
              </w:tc>
              <w:tc>
                <w:tcPr>
                  <w:tcW w:w="1051" w:type="dxa"/>
                  <w:vMerge w:val="restart"/>
                  <w:vAlign w:val="center"/>
                </w:tcPr>
                <w:p>
                  <w:pPr>
                    <w:pStyle w:val="67"/>
                    <w:contextualSpacing/>
                    <w:rPr>
                      <w:rFonts w:eastAsiaTheme="minorEastAsia"/>
                      <w:sz w:val="21"/>
                      <w:szCs w:val="21"/>
                    </w:rPr>
                  </w:pPr>
                  <w:r>
                    <w:rPr>
                      <w:rFonts w:eastAsiaTheme="minorEastAsia"/>
                      <w:sz w:val="21"/>
                      <w:szCs w:val="21"/>
                    </w:rPr>
                    <w:t>监测因子</w:t>
                  </w:r>
                </w:p>
              </w:tc>
              <w:tc>
                <w:tcPr>
                  <w:tcW w:w="1364" w:type="dxa"/>
                  <w:vMerge w:val="restart"/>
                  <w:vAlign w:val="center"/>
                </w:tcPr>
                <w:p>
                  <w:pPr>
                    <w:pStyle w:val="67"/>
                    <w:contextualSpacing/>
                    <w:rPr>
                      <w:rFonts w:eastAsiaTheme="minorEastAsia"/>
                      <w:sz w:val="21"/>
                      <w:szCs w:val="21"/>
                    </w:rPr>
                  </w:pPr>
                  <w:r>
                    <w:rPr>
                      <w:rFonts w:eastAsiaTheme="minorEastAsia"/>
                      <w:sz w:val="21"/>
                      <w:szCs w:val="21"/>
                    </w:rPr>
                    <w:t>监测时段</w:t>
                  </w:r>
                </w:p>
              </w:tc>
              <w:tc>
                <w:tcPr>
                  <w:tcW w:w="864" w:type="dxa"/>
                  <w:vMerge w:val="restart"/>
                  <w:vAlign w:val="center"/>
                </w:tcPr>
                <w:p>
                  <w:pPr>
                    <w:widowControl/>
                    <w:jc w:val="center"/>
                    <w:rPr>
                      <w:rFonts w:ascii="宋体" w:hAnsi="宋体" w:cs="宋体"/>
                      <w:kern w:val="0"/>
                      <w:sz w:val="24"/>
                    </w:rPr>
                  </w:pPr>
                  <w:r>
                    <w:rPr>
                      <w:rFonts w:hint="eastAsia" w:ascii="宋体" w:hAnsi="宋体" w:cs="宋体"/>
                      <w:kern w:val="0"/>
                      <w:szCs w:val="21"/>
                    </w:rPr>
                    <w:t>相对场址</w:t>
                  </w:r>
                  <w:r>
                    <w:rPr>
                      <w:rFonts w:hint="eastAsia" w:ascii="宋体" w:hAnsi="宋体" w:cs="宋体"/>
                      <w:szCs w:val="21"/>
                    </w:rPr>
                    <w:t>方位</w:t>
                  </w:r>
                </w:p>
              </w:tc>
              <w:tc>
                <w:tcPr>
                  <w:tcW w:w="1235" w:type="dxa"/>
                  <w:vMerge w:val="restart"/>
                  <w:vAlign w:val="center"/>
                </w:tcPr>
                <w:p>
                  <w:pPr>
                    <w:pStyle w:val="67"/>
                    <w:contextualSpacing/>
                  </w:pPr>
                  <w:r>
                    <w:rPr>
                      <w:rFonts w:hint="eastAsia" w:eastAsiaTheme="minorEastAsia"/>
                      <w:szCs w:val="21"/>
                    </w:rPr>
                    <w:t>相对厂界距离</w:t>
                  </w:r>
                  <w:r>
                    <w:rPr>
                      <w:rFonts w:eastAsiaTheme="minorEastAsia"/>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941" w:type="dxa"/>
                  <w:vMerge w:val="continue"/>
                  <w:vAlign w:val="center"/>
                </w:tcPr>
                <w:p>
                  <w:pPr>
                    <w:widowControl/>
                    <w:jc w:val="center"/>
                    <w:rPr>
                      <w:rFonts w:ascii="宋体" w:hAnsi="宋体" w:cs="宋体"/>
                      <w:kern w:val="0"/>
                      <w:szCs w:val="21"/>
                    </w:rPr>
                  </w:pPr>
                </w:p>
              </w:tc>
              <w:tc>
                <w:tcPr>
                  <w:tcW w:w="1465" w:type="dxa"/>
                  <w:vAlign w:val="center"/>
                </w:tcPr>
                <w:p>
                  <w:pPr>
                    <w:pStyle w:val="67"/>
                    <w:contextualSpacing/>
                    <w:rPr>
                      <w:sz w:val="21"/>
                      <w:szCs w:val="21"/>
                    </w:rPr>
                  </w:pPr>
                  <w:r>
                    <w:rPr>
                      <w:rFonts w:hint="eastAsia"/>
                      <w:sz w:val="21"/>
                      <w:szCs w:val="21"/>
                    </w:rPr>
                    <w:t>东经</w:t>
                  </w:r>
                </w:p>
              </w:tc>
              <w:tc>
                <w:tcPr>
                  <w:tcW w:w="1250" w:type="dxa"/>
                  <w:vAlign w:val="center"/>
                </w:tcPr>
                <w:p>
                  <w:pPr>
                    <w:pStyle w:val="67"/>
                    <w:contextualSpacing/>
                    <w:rPr>
                      <w:sz w:val="21"/>
                      <w:szCs w:val="21"/>
                    </w:rPr>
                  </w:pPr>
                  <w:r>
                    <w:rPr>
                      <w:rFonts w:hint="eastAsia"/>
                      <w:sz w:val="21"/>
                      <w:szCs w:val="21"/>
                    </w:rPr>
                    <w:t>北纬</w:t>
                  </w:r>
                </w:p>
              </w:tc>
              <w:tc>
                <w:tcPr>
                  <w:tcW w:w="1051" w:type="dxa"/>
                  <w:vMerge w:val="continue"/>
                  <w:vAlign w:val="center"/>
                </w:tcPr>
                <w:p>
                  <w:pPr>
                    <w:pStyle w:val="67"/>
                    <w:contextualSpacing/>
                    <w:rPr>
                      <w:rFonts w:eastAsiaTheme="minorEastAsia"/>
                      <w:sz w:val="21"/>
                      <w:szCs w:val="21"/>
                    </w:rPr>
                  </w:pPr>
                </w:p>
              </w:tc>
              <w:tc>
                <w:tcPr>
                  <w:tcW w:w="1364" w:type="dxa"/>
                  <w:vMerge w:val="continue"/>
                  <w:vAlign w:val="center"/>
                </w:tcPr>
                <w:p>
                  <w:pPr>
                    <w:pStyle w:val="67"/>
                    <w:contextualSpacing/>
                    <w:rPr>
                      <w:rFonts w:eastAsiaTheme="minorEastAsia"/>
                      <w:sz w:val="21"/>
                      <w:szCs w:val="21"/>
                    </w:rPr>
                  </w:pPr>
                </w:p>
              </w:tc>
              <w:tc>
                <w:tcPr>
                  <w:tcW w:w="864" w:type="dxa"/>
                  <w:vMerge w:val="continue"/>
                  <w:vAlign w:val="center"/>
                </w:tcPr>
                <w:p>
                  <w:pPr>
                    <w:pStyle w:val="67"/>
                    <w:contextualSpacing/>
                    <w:rPr>
                      <w:rFonts w:eastAsiaTheme="minorEastAsia"/>
                      <w:sz w:val="21"/>
                      <w:szCs w:val="21"/>
                    </w:rPr>
                  </w:pPr>
                </w:p>
              </w:tc>
              <w:tc>
                <w:tcPr>
                  <w:tcW w:w="1235" w:type="dxa"/>
                  <w:vMerge w:val="continue"/>
                  <w:vAlign w:val="center"/>
                </w:tcPr>
                <w:p>
                  <w:pPr>
                    <w:pStyle w:val="67"/>
                    <w:contextualSpacing/>
                    <w:rPr>
                      <w:rFonts w:eastAsiaTheme="minorEastAsia"/>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5" w:hRule="atLeast"/>
                <w:jc w:val="center"/>
              </w:trPr>
              <w:tc>
                <w:tcPr>
                  <w:tcW w:w="941" w:type="dxa"/>
                  <w:vAlign w:val="center"/>
                </w:tcPr>
                <w:p>
                  <w:pPr>
                    <w:widowControl/>
                    <w:jc w:val="left"/>
                    <w:rPr>
                      <w:rFonts w:ascii="宋体" w:hAnsi="宋体" w:cs="宋体"/>
                      <w:kern w:val="0"/>
                      <w:sz w:val="24"/>
                    </w:rPr>
                  </w:pPr>
                  <w:r>
                    <w:rPr>
                      <w:rFonts w:hint="eastAsia" w:ascii="宋体" w:hAnsi="宋体" w:cs="宋体"/>
                      <w:kern w:val="0"/>
                      <w:szCs w:val="21"/>
                    </w:rPr>
                    <w:t xml:space="preserve">下风向 </w:t>
                  </w:r>
                </w:p>
                <w:p>
                  <w:pPr>
                    <w:widowControl/>
                    <w:contextualSpacing/>
                    <w:jc w:val="center"/>
                    <w:rPr>
                      <w:rFonts w:eastAsiaTheme="minorEastAsia"/>
                      <w:snapToGrid w:val="0"/>
                      <w:kern w:val="0"/>
                      <w:szCs w:val="21"/>
                    </w:rPr>
                  </w:pPr>
                  <w:r>
                    <w:rPr>
                      <w:kern w:val="0"/>
                      <w:szCs w:val="21"/>
                    </w:rPr>
                    <w:t>○1</w:t>
                  </w:r>
                </w:p>
              </w:tc>
              <w:tc>
                <w:tcPr>
                  <w:tcW w:w="1465" w:type="dxa"/>
                  <w:vAlign w:val="center"/>
                </w:tcPr>
                <w:p>
                  <w:pPr>
                    <w:pStyle w:val="73"/>
                    <w:contextualSpacing/>
                    <w:rPr>
                      <w:rFonts w:hint="default" w:eastAsiaTheme="minorEastAsia"/>
                      <w:szCs w:val="21"/>
                    </w:rPr>
                  </w:pPr>
                  <w:r>
                    <w:rPr>
                      <w:rFonts w:eastAsiaTheme="minorEastAsia"/>
                      <w:szCs w:val="21"/>
                    </w:rPr>
                    <w:t>133.02041217</w:t>
                  </w:r>
                </w:p>
              </w:tc>
              <w:tc>
                <w:tcPr>
                  <w:tcW w:w="1250" w:type="dxa"/>
                  <w:vAlign w:val="center"/>
                </w:tcPr>
                <w:p>
                  <w:pPr>
                    <w:pStyle w:val="67"/>
                    <w:contextualSpacing/>
                    <w:rPr>
                      <w:rFonts w:eastAsiaTheme="minorEastAsia"/>
                      <w:sz w:val="21"/>
                      <w:szCs w:val="21"/>
                    </w:rPr>
                  </w:pPr>
                  <w:r>
                    <w:rPr>
                      <w:rFonts w:eastAsiaTheme="minorEastAsia"/>
                      <w:sz w:val="21"/>
                      <w:szCs w:val="21"/>
                    </w:rPr>
                    <w:t>45.4709336</w:t>
                  </w:r>
                </w:p>
              </w:tc>
              <w:tc>
                <w:tcPr>
                  <w:tcW w:w="1051" w:type="dxa"/>
                  <w:vAlign w:val="center"/>
                </w:tcPr>
                <w:p>
                  <w:pPr>
                    <w:pStyle w:val="67"/>
                    <w:contextualSpacing/>
                    <w:rPr>
                      <w:rFonts w:eastAsiaTheme="minorEastAsia"/>
                      <w:sz w:val="21"/>
                      <w:szCs w:val="21"/>
                    </w:rPr>
                  </w:pPr>
                  <w:r>
                    <w:rPr>
                      <w:rFonts w:hint="eastAsia" w:eastAsiaTheme="minorEastAsia"/>
                      <w:sz w:val="21"/>
                      <w:szCs w:val="21"/>
                    </w:rPr>
                    <w:t>TSP</w:t>
                  </w:r>
                </w:p>
              </w:tc>
              <w:tc>
                <w:tcPr>
                  <w:tcW w:w="1364" w:type="dxa"/>
                  <w:vAlign w:val="center"/>
                </w:tcPr>
                <w:p>
                  <w:pPr>
                    <w:pStyle w:val="67"/>
                    <w:contextualSpacing/>
                    <w:rPr>
                      <w:rFonts w:eastAsiaTheme="minorEastAsia"/>
                      <w:sz w:val="21"/>
                      <w:szCs w:val="21"/>
                    </w:rPr>
                  </w:pPr>
                  <w:r>
                    <w:rPr>
                      <w:rFonts w:eastAsiaTheme="minorEastAsia"/>
                      <w:bCs/>
                      <w:sz w:val="21"/>
                      <w:szCs w:val="21"/>
                    </w:rPr>
                    <w:t>2024年</w:t>
                  </w:r>
                  <w:r>
                    <w:rPr>
                      <w:rFonts w:hint="eastAsia" w:eastAsiaTheme="minorEastAsia"/>
                      <w:bCs/>
                      <w:sz w:val="21"/>
                      <w:szCs w:val="21"/>
                    </w:rPr>
                    <w:t>10</w:t>
                  </w:r>
                  <w:r>
                    <w:rPr>
                      <w:rFonts w:eastAsiaTheme="minorEastAsia"/>
                      <w:bCs/>
                      <w:sz w:val="21"/>
                      <w:szCs w:val="21"/>
                    </w:rPr>
                    <w:t>月</w:t>
                  </w:r>
                  <w:r>
                    <w:rPr>
                      <w:rFonts w:hint="eastAsia" w:eastAsiaTheme="minorEastAsia"/>
                      <w:bCs/>
                      <w:sz w:val="21"/>
                      <w:szCs w:val="21"/>
                    </w:rPr>
                    <w:t>08</w:t>
                  </w:r>
                  <w:r>
                    <w:rPr>
                      <w:rFonts w:eastAsiaTheme="minorEastAsia"/>
                      <w:bCs/>
                      <w:sz w:val="21"/>
                      <w:szCs w:val="21"/>
                    </w:rPr>
                    <w:t>日</w:t>
                  </w:r>
                  <w:r>
                    <w:rPr>
                      <w:rFonts w:hint="eastAsia" w:eastAsiaTheme="minorEastAsia"/>
                      <w:bCs/>
                      <w:sz w:val="21"/>
                      <w:szCs w:val="21"/>
                    </w:rPr>
                    <w:t>~10日</w:t>
                  </w:r>
                </w:p>
              </w:tc>
              <w:tc>
                <w:tcPr>
                  <w:tcW w:w="864" w:type="dxa"/>
                  <w:vAlign w:val="center"/>
                </w:tcPr>
                <w:p>
                  <w:pPr>
                    <w:pStyle w:val="67"/>
                    <w:contextualSpacing/>
                    <w:rPr>
                      <w:rFonts w:eastAsiaTheme="minorEastAsia"/>
                      <w:sz w:val="21"/>
                      <w:szCs w:val="21"/>
                    </w:rPr>
                  </w:pPr>
                  <w:r>
                    <w:rPr>
                      <w:rFonts w:hint="eastAsia" w:eastAsiaTheme="minorEastAsia"/>
                      <w:sz w:val="21"/>
                      <w:szCs w:val="21"/>
                    </w:rPr>
                    <w:t>SE</w:t>
                  </w:r>
                </w:p>
              </w:tc>
              <w:tc>
                <w:tcPr>
                  <w:tcW w:w="1235" w:type="dxa"/>
                  <w:vAlign w:val="center"/>
                </w:tcPr>
                <w:p>
                  <w:pPr>
                    <w:pStyle w:val="67"/>
                    <w:contextualSpacing/>
                    <w:rPr>
                      <w:rFonts w:eastAsiaTheme="minorEastAsia"/>
                      <w:sz w:val="21"/>
                      <w:szCs w:val="21"/>
                    </w:rPr>
                  </w:pPr>
                  <w:r>
                    <w:rPr>
                      <w:rFonts w:hint="eastAsia" w:eastAsiaTheme="minorEastAsia"/>
                      <w:sz w:val="21"/>
                      <w:szCs w:val="21"/>
                    </w:rPr>
                    <w:t>280</w:t>
                  </w:r>
                </w:p>
              </w:tc>
            </w:tr>
          </w:tbl>
          <w:p>
            <w:pPr>
              <w:pStyle w:val="72"/>
              <w:adjustRightInd/>
              <w:snapToGrid/>
              <w:spacing w:line="360" w:lineRule="auto"/>
              <w:contextualSpacing/>
              <w:rPr>
                <w:rFonts w:eastAsiaTheme="minorEastAsia"/>
                <w:b/>
                <w:szCs w:val="24"/>
              </w:rPr>
            </w:pPr>
            <w:bookmarkStart w:id="7" w:name="_Hlk71807216"/>
            <w:r>
              <w:rPr>
                <w:rFonts w:hint="eastAsia" w:eastAsiaTheme="minorEastAsia"/>
                <w:b/>
                <w:szCs w:val="24"/>
              </w:rPr>
              <w:t>表</w:t>
            </w:r>
            <w:r>
              <w:rPr>
                <w:rFonts w:eastAsiaTheme="minorEastAsia"/>
                <w:b/>
                <w:szCs w:val="24"/>
              </w:rPr>
              <w:t>3-</w:t>
            </w:r>
            <w:r>
              <w:rPr>
                <w:rFonts w:hint="eastAsia" w:eastAsiaTheme="minorEastAsia"/>
                <w:b/>
                <w:szCs w:val="24"/>
              </w:rPr>
              <w:t>2其他污染物环境现状监测统计表</w:t>
            </w:r>
          </w:p>
          <w:tbl>
            <w:tblPr>
              <w:tblStyle w:val="21"/>
              <w:tblW w:w="839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1"/>
              <w:gridCol w:w="1223"/>
              <w:gridCol w:w="1071"/>
              <w:gridCol w:w="1026"/>
              <w:gridCol w:w="1318"/>
              <w:gridCol w:w="1319"/>
              <w:gridCol w:w="734"/>
              <w:gridCol w:w="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21" w:type="dxa"/>
                  <w:vAlign w:val="center"/>
                </w:tcPr>
                <w:p>
                  <w:pPr>
                    <w:pStyle w:val="67"/>
                    <w:contextualSpacing/>
                    <w:rPr>
                      <w:rFonts w:eastAsiaTheme="minorEastAsia"/>
                      <w:sz w:val="21"/>
                      <w:szCs w:val="21"/>
                    </w:rPr>
                  </w:pPr>
                  <w:bookmarkStart w:id="8" w:name="_Hlk12439591"/>
                  <w:r>
                    <w:rPr>
                      <w:rFonts w:hint="eastAsia" w:eastAsiaTheme="minorEastAsia"/>
                      <w:sz w:val="21"/>
                      <w:szCs w:val="21"/>
                    </w:rPr>
                    <w:t>污染物</w:t>
                  </w:r>
                </w:p>
              </w:tc>
              <w:tc>
                <w:tcPr>
                  <w:tcW w:w="1223" w:type="dxa"/>
                  <w:vAlign w:val="center"/>
                </w:tcPr>
                <w:p>
                  <w:pPr>
                    <w:pStyle w:val="67"/>
                    <w:contextualSpacing/>
                    <w:rPr>
                      <w:rFonts w:eastAsiaTheme="minorEastAsia"/>
                      <w:sz w:val="21"/>
                      <w:szCs w:val="21"/>
                    </w:rPr>
                  </w:pPr>
                  <w:r>
                    <w:rPr>
                      <w:rFonts w:hint="eastAsia" w:eastAsiaTheme="minorEastAsia"/>
                      <w:sz w:val="21"/>
                      <w:szCs w:val="21"/>
                    </w:rPr>
                    <w:t>检测点位</w:t>
                  </w:r>
                </w:p>
              </w:tc>
              <w:tc>
                <w:tcPr>
                  <w:tcW w:w="1071" w:type="dxa"/>
                  <w:vAlign w:val="center"/>
                </w:tcPr>
                <w:p>
                  <w:pPr>
                    <w:pStyle w:val="67"/>
                    <w:contextualSpacing/>
                    <w:rPr>
                      <w:rFonts w:eastAsiaTheme="minorEastAsia"/>
                      <w:sz w:val="21"/>
                      <w:szCs w:val="21"/>
                    </w:rPr>
                  </w:pPr>
                  <w:r>
                    <w:rPr>
                      <w:rFonts w:hint="eastAsia" w:eastAsiaTheme="minorEastAsia"/>
                      <w:sz w:val="21"/>
                      <w:szCs w:val="21"/>
                    </w:rPr>
                    <w:t>平均时间</w:t>
                  </w:r>
                </w:p>
              </w:tc>
              <w:tc>
                <w:tcPr>
                  <w:tcW w:w="1026" w:type="dxa"/>
                  <w:vAlign w:val="center"/>
                </w:tcPr>
                <w:p>
                  <w:pPr>
                    <w:pStyle w:val="67"/>
                    <w:contextualSpacing/>
                    <w:rPr>
                      <w:rFonts w:eastAsiaTheme="minorEastAsia"/>
                      <w:sz w:val="21"/>
                      <w:szCs w:val="21"/>
                    </w:rPr>
                  </w:pPr>
                  <w:r>
                    <w:rPr>
                      <w:rFonts w:hint="eastAsia" w:eastAsiaTheme="minorEastAsia"/>
                      <w:sz w:val="21"/>
                      <w:szCs w:val="21"/>
                    </w:rPr>
                    <w:t>评价标准</w:t>
                  </w:r>
                  <w:r>
                    <w:rPr>
                      <w:rFonts w:eastAsiaTheme="minorEastAsia"/>
                      <w:sz w:val="21"/>
                      <w:szCs w:val="21"/>
                    </w:rPr>
                    <w:t>/μg/m</w:t>
                  </w:r>
                  <w:r>
                    <w:rPr>
                      <w:rFonts w:eastAsiaTheme="minorEastAsia"/>
                      <w:sz w:val="21"/>
                      <w:szCs w:val="21"/>
                      <w:vertAlign w:val="superscript"/>
                    </w:rPr>
                    <w:t>3</w:t>
                  </w:r>
                </w:p>
              </w:tc>
              <w:tc>
                <w:tcPr>
                  <w:tcW w:w="1318" w:type="dxa"/>
                  <w:vAlign w:val="center"/>
                </w:tcPr>
                <w:p>
                  <w:pPr>
                    <w:pStyle w:val="67"/>
                    <w:contextualSpacing/>
                    <w:rPr>
                      <w:rFonts w:eastAsiaTheme="minorEastAsia"/>
                      <w:sz w:val="21"/>
                      <w:szCs w:val="21"/>
                    </w:rPr>
                  </w:pPr>
                  <w:r>
                    <w:rPr>
                      <w:rFonts w:hint="eastAsia" w:eastAsiaTheme="minorEastAsia"/>
                      <w:sz w:val="21"/>
                      <w:szCs w:val="21"/>
                    </w:rPr>
                    <w:t>监测浓度范围</w:t>
                  </w:r>
                  <w:r>
                    <w:rPr>
                      <w:rFonts w:eastAsiaTheme="minorEastAsia"/>
                      <w:sz w:val="21"/>
                      <w:szCs w:val="21"/>
                    </w:rPr>
                    <w:t>/μg/m</w:t>
                  </w:r>
                  <w:r>
                    <w:rPr>
                      <w:rFonts w:eastAsiaTheme="minorEastAsia"/>
                      <w:sz w:val="21"/>
                      <w:szCs w:val="21"/>
                      <w:vertAlign w:val="superscript"/>
                    </w:rPr>
                    <w:t>3</w:t>
                  </w:r>
                </w:p>
              </w:tc>
              <w:tc>
                <w:tcPr>
                  <w:tcW w:w="1319" w:type="dxa"/>
                  <w:vAlign w:val="center"/>
                </w:tcPr>
                <w:p>
                  <w:pPr>
                    <w:pStyle w:val="67"/>
                    <w:contextualSpacing/>
                    <w:rPr>
                      <w:rFonts w:eastAsiaTheme="minorEastAsia"/>
                      <w:sz w:val="21"/>
                      <w:szCs w:val="21"/>
                    </w:rPr>
                  </w:pPr>
                  <w:r>
                    <w:rPr>
                      <w:rFonts w:hint="eastAsia" w:eastAsiaTheme="minorEastAsia"/>
                      <w:sz w:val="21"/>
                      <w:szCs w:val="21"/>
                    </w:rPr>
                    <w:t>最大浓度占标率</w:t>
                  </w:r>
                  <w:r>
                    <w:rPr>
                      <w:rFonts w:eastAsiaTheme="minorEastAsia"/>
                      <w:sz w:val="21"/>
                      <w:szCs w:val="21"/>
                    </w:rPr>
                    <w:t>/%</w:t>
                  </w:r>
                </w:p>
              </w:tc>
              <w:tc>
                <w:tcPr>
                  <w:tcW w:w="734" w:type="dxa"/>
                  <w:vAlign w:val="center"/>
                </w:tcPr>
                <w:p>
                  <w:pPr>
                    <w:pStyle w:val="67"/>
                    <w:contextualSpacing/>
                    <w:rPr>
                      <w:rFonts w:eastAsiaTheme="minorEastAsia"/>
                      <w:sz w:val="21"/>
                      <w:szCs w:val="21"/>
                    </w:rPr>
                  </w:pPr>
                  <w:r>
                    <w:rPr>
                      <w:rFonts w:hint="eastAsia" w:eastAsiaTheme="minorEastAsia"/>
                      <w:sz w:val="21"/>
                      <w:szCs w:val="21"/>
                    </w:rPr>
                    <w:t>超标率</w:t>
                  </w:r>
                  <w:r>
                    <w:rPr>
                      <w:rFonts w:eastAsiaTheme="minorEastAsia"/>
                      <w:sz w:val="21"/>
                      <w:szCs w:val="21"/>
                    </w:rPr>
                    <w:t>/%</w:t>
                  </w:r>
                </w:p>
              </w:tc>
              <w:tc>
                <w:tcPr>
                  <w:tcW w:w="781" w:type="dxa"/>
                  <w:vAlign w:val="center"/>
                </w:tcPr>
                <w:p>
                  <w:pPr>
                    <w:pStyle w:val="67"/>
                    <w:contextualSpacing/>
                    <w:rPr>
                      <w:rFonts w:eastAsiaTheme="minorEastAsia"/>
                      <w:sz w:val="21"/>
                      <w:szCs w:val="21"/>
                    </w:rPr>
                  </w:pPr>
                  <w:r>
                    <w:rPr>
                      <w:rFonts w:hint="eastAsia" w:eastAsiaTheme="minorEastAsia"/>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 w:hRule="atLeast"/>
                <w:jc w:val="center"/>
              </w:trPr>
              <w:tc>
                <w:tcPr>
                  <w:tcW w:w="921" w:type="dxa"/>
                  <w:vAlign w:val="center"/>
                </w:tcPr>
                <w:p>
                  <w:pPr>
                    <w:widowControl/>
                    <w:contextualSpacing/>
                    <w:jc w:val="center"/>
                    <w:rPr>
                      <w:rFonts w:eastAsiaTheme="minorEastAsia"/>
                      <w:snapToGrid w:val="0"/>
                      <w:kern w:val="0"/>
                      <w:szCs w:val="21"/>
                    </w:rPr>
                  </w:pPr>
                  <w:r>
                    <w:rPr>
                      <w:rFonts w:eastAsiaTheme="minorEastAsia"/>
                      <w:snapToGrid w:val="0"/>
                      <w:kern w:val="0"/>
                      <w:szCs w:val="21"/>
                    </w:rPr>
                    <w:t>TSP</w:t>
                  </w:r>
                </w:p>
              </w:tc>
              <w:tc>
                <w:tcPr>
                  <w:tcW w:w="1223" w:type="dxa"/>
                  <w:vAlign w:val="center"/>
                </w:tcPr>
                <w:p>
                  <w:pPr>
                    <w:pStyle w:val="73"/>
                    <w:contextualSpacing/>
                    <w:rPr>
                      <w:rFonts w:hint="default" w:eastAsiaTheme="minorEastAsia"/>
                      <w:szCs w:val="21"/>
                    </w:rPr>
                  </w:pPr>
                  <w:r>
                    <w:rPr>
                      <w:rFonts w:eastAsiaTheme="minorEastAsia"/>
                      <w:szCs w:val="21"/>
                    </w:rPr>
                    <w:t>下风向○1</w:t>
                  </w:r>
                </w:p>
              </w:tc>
              <w:tc>
                <w:tcPr>
                  <w:tcW w:w="1071" w:type="dxa"/>
                  <w:vAlign w:val="center"/>
                </w:tcPr>
                <w:p>
                  <w:pPr>
                    <w:pStyle w:val="67"/>
                    <w:contextualSpacing/>
                    <w:rPr>
                      <w:rFonts w:eastAsiaTheme="minorEastAsia"/>
                      <w:sz w:val="21"/>
                      <w:szCs w:val="21"/>
                    </w:rPr>
                  </w:pPr>
                  <w:r>
                    <w:rPr>
                      <w:rFonts w:eastAsiaTheme="minorEastAsia"/>
                      <w:sz w:val="21"/>
                      <w:szCs w:val="21"/>
                    </w:rPr>
                    <w:t>24h</w:t>
                  </w:r>
                  <w:r>
                    <w:rPr>
                      <w:rFonts w:hint="eastAsia" w:eastAsiaTheme="minorEastAsia"/>
                      <w:sz w:val="21"/>
                      <w:szCs w:val="21"/>
                    </w:rPr>
                    <w:t>平均</w:t>
                  </w:r>
                </w:p>
              </w:tc>
              <w:tc>
                <w:tcPr>
                  <w:tcW w:w="1026" w:type="dxa"/>
                  <w:vAlign w:val="center"/>
                </w:tcPr>
                <w:p>
                  <w:pPr>
                    <w:pStyle w:val="67"/>
                    <w:contextualSpacing/>
                    <w:rPr>
                      <w:rFonts w:eastAsiaTheme="minorEastAsia"/>
                      <w:sz w:val="21"/>
                      <w:szCs w:val="21"/>
                    </w:rPr>
                  </w:pPr>
                  <w:r>
                    <w:rPr>
                      <w:rFonts w:eastAsiaTheme="minorEastAsia"/>
                      <w:sz w:val="21"/>
                      <w:szCs w:val="21"/>
                    </w:rPr>
                    <w:t>300</w:t>
                  </w:r>
                </w:p>
              </w:tc>
              <w:tc>
                <w:tcPr>
                  <w:tcW w:w="1318" w:type="dxa"/>
                  <w:vAlign w:val="center"/>
                </w:tcPr>
                <w:p>
                  <w:pPr>
                    <w:pStyle w:val="67"/>
                    <w:contextualSpacing/>
                    <w:rPr>
                      <w:rFonts w:eastAsiaTheme="minorEastAsia"/>
                      <w:sz w:val="21"/>
                      <w:szCs w:val="21"/>
                    </w:rPr>
                  </w:pPr>
                  <w:r>
                    <w:rPr>
                      <w:rFonts w:hint="eastAsia" w:eastAsiaTheme="minorEastAsia"/>
                      <w:sz w:val="21"/>
                      <w:szCs w:val="21"/>
                    </w:rPr>
                    <w:t>84</w:t>
                  </w:r>
                  <w:r>
                    <w:rPr>
                      <w:rFonts w:eastAsiaTheme="minorEastAsia"/>
                      <w:sz w:val="21"/>
                      <w:szCs w:val="21"/>
                    </w:rPr>
                    <w:t>-8</w:t>
                  </w:r>
                  <w:r>
                    <w:rPr>
                      <w:rFonts w:hint="eastAsia" w:eastAsiaTheme="minorEastAsia"/>
                      <w:sz w:val="21"/>
                      <w:szCs w:val="21"/>
                    </w:rPr>
                    <w:t>7</w:t>
                  </w:r>
                </w:p>
              </w:tc>
              <w:tc>
                <w:tcPr>
                  <w:tcW w:w="1319" w:type="dxa"/>
                  <w:vAlign w:val="center"/>
                </w:tcPr>
                <w:p>
                  <w:pPr>
                    <w:pStyle w:val="67"/>
                    <w:contextualSpacing/>
                    <w:rPr>
                      <w:rFonts w:eastAsiaTheme="minorEastAsia"/>
                      <w:sz w:val="21"/>
                      <w:szCs w:val="21"/>
                    </w:rPr>
                  </w:pPr>
                  <w:r>
                    <w:rPr>
                      <w:rFonts w:eastAsiaTheme="minorEastAsia"/>
                      <w:sz w:val="21"/>
                      <w:szCs w:val="21"/>
                    </w:rPr>
                    <w:t>2</w:t>
                  </w:r>
                  <w:r>
                    <w:rPr>
                      <w:rFonts w:hint="eastAsia" w:eastAsiaTheme="minorEastAsia"/>
                      <w:sz w:val="21"/>
                      <w:szCs w:val="21"/>
                    </w:rPr>
                    <w:t>9</w:t>
                  </w:r>
                </w:p>
              </w:tc>
              <w:tc>
                <w:tcPr>
                  <w:tcW w:w="734" w:type="dxa"/>
                  <w:vAlign w:val="center"/>
                </w:tcPr>
                <w:p>
                  <w:pPr>
                    <w:pStyle w:val="67"/>
                    <w:contextualSpacing/>
                    <w:rPr>
                      <w:rFonts w:eastAsiaTheme="minorEastAsia"/>
                      <w:sz w:val="21"/>
                      <w:szCs w:val="21"/>
                    </w:rPr>
                  </w:pPr>
                  <w:r>
                    <w:rPr>
                      <w:rFonts w:eastAsiaTheme="minorEastAsia"/>
                      <w:sz w:val="21"/>
                      <w:szCs w:val="21"/>
                    </w:rPr>
                    <w:t>0</w:t>
                  </w:r>
                </w:p>
              </w:tc>
              <w:tc>
                <w:tcPr>
                  <w:tcW w:w="781" w:type="dxa"/>
                  <w:vAlign w:val="center"/>
                </w:tcPr>
                <w:p>
                  <w:pPr>
                    <w:pStyle w:val="67"/>
                    <w:contextualSpacing/>
                    <w:rPr>
                      <w:rFonts w:eastAsiaTheme="minorEastAsia"/>
                      <w:sz w:val="21"/>
                      <w:szCs w:val="21"/>
                    </w:rPr>
                  </w:pPr>
                  <w:r>
                    <w:rPr>
                      <w:rFonts w:hint="eastAsia" w:eastAsiaTheme="minorEastAsia"/>
                      <w:sz w:val="21"/>
                      <w:szCs w:val="21"/>
                    </w:rPr>
                    <w:t>达标</w:t>
                  </w:r>
                </w:p>
              </w:tc>
            </w:tr>
            <w:bookmarkEnd w:id="7"/>
            <w:bookmarkEnd w:id="8"/>
          </w:tbl>
          <w:p>
            <w:pPr>
              <w:pStyle w:val="42"/>
              <w:spacing w:beforeLines="0" w:afterLines="0" w:line="360" w:lineRule="auto"/>
              <w:ind w:firstLine="480"/>
              <w:contextualSpacing/>
              <w:rPr>
                <w:rFonts w:eastAsiaTheme="minorEastAsia"/>
                <w:color w:val="auto"/>
              </w:rPr>
            </w:pPr>
            <w:r>
              <w:rPr>
                <w:rFonts w:hint="eastAsia" w:eastAsiaTheme="minorEastAsia"/>
                <w:snapToGrid w:val="0"/>
                <w:color w:val="auto"/>
                <w:lang w:val="en-GB"/>
              </w:rPr>
              <w:t>根据上表，本项目补充监测的</w:t>
            </w:r>
            <w:r>
              <w:rPr>
                <w:rFonts w:eastAsiaTheme="minorEastAsia"/>
                <w:color w:val="auto"/>
              </w:rPr>
              <w:t>TSP 24</w:t>
            </w:r>
            <w:r>
              <w:rPr>
                <w:rFonts w:hint="eastAsia" w:eastAsiaTheme="minorEastAsia"/>
                <w:color w:val="auto"/>
              </w:rPr>
              <w:t>小时平均浓度满足《环境空气质量标准》（</w:t>
            </w:r>
            <w:r>
              <w:rPr>
                <w:rFonts w:eastAsiaTheme="minorEastAsia"/>
                <w:color w:val="auto"/>
              </w:rPr>
              <w:t>GB3095-2012</w:t>
            </w:r>
            <w:r>
              <w:rPr>
                <w:rFonts w:hint="eastAsia" w:eastAsiaTheme="minorEastAsia"/>
                <w:color w:val="auto"/>
              </w:rPr>
              <w:t>）及修改单中的二级标准要求。</w:t>
            </w:r>
          </w:p>
          <w:p>
            <w:pPr>
              <w:pStyle w:val="42"/>
              <w:spacing w:beforeLines="0" w:afterLines="0" w:line="360" w:lineRule="auto"/>
              <w:ind w:firstLine="482"/>
              <w:contextualSpacing/>
              <w:rPr>
                <w:rFonts w:eastAsiaTheme="minorEastAsia"/>
                <w:b/>
                <w:color w:val="auto"/>
              </w:rPr>
            </w:pPr>
            <w:r>
              <w:rPr>
                <w:rFonts w:eastAsiaTheme="minorEastAsia"/>
                <w:b/>
                <w:color w:val="auto"/>
              </w:rPr>
              <w:t>2</w:t>
            </w:r>
            <w:r>
              <w:rPr>
                <w:rFonts w:hint="eastAsia" w:eastAsiaTheme="minorEastAsia"/>
                <w:b/>
                <w:color w:val="auto"/>
              </w:rPr>
              <w:t>、地表水环境</w:t>
            </w:r>
          </w:p>
          <w:p>
            <w:pPr>
              <w:spacing w:line="360" w:lineRule="auto"/>
              <w:ind w:firstLine="480" w:firstLineChars="200"/>
              <w:contextualSpacing/>
              <w:jc w:val="left"/>
              <w:rPr>
                <w:rFonts w:eastAsiaTheme="minorEastAsia"/>
                <w:bCs/>
                <w:kern w:val="0"/>
                <w:sz w:val="24"/>
                <w:lang w:bidi="zh-CN"/>
              </w:rPr>
            </w:pPr>
            <w:r>
              <w:rPr>
                <w:rFonts w:eastAsiaTheme="minorEastAsia"/>
                <w:bCs/>
                <w:kern w:val="0"/>
                <w:sz w:val="24"/>
                <w:lang w:bidi="zh-CN"/>
              </w:rPr>
              <w:t>本项目涉及的地表水体为穆棱河，所在断面为鸡东大桥至穆棱河河口断面，根据《水利部国家发展和改革委员会环境保护部关于印发全国重要江河湖泊水功能区划（2011-2030 年）的通知》穆棱河水体功能类别为III类水体，执行《地表水环境质量标准》（GB3838-2002）中III类标准。</w:t>
            </w:r>
          </w:p>
          <w:p>
            <w:pPr>
              <w:spacing w:line="360" w:lineRule="auto"/>
              <w:ind w:firstLine="480" w:firstLineChars="200"/>
              <w:contextualSpacing/>
              <w:jc w:val="left"/>
              <w:rPr>
                <w:rFonts w:eastAsiaTheme="minorEastAsia"/>
                <w:kern w:val="0"/>
                <w:sz w:val="24"/>
                <w:lang w:bidi="zh-CN"/>
              </w:rPr>
            </w:pPr>
            <w:r>
              <w:rPr>
                <w:rFonts w:hint="eastAsia" w:eastAsiaTheme="minorEastAsia"/>
                <w:bCs/>
                <w:kern w:val="0"/>
                <w:sz w:val="24"/>
                <w:lang w:bidi="zh-CN"/>
              </w:rPr>
              <w:t>根据《2023年黑龙江省生态环境质量状况》可知，</w:t>
            </w:r>
            <w:r>
              <w:rPr>
                <w:rFonts w:eastAsiaTheme="minorEastAsia"/>
                <w:bCs/>
                <w:kern w:val="0"/>
                <w:sz w:val="24"/>
                <w:lang w:bidi="zh-CN"/>
              </w:rPr>
              <w:t>2023年穆棱河鸡西段水质达到Ⅲ类，水质状况良好</w:t>
            </w:r>
            <w:r>
              <w:rPr>
                <w:rFonts w:hint="eastAsia" w:eastAsiaTheme="minorEastAsia"/>
                <w:kern w:val="0"/>
                <w:sz w:val="24"/>
              </w:rPr>
              <w:t>。</w:t>
            </w:r>
          </w:p>
          <w:p>
            <w:pPr>
              <w:pStyle w:val="42"/>
              <w:spacing w:beforeLines="0" w:afterLines="0" w:line="360" w:lineRule="auto"/>
              <w:ind w:firstLine="482"/>
              <w:contextualSpacing/>
              <w:rPr>
                <w:rFonts w:eastAsiaTheme="minorEastAsia"/>
                <w:b/>
                <w:color w:val="auto"/>
              </w:rPr>
            </w:pPr>
            <w:r>
              <w:rPr>
                <w:rFonts w:eastAsiaTheme="minorEastAsia"/>
                <w:b/>
                <w:color w:val="auto"/>
              </w:rPr>
              <w:t>3</w:t>
            </w:r>
            <w:r>
              <w:rPr>
                <w:rFonts w:hint="eastAsia" w:eastAsiaTheme="minorEastAsia"/>
                <w:b/>
                <w:color w:val="auto"/>
              </w:rPr>
              <w:t>、声环境</w:t>
            </w:r>
          </w:p>
          <w:p>
            <w:pPr>
              <w:spacing w:line="360" w:lineRule="auto"/>
              <w:ind w:firstLine="480" w:firstLineChars="200"/>
              <w:contextualSpacing/>
              <w:rPr>
                <w:bCs/>
                <w:sz w:val="24"/>
              </w:rPr>
            </w:pPr>
            <w:r>
              <w:rPr>
                <w:bCs/>
                <w:sz w:val="24"/>
              </w:rPr>
              <w:t>根据哈尔滨新巨环保科技有限公司于2024年</w:t>
            </w:r>
            <w:r>
              <w:rPr>
                <w:rFonts w:hint="eastAsia"/>
                <w:bCs/>
                <w:sz w:val="24"/>
              </w:rPr>
              <w:t>10</w:t>
            </w:r>
            <w:r>
              <w:rPr>
                <w:bCs/>
                <w:sz w:val="24"/>
              </w:rPr>
              <w:t>月</w:t>
            </w:r>
            <w:r>
              <w:rPr>
                <w:rFonts w:hint="eastAsia"/>
                <w:bCs/>
                <w:sz w:val="24"/>
              </w:rPr>
              <w:t>08</w:t>
            </w:r>
            <w:r>
              <w:rPr>
                <w:bCs/>
                <w:sz w:val="24"/>
              </w:rPr>
              <w:t>日对厂界50m范围内敏感点进行监测可知，敏感点噪声值见下表：</w:t>
            </w:r>
          </w:p>
          <w:p>
            <w:pPr>
              <w:spacing w:line="360" w:lineRule="auto"/>
              <w:contextualSpacing/>
              <w:jc w:val="center"/>
              <w:rPr>
                <w:b/>
                <w:kern w:val="0"/>
                <w:sz w:val="24"/>
              </w:rPr>
            </w:pPr>
            <w:r>
              <w:rPr>
                <w:b/>
                <w:kern w:val="0"/>
                <w:sz w:val="24"/>
              </w:rPr>
              <w:t>表3-</w:t>
            </w:r>
            <w:r>
              <w:rPr>
                <w:rFonts w:hint="eastAsia"/>
                <w:b/>
                <w:kern w:val="0"/>
                <w:sz w:val="24"/>
              </w:rPr>
              <w:t>3</w:t>
            </w:r>
            <w:r>
              <w:rPr>
                <w:b/>
                <w:kern w:val="0"/>
                <w:sz w:val="24"/>
              </w:rPr>
              <w:t>环境噪声监测结果单位：dB(A)</w:t>
            </w:r>
          </w:p>
          <w:tbl>
            <w:tblPr>
              <w:tblStyle w:val="21"/>
              <w:tblW w:w="839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2271"/>
              <w:gridCol w:w="999"/>
              <w:gridCol w:w="1210"/>
              <w:gridCol w:w="1210"/>
              <w:gridCol w:w="12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7" w:hRule="atLeast"/>
                <w:jc w:val="center"/>
              </w:trPr>
              <w:tc>
                <w:tcPr>
                  <w:tcW w:w="1491" w:type="dxa"/>
                  <w:vMerge w:val="restart"/>
                  <w:vAlign w:val="center"/>
                </w:tcPr>
                <w:p>
                  <w:pPr>
                    <w:jc w:val="center"/>
                    <w:rPr>
                      <w:bCs/>
                      <w:szCs w:val="21"/>
                    </w:rPr>
                  </w:pPr>
                  <w:r>
                    <w:rPr>
                      <w:bCs/>
                      <w:szCs w:val="21"/>
                    </w:rPr>
                    <w:t>监测日期</w:t>
                  </w:r>
                </w:p>
              </w:tc>
              <w:tc>
                <w:tcPr>
                  <w:tcW w:w="2271" w:type="dxa"/>
                  <w:vMerge w:val="restart"/>
                  <w:vAlign w:val="center"/>
                </w:tcPr>
                <w:p>
                  <w:pPr>
                    <w:jc w:val="center"/>
                    <w:rPr>
                      <w:bCs/>
                      <w:szCs w:val="21"/>
                    </w:rPr>
                  </w:pPr>
                  <w:r>
                    <w:rPr>
                      <w:bCs/>
                      <w:szCs w:val="21"/>
                    </w:rPr>
                    <w:t>监测地点</w:t>
                  </w:r>
                </w:p>
              </w:tc>
              <w:tc>
                <w:tcPr>
                  <w:tcW w:w="2209" w:type="dxa"/>
                  <w:gridSpan w:val="2"/>
                  <w:vAlign w:val="center"/>
                </w:tcPr>
                <w:p>
                  <w:pPr>
                    <w:widowControl/>
                    <w:jc w:val="center"/>
                    <w:rPr>
                      <w:bCs/>
                      <w:szCs w:val="21"/>
                    </w:rPr>
                  </w:pPr>
                  <w:r>
                    <w:rPr>
                      <w:bCs/>
                      <w:szCs w:val="21"/>
                    </w:rPr>
                    <w:t>昼L</w:t>
                  </w:r>
                  <w:r>
                    <w:rPr>
                      <w:bCs/>
                      <w:szCs w:val="21"/>
                      <w:vertAlign w:val="subscript"/>
                    </w:rPr>
                    <w:t>eq</w:t>
                  </w:r>
                </w:p>
              </w:tc>
              <w:tc>
                <w:tcPr>
                  <w:tcW w:w="2422" w:type="dxa"/>
                  <w:gridSpan w:val="2"/>
                  <w:vAlign w:val="center"/>
                </w:tcPr>
                <w:p>
                  <w:pPr>
                    <w:jc w:val="center"/>
                    <w:rPr>
                      <w:bCs/>
                      <w:szCs w:val="21"/>
                    </w:rPr>
                  </w:pPr>
                  <w:r>
                    <w:rPr>
                      <w:bCs/>
                      <w:szCs w:val="21"/>
                    </w:rPr>
                    <w:t>夜L</w:t>
                  </w:r>
                  <w:r>
                    <w:rPr>
                      <w:bCs/>
                      <w:szCs w:val="21"/>
                      <w:vertAlign w:val="subscript"/>
                    </w:rPr>
                    <w:t>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1491" w:type="dxa"/>
                  <w:vMerge w:val="continue"/>
                  <w:vAlign w:val="center"/>
                </w:tcPr>
                <w:p>
                  <w:pPr>
                    <w:jc w:val="center"/>
                    <w:rPr>
                      <w:bCs/>
                      <w:szCs w:val="21"/>
                    </w:rPr>
                  </w:pPr>
                </w:p>
              </w:tc>
              <w:tc>
                <w:tcPr>
                  <w:tcW w:w="2271" w:type="dxa"/>
                  <w:vMerge w:val="continue"/>
                  <w:vAlign w:val="center"/>
                </w:tcPr>
                <w:p>
                  <w:pPr>
                    <w:ind w:firstLine="626" w:firstLineChars="298"/>
                    <w:jc w:val="center"/>
                    <w:rPr>
                      <w:bCs/>
                      <w:szCs w:val="21"/>
                    </w:rPr>
                  </w:pPr>
                </w:p>
              </w:tc>
              <w:tc>
                <w:tcPr>
                  <w:tcW w:w="999" w:type="dxa"/>
                  <w:vAlign w:val="center"/>
                </w:tcPr>
                <w:p>
                  <w:pPr>
                    <w:widowControl/>
                    <w:jc w:val="center"/>
                    <w:rPr>
                      <w:bCs/>
                      <w:szCs w:val="21"/>
                    </w:rPr>
                  </w:pPr>
                  <w:r>
                    <w:rPr>
                      <w:bCs/>
                      <w:szCs w:val="21"/>
                    </w:rPr>
                    <w:t>时间</w:t>
                  </w:r>
                </w:p>
              </w:tc>
              <w:tc>
                <w:tcPr>
                  <w:tcW w:w="1210" w:type="dxa"/>
                  <w:vAlign w:val="center"/>
                </w:tcPr>
                <w:p>
                  <w:pPr>
                    <w:widowControl/>
                    <w:jc w:val="center"/>
                    <w:rPr>
                      <w:bCs/>
                      <w:szCs w:val="21"/>
                    </w:rPr>
                  </w:pPr>
                  <w:r>
                    <w:rPr>
                      <w:bCs/>
                      <w:szCs w:val="21"/>
                    </w:rPr>
                    <w:t>结果</w:t>
                  </w:r>
                </w:p>
              </w:tc>
              <w:tc>
                <w:tcPr>
                  <w:tcW w:w="1210" w:type="dxa"/>
                  <w:vAlign w:val="center"/>
                </w:tcPr>
                <w:p>
                  <w:pPr>
                    <w:widowControl/>
                    <w:jc w:val="center"/>
                    <w:rPr>
                      <w:bCs/>
                      <w:szCs w:val="21"/>
                    </w:rPr>
                  </w:pPr>
                  <w:r>
                    <w:rPr>
                      <w:bCs/>
                      <w:szCs w:val="21"/>
                    </w:rPr>
                    <w:t>时间</w:t>
                  </w:r>
                </w:p>
              </w:tc>
              <w:tc>
                <w:tcPr>
                  <w:tcW w:w="1212" w:type="dxa"/>
                  <w:vAlign w:val="center"/>
                </w:tcPr>
                <w:p>
                  <w:pPr>
                    <w:widowControl/>
                    <w:jc w:val="center"/>
                    <w:rPr>
                      <w:bCs/>
                      <w:szCs w:val="21"/>
                    </w:rPr>
                  </w:pPr>
                  <w:r>
                    <w:rPr>
                      <w:bCs/>
                      <w:szCs w:val="21"/>
                    </w:rPr>
                    <w:t>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jc w:val="center"/>
              </w:trPr>
              <w:tc>
                <w:tcPr>
                  <w:tcW w:w="1491" w:type="dxa"/>
                  <w:vMerge w:val="restart"/>
                  <w:vAlign w:val="center"/>
                </w:tcPr>
                <w:p>
                  <w:pPr>
                    <w:spacing w:line="240" w:lineRule="exact"/>
                    <w:jc w:val="center"/>
                    <w:rPr>
                      <w:szCs w:val="21"/>
                    </w:rPr>
                  </w:pPr>
                  <w:r>
                    <w:t>2024.</w:t>
                  </w:r>
                  <w:r>
                    <w:rPr>
                      <w:rFonts w:hint="eastAsia"/>
                    </w:rPr>
                    <w:t>10</w:t>
                  </w:r>
                  <w:r>
                    <w:t>.</w:t>
                  </w:r>
                  <w:r>
                    <w:rPr>
                      <w:rFonts w:hint="eastAsia"/>
                    </w:rPr>
                    <w:t>08</w:t>
                  </w:r>
                </w:p>
              </w:tc>
              <w:tc>
                <w:tcPr>
                  <w:tcW w:w="2271" w:type="dxa"/>
                  <w:vAlign w:val="center"/>
                </w:tcPr>
                <w:p>
                  <w:pPr>
                    <w:spacing w:line="240" w:lineRule="atLeast"/>
                    <w:jc w:val="center"/>
                  </w:pPr>
                  <w:r>
                    <w:rPr>
                      <w:rFonts w:hint="eastAsia"/>
                    </w:rPr>
                    <w:t>△</w:t>
                  </w:r>
                  <w:r>
                    <w:t>1</w:t>
                  </w:r>
                  <w:r>
                    <w:rPr>
                      <w:rFonts w:hint="eastAsia"/>
                    </w:rPr>
                    <w:t>东</w:t>
                  </w:r>
                  <w:r>
                    <w:rPr>
                      <w:rFonts w:hint="eastAsia" w:hAnsi="宋体"/>
                    </w:rPr>
                    <w:t>侧东风村</w:t>
                  </w:r>
                  <w:r>
                    <w:rPr>
                      <w:rFonts w:hint="eastAsia" w:ascii="宋体" w:hAnsi="宋体"/>
                    </w:rPr>
                    <w:t>居民</w:t>
                  </w:r>
                </w:p>
              </w:tc>
              <w:tc>
                <w:tcPr>
                  <w:tcW w:w="999" w:type="dxa"/>
                  <w:vAlign w:val="center"/>
                </w:tcPr>
                <w:p>
                  <w:pPr>
                    <w:pStyle w:val="15"/>
                    <w:spacing w:after="0" w:line="240" w:lineRule="exact"/>
                    <w:jc w:val="center"/>
                    <w:rPr>
                      <w:szCs w:val="22"/>
                    </w:rPr>
                  </w:pPr>
                  <w:r>
                    <w:t>08:00</w:t>
                  </w:r>
                </w:p>
              </w:tc>
              <w:tc>
                <w:tcPr>
                  <w:tcW w:w="1210" w:type="dxa"/>
                  <w:vAlign w:val="center"/>
                </w:tcPr>
                <w:p>
                  <w:pPr>
                    <w:snapToGrid w:val="0"/>
                    <w:jc w:val="center"/>
                    <w:rPr>
                      <w:kern w:val="0"/>
                      <w:szCs w:val="21"/>
                    </w:rPr>
                  </w:pPr>
                  <w:r>
                    <w:rPr>
                      <w:rFonts w:hint="eastAsia"/>
                      <w:kern w:val="0"/>
                      <w:szCs w:val="21"/>
                    </w:rPr>
                    <w:t>51</w:t>
                  </w:r>
                </w:p>
              </w:tc>
              <w:tc>
                <w:tcPr>
                  <w:tcW w:w="1210" w:type="dxa"/>
                  <w:vAlign w:val="center"/>
                </w:tcPr>
                <w:p>
                  <w:pPr>
                    <w:pStyle w:val="15"/>
                    <w:spacing w:after="0" w:line="240" w:lineRule="exact"/>
                    <w:jc w:val="center"/>
                    <w:rPr>
                      <w:szCs w:val="22"/>
                    </w:rPr>
                  </w:pPr>
                  <w:r>
                    <w:t>22:00</w:t>
                  </w:r>
                </w:p>
              </w:tc>
              <w:tc>
                <w:tcPr>
                  <w:tcW w:w="1212" w:type="dxa"/>
                  <w:vAlign w:val="center"/>
                </w:tcPr>
                <w:p>
                  <w:pPr>
                    <w:snapToGrid w:val="0"/>
                    <w:jc w:val="center"/>
                    <w:rPr>
                      <w:szCs w:val="22"/>
                    </w:rPr>
                  </w:pPr>
                  <w:r>
                    <w:rPr>
                      <w:rFonts w:hint="eastAsia"/>
                      <w:szCs w:val="22"/>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3" w:hRule="atLeast"/>
                <w:jc w:val="center"/>
              </w:trPr>
              <w:tc>
                <w:tcPr>
                  <w:tcW w:w="1491" w:type="dxa"/>
                  <w:vMerge w:val="continue"/>
                  <w:vAlign w:val="center"/>
                </w:tcPr>
                <w:p>
                  <w:pPr>
                    <w:spacing w:line="240" w:lineRule="exact"/>
                    <w:jc w:val="center"/>
                  </w:pPr>
                </w:p>
              </w:tc>
              <w:tc>
                <w:tcPr>
                  <w:tcW w:w="2271" w:type="dxa"/>
                  <w:vAlign w:val="center"/>
                </w:tcPr>
                <w:p>
                  <w:pPr>
                    <w:spacing w:line="240" w:lineRule="atLeast"/>
                    <w:jc w:val="center"/>
                  </w:pPr>
                  <w:r>
                    <w:rPr>
                      <w:rFonts w:hint="eastAsia"/>
                    </w:rPr>
                    <w:t>△2南侧东风村居民</w:t>
                  </w:r>
                </w:p>
              </w:tc>
              <w:tc>
                <w:tcPr>
                  <w:tcW w:w="999" w:type="dxa"/>
                  <w:vAlign w:val="center"/>
                </w:tcPr>
                <w:p>
                  <w:pPr>
                    <w:pStyle w:val="15"/>
                    <w:spacing w:after="0" w:line="240" w:lineRule="exact"/>
                    <w:jc w:val="center"/>
                    <w:rPr>
                      <w:szCs w:val="22"/>
                    </w:rPr>
                  </w:pPr>
                  <w:r>
                    <w:t>08:00</w:t>
                  </w:r>
                </w:p>
              </w:tc>
              <w:tc>
                <w:tcPr>
                  <w:tcW w:w="1210" w:type="dxa"/>
                  <w:vAlign w:val="center"/>
                </w:tcPr>
                <w:p>
                  <w:pPr>
                    <w:snapToGrid w:val="0"/>
                    <w:jc w:val="center"/>
                    <w:rPr>
                      <w:kern w:val="0"/>
                      <w:szCs w:val="21"/>
                    </w:rPr>
                  </w:pPr>
                  <w:r>
                    <w:rPr>
                      <w:rFonts w:hint="eastAsia"/>
                      <w:kern w:val="0"/>
                      <w:szCs w:val="21"/>
                    </w:rPr>
                    <w:t>52</w:t>
                  </w:r>
                </w:p>
              </w:tc>
              <w:tc>
                <w:tcPr>
                  <w:tcW w:w="1210" w:type="dxa"/>
                  <w:vAlign w:val="center"/>
                </w:tcPr>
                <w:p>
                  <w:pPr>
                    <w:pStyle w:val="15"/>
                    <w:spacing w:after="0" w:line="240" w:lineRule="exact"/>
                    <w:jc w:val="center"/>
                    <w:rPr>
                      <w:szCs w:val="22"/>
                    </w:rPr>
                  </w:pPr>
                  <w:r>
                    <w:t>22:00</w:t>
                  </w:r>
                </w:p>
              </w:tc>
              <w:tc>
                <w:tcPr>
                  <w:tcW w:w="1212" w:type="dxa"/>
                  <w:vAlign w:val="center"/>
                </w:tcPr>
                <w:p>
                  <w:pPr>
                    <w:snapToGrid w:val="0"/>
                    <w:jc w:val="center"/>
                    <w:rPr>
                      <w:szCs w:val="22"/>
                    </w:rPr>
                  </w:pPr>
                  <w:r>
                    <w:rPr>
                      <w:rFonts w:hint="eastAsia"/>
                      <w:szCs w:val="22"/>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3762" w:type="dxa"/>
                  <w:gridSpan w:val="2"/>
                  <w:shd w:val="clear" w:color="auto" w:fill="auto"/>
                  <w:vAlign w:val="center"/>
                </w:tcPr>
                <w:p>
                  <w:pPr>
                    <w:spacing w:line="240" w:lineRule="atLeast"/>
                    <w:jc w:val="center"/>
                    <w:rPr>
                      <w:b/>
                      <w:szCs w:val="21"/>
                    </w:rPr>
                  </w:pPr>
                  <w:r>
                    <w:rPr>
                      <w:b/>
                      <w:szCs w:val="21"/>
                    </w:rPr>
                    <w:t>标准限值</w:t>
                  </w:r>
                </w:p>
              </w:tc>
              <w:tc>
                <w:tcPr>
                  <w:tcW w:w="2209" w:type="dxa"/>
                  <w:gridSpan w:val="2"/>
                  <w:shd w:val="clear" w:color="auto" w:fill="FFFFFF"/>
                  <w:vAlign w:val="center"/>
                </w:tcPr>
                <w:p>
                  <w:pPr>
                    <w:snapToGrid w:val="0"/>
                    <w:jc w:val="center"/>
                    <w:rPr>
                      <w:kern w:val="0"/>
                      <w:szCs w:val="21"/>
                    </w:rPr>
                  </w:pPr>
                  <w:r>
                    <w:rPr>
                      <w:rFonts w:hint="eastAsia"/>
                      <w:kern w:val="0"/>
                    </w:rPr>
                    <w:t>55</w:t>
                  </w:r>
                </w:p>
              </w:tc>
              <w:tc>
                <w:tcPr>
                  <w:tcW w:w="2422" w:type="dxa"/>
                  <w:gridSpan w:val="2"/>
                  <w:vAlign w:val="center"/>
                </w:tcPr>
                <w:p>
                  <w:pPr>
                    <w:snapToGrid w:val="0"/>
                    <w:jc w:val="center"/>
                    <w:rPr>
                      <w:szCs w:val="22"/>
                    </w:rPr>
                  </w:pPr>
                  <w:r>
                    <w:rPr>
                      <w:rFonts w:hint="eastAsia"/>
                      <w:kern w:val="0"/>
                    </w:rPr>
                    <w:t>45</w:t>
                  </w:r>
                </w:p>
              </w:tc>
            </w:tr>
          </w:tbl>
          <w:p>
            <w:pPr>
              <w:pStyle w:val="42"/>
              <w:spacing w:beforeLines="0" w:afterLines="0" w:line="360" w:lineRule="auto"/>
              <w:ind w:firstLine="482"/>
              <w:contextualSpacing/>
              <w:rPr>
                <w:rFonts w:eastAsiaTheme="minorEastAsia"/>
                <w:b/>
                <w:color w:val="auto"/>
              </w:rPr>
            </w:pPr>
            <w:r>
              <w:rPr>
                <w:rFonts w:eastAsiaTheme="minorEastAsia"/>
                <w:b/>
                <w:color w:val="auto"/>
              </w:rPr>
              <w:t>4</w:t>
            </w:r>
            <w:r>
              <w:rPr>
                <w:rFonts w:hint="eastAsia" w:eastAsiaTheme="minorEastAsia"/>
                <w:b/>
                <w:color w:val="auto"/>
              </w:rPr>
              <w:t>、生态环境</w:t>
            </w:r>
          </w:p>
          <w:p>
            <w:pPr>
              <w:spacing w:line="360" w:lineRule="auto"/>
              <w:ind w:firstLine="480" w:firstLineChars="200"/>
              <w:contextualSpacing/>
              <w:jc w:val="left"/>
              <w:rPr>
                <w:rFonts w:eastAsiaTheme="minorEastAsia"/>
                <w:kern w:val="0"/>
                <w:sz w:val="24"/>
              </w:rPr>
            </w:pPr>
            <w:r>
              <w:rPr>
                <w:rFonts w:hint="eastAsia" w:eastAsiaTheme="minorEastAsia"/>
                <w:kern w:val="0"/>
                <w:sz w:val="24"/>
              </w:rPr>
              <w:t>本项目建设地点属于黑龙江省虎林市东诚镇东风村，用地范围内无生态环境保护目标，因此不进行生态现状调查。</w:t>
            </w:r>
          </w:p>
          <w:p>
            <w:pPr>
              <w:pStyle w:val="42"/>
              <w:spacing w:beforeLines="0" w:afterLines="0" w:line="360" w:lineRule="auto"/>
              <w:ind w:firstLine="482"/>
              <w:contextualSpacing/>
              <w:rPr>
                <w:rFonts w:eastAsiaTheme="minorEastAsia"/>
                <w:b/>
                <w:color w:val="auto"/>
              </w:rPr>
            </w:pPr>
            <w:r>
              <w:rPr>
                <w:rFonts w:eastAsiaTheme="minorEastAsia"/>
                <w:b/>
                <w:color w:val="auto"/>
              </w:rPr>
              <w:t>5</w:t>
            </w:r>
            <w:r>
              <w:rPr>
                <w:rFonts w:hint="eastAsia" w:eastAsiaTheme="minorEastAsia"/>
                <w:b/>
                <w:color w:val="auto"/>
              </w:rPr>
              <w:t>、地下水、土壤环境</w:t>
            </w:r>
          </w:p>
          <w:p>
            <w:pPr>
              <w:autoSpaceDE w:val="0"/>
              <w:autoSpaceDN w:val="0"/>
              <w:spacing w:line="360" w:lineRule="auto"/>
              <w:ind w:firstLine="480" w:firstLineChars="200"/>
              <w:contextualSpacing/>
              <w:rPr>
                <w:rFonts w:eastAsiaTheme="minorEastAsia"/>
                <w:sz w:val="24"/>
              </w:rPr>
            </w:pPr>
            <w:r>
              <w:rPr>
                <w:rFonts w:hint="eastAsia" w:eastAsiaTheme="minorEastAsia"/>
                <w:bCs/>
                <w:sz w:val="24"/>
              </w:rPr>
              <w:t>本项目厂区内地面及道路全部硬化；拆解车间地面设置防油渗隔离层，拆解车间地面混凝土强度等级不低于</w:t>
            </w:r>
            <w:r>
              <w:rPr>
                <w:rFonts w:eastAsiaTheme="minorEastAsia"/>
                <w:bCs/>
                <w:sz w:val="24"/>
              </w:rPr>
              <w:t>C20</w:t>
            </w:r>
            <w:r>
              <w:rPr>
                <w:rFonts w:hint="eastAsia" w:eastAsiaTheme="minorEastAsia"/>
                <w:bCs/>
                <w:sz w:val="24"/>
              </w:rPr>
              <w:t>，厚度不低于</w:t>
            </w:r>
            <w:r>
              <w:rPr>
                <w:rFonts w:eastAsiaTheme="minorEastAsia"/>
                <w:bCs/>
                <w:sz w:val="24"/>
              </w:rPr>
              <w:t>150 mm</w:t>
            </w:r>
            <w:r>
              <w:rPr>
                <w:rFonts w:hint="eastAsia" w:eastAsiaTheme="minorEastAsia"/>
                <w:bCs/>
                <w:sz w:val="24"/>
              </w:rPr>
              <w:t>，其中物流通道路面和拆解区域强度不低于</w:t>
            </w:r>
            <w:r>
              <w:rPr>
                <w:rFonts w:eastAsiaTheme="minorEastAsia"/>
                <w:bCs/>
                <w:sz w:val="24"/>
              </w:rPr>
              <w:t>C30</w:t>
            </w:r>
            <w:r>
              <w:rPr>
                <w:rFonts w:hint="eastAsia" w:eastAsiaTheme="minorEastAsia"/>
                <w:bCs/>
                <w:sz w:val="24"/>
              </w:rPr>
              <w:t>，厚度不低于</w:t>
            </w:r>
            <w:r>
              <w:rPr>
                <w:rFonts w:eastAsiaTheme="minorEastAsia"/>
                <w:bCs/>
                <w:sz w:val="24"/>
              </w:rPr>
              <w:t>200mm</w:t>
            </w:r>
            <w:r>
              <w:rPr>
                <w:rFonts w:hint="eastAsia" w:eastAsiaTheme="minorEastAsia"/>
                <w:bCs/>
                <w:sz w:val="24"/>
              </w:rPr>
              <w:t>，防渗技术要求达到等效粘土防渗层Mb≥1.5m，K≤1×10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；初期雨水收集池、暂存池池体采用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-7</w:t>
            </w:r>
            <w:r>
              <w:rPr>
                <w:rFonts w:eastAsiaTheme="minorEastAsia"/>
                <w:bCs/>
                <w:sz w:val="24"/>
              </w:rPr>
              <w:t>cm/s</w:t>
            </w:r>
            <w:r>
              <w:rPr>
                <w:rFonts w:hint="eastAsia" w:eastAsiaTheme="minorEastAsia"/>
                <w:bCs/>
                <w:sz w:val="24"/>
              </w:rPr>
              <w:t>。产品贮存间、停车场地面采用粘土、抗渗混凝土、高密度聚乙烯（</w:t>
            </w:r>
            <w:r>
              <w:rPr>
                <w:rFonts w:eastAsiaTheme="minorEastAsia"/>
                <w:bCs/>
                <w:sz w:val="24"/>
              </w:rPr>
              <w:t>HDPE</w:t>
            </w:r>
            <w:r>
              <w:rPr>
                <w:rFonts w:hint="eastAsia" w:eastAsiaTheme="minorEastAsia"/>
                <w:bCs/>
                <w:sz w:val="24"/>
              </w:rPr>
              <w:t>）膜或其他防渗性能等效的材料，防渗技术要求达到等效粘土防渗层Mb≥1.5m，K≤1×10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；危险废物贮存库设置围堰、液体导流和收集装置，不同种类的危险废物单独收集、分类存放，中间有明显间隔；设置警示标识，地面做防酸、防腐、防渗处理，地面与裙脚采用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-10</w:t>
            </w:r>
            <w:r>
              <w:rPr>
                <w:rFonts w:eastAsiaTheme="minorEastAsia"/>
                <w:bCs/>
                <w:sz w:val="24"/>
              </w:rPr>
              <w:t>cm/s</w:t>
            </w:r>
            <w:r>
              <w:rPr>
                <w:rFonts w:hint="eastAsia" w:eastAsiaTheme="minorEastAsia"/>
                <w:sz w:val="24"/>
              </w:rPr>
              <w:t>。</w:t>
            </w:r>
            <w:r>
              <w:rPr>
                <w:rFonts w:hint="eastAsia" w:eastAsiaTheme="minorEastAsia"/>
                <w:bCs/>
                <w:sz w:val="24"/>
              </w:rPr>
              <w:t>采取以上防渗措施后项目不会对土壤、地下水产生影响</w:t>
            </w:r>
            <w:r>
              <w:rPr>
                <w:rFonts w:hint="eastAsia" w:eastAsiaTheme="minorEastAsia"/>
                <w:kern w:val="0"/>
                <w:sz w:val="24"/>
              </w:rPr>
              <w:t>。</w:t>
            </w:r>
          </w:p>
          <w:p>
            <w:pPr>
              <w:spacing w:line="360" w:lineRule="auto"/>
              <w:ind w:firstLine="482" w:firstLineChars="200"/>
              <w:contextualSpacing/>
              <w:jc w:val="center"/>
              <w:rPr>
                <w:rFonts w:hAnsiTheme="minorEastAsia" w:eastAsiaTheme="minorEastAsia"/>
                <w:b/>
                <w:kern w:val="0"/>
                <w:sz w:val="24"/>
              </w:rPr>
            </w:pPr>
          </w:p>
          <w:p>
            <w:pPr>
              <w:spacing w:line="360" w:lineRule="auto"/>
              <w:ind w:firstLine="482" w:firstLineChars="200"/>
              <w:contextualSpacing/>
              <w:jc w:val="center"/>
              <w:rPr>
                <w:rFonts w:hAnsiTheme="minorEastAsia" w:eastAsiaTheme="minorEastAsia"/>
                <w:b/>
                <w:kern w:val="0"/>
                <w:sz w:val="24"/>
              </w:rPr>
            </w:pPr>
          </w:p>
          <w:p>
            <w:pPr>
              <w:spacing w:line="360" w:lineRule="auto"/>
              <w:ind w:firstLine="482" w:firstLineChars="200"/>
              <w:contextualSpacing/>
              <w:jc w:val="center"/>
              <w:rPr>
                <w:rFonts w:hAnsiTheme="minorEastAsia" w:eastAsiaTheme="minorEastAsia"/>
                <w:b/>
                <w:kern w:val="0"/>
                <w:sz w:val="24"/>
              </w:rPr>
            </w:pPr>
          </w:p>
          <w:p>
            <w:pPr>
              <w:spacing w:line="360" w:lineRule="auto"/>
              <w:ind w:firstLine="482" w:firstLineChars="200"/>
              <w:contextualSpacing/>
              <w:jc w:val="center"/>
              <w:rPr>
                <w:rFonts w:hAnsiTheme="minorEastAsia" w:eastAsiaTheme="minorEastAsia"/>
                <w:b/>
                <w:kern w:val="0"/>
                <w:sz w:val="24"/>
              </w:rPr>
            </w:pPr>
          </w:p>
          <w:p>
            <w:pPr>
              <w:spacing w:line="360" w:lineRule="auto"/>
              <w:ind w:firstLine="482" w:firstLineChars="200"/>
              <w:contextualSpacing/>
              <w:jc w:val="center"/>
              <w:rPr>
                <w:rFonts w:eastAsiaTheme="minorEastAsia"/>
                <w:b/>
                <w:kern w:val="0"/>
                <w:sz w:val="24"/>
              </w:rPr>
            </w:pPr>
            <w:r>
              <w:rPr>
                <w:rFonts w:hAnsiTheme="minorEastAsia" w:eastAsiaTheme="minorEastAsia"/>
                <w:b/>
                <w:kern w:val="0"/>
                <w:sz w:val="24"/>
              </w:rPr>
              <w:t>表</w:t>
            </w:r>
            <w:r>
              <w:rPr>
                <w:rFonts w:eastAsiaTheme="minorEastAsia"/>
                <w:b/>
                <w:kern w:val="0"/>
                <w:sz w:val="24"/>
              </w:rPr>
              <w:t>3-</w:t>
            </w:r>
            <w:r>
              <w:rPr>
                <w:rFonts w:hint="eastAsia" w:eastAsiaTheme="minorEastAsia"/>
                <w:b/>
                <w:kern w:val="0"/>
                <w:sz w:val="24"/>
              </w:rPr>
              <w:t>4</w:t>
            </w:r>
            <w:r>
              <w:rPr>
                <w:rFonts w:eastAsiaTheme="minorEastAsia"/>
                <w:b/>
                <w:kern w:val="0"/>
                <w:sz w:val="24"/>
              </w:rPr>
              <w:t xml:space="preserve"> </w:t>
            </w:r>
            <w:r>
              <w:rPr>
                <w:rFonts w:hAnsiTheme="minorEastAsia" w:eastAsiaTheme="minorEastAsia"/>
                <w:b/>
                <w:kern w:val="0"/>
                <w:sz w:val="24"/>
              </w:rPr>
              <w:t>土壤监测结果一览表</w:t>
            </w:r>
          </w:p>
          <w:tbl>
            <w:tblPr>
              <w:tblStyle w:val="21"/>
              <w:tblW w:w="7785" w:type="dxa"/>
              <w:jc w:val="center"/>
              <w:tblInd w:w="11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09"/>
              <w:gridCol w:w="1452"/>
              <w:gridCol w:w="2774"/>
              <w:gridCol w:w="18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07" w:hRule="atLeast"/>
                <w:jc w:val="center"/>
              </w:trPr>
              <w:tc>
                <w:tcPr>
                  <w:tcW w:w="1709" w:type="dxa"/>
                  <w:vMerge w:val="restart"/>
                  <w:tcBorders>
                    <w:top w:val="single" w:color="000000" w:sz="12" w:space="0"/>
                    <w:right w:val="single" w:color="000000" w:sz="4" w:space="0"/>
                  </w:tcBorders>
                  <w:vAlign w:val="center"/>
                </w:tcPr>
                <w:p>
                  <w:pPr>
                    <w:snapToGrid w:val="0"/>
                    <w:jc w:val="center"/>
                    <w:rPr>
                      <w:szCs w:val="21"/>
                    </w:rPr>
                  </w:pPr>
                  <w:r>
                    <w:rPr>
                      <w:szCs w:val="21"/>
                    </w:rPr>
                    <w:t>检测项目</w:t>
                  </w:r>
                </w:p>
              </w:tc>
              <w:tc>
                <w:tcPr>
                  <w:tcW w:w="1452" w:type="dxa"/>
                  <w:tcBorders>
                    <w:top w:val="single" w:color="000000" w:sz="12" w:space="0"/>
                    <w:left w:val="single" w:color="000000" w:sz="4" w:space="0"/>
                    <w:bottom w:val="single" w:color="000000" w:sz="4" w:space="0"/>
                    <w:right w:val="single" w:color="000000" w:sz="4" w:space="0"/>
                  </w:tcBorders>
                  <w:vAlign w:val="center"/>
                </w:tcPr>
                <w:p>
                  <w:pPr>
                    <w:snapToGrid w:val="0"/>
                    <w:jc w:val="center"/>
                    <w:rPr>
                      <w:bCs/>
                      <w:szCs w:val="21"/>
                    </w:rPr>
                  </w:pPr>
                  <w:r>
                    <w:rPr>
                      <w:bCs/>
                      <w:szCs w:val="21"/>
                    </w:rPr>
                    <w:t>采样时间</w:t>
                  </w:r>
                </w:p>
              </w:tc>
              <w:tc>
                <w:tcPr>
                  <w:tcW w:w="2774" w:type="dxa"/>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2024.10.08</w:t>
                  </w:r>
                </w:p>
              </w:tc>
              <w:tc>
                <w:tcPr>
                  <w:tcW w:w="1850" w:type="dxa"/>
                  <w:vMerge w:val="restart"/>
                  <w:tcBorders>
                    <w:top w:val="single" w:color="000000" w:sz="12" w:space="0"/>
                    <w:left w:val="single" w:color="000000" w:sz="4" w:space="0"/>
                  </w:tcBorders>
                  <w:vAlign w:val="center"/>
                </w:tcPr>
                <w:p>
                  <w:pPr>
                    <w:adjustRightInd w:val="0"/>
                    <w:snapToGrid w:val="0"/>
                    <w:jc w:val="center"/>
                    <w:rPr>
                      <w:bCs/>
                      <w:szCs w:val="21"/>
                    </w:rPr>
                  </w:pPr>
                  <w:r>
                    <w:rPr>
                      <w:bCs/>
                      <w:szCs w:val="21"/>
                    </w:rPr>
                    <w:t>标准限值</w:t>
                  </w:r>
                </w:p>
                <w:p>
                  <w:pPr>
                    <w:adjustRightInd w:val="0"/>
                    <w:snapToGrid w:val="0"/>
                    <w:jc w:val="center"/>
                    <w:rPr>
                      <w:bCs/>
                      <w:szCs w:val="21"/>
                    </w:rPr>
                  </w:pPr>
                  <w:r>
                    <w:rPr>
                      <w:spacing w:val="-4"/>
                      <w:szCs w:val="21"/>
                    </w:rPr>
                    <w:t>mg/kg</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07" w:hRule="atLeast"/>
                <w:jc w:val="center"/>
              </w:trPr>
              <w:tc>
                <w:tcPr>
                  <w:tcW w:w="1709" w:type="dxa"/>
                  <w:vMerge w:val="continue"/>
                  <w:tcBorders>
                    <w:right w:val="single" w:color="000000" w:sz="4" w:space="0"/>
                  </w:tcBorders>
                  <w:vAlign w:val="center"/>
                </w:tcPr>
                <w:p>
                  <w:pPr>
                    <w:snapToGrid w:val="0"/>
                    <w:jc w:val="center"/>
                    <w:rPr>
                      <w:szCs w:val="21"/>
                    </w:rPr>
                  </w:pP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bCs/>
                      <w:szCs w:val="21"/>
                    </w:rPr>
                    <w:t>采样点位</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szCs w:val="21"/>
                    </w:rPr>
                    <w:t>厂区内1#土壤检测点位■1</w:t>
                  </w:r>
                </w:p>
              </w:tc>
              <w:tc>
                <w:tcPr>
                  <w:tcW w:w="1850" w:type="dxa"/>
                  <w:vMerge w:val="continue"/>
                  <w:tcBorders>
                    <w:left w:val="single" w:color="000000" w:sz="4" w:space="0"/>
                  </w:tcBorders>
                  <w:vAlign w:val="center"/>
                </w:tcPr>
                <w:p>
                  <w:pPr>
                    <w:adjustRightInd w:val="0"/>
                    <w:snapToGrid w:val="0"/>
                    <w:jc w:val="center"/>
                    <w:rPr>
                      <w:bCs/>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jc w:val="center"/>
              </w:trPr>
              <w:tc>
                <w:tcPr>
                  <w:tcW w:w="1709" w:type="dxa"/>
                  <w:vMerge w:val="continue"/>
                  <w:tcBorders>
                    <w:right w:val="single" w:color="000000" w:sz="4" w:space="0"/>
                  </w:tcBorders>
                  <w:vAlign w:val="center"/>
                </w:tcPr>
                <w:p>
                  <w:pPr>
                    <w:snapToGrid w:val="0"/>
                    <w:jc w:val="center"/>
                    <w:rPr>
                      <w:szCs w:val="21"/>
                    </w:rPr>
                  </w:pP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bCs/>
                      <w:szCs w:val="21"/>
                    </w:rPr>
                    <w:t>样品性状</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黄棕色砂土</w:t>
                  </w:r>
                </w:p>
              </w:tc>
              <w:tc>
                <w:tcPr>
                  <w:tcW w:w="1850" w:type="dxa"/>
                  <w:vMerge w:val="continue"/>
                  <w:tcBorders>
                    <w:left w:val="single" w:color="000000" w:sz="4" w:space="0"/>
                  </w:tcBorders>
                  <w:vAlign w:val="center"/>
                </w:tcPr>
                <w:p>
                  <w:pPr>
                    <w:adjustRightInd w:val="0"/>
                    <w:snapToGrid w:val="0"/>
                    <w:jc w:val="center"/>
                    <w:rPr>
                      <w:bCs/>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pH</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无量纲</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7.51</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砷</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pacing w:val="-4"/>
                      <w:szCs w:val="21"/>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5.68</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镉</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pacing w:val="-4"/>
                      <w:szCs w:val="21"/>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0.15</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六价铬</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pacing w:val="-4"/>
                      <w:szCs w:val="21"/>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0.5L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铜</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pacing w:val="-4"/>
                      <w:szCs w:val="21"/>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21</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18000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铅</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pacing w:val="-4"/>
                      <w:szCs w:val="21"/>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43</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800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汞</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pacing w:val="-4"/>
                      <w:szCs w:val="21"/>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0.0207</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38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镍</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pacing w:val="-4"/>
                      <w:szCs w:val="21"/>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35</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900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四氯化碳</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1.3L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szCs w:val="21"/>
                    </w:rPr>
                  </w:pPr>
                  <w:r>
                    <w:rPr>
                      <w:szCs w:val="21"/>
                    </w:rPr>
                    <w:t>氯仿</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氯甲烷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1.0L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37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1,1-二氯乙烷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1,2-二氯乙烷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1.3L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1,1-二氯乙烯</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1.0L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顺-1,2-二氯乙烯</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1.3L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596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反-1,2-二氯乙烯</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1.4L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二氯甲烷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1.5L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616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1,2-二氯丙烷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1,1,1,2-四氯乙烷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1,1,2,2-四氯乙烷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6.8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四氯乙烯</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1.4L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1,1,1-三氯乙烷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1.3L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840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1,1,2-三氯乙烷</w:t>
                  </w:r>
                </w:p>
              </w:tc>
              <w:tc>
                <w:tcPr>
                  <w:tcW w:w="1452"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三氯乙烯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1,2,3-三氯丙烷</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氯乙烯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1.0L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0.43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1.9L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氯苯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270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szCs w:val="21"/>
                    </w:rPr>
                  </w:pPr>
                  <w:r>
                    <w:rPr>
                      <w:szCs w:val="21"/>
                    </w:rPr>
                    <w:t>1,2-二氯苯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szCs w:val="21"/>
                    </w:rPr>
                  </w:pPr>
                  <w:r>
                    <w:rPr>
                      <w:szCs w:val="21"/>
                    </w:rPr>
                    <w:t>μ</w:t>
                  </w:r>
                  <w:r>
                    <w:rPr>
                      <w:spacing w:val="-4"/>
                      <w:szCs w:val="21"/>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szCs w:val="21"/>
                    </w:rPr>
                  </w:pPr>
                  <w:r>
                    <w:rPr>
                      <w:bCs/>
                      <w:szCs w:val="21"/>
                    </w:rPr>
                    <w:t>1.5L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szCs w:val="21"/>
                    </w:rPr>
                  </w:pPr>
                  <w:r>
                    <w:rPr>
                      <w:bCs/>
                      <w:szCs w:val="21"/>
                    </w:rPr>
                    <w:t>560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1,4-二氯苯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t>μ</w:t>
                  </w:r>
                  <w:r>
                    <w:rPr>
                      <w:spacing w:val="-4"/>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rFonts w:hint="eastAsia"/>
                      <w:bCs/>
                    </w:rPr>
                    <w:t>1.5L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rFonts w:hint="eastAsia"/>
                      <w:bCs/>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乙苯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t>μ</w:t>
                  </w:r>
                  <w:r>
                    <w:rPr>
                      <w:spacing w:val="-4"/>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rFonts w:hint="eastAsia"/>
                      <w:bCs/>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rFonts w:hint="eastAsia"/>
                      <w:bCs/>
                    </w:rPr>
                    <w:t>28</w:t>
                  </w:r>
                </w:p>
              </w:tc>
            </w:tr>
          </w:tbl>
          <w:p/>
          <w:p>
            <w:pPr>
              <w:spacing w:line="360" w:lineRule="auto"/>
              <w:ind w:firstLine="482" w:firstLineChars="200"/>
              <w:contextualSpacing/>
              <w:jc w:val="center"/>
              <w:rPr>
                <w:rFonts w:eastAsiaTheme="minorEastAsia"/>
                <w:b/>
                <w:kern w:val="0"/>
                <w:sz w:val="24"/>
              </w:rPr>
            </w:pPr>
            <w:r>
              <w:rPr>
                <w:rFonts w:hAnsiTheme="minorEastAsia" w:eastAsiaTheme="minorEastAsia"/>
                <w:b/>
                <w:kern w:val="0"/>
                <w:sz w:val="24"/>
              </w:rPr>
              <w:t>续表</w:t>
            </w:r>
            <w:r>
              <w:rPr>
                <w:rFonts w:eastAsiaTheme="minorEastAsia"/>
                <w:b/>
                <w:kern w:val="0"/>
                <w:sz w:val="24"/>
              </w:rPr>
              <w:t>3-</w:t>
            </w:r>
            <w:r>
              <w:rPr>
                <w:rFonts w:hint="eastAsia" w:eastAsiaTheme="minorEastAsia"/>
                <w:b/>
                <w:kern w:val="0"/>
                <w:sz w:val="24"/>
              </w:rPr>
              <w:t>4</w:t>
            </w:r>
            <w:r>
              <w:rPr>
                <w:rFonts w:eastAsiaTheme="minorEastAsia"/>
                <w:b/>
                <w:kern w:val="0"/>
                <w:sz w:val="24"/>
              </w:rPr>
              <w:t xml:space="preserve"> </w:t>
            </w:r>
            <w:r>
              <w:rPr>
                <w:rFonts w:hAnsiTheme="minorEastAsia" w:eastAsiaTheme="minorEastAsia"/>
                <w:b/>
                <w:kern w:val="0"/>
                <w:sz w:val="24"/>
              </w:rPr>
              <w:t>土壤监测结果一览表</w:t>
            </w:r>
          </w:p>
          <w:tbl>
            <w:tblPr>
              <w:tblStyle w:val="21"/>
              <w:tblW w:w="7785" w:type="dxa"/>
              <w:jc w:val="center"/>
              <w:tblInd w:w="11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09"/>
              <w:gridCol w:w="1452"/>
              <w:gridCol w:w="2774"/>
              <w:gridCol w:w="18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苯乙烯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t>μ</w:t>
                  </w:r>
                  <w:r>
                    <w:rPr>
                      <w:spacing w:val="-4"/>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1.1L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1290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甲苯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t>μ</w:t>
                  </w:r>
                  <w:r>
                    <w:rPr>
                      <w:spacing w:val="-4"/>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1.3L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间二甲苯+对二甲苯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t>μ</w:t>
                  </w:r>
                  <w:r>
                    <w:rPr>
                      <w:spacing w:val="-4"/>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570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邻二甲苯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t>μ</w:t>
                  </w:r>
                  <w:r>
                    <w:rPr>
                      <w:spacing w:val="-4"/>
                    </w:rPr>
                    <w:t>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1.2L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640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硝基苯</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0.09L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76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苯胺</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未检出</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260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2-氯酚</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0.06L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2256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rPr>
                  </w:pPr>
                  <w:r>
                    <w:t>苯并[a]蒽</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rPr>
                  </w:pPr>
                  <w:r>
                    <w:t>苯并[a]芘</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rPr>
                  </w:pPr>
                  <w:r>
                    <w:t>苯并[b]荧蒽</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0.2L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rPr>
                  </w:pPr>
                  <w:r>
                    <w:t>苯并[k]荧蒽</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rPr>
                      <w:bCs/>
                    </w:rPr>
                  </w:pPr>
                  <w:r>
                    <w:t>䓛</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1293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二苯并[a,h]蒽</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茚并[1,2,3-cd]芘</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0.1L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4" w:space="0"/>
                    <w:right w:val="single" w:color="000000" w:sz="4" w:space="0"/>
                  </w:tcBorders>
                  <w:vAlign w:val="center"/>
                </w:tcPr>
                <w:p>
                  <w:pPr>
                    <w:adjustRightInd w:val="0"/>
                    <w:snapToGrid w:val="0"/>
                    <w:jc w:val="center"/>
                  </w:pPr>
                  <w:r>
                    <w:t>萘</w:t>
                  </w:r>
                </w:p>
              </w:tc>
              <w:tc>
                <w:tcPr>
                  <w:tcW w:w="1452"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bCs/>
                    </w:rPr>
                  </w:pPr>
                  <w:r>
                    <w:rPr>
                      <w:bCs/>
                    </w:rPr>
                    <w:t>0.09L</w:t>
                  </w:r>
                </w:p>
              </w:tc>
              <w:tc>
                <w:tcPr>
                  <w:tcW w:w="1850" w:type="dxa"/>
                  <w:tcBorders>
                    <w:top w:val="single" w:color="000000" w:sz="4" w:space="0"/>
                    <w:left w:val="single" w:color="000000" w:sz="4" w:space="0"/>
                    <w:bottom w:val="single" w:color="000000" w:sz="4" w:space="0"/>
                  </w:tcBorders>
                  <w:vAlign w:val="center"/>
                </w:tcPr>
                <w:p>
                  <w:pPr>
                    <w:adjustRightInd w:val="0"/>
                    <w:snapToGrid w:val="0"/>
                    <w:jc w:val="center"/>
                    <w:rPr>
                      <w:bCs/>
                    </w:rPr>
                  </w:pPr>
                  <w:r>
                    <w:rPr>
                      <w:bCs/>
                    </w:rPr>
                    <w:t>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0" w:hRule="atLeast"/>
                <w:jc w:val="center"/>
              </w:trPr>
              <w:tc>
                <w:tcPr>
                  <w:tcW w:w="1709" w:type="dxa"/>
                  <w:tcBorders>
                    <w:top w:val="single" w:color="000000" w:sz="4" w:space="0"/>
                    <w:bottom w:val="single" w:color="000000" w:sz="12" w:space="0"/>
                    <w:right w:val="single" w:color="000000" w:sz="4" w:space="0"/>
                  </w:tcBorders>
                  <w:vAlign w:val="center"/>
                </w:tcPr>
                <w:p>
                  <w:pPr>
                    <w:adjustRightInd w:val="0"/>
                    <w:snapToGrid w:val="0"/>
                    <w:jc w:val="center"/>
                  </w:pPr>
                  <w:r>
                    <w:t>石油烃</w:t>
                  </w:r>
                </w:p>
              </w:tc>
              <w:tc>
                <w:tcPr>
                  <w:tcW w:w="1452" w:type="dxa"/>
                  <w:tcBorders>
                    <w:top w:val="single" w:color="000000" w:sz="4" w:space="0"/>
                    <w:left w:val="single" w:color="000000" w:sz="4" w:space="0"/>
                    <w:bottom w:val="single" w:color="000000" w:sz="12" w:space="0"/>
                    <w:right w:val="single" w:color="000000" w:sz="4" w:space="0"/>
                  </w:tcBorders>
                  <w:vAlign w:val="center"/>
                </w:tcPr>
                <w:p>
                  <w:pPr>
                    <w:snapToGrid w:val="0"/>
                    <w:jc w:val="center"/>
                    <w:rPr>
                      <w:bCs/>
                    </w:rPr>
                  </w:pPr>
                  <w:r>
                    <w:rPr>
                      <w:spacing w:val="-4"/>
                    </w:rPr>
                    <w:t>mg/kg</w:t>
                  </w:r>
                </w:p>
              </w:tc>
              <w:tc>
                <w:tcPr>
                  <w:tcW w:w="2774" w:type="dxa"/>
                  <w:tcBorders>
                    <w:top w:val="single" w:color="000000" w:sz="4" w:space="0"/>
                    <w:left w:val="single" w:color="000000" w:sz="4" w:space="0"/>
                    <w:bottom w:val="single" w:color="000000" w:sz="12" w:space="0"/>
                    <w:right w:val="single" w:color="000000" w:sz="4" w:space="0"/>
                  </w:tcBorders>
                  <w:vAlign w:val="center"/>
                </w:tcPr>
                <w:p>
                  <w:pPr>
                    <w:adjustRightInd w:val="0"/>
                    <w:snapToGrid w:val="0"/>
                    <w:jc w:val="center"/>
                    <w:rPr>
                      <w:bCs/>
                    </w:rPr>
                  </w:pPr>
                  <w:r>
                    <w:rPr>
                      <w:bCs/>
                    </w:rPr>
                    <w:t>19</w:t>
                  </w:r>
                </w:p>
              </w:tc>
              <w:tc>
                <w:tcPr>
                  <w:tcW w:w="1850" w:type="dxa"/>
                  <w:tcBorders>
                    <w:top w:val="single" w:color="000000" w:sz="4" w:space="0"/>
                    <w:left w:val="single" w:color="000000" w:sz="4" w:space="0"/>
                    <w:bottom w:val="single" w:color="000000" w:sz="12" w:space="0"/>
                  </w:tcBorders>
                  <w:vAlign w:val="center"/>
                </w:tcPr>
                <w:p>
                  <w:pPr>
                    <w:adjustRightInd w:val="0"/>
                    <w:snapToGrid w:val="0"/>
                    <w:jc w:val="center"/>
                    <w:rPr>
                      <w:bCs/>
                    </w:rPr>
                  </w:pPr>
                  <w:r>
                    <w:rPr>
                      <w:bCs/>
                    </w:rPr>
                    <w:t>4500</w:t>
                  </w:r>
                </w:p>
              </w:tc>
            </w:tr>
          </w:tbl>
          <w:p>
            <w:pPr>
              <w:rPr>
                <w:sz w:val="18"/>
                <w:szCs w:val="18"/>
              </w:rPr>
            </w:pPr>
            <w:r>
              <w:rPr>
                <w:sz w:val="18"/>
                <w:szCs w:val="18"/>
              </w:rPr>
              <w:t>注：L为低于检出限。</w:t>
            </w:r>
          </w:p>
          <w:p>
            <w:pPr>
              <w:spacing w:line="360" w:lineRule="auto"/>
              <w:ind w:firstLine="480" w:firstLineChars="200"/>
              <w:contextualSpacing/>
              <w:jc w:val="left"/>
              <w:rPr>
                <w:rFonts w:hAnsiTheme="minorEastAsia" w:eastAsiaTheme="minorEastAsia"/>
                <w:sz w:val="24"/>
                <w:szCs w:val="20"/>
              </w:rPr>
            </w:pPr>
            <w:r>
              <w:rPr>
                <w:rFonts w:hAnsiTheme="minorEastAsia" w:eastAsiaTheme="minorEastAsia"/>
                <w:sz w:val="24"/>
                <w:szCs w:val="20"/>
              </w:rPr>
              <w:t>由上表监测结果可知：厂区内监测点土壤中</w:t>
            </w:r>
            <w:r>
              <w:rPr>
                <w:rFonts w:eastAsiaTheme="minorEastAsia"/>
                <w:sz w:val="24"/>
                <w:szCs w:val="20"/>
              </w:rPr>
              <w:t>各</w:t>
            </w:r>
            <w:r>
              <w:rPr>
                <w:rFonts w:hint="eastAsia"/>
                <w:sz w:val="24"/>
                <w:szCs w:val="20"/>
              </w:rPr>
              <w:t>监测</w:t>
            </w:r>
            <w:r>
              <w:rPr>
                <w:sz w:val="24"/>
                <w:szCs w:val="20"/>
              </w:rPr>
              <w:t>指标均</w:t>
            </w:r>
            <w:r>
              <w:rPr>
                <w:rFonts w:hAnsiTheme="minorEastAsia" w:eastAsiaTheme="minorEastAsia"/>
                <w:sz w:val="24"/>
                <w:szCs w:val="20"/>
              </w:rPr>
              <w:t>满足《土壤环境质量建设用地土壤污染风险管控标准（试行）》（</w:t>
            </w:r>
            <w:r>
              <w:rPr>
                <w:rFonts w:eastAsiaTheme="minorEastAsia"/>
                <w:sz w:val="24"/>
                <w:szCs w:val="20"/>
              </w:rPr>
              <w:t>GB36600—2018</w:t>
            </w:r>
            <w:r>
              <w:rPr>
                <w:rFonts w:hAnsiTheme="minorEastAsia" w:eastAsiaTheme="minorEastAsia"/>
                <w:sz w:val="24"/>
                <w:szCs w:val="20"/>
              </w:rPr>
              <w:t>）中表</w:t>
            </w:r>
            <w:r>
              <w:rPr>
                <w:rFonts w:eastAsiaTheme="minorEastAsia"/>
                <w:sz w:val="24"/>
                <w:szCs w:val="20"/>
              </w:rPr>
              <w:t>1</w:t>
            </w:r>
            <w:r>
              <w:rPr>
                <w:rFonts w:hAnsiTheme="minorEastAsia" w:eastAsiaTheme="minorEastAsia"/>
                <w:sz w:val="24"/>
                <w:szCs w:val="20"/>
              </w:rPr>
              <w:t>筛选值第二类用地中的标准。</w:t>
            </w:r>
          </w:p>
          <w:p>
            <w:pPr>
              <w:spacing w:line="360" w:lineRule="auto"/>
              <w:ind w:firstLine="482" w:firstLineChars="200"/>
              <w:contextualSpacing/>
              <w:jc w:val="center"/>
              <w:rPr>
                <w:rFonts w:hAnsiTheme="minorEastAsia" w:eastAsiaTheme="minorEastAsia"/>
                <w:b/>
                <w:kern w:val="0"/>
                <w:sz w:val="24"/>
              </w:rPr>
            </w:pPr>
            <w:r>
              <w:rPr>
                <w:rFonts w:hAnsiTheme="minorEastAsia" w:eastAsiaTheme="minorEastAsia"/>
                <w:b/>
                <w:kern w:val="0"/>
                <w:sz w:val="24"/>
              </w:rPr>
              <w:t>表</w:t>
            </w:r>
            <w:r>
              <w:rPr>
                <w:rFonts w:eastAsiaTheme="minorEastAsia"/>
                <w:b/>
                <w:kern w:val="0"/>
                <w:sz w:val="24"/>
              </w:rPr>
              <w:t>3-</w:t>
            </w:r>
            <w:r>
              <w:rPr>
                <w:rFonts w:hint="eastAsia" w:eastAsiaTheme="minorEastAsia"/>
                <w:b/>
                <w:kern w:val="0"/>
                <w:sz w:val="24"/>
              </w:rPr>
              <w:t>5</w:t>
            </w:r>
            <w:r>
              <w:rPr>
                <w:rFonts w:hint="eastAsia" w:hAnsiTheme="minorEastAsia" w:eastAsiaTheme="minorEastAsia"/>
                <w:b/>
                <w:kern w:val="0"/>
                <w:sz w:val="24"/>
              </w:rPr>
              <w:t>地下水</w:t>
            </w:r>
            <w:r>
              <w:rPr>
                <w:rFonts w:hAnsiTheme="minorEastAsia" w:eastAsiaTheme="minorEastAsia"/>
                <w:b/>
                <w:kern w:val="0"/>
                <w:sz w:val="24"/>
              </w:rPr>
              <w:t>监测结果一览表</w:t>
            </w:r>
          </w:p>
          <w:tbl>
            <w:tblPr>
              <w:tblStyle w:val="21"/>
              <w:tblW w:w="7789" w:type="dxa"/>
              <w:jc w:val="center"/>
              <w:tblInd w:w="10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74"/>
              <w:gridCol w:w="1820"/>
              <w:gridCol w:w="2547"/>
              <w:gridCol w:w="164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Merge w:val="restart"/>
                  <w:vAlign w:val="center"/>
                </w:tcPr>
                <w:p>
                  <w:pPr>
                    <w:adjustRightInd w:val="0"/>
                    <w:snapToGrid w:val="0"/>
                    <w:jc w:val="center"/>
                    <w:rPr>
                      <w:bCs/>
                      <w:szCs w:val="21"/>
                    </w:rPr>
                  </w:pPr>
                  <w:r>
                    <w:rPr>
                      <w:rFonts w:hAnsi="宋体"/>
                      <w:bCs/>
                      <w:szCs w:val="21"/>
                    </w:rPr>
                    <w:t>检测项目</w:t>
                  </w:r>
                </w:p>
              </w:tc>
              <w:tc>
                <w:tcPr>
                  <w:tcW w:w="1820" w:type="dxa"/>
                  <w:tcBorders>
                    <w:bottom w:val="single" w:color="auto" w:sz="4" w:space="0"/>
                  </w:tcBorders>
                  <w:vAlign w:val="center"/>
                </w:tcPr>
                <w:p>
                  <w:pPr>
                    <w:widowControl/>
                    <w:jc w:val="center"/>
                    <w:rPr>
                      <w:bCs/>
                      <w:szCs w:val="21"/>
                    </w:rPr>
                  </w:pPr>
                  <w:r>
                    <w:rPr>
                      <w:rFonts w:hAnsi="宋体"/>
                      <w:bCs/>
                      <w:szCs w:val="21"/>
                    </w:rPr>
                    <w:t>采样点位</w:t>
                  </w:r>
                </w:p>
              </w:tc>
              <w:tc>
                <w:tcPr>
                  <w:tcW w:w="2547" w:type="dxa"/>
                  <w:tcBorders>
                    <w:bottom w:val="single" w:color="auto" w:sz="4" w:space="0"/>
                  </w:tcBorders>
                  <w:vAlign w:val="center"/>
                </w:tcPr>
                <w:p>
                  <w:pPr>
                    <w:adjustRightInd w:val="0"/>
                    <w:snapToGrid w:val="0"/>
                    <w:jc w:val="center"/>
                    <w:rPr>
                      <w:bCs/>
                      <w:szCs w:val="21"/>
                    </w:rPr>
                  </w:pPr>
                  <w:r>
                    <w:rPr>
                      <w:rFonts w:hint="eastAsia"/>
                      <w:szCs w:val="21"/>
                    </w:rPr>
                    <w:t>地下水检测点位☆1</w:t>
                  </w:r>
                </w:p>
              </w:tc>
              <w:tc>
                <w:tcPr>
                  <w:tcW w:w="1648" w:type="dxa"/>
                  <w:vMerge w:val="restart"/>
                  <w:vAlign w:val="center"/>
                </w:tcPr>
                <w:p>
                  <w:pPr>
                    <w:adjustRightInd w:val="0"/>
                    <w:snapToGrid w:val="0"/>
                    <w:jc w:val="center"/>
                    <w:rPr>
                      <w:bCs/>
                      <w:szCs w:val="21"/>
                    </w:rPr>
                  </w:pPr>
                  <w:r>
                    <w:rPr>
                      <w:rFonts w:hint="eastAsia"/>
                      <w:bCs/>
                      <w:szCs w:val="21"/>
                    </w:rPr>
                    <w:t>标准限值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Merge w:val="continue"/>
                  <w:vAlign w:val="center"/>
                </w:tcPr>
                <w:p>
                  <w:pPr>
                    <w:adjustRightInd w:val="0"/>
                    <w:snapToGrid w:val="0"/>
                    <w:jc w:val="center"/>
                    <w:rPr>
                      <w:bCs/>
                      <w:szCs w:val="21"/>
                    </w:rPr>
                  </w:pPr>
                </w:p>
              </w:tc>
              <w:tc>
                <w:tcPr>
                  <w:tcW w:w="1820" w:type="dxa"/>
                  <w:tcBorders>
                    <w:top w:val="single" w:color="auto" w:sz="4" w:space="0"/>
                    <w:bottom w:val="single" w:color="auto" w:sz="4" w:space="0"/>
                  </w:tcBorders>
                  <w:vAlign w:val="center"/>
                </w:tcPr>
                <w:p>
                  <w:pPr>
                    <w:widowControl/>
                    <w:spacing w:line="240" w:lineRule="exact"/>
                    <w:jc w:val="center"/>
                    <w:rPr>
                      <w:bCs/>
                      <w:szCs w:val="21"/>
                    </w:rPr>
                  </w:pPr>
                  <w:r>
                    <w:rPr>
                      <w:rFonts w:hint="eastAsia" w:hAnsi="宋体"/>
                      <w:bCs/>
                      <w:szCs w:val="21"/>
                    </w:rPr>
                    <w:t>采样</w:t>
                  </w:r>
                  <w:r>
                    <w:rPr>
                      <w:rFonts w:hAnsi="宋体"/>
                      <w:bCs/>
                      <w:szCs w:val="21"/>
                    </w:rPr>
                    <w:t>时间</w:t>
                  </w:r>
                </w:p>
              </w:tc>
              <w:tc>
                <w:tcPr>
                  <w:tcW w:w="2547" w:type="dxa"/>
                  <w:tcBorders>
                    <w:top w:val="single" w:color="auto" w:sz="4" w:space="0"/>
                    <w:bottom w:val="single" w:color="auto" w:sz="4" w:space="0"/>
                  </w:tcBorders>
                  <w:vAlign w:val="center"/>
                </w:tcPr>
                <w:p>
                  <w:pPr>
                    <w:adjustRightInd w:val="0"/>
                    <w:snapToGrid w:val="0"/>
                    <w:jc w:val="center"/>
                    <w:rPr>
                      <w:bCs/>
                      <w:szCs w:val="21"/>
                    </w:rPr>
                  </w:pPr>
                  <w:r>
                    <w:rPr>
                      <w:rFonts w:hint="eastAsia"/>
                      <w:bCs/>
                      <w:szCs w:val="21"/>
                    </w:rPr>
                    <w:t>2024.10.08</w:t>
                  </w:r>
                </w:p>
              </w:tc>
              <w:tc>
                <w:tcPr>
                  <w:tcW w:w="1648" w:type="dxa"/>
                  <w:vMerge w:val="continue"/>
                  <w:vAlign w:val="center"/>
                </w:tcPr>
                <w:p>
                  <w:pPr>
                    <w:adjustRightInd w:val="0"/>
                    <w:snapToGrid w:val="0"/>
                    <w:jc w:val="center"/>
                    <w:rPr>
                      <w:bCs/>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Merge w:val="continue"/>
                  <w:vAlign w:val="center"/>
                </w:tcPr>
                <w:p>
                  <w:pPr>
                    <w:adjustRightInd w:val="0"/>
                    <w:snapToGrid w:val="0"/>
                    <w:jc w:val="center"/>
                    <w:rPr>
                      <w:bCs/>
                      <w:szCs w:val="21"/>
                    </w:rPr>
                  </w:pPr>
                </w:p>
              </w:tc>
              <w:tc>
                <w:tcPr>
                  <w:tcW w:w="1820" w:type="dxa"/>
                  <w:tcBorders>
                    <w:top w:val="single" w:color="auto" w:sz="4" w:space="0"/>
                    <w:bottom w:val="single" w:color="auto" w:sz="4" w:space="0"/>
                  </w:tcBorders>
                  <w:vAlign w:val="center"/>
                </w:tcPr>
                <w:p>
                  <w:pPr>
                    <w:widowControl/>
                    <w:spacing w:line="240" w:lineRule="exact"/>
                    <w:jc w:val="center"/>
                    <w:rPr>
                      <w:rFonts w:hAnsi="宋体"/>
                      <w:bCs/>
                      <w:szCs w:val="21"/>
                    </w:rPr>
                  </w:pPr>
                  <w:r>
                    <w:rPr>
                      <w:rFonts w:hint="eastAsia" w:hAnsi="宋体"/>
                      <w:bCs/>
                      <w:szCs w:val="21"/>
                    </w:rPr>
                    <w:t>样品性状</w:t>
                  </w:r>
                </w:p>
              </w:tc>
              <w:tc>
                <w:tcPr>
                  <w:tcW w:w="2547" w:type="dxa"/>
                  <w:tcBorders>
                    <w:top w:val="single" w:color="auto" w:sz="4" w:space="0"/>
                    <w:bottom w:val="single" w:color="auto" w:sz="4" w:space="0"/>
                  </w:tcBorders>
                  <w:vAlign w:val="center"/>
                </w:tcPr>
                <w:p>
                  <w:pPr>
                    <w:adjustRightInd w:val="0"/>
                    <w:snapToGrid w:val="0"/>
                    <w:jc w:val="center"/>
                    <w:rPr>
                      <w:bCs/>
                      <w:szCs w:val="21"/>
                    </w:rPr>
                  </w:pPr>
                  <w:r>
                    <w:rPr>
                      <w:rFonts w:hint="eastAsia"/>
                      <w:bCs/>
                      <w:szCs w:val="21"/>
                    </w:rPr>
                    <w:t>澄清、无色、无味</w:t>
                  </w:r>
                </w:p>
              </w:tc>
              <w:tc>
                <w:tcPr>
                  <w:tcW w:w="1648" w:type="dxa"/>
                  <w:vMerge w:val="continue"/>
                  <w:vAlign w:val="center"/>
                </w:tcPr>
                <w:p>
                  <w:pPr>
                    <w:adjustRightInd w:val="0"/>
                    <w:snapToGrid w:val="0"/>
                    <w:jc w:val="center"/>
                    <w:rPr>
                      <w:bCs/>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钾</w:t>
                  </w:r>
                </w:p>
              </w:tc>
              <w:tc>
                <w:tcPr>
                  <w:tcW w:w="1820" w:type="dxa"/>
                  <w:vAlign w:val="center"/>
                </w:tcPr>
                <w:p>
                  <w:pPr>
                    <w:snapToGrid w:val="0"/>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5.10</w:t>
                  </w:r>
                </w:p>
              </w:tc>
              <w:tc>
                <w:tcPr>
                  <w:tcW w:w="1648" w:type="dxa"/>
                  <w:vAlign w:val="center"/>
                </w:tcPr>
                <w:p>
                  <w:pPr>
                    <w:adjustRightInd w:val="0"/>
                    <w:snapToGrid w:val="0"/>
                    <w:jc w:val="center"/>
                    <w:rPr>
                      <w:bCs/>
                      <w:szCs w:val="21"/>
                    </w:rPr>
                  </w:pPr>
                  <w:r>
                    <w:rPr>
                      <w:rFonts w:hint="eastAsia"/>
                      <w:bCs/>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钠</w:t>
                  </w:r>
                </w:p>
              </w:tc>
              <w:tc>
                <w:tcPr>
                  <w:tcW w:w="1820" w:type="dxa"/>
                  <w:vAlign w:val="center"/>
                </w:tcPr>
                <w:p>
                  <w:pPr>
                    <w:snapToGrid w:val="0"/>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8.80</w:t>
                  </w:r>
                </w:p>
              </w:tc>
              <w:tc>
                <w:tcPr>
                  <w:tcW w:w="1648" w:type="dxa"/>
                  <w:vAlign w:val="center"/>
                </w:tcPr>
                <w:p>
                  <w:pPr>
                    <w:adjustRightInd w:val="0"/>
                    <w:snapToGrid w:val="0"/>
                    <w:jc w:val="center"/>
                    <w:rPr>
                      <w:bCs/>
                      <w:szCs w:val="21"/>
                    </w:rPr>
                  </w:pPr>
                  <w:r>
                    <w:rPr>
                      <w:rFonts w:hint="eastAsia"/>
                      <w:bCs/>
                      <w:szCs w:val="21"/>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钙</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32.8</w:t>
                  </w:r>
                </w:p>
              </w:tc>
              <w:tc>
                <w:tcPr>
                  <w:tcW w:w="1648" w:type="dxa"/>
                  <w:vAlign w:val="center"/>
                </w:tcPr>
                <w:p>
                  <w:pPr>
                    <w:adjustRightInd w:val="0"/>
                    <w:snapToGrid w:val="0"/>
                    <w:jc w:val="center"/>
                    <w:rPr>
                      <w:bCs/>
                      <w:szCs w:val="21"/>
                    </w:rPr>
                  </w:pPr>
                  <w:r>
                    <w:rPr>
                      <w:rFonts w:hint="eastAsia"/>
                      <w:bCs/>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镁</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9.50</w:t>
                  </w:r>
                </w:p>
              </w:tc>
              <w:tc>
                <w:tcPr>
                  <w:tcW w:w="1648" w:type="dxa"/>
                  <w:vAlign w:val="center"/>
                </w:tcPr>
                <w:p>
                  <w:pPr>
                    <w:adjustRightInd w:val="0"/>
                    <w:snapToGrid w:val="0"/>
                    <w:jc w:val="center"/>
                    <w:rPr>
                      <w:bCs/>
                      <w:szCs w:val="21"/>
                    </w:rPr>
                  </w:pPr>
                  <w:r>
                    <w:rPr>
                      <w:rFonts w:hint="eastAsia"/>
                      <w:bCs/>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碳酸根</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5L</w:t>
                  </w:r>
                </w:p>
              </w:tc>
              <w:tc>
                <w:tcPr>
                  <w:tcW w:w="1648" w:type="dxa"/>
                  <w:vAlign w:val="center"/>
                </w:tcPr>
                <w:p>
                  <w:pPr>
                    <w:adjustRightInd w:val="0"/>
                    <w:snapToGrid w:val="0"/>
                    <w:jc w:val="center"/>
                    <w:rPr>
                      <w:bCs/>
                      <w:szCs w:val="21"/>
                    </w:rPr>
                  </w:pPr>
                  <w:r>
                    <w:rPr>
                      <w:rFonts w:hint="eastAsia"/>
                      <w:bCs/>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碳酸氢根</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163</w:t>
                  </w:r>
                </w:p>
              </w:tc>
              <w:tc>
                <w:tcPr>
                  <w:tcW w:w="1648" w:type="dxa"/>
                  <w:vAlign w:val="center"/>
                </w:tcPr>
                <w:p>
                  <w:pPr>
                    <w:adjustRightInd w:val="0"/>
                    <w:snapToGrid w:val="0"/>
                    <w:jc w:val="center"/>
                    <w:rPr>
                      <w:bCs/>
                      <w:szCs w:val="21"/>
                    </w:rPr>
                  </w:pPr>
                  <w:r>
                    <w:rPr>
                      <w:rFonts w:hint="eastAsia"/>
                      <w:bCs/>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氯离子</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6.68</w:t>
                  </w:r>
                </w:p>
              </w:tc>
              <w:tc>
                <w:tcPr>
                  <w:tcW w:w="1648" w:type="dxa"/>
                  <w:vAlign w:val="center"/>
                </w:tcPr>
                <w:p>
                  <w:pPr>
                    <w:adjustRightInd w:val="0"/>
                    <w:snapToGrid w:val="0"/>
                    <w:jc w:val="center"/>
                    <w:rPr>
                      <w:bCs/>
                      <w:szCs w:val="21"/>
                    </w:rPr>
                  </w:pPr>
                  <w:r>
                    <w:rPr>
                      <w:rFonts w:hint="eastAsia"/>
                      <w:bCs/>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硫酸根离子</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6.57</w:t>
                  </w:r>
                </w:p>
              </w:tc>
              <w:tc>
                <w:tcPr>
                  <w:tcW w:w="1648" w:type="dxa"/>
                  <w:vAlign w:val="center"/>
                </w:tcPr>
                <w:p>
                  <w:pPr>
                    <w:adjustRightInd w:val="0"/>
                    <w:snapToGrid w:val="0"/>
                    <w:jc w:val="center"/>
                    <w:rPr>
                      <w:bCs/>
                      <w:szCs w:val="21"/>
                    </w:rPr>
                  </w:pPr>
                  <w:r>
                    <w:rPr>
                      <w:rFonts w:hint="eastAsia"/>
                      <w:bCs/>
                      <w:szCs w:val="21"/>
                    </w:rPr>
                    <w:t>/</w:t>
                  </w:r>
                </w:p>
              </w:tc>
            </w:tr>
          </w:tbl>
          <w:p>
            <w:pPr>
              <w:spacing w:line="360" w:lineRule="auto"/>
              <w:ind w:firstLine="482" w:firstLineChars="200"/>
              <w:contextualSpacing/>
              <w:jc w:val="center"/>
              <w:rPr>
                <w:rFonts w:hAnsiTheme="minorEastAsia" w:eastAsiaTheme="minorEastAsia"/>
                <w:b/>
                <w:kern w:val="0"/>
                <w:sz w:val="24"/>
              </w:rPr>
            </w:pPr>
            <w:r>
              <w:rPr>
                <w:rFonts w:hAnsiTheme="minorEastAsia" w:eastAsiaTheme="minorEastAsia"/>
                <w:b/>
                <w:kern w:val="0"/>
                <w:sz w:val="24"/>
              </w:rPr>
              <w:t>续表</w:t>
            </w:r>
            <w:r>
              <w:rPr>
                <w:rFonts w:eastAsiaTheme="minorEastAsia"/>
                <w:b/>
                <w:kern w:val="0"/>
                <w:sz w:val="24"/>
              </w:rPr>
              <w:t>3-</w:t>
            </w:r>
            <w:r>
              <w:rPr>
                <w:rFonts w:hint="eastAsia" w:eastAsiaTheme="minorEastAsia"/>
                <w:b/>
                <w:kern w:val="0"/>
                <w:sz w:val="24"/>
              </w:rPr>
              <w:t>5</w:t>
            </w:r>
            <w:r>
              <w:rPr>
                <w:rFonts w:hint="eastAsia" w:hAnsiTheme="minorEastAsia" w:eastAsiaTheme="minorEastAsia"/>
                <w:b/>
                <w:kern w:val="0"/>
                <w:sz w:val="24"/>
              </w:rPr>
              <w:t>地下水</w:t>
            </w:r>
            <w:r>
              <w:rPr>
                <w:rFonts w:hAnsiTheme="minorEastAsia" w:eastAsiaTheme="minorEastAsia"/>
                <w:b/>
                <w:kern w:val="0"/>
                <w:sz w:val="24"/>
              </w:rPr>
              <w:t>监测结果一览表</w:t>
            </w:r>
          </w:p>
          <w:tbl>
            <w:tblPr>
              <w:tblStyle w:val="21"/>
              <w:tblW w:w="7789" w:type="dxa"/>
              <w:jc w:val="center"/>
              <w:tblInd w:w="10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74"/>
              <w:gridCol w:w="1820"/>
              <w:gridCol w:w="2547"/>
              <w:gridCol w:w="164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pH</w:t>
                  </w:r>
                </w:p>
              </w:tc>
              <w:tc>
                <w:tcPr>
                  <w:tcW w:w="1820" w:type="dxa"/>
                  <w:vAlign w:val="center"/>
                </w:tcPr>
                <w:p>
                  <w:pPr>
                    <w:widowControl/>
                    <w:spacing w:line="240" w:lineRule="exact"/>
                    <w:jc w:val="center"/>
                    <w:rPr>
                      <w:bCs/>
                      <w:szCs w:val="21"/>
                    </w:rPr>
                  </w:pPr>
                  <w:r>
                    <w:rPr>
                      <w:rFonts w:hint="eastAsia"/>
                      <w:szCs w:val="21"/>
                    </w:rPr>
                    <w:t>无量纲</w:t>
                  </w:r>
                </w:p>
              </w:tc>
              <w:tc>
                <w:tcPr>
                  <w:tcW w:w="2547" w:type="dxa"/>
                  <w:vAlign w:val="center"/>
                </w:tcPr>
                <w:p>
                  <w:pPr>
                    <w:adjustRightInd w:val="0"/>
                    <w:snapToGrid w:val="0"/>
                    <w:jc w:val="center"/>
                    <w:rPr>
                      <w:bCs/>
                      <w:szCs w:val="21"/>
                    </w:rPr>
                  </w:pPr>
                  <w:r>
                    <w:rPr>
                      <w:rFonts w:hint="eastAsia"/>
                      <w:bCs/>
                      <w:szCs w:val="21"/>
                    </w:rPr>
                    <w:t>6.7</w:t>
                  </w:r>
                </w:p>
              </w:tc>
              <w:tc>
                <w:tcPr>
                  <w:tcW w:w="1648" w:type="dxa"/>
                  <w:vAlign w:val="center"/>
                </w:tcPr>
                <w:p>
                  <w:pPr>
                    <w:adjustRightInd w:val="0"/>
                    <w:snapToGrid w:val="0"/>
                    <w:jc w:val="center"/>
                    <w:rPr>
                      <w:bCs/>
                      <w:szCs w:val="21"/>
                    </w:rPr>
                  </w:pPr>
                  <w:r>
                    <w:rPr>
                      <w:rFonts w:hint="eastAsia"/>
                      <w:bCs/>
                      <w:szCs w:val="21"/>
                    </w:rPr>
                    <w:t>6.5-8.5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总硬度</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71.5</w:t>
                  </w:r>
                </w:p>
              </w:tc>
              <w:tc>
                <w:tcPr>
                  <w:tcW w:w="1648" w:type="dxa"/>
                  <w:vAlign w:val="center"/>
                </w:tcPr>
                <w:p>
                  <w:pPr>
                    <w:adjustRightInd w:val="0"/>
                    <w:snapToGrid w:val="0"/>
                    <w:jc w:val="center"/>
                    <w:rPr>
                      <w:bCs/>
                      <w:szCs w:val="21"/>
                    </w:rPr>
                  </w:pPr>
                  <w:r>
                    <w:rPr>
                      <w:rFonts w:hint="eastAsia"/>
                      <w:bCs/>
                      <w:szCs w:val="21"/>
                    </w:rPr>
                    <w:t>≤450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溶解性总固体</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164</w:t>
                  </w:r>
                </w:p>
              </w:tc>
              <w:tc>
                <w:tcPr>
                  <w:tcW w:w="1648" w:type="dxa"/>
                  <w:vAlign w:val="center"/>
                </w:tcPr>
                <w:p>
                  <w:pPr>
                    <w:adjustRightInd w:val="0"/>
                    <w:snapToGrid w:val="0"/>
                    <w:jc w:val="center"/>
                    <w:rPr>
                      <w:bCs/>
                      <w:szCs w:val="21"/>
                    </w:rPr>
                  </w:pPr>
                  <w:r>
                    <w:rPr>
                      <w:rFonts w:hint="eastAsia"/>
                      <w:bCs/>
                      <w:szCs w:val="21"/>
                    </w:rPr>
                    <w:t>≤1000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硫酸盐</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8L</w:t>
                  </w:r>
                </w:p>
              </w:tc>
              <w:tc>
                <w:tcPr>
                  <w:tcW w:w="1648" w:type="dxa"/>
                  <w:vAlign w:val="center"/>
                </w:tcPr>
                <w:p>
                  <w:pPr>
                    <w:adjustRightInd w:val="0"/>
                    <w:snapToGrid w:val="0"/>
                    <w:jc w:val="center"/>
                    <w:rPr>
                      <w:bCs/>
                      <w:szCs w:val="21"/>
                    </w:rPr>
                  </w:pPr>
                  <w:r>
                    <w:rPr>
                      <w:rFonts w:hint="eastAsia"/>
                      <w:bCs/>
                      <w:szCs w:val="21"/>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氯化物</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7.5</w:t>
                  </w:r>
                </w:p>
              </w:tc>
              <w:tc>
                <w:tcPr>
                  <w:tcW w:w="1648" w:type="dxa"/>
                  <w:vAlign w:val="center"/>
                </w:tcPr>
                <w:p>
                  <w:pPr>
                    <w:adjustRightInd w:val="0"/>
                    <w:snapToGrid w:val="0"/>
                    <w:jc w:val="center"/>
                    <w:rPr>
                      <w:bCs/>
                      <w:szCs w:val="21"/>
                    </w:rPr>
                  </w:pPr>
                  <w:r>
                    <w:rPr>
                      <w:rFonts w:hint="eastAsia"/>
                      <w:bCs/>
                      <w:szCs w:val="21"/>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铁</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0.12</w:t>
                  </w:r>
                </w:p>
              </w:tc>
              <w:tc>
                <w:tcPr>
                  <w:tcW w:w="1648" w:type="dxa"/>
                  <w:vAlign w:val="center"/>
                </w:tcPr>
                <w:p>
                  <w:pPr>
                    <w:adjustRightInd w:val="0"/>
                    <w:snapToGrid w:val="0"/>
                    <w:jc w:val="center"/>
                    <w:rPr>
                      <w:bCs/>
                      <w:szCs w:val="21"/>
                    </w:rPr>
                  </w:pPr>
                  <w:r>
                    <w:rPr>
                      <w:rFonts w:hint="eastAsia"/>
                      <w:bCs/>
                      <w:szCs w:val="21"/>
                    </w:rPr>
                    <w:t>≤0.3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锰</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0.08</w:t>
                  </w:r>
                </w:p>
              </w:tc>
              <w:tc>
                <w:tcPr>
                  <w:tcW w:w="1648" w:type="dxa"/>
                  <w:vAlign w:val="center"/>
                </w:tcPr>
                <w:p>
                  <w:pPr>
                    <w:adjustRightInd w:val="0"/>
                    <w:snapToGrid w:val="0"/>
                    <w:jc w:val="center"/>
                    <w:rPr>
                      <w:bCs/>
                      <w:szCs w:val="21"/>
                    </w:rPr>
                  </w:pPr>
                  <w:r>
                    <w:rPr>
                      <w:rFonts w:hint="eastAsia"/>
                      <w:bCs/>
                      <w:szCs w:val="21"/>
                    </w:rPr>
                    <w:t>≤0.10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挥发酚</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0.0003L</w:t>
                  </w:r>
                </w:p>
              </w:tc>
              <w:tc>
                <w:tcPr>
                  <w:tcW w:w="1648" w:type="dxa"/>
                  <w:vAlign w:val="center"/>
                </w:tcPr>
                <w:p>
                  <w:pPr>
                    <w:adjustRightInd w:val="0"/>
                    <w:snapToGrid w:val="0"/>
                    <w:jc w:val="center"/>
                    <w:rPr>
                      <w:bCs/>
                      <w:szCs w:val="21"/>
                    </w:rPr>
                  </w:pPr>
                  <w:r>
                    <w:rPr>
                      <w:rFonts w:hint="eastAsia"/>
                      <w:bCs/>
                      <w:szCs w:val="21"/>
                    </w:rPr>
                    <w:t>≤0.002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高锰酸盐指数</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1.6</w:t>
                  </w:r>
                </w:p>
              </w:tc>
              <w:tc>
                <w:tcPr>
                  <w:tcW w:w="1648" w:type="dxa"/>
                  <w:vAlign w:val="center"/>
                </w:tcPr>
                <w:p>
                  <w:pPr>
                    <w:adjustRightInd w:val="0"/>
                    <w:snapToGrid w:val="0"/>
                    <w:jc w:val="center"/>
                    <w:rPr>
                      <w:bCs/>
                      <w:szCs w:val="21"/>
                    </w:rPr>
                  </w:pPr>
                  <w:r>
                    <w:rPr>
                      <w:rFonts w:hint="eastAsia"/>
                      <w:bCs/>
                      <w:szCs w:val="21"/>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氨氮</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0.026</w:t>
                  </w:r>
                </w:p>
              </w:tc>
              <w:tc>
                <w:tcPr>
                  <w:tcW w:w="1648" w:type="dxa"/>
                  <w:vAlign w:val="center"/>
                </w:tcPr>
                <w:p>
                  <w:pPr>
                    <w:adjustRightInd w:val="0"/>
                    <w:snapToGrid w:val="0"/>
                    <w:jc w:val="center"/>
                    <w:rPr>
                      <w:bCs/>
                      <w:szCs w:val="21"/>
                    </w:rPr>
                  </w:pPr>
                  <w:r>
                    <w:rPr>
                      <w:rFonts w:hint="eastAsia"/>
                      <w:bCs/>
                      <w:szCs w:val="21"/>
                    </w:rPr>
                    <w:t>≤0.50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总大肠菌群</w:t>
                  </w:r>
                </w:p>
              </w:tc>
              <w:tc>
                <w:tcPr>
                  <w:tcW w:w="1820" w:type="dxa"/>
                  <w:vAlign w:val="center"/>
                </w:tcPr>
                <w:p>
                  <w:pPr>
                    <w:widowControl/>
                    <w:spacing w:line="240" w:lineRule="exact"/>
                    <w:jc w:val="center"/>
                    <w:rPr>
                      <w:szCs w:val="21"/>
                    </w:rPr>
                  </w:pPr>
                  <w:r>
                    <w:rPr>
                      <w:rFonts w:hint="eastAsia"/>
                      <w:szCs w:val="21"/>
                    </w:rPr>
                    <w:t>MPN/100mL</w:t>
                  </w:r>
                </w:p>
              </w:tc>
              <w:tc>
                <w:tcPr>
                  <w:tcW w:w="2547" w:type="dxa"/>
                  <w:vAlign w:val="center"/>
                </w:tcPr>
                <w:p>
                  <w:pPr>
                    <w:adjustRightInd w:val="0"/>
                    <w:snapToGrid w:val="0"/>
                    <w:jc w:val="center"/>
                    <w:rPr>
                      <w:bCs/>
                      <w:szCs w:val="21"/>
                    </w:rPr>
                  </w:pPr>
                  <w:r>
                    <w:rPr>
                      <w:rFonts w:hint="eastAsia"/>
                      <w:bCs/>
                      <w:szCs w:val="21"/>
                    </w:rPr>
                    <w:t>﹤2</w:t>
                  </w:r>
                </w:p>
              </w:tc>
              <w:tc>
                <w:tcPr>
                  <w:tcW w:w="1648" w:type="dxa"/>
                  <w:vAlign w:val="center"/>
                </w:tcPr>
                <w:p>
                  <w:pPr>
                    <w:adjustRightInd w:val="0"/>
                    <w:snapToGrid w:val="0"/>
                    <w:jc w:val="center"/>
                    <w:rPr>
                      <w:bCs/>
                      <w:szCs w:val="21"/>
                    </w:rPr>
                  </w:pPr>
                  <w:r>
                    <w:rPr>
                      <w:rFonts w:hint="eastAsia"/>
                      <w:bCs/>
                      <w:szCs w:val="21"/>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菌落总数</w:t>
                  </w:r>
                </w:p>
              </w:tc>
              <w:tc>
                <w:tcPr>
                  <w:tcW w:w="1820" w:type="dxa"/>
                  <w:vAlign w:val="center"/>
                </w:tcPr>
                <w:p>
                  <w:pPr>
                    <w:widowControl/>
                    <w:spacing w:line="240" w:lineRule="exact"/>
                    <w:jc w:val="center"/>
                    <w:rPr>
                      <w:szCs w:val="21"/>
                    </w:rPr>
                  </w:pPr>
                  <w:r>
                    <w:rPr>
                      <w:rFonts w:hint="eastAsia"/>
                      <w:szCs w:val="21"/>
                    </w:rPr>
                    <w:t>CFU/mL</w:t>
                  </w:r>
                </w:p>
              </w:tc>
              <w:tc>
                <w:tcPr>
                  <w:tcW w:w="2547" w:type="dxa"/>
                  <w:vAlign w:val="center"/>
                </w:tcPr>
                <w:p>
                  <w:pPr>
                    <w:adjustRightInd w:val="0"/>
                    <w:snapToGrid w:val="0"/>
                    <w:jc w:val="center"/>
                    <w:rPr>
                      <w:bCs/>
                      <w:szCs w:val="21"/>
                    </w:rPr>
                  </w:pPr>
                  <w:r>
                    <w:rPr>
                      <w:rFonts w:hint="eastAsia"/>
                      <w:bCs/>
                      <w:szCs w:val="21"/>
                    </w:rPr>
                    <w:t>未检出</w:t>
                  </w:r>
                </w:p>
              </w:tc>
              <w:tc>
                <w:tcPr>
                  <w:tcW w:w="1648" w:type="dxa"/>
                  <w:vAlign w:val="center"/>
                </w:tcPr>
                <w:p>
                  <w:pPr>
                    <w:adjustRightInd w:val="0"/>
                    <w:snapToGrid w:val="0"/>
                    <w:jc w:val="center"/>
                    <w:rPr>
                      <w:bCs/>
                      <w:szCs w:val="21"/>
                    </w:rPr>
                  </w:pPr>
                  <w:r>
                    <w:rPr>
                      <w:rFonts w:hint="eastAsia"/>
                      <w:bCs/>
                      <w:szCs w:val="21"/>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亚硝酸盐</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0.003L</w:t>
                  </w:r>
                </w:p>
              </w:tc>
              <w:tc>
                <w:tcPr>
                  <w:tcW w:w="1648" w:type="dxa"/>
                  <w:vAlign w:val="center"/>
                </w:tcPr>
                <w:p>
                  <w:pPr>
                    <w:adjustRightInd w:val="0"/>
                    <w:snapToGrid w:val="0"/>
                    <w:jc w:val="center"/>
                    <w:rPr>
                      <w:bCs/>
                      <w:szCs w:val="21"/>
                    </w:rPr>
                  </w:pPr>
                  <w:r>
                    <w:rPr>
                      <w:rFonts w:hint="eastAsia"/>
                      <w:bCs/>
                      <w:szCs w:val="21"/>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硝酸盐</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0.16</w:t>
                  </w:r>
                </w:p>
              </w:tc>
              <w:tc>
                <w:tcPr>
                  <w:tcW w:w="1648" w:type="dxa"/>
                  <w:vAlign w:val="center"/>
                </w:tcPr>
                <w:p>
                  <w:pPr>
                    <w:adjustRightInd w:val="0"/>
                    <w:snapToGrid w:val="0"/>
                    <w:jc w:val="center"/>
                    <w:rPr>
                      <w:bCs/>
                      <w:szCs w:val="21"/>
                    </w:rPr>
                  </w:pPr>
                  <w:r>
                    <w:rPr>
                      <w:rFonts w:hint="eastAsia"/>
                      <w:bCs/>
                      <w:szCs w:val="21"/>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氰化物</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0.002L</w:t>
                  </w:r>
                </w:p>
              </w:tc>
              <w:tc>
                <w:tcPr>
                  <w:tcW w:w="1648" w:type="dxa"/>
                  <w:vAlign w:val="center"/>
                </w:tcPr>
                <w:p>
                  <w:pPr>
                    <w:adjustRightInd w:val="0"/>
                    <w:snapToGrid w:val="0"/>
                    <w:jc w:val="center"/>
                    <w:rPr>
                      <w:bCs/>
                      <w:szCs w:val="21"/>
                    </w:rPr>
                  </w:pPr>
                  <w:r>
                    <w:rPr>
                      <w:rFonts w:hint="eastAsia"/>
                      <w:bCs/>
                      <w:szCs w:val="21"/>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氟化物</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0.02L</w:t>
                  </w:r>
                </w:p>
              </w:tc>
              <w:tc>
                <w:tcPr>
                  <w:tcW w:w="1648" w:type="dxa"/>
                  <w:vAlign w:val="center"/>
                </w:tcPr>
                <w:p>
                  <w:pPr>
                    <w:adjustRightInd w:val="0"/>
                    <w:snapToGrid w:val="0"/>
                    <w:jc w:val="center"/>
                    <w:rPr>
                      <w:bCs/>
                      <w:szCs w:val="21"/>
                    </w:rPr>
                  </w:pPr>
                  <w:r>
                    <w:rPr>
                      <w:rFonts w:hint="eastAsia"/>
                      <w:bCs/>
                      <w:szCs w:val="21"/>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汞</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0.00004L</w:t>
                  </w:r>
                </w:p>
              </w:tc>
              <w:tc>
                <w:tcPr>
                  <w:tcW w:w="1648" w:type="dxa"/>
                  <w:vAlign w:val="center"/>
                </w:tcPr>
                <w:p>
                  <w:pPr>
                    <w:adjustRightInd w:val="0"/>
                    <w:snapToGrid w:val="0"/>
                    <w:jc w:val="center"/>
                    <w:rPr>
                      <w:bCs/>
                      <w:szCs w:val="21"/>
                    </w:rPr>
                  </w:pPr>
                  <w:r>
                    <w:rPr>
                      <w:rFonts w:hint="eastAsia"/>
                      <w:bCs/>
                      <w:szCs w:val="21"/>
                    </w:rPr>
                    <w:t>≤0.001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砷</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0.0003L</w:t>
                  </w:r>
                </w:p>
              </w:tc>
              <w:tc>
                <w:tcPr>
                  <w:tcW w:w="1648" w:type="dxa"/>
                  <w:vAlign w:val="center"/>
                </w:tcPr>
                <w:p>
                  <w:pPr>
                    <w:adjustRightInd w:val="0"/>
                    <w:snapToGrid w:val="0"/>
                    <w:jc w:val="center"/>
                    <w:rPr>
                      <w:bCs/>
                      <w:szCs w:val="21"/>
                    </w:rPr>
                  </w:pPr>
                  <w:r>
                    <w:rPr>
                      <w:rFonts w:hint="eastAsia"/>
                      <w:bCs/>
                      <w:szCs w:val="21"/>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镉</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0.0005L</w:t>
                  </w:r>
                </w:p>
              </w:tc>
              <w:tc>
                <w:tcPr>
                  <w:tcW w:w="1648" w:type="dxa"/>
                  <w:vAlign w:val="center"/>
                </w:tcPr>
                <w:p>
                  <w:pPr>
                    <w:adjustRightInd w:val="0"/>
                    <w:snapToGrid w:val="0"/>
                    <w:jc w:val="center"/>
                    <w:rPr>
                      <w:bCs/>
                      <w:szCs w:val="21"/>
                    </w:rPr>
                  </w:pPr>
                  <w:r>
                    <w:rPr>
                      <w:rFonts w:hint="eastAsia"/>
                      <w:bCs/>
                      <w:szCs w:val="21"/>
                    </w:rPr>
                    <w:t>≤0.005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六价铬</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0.004L</w:t>
                  </w:r>
                </w:p>
              </w:tc>
              <w:tc>
                <w:tcPr>
                  <w:tcW w:w="1648" w:type="dxa"/>
                  <w:vAlign w:val="center"/>
                </w:tcPr>
                <w:p>
                  <w:pPr>
                    <w:adjustRightInd w:val="0"/>
                    <w:snapToGrid w:val="0"/>
                    <w:jc w:val="center"/>
                    <w:rPr>
                      <w:bCs/>
                      <w:szCs w:val="21"/>
                    </w:rPr>
                  </w:pPr>
                  <w:r>
                    <w:rPr>
                      <w:rFonts w:hint="eastAsia"/>
                      <w:bCs/>
                      <w:szCs w:val="21"/>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铅</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0.0025L</w:t>
                  </w:r>
                </w:p>
              </w:tc>
              <w:tc>
                <w:tcPr>
                  <w:tcW w:w="1648" w:type="dxa"/>
                  <w:vAlign w:val="center"/>
                </w:tcPr>
                <w:p>
                  <w:pPr>
                    <w:adjustRightInd w:val="0"/>
                    <w:snapToGrid w:val="0"/>
                    <w:jc w:val="center"/>
                    <w:rPr>
                      <w:bCs/>
                      <w:szCs w:val="21"/>
                    </w:rPr>
                  </w:pPr>
                  <w:r>
                    <w:rPr>
                      <w:rFonts w:hint="eastAsia"/>
                      <w:bCs/>
                      <w:szCs w:val="21"/>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色度</w:t>
                  </w:r>
                </w:p>
              </w:tc>
              <w:tc>
                <w:tcPr>
                  <w:tcW w:w="1820" w:type="dxa"/>
                  <w:vAlign w:val="center"/>
                </w:tcPr>
                <w:p>
                  <w:pPr>
                    <w:widowControl/>
                    <w:spacing w:line="240" w:lineRule="exact"/>
                    <w:jc w:val="center"/>
                    <w:rPr>
                      <w:bCs/>
                      <w:szCs w:val="21"/>
                    </w:rPr>
                  </w:pPr>
                  <w:r>
                    <w:rPr>
                      <w:rFonts w:hint="eastAsia"/>
                      <w:szCs w:val="21"/>
                    </w:rPr>
                    <w:t>度</w:t>
                  </w:r>
                </w:p>
              </w:tc>
              <w:tc>
                <w:tcPr>
                  <w:tcW w:w="2547" w:type="dxa"/>
                  <w:vAlign w:val="center"/>
                </w:tcPr>
                <w:p>
                  <w:pPr>
                    <w:adjustRightInd w:val="0"/>
                    <w:snapToGrid w:val="0"/>
                    <w:jc w:val="center"/>
                    <w:rPr>
                      <w:bCs/>
                      <w:szCs w:val="21"/>
                    </w:rPr>
                  </w:pPr>
                  <w:r>
                    <w:rPr>
                      <w:rFonts w:hint="eastAsia"/>
                      <w:bCs/>
                      <w:szCs w:val="21"/>
                    </w:rPr>
                    <w:t>5L</w:t>
                  </w:r>
                </w:p>
              </w:tc>
              <w:tc>
                <w:tcPr>
                  <w:tcW w:w="1648" w:type="dxa"/>
                  <w:vAlign w:val="center"/>
                </w:tcPr>
                <w:p>
                  <w:pPr>
                    <w:adjustRightInd w:val="0"/>
                    <w:snapToGrid w:val="0"/>
                    <w:jc w:val="center"/>
                    <w:rPr>
                      <w:bCs/>
                      <w:szCs w:val="21"/>
                    </w:rPr>
                  </w:pPr>
                  <w:r>
                    <w:rPr>
                      <w:rFonts w:hint="eastAsia"/>
                      <w:bCs/>
                      <w:szCs w:val="21"/>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硫化物</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0.003L</w:t>
                  </w:r>
                </w:p>
              </w:tc>
              <w:tc>
                <w:tcPr>
                  <w:tcW w:w="1648" w:type="dxa"/>
                  <w:vAlign w:val="center"/>
                </w:tcPr>
                <w:p>
                  <w:pPr>
                    <w:adjustRightInd w:val="0"/>
                    <w:snapToGrid w:val="0"/>
                    <w:jc w:val="center"/>
                    <w:rPr>
                      <w:bCs/>
                      <w:szCs w:val="21"/>
                    </w:rPr>
                  </w:pPr>
                  <w:r>
                    <w:rPr>
                      <w:rFonts w:hint="eastAsia"/>
                      <w:bCs/>
                      <w:szCs w:val="21"/>
                    </w:rPr>
                    <w:t>≤0.02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82" w:hRule="atLeast"/>
                <w:jc w:val="center"/>
              </w:trPr>
              <w:tc>
                <w:tcPr>
                  <w:tcW w:w="1774" w:type="dxa"/>
                  <w:vAlign w:val="center"/>
                </w:tcPr>
                <w:p>
                  <w:pPr>
                    <w:adjustRightInd w:val="0"/>
                    <w:snapToGrid w:val="0"/>
                    <w:jc w:val="center"/>
                    <w:rPr>
                      <w:bCs/>
                      <w:szCs w:val="21"/>
                    </w:rPr>
                  </w:pPr>
                  <w:r>
                    <w:rPr>
                      <w:rFonts w:hint="eastAsia"/>
                      <w:bCs/>
                      <w:szCs w:val="21"/>
                    </w:rPr>
                    <w:t>石油类</w:t>
                  </w:r>
                </w:p>
              </w:tc>
              <w:tc>
                <w:tcPr>
                  <w:tcW w:w="1820" w:type="dxa"/>
                  <w:vAlign w:val="center"/>
                </w:tcPr>
                <w:p>
                  <w:pPr>
                    <w:widowControl/>
                    <w:spacing w:line="240" w:lineRule="exact"/>
                    <w:jc w:val="center"/>
                    <w:rPr>
                      <w:bCs/>
                      <w:szCs w:val="21"/>
                    </w:rPr>
                  </w:pPr>
                  <w:r>
                    <w:rPr>
                      <w:szCs w:val="21"/>
                    </w:rPr>
                    <w:t>mg/L</w:t>
                  </w:r>
                </w:p>
              </w:tc>
              <w:tc>
                <w:tcPr>
                  <w:tcW w:w="2547" w:type="dxa"/>
                  <w:vAlign w:val="center"/>
                </w:tcPr>
                <w:p>
                  <w:pPr>
                    <w:adjustRightInd w:val="0"/>
                    <w:snapToGrid w:val="0"/>
                    <w:jc w:val="center"/>
                    <w:rPr>
                      <w:bCs/>
                      <w:szCs w:val="21"/>
                    </w:rPr>
                  </w:pPr>
                  <w:r>
                    <w:rPr>
                      <w:rFonts w:hint="eastAsia"/>
                      <w:bCs/>
                      <w:szCs w:val="21"/>
                    </w:rPr>
                    <w:t>0.01L</w:t>
                  </w:r>
                </w:p>
              </w:tc>
              <w:tc>
                <w:tcPr>
                  <w:tcW w:w="1648" w:type="dxa"/>
                  <w:vAlign w:val="center"/>
                </w:tcPr>
                <w:p>
                  <w:pPr>
                    <w:adjustRightInd w:val="0"/>
                    <w:snapToGrid w:val="0"/>
                    <w:jc w:val="center"/>
                    <w:rPr>
                      <w:bCs/>
                      <w:szCs w:val="21"/>
                    </w:rPr>
                  </w:pPr>
                  <w:r>
                    <w:rPr>
                      <w:rFonts w:hint="eastAsia"/>
                      <w:bCs/>
                      <w:szCs w:val="21"/>
                    </w:rPr>
                    <w:t>0.05</w:t>
                  </w:r>
                </w:p>
              </w:tc>
            </w:tr>
          </w:tbl>
          <w:p>
            <w:pPr>
              <w:rPr>
                <w:sz w:val="18"/>
                <w:szCs w:val="18"/>
              </w:rPr>
            </w:pPr>
            <w:r>
              <w:rPr>
                <w:sz w:val="18"/>
                <w:szCs w:val="18"/>
              </w:rPr>
              <w:t>注：L为低于检出限。</w:t>
            </w:r>
          </w:p>
          <w:p>
            <w:pPr>
              <w:spacing w:line="360" w:lineRule="auto"/>
              <w:ind w:firstLine="480" w:firstLineChars="200"/>
              <w:contextualSpacing/>
              <w:jc w:val="left"/>
              <w:rPr>
                <w:rFonts w:eastAsiaTheme="minorEastAsia"/>
                <w:sz w:val="24"/>
                <w:szCs w:val="20"/>
              </w:rPr>
            </w:pPr>
            <w:r>
              <w:rPr>
                <w:rFonts w:eastAsiaTheme="minorEastAsia"/>
                <w:sz w:val="24"/>
                <w:szCs w:val="20"/>
              </w:rPr>
              <w:t>由上表监测结果可知：项目区地下水各</w:t>
            </w:r>
            <w:r>
              <w:rPr>
                <w:rFonts w:hint="eastAsia"/>
                <w:sz w:val="24"/>
                <w:szCs w:val="20"/>
              </w:rPr>
              <w:t>监测</w:t>
            </w:r>
            <w:r>
              <w:rPr>
                <w:sz w:val="24"/>
                <w:szCs w:val="20"/>
              </w:rPr>
              <w:t>指标均满足《地表水环境质量标准》（GB3838-2002）Ⅲ类标准</w:t>
            </w:r>
            <w:r>
              <w:rPr>
                <w:rFonts w:eastAsiaTheme="minorEastAsia"/>
                <w:sz w:val="24"/>
                <w:szCs w:val="20"/>
              </w:rPr>
              <w:t>。</w:t>
            </w:r>
          </w:p>
          <w:p>
            <w:pPr>
              <w:spacing w:line="360" w:lineRule="auto"/>
              <w:ind w:firstLine="480" w:firstLineChars="200"/>
              <w:rPr>
                <w:sz w:val="24"/>
              </w:rPr>
            </w:pPr>
            <w:r>
              <w:rPr>
                <w:sz w:val="24"/>
              </w:rPr>
              <w:t>换算毫克/升为毫克当量/升及毫克当量百分数</w:t>
            </w:r>
          </w:p>
          <w:p>
            <w:pPr>
              <w:spacing w:line="360" w:lineRule="auto"/>
              <w:ind w:firstLine="480" w:firstLineChars="200"/>
              <w:rPr>
                <w:sz w:val="24"/>
              </w:rPr>
            </w:pPr>
            <w:r>
              <w:rPr>
                <w:sz w:val="24"/>
              </w:rPr>
              <w:t>按照化学原理，毫克数与毫克当量数的关系如下式：</w:t>
            </w:r>
          </w:p>
          <w:p>
            <w:pPr>
              <w:spacing w:line="360" w:lineRule="auto"/>
              <w:ind w:firstLine="480" w:firstLineChars="200"/>
              <w:rPr>
                <w:sz w:val="28"/>
              </w:rPr>
            </w:pPr>
            <w:r>
              <w:rPr>
                <w:sz w:val="24"/>
              </w:rPr>
              <w:t>离子的毫克当量数=</w:t>
            </w:r>
            <m:oMath>
              <m:f>
                <m:fPr>
                  <m:ctrlPr>
                    <w:rPr>
                      <w:rFonts w:ascii="Cambria Math" w:hAnsi="Cambria Math"/>
                      <w:sz w:val="28"/>
                    </w:rPr>
                  </m:ctrlPr>
                </m:fPr>
                <m:num>
                  <m:r>
                    <m:rPr>
                      <m:sty m:val="p"/>
                    </m:rPr>
                    <w:rPr>
                      <w:rFonts w:ascii="Cambria Math" w:hAnsi="Cambria Math"/>
                      <w:sz w:val="28"/>
                    </w:rPr>
                    <m:t xml:space="preserve">离子的毫克数</m:t>
                  </m:r>
                </m:num>
                <m:den>
                  <m:r>
                    <m:rPr>
                      <m:sty m:val="p"/>
                    </m:rPr>
                    <w:rPr>
                      <w:rFonts w:ascii="Cambria Math" w:hAnsi="Cambria Math"/>
                      <w:sz w:val="28"/>
                    </w:rPr>
                    <m:t xml:space="preserve">离子的当量</m:t>
                  </m:r>
                </m:den>
              </m:f>
            </m:oMath>
          </w:p>
          <w:p>
            <w:pPr>
              <w:spacing w:line="360" w:lineRule="auto"/>
              <w:ind w:firstLine="480" w:firstLineChars="200"/>
              <w:rPr>
                <w:sz w:val="24"/>
              </w:rPr>
            </w:pPr>
            <w:r>
              <w:rPr>
                <w:sz w:val="24"/>
              </w:rPr>
              <w:t>知道了离子在水中的毫克当量数以后，则可根据下式计算其毫克当量百分数：</w:t>
            </w:r>
          </w:p>
          <w:p>
            <w:pPr>
              <w:spacing w:line="360" w:lineRule="auto"/>
              <w:ind w:firstLine="480" w:firstLineChars="200"/>
              <w:rPr>
                <w:sz w:val="24"/>
              </w:rPr>
            </w:pPr>
            <w:r>
              <w:rPr>
                <w:sz w:val="24"/>
              </w:rPr>
              <w:t>某阴离子的毫克当量百分数=</w:t>
            </w:r>
            <m:oMath>
              <m:f>
                <m:fPr>
                  <m:ctrlPr>
                    <w:rPr>
                      <w:rFonts w:ascii="Cambria Math" w:hAnsi="Cambria Math"/>
                      <w:sz w:val="24"/>
                    </w:rPr>
                  </m:ctrlPr>
                </m:fPr>
                <m:num>
                  <m:r>
                    <m:rPr>
                      <m:sty m:val="p"/>
                    </m:rPr>
                    <w:rPr>
                      <w:rFonts w:ascii="Cambria Math" w:hAnsi="Cambria Math"/>
                      <w:sz w:val="24"/>
                    </w:rPr>
                    <m:t xml:space="preserve">该离子毫克当量</m:t>
                  </m:r>
                  <m:r>
                    <m:rPr>
                      <m:sty m:val="p"/>
                    </m:rPr>
                    <w:rPr>
                      <w:rFonts w:ascii="Cambria Math" w:hAnsi="Cambria Math"/>
                      <w:sz w:val="24"/>
                    </w:rPr>
                    <m:t xml:space="preserve">/</m:t>
                  </m:r>
                  <m:r>
                    <m:rPr>
                      <m:sty m:val="p"/>
                    </m:rPr>
                    <w:rPr>
                      <w:rFonts w:ascii="Cambria Math" w:hAnsi="Cambria Math"/>
                      <w:sz w:val="24"/>
                    </w:rPr>
                    <m:t xml:space="preserve">升</m:t>
                  </m:r>
                </m:num>
                <m:den>
                  <m:r>
                    <m:rPr>
                      <m:sty m:val="p"/>
                    </m:rPr>
                    <w:rPr>
                      <w:rFonts w:ascii="Cambria Math" w:hAnsi="Cambria Math"/>
                      <w:sz w:val="24"/>
                    </w:rPr>
                    <m:t xml:space="preserve">阴离子毫克当量总数</m:t>
                  </m:r>
                  <m:r>
                    <m:rPr>
                      <m:sty m:val="p"/>
                    </m:rPr>
                    <w:rPr>
                      <w:rFonts w:ascii="Cambria Math" w:hAnsi="Cambria Math"/>
                      <w:sz w:val="24"/>
                    </w:rPr>
                    <m:t xml:space="preserve">/</m:t>
                  </m:r>
                  <m:r>
                    <m:rPr>
                      <m:sty m:val="p"/>
                    </m:rPr>
                    <w:rPr>
                      <w:rFonts w:ascii="Cambria Math" w:hAnsi="Cambria Math"/>
                      <w:sz w:val="24"/>
                    </w:rPr>
                    <m:t xml:space="preserve">升</m:t>
                  </m:r>
                </m:den>
              </m:f>
            </m:oMath>
            <w:r>
              <w:rPr>
                <w:sz w:val="24"/>
              </w:rPr>
              <w:t>×100%</w:t>
            </w:r>
          </w:p>
          <w:p>
            <w:pPr>
              <w:spacing w:line="360" w:lineRule="auto"/>
              <w:ind w:firstLine="480" w:firstLineChars="200"/>
              <w:rPr>
                <w:sz w:val="24"/>
              </w:rPr>
            </w:pPr>
            <w:r>
              <w:rPr>
                <w:sz w:val="24"/>
              </w:rPr>
              <w:t>本次监测换算结果见下表。</w:t>
            </w:r>
          </w:p>
          <w:p>
            <w:pPr>
              <w:spacing w:line="360" w:lineRule="auto"/>
              <w:jc w:val="center"/>
              <w:rPr>
                <w:b/>
                <w:sz w:val="24"/>
              </w:rPr>
            </w:pPr>
            <w:r>
              <w:rPr>
                <w:b/>
                <w:sz w:val="24"/>
              </w:rPr>
              <w:t>表</w:t>
            </w:r>
            <w:r>
              <w:rPr>
                <w:rFonts w:hint="eastAsia"/>
                <w:b/>
                <w:sz w:val="24"/>
              </w:rPr>
              <w:t>3-6</w:t>
            </w:r>
            <w:r>
              <w:rPr>
                <w:b/>
                <w:sz w:val="24"/>
              </w:rPr>
              <w:t>监测换算结果表</w:t>
            </w:r>
          </w:p>
          <w:tbl>
            <w:tblPr>
              <w:tblStyle w:val="21"/>
              <w:tblW w:w="839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31"/>
              <w:gridCol w:w="1701"/>
              <w:gridCol w:w="1680"/>
              <w:gridCol w:w="1690"/>
              <w:gridCol w:w="16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3" w:hRule="atLeast"/>
                <w:jc w:val="center"/>
              </w:trPr>
              <w:tc>
                <w:tcPr>
                  <w:tcW w:w="3332" w:type="dxa"/>
                  <w:gridSpan w:val="2"/>
                  <w:vAlign w:val="center"/>
                </w:tcPr>
                <w:p>
                  <w:pPr>
                    <w:contextualSpacing/>
                    <w:jc w:val="center"/>
                    <w:rPr>
                      <w:b/>
                      <w:kern w:val="0"/>
                      <w:szCs w:val="21"/>
                    </w:rPr>
                  </w:pPr>
                  <w:r>
                    <w:rPr>
                      <w:b/>
                      <w:kern w:val="0"/>
                      <w:szCs w:val="21"/>
                    </w:rPr>
                    <w:t>1</w:t>
                  </w:r>
                  <w:r>
                    <w:rPr>
                      <w:rFonts w:hAnsi="宋体"/>
                      <w:b/>
                      <w:kern w:val="0"/>
                      <w:szCs w:val="21"/>
                    </w:rPr>
                    <w:t>☆</w:t>
                  </w:r>
                  <w:r>
                    <w:rPr>
                      <w:b/>
                      <w:kern w:val="0"/>
                      <w:szCs w:val="21"/>
                    </w:rPr>
                    <w:t>离子</w:t>
                  </w:r>
                </w:p>
              </w:tc>
              <w:tc>
                <w:tcPr>
                  <w:tcW w:w="1680" w:type="dxa"/>
                  <w:vAlign w:val="center"/>
                </w:tcPr>
                <w:p>
                  <w:pPr>
                    <w:contextualSpacing/>
                    <w:jc w:val="center"/>
                    <w:rPr>
                      <w:b/>
                      <w:kern w:val="0"/>
                      <w:szCs w:val="21"/>
                    </w:rPr>
                  </w:pPr>
                  <w:r>
                    <w:rPr>
                      <w:b/>
                      <w:kern w:val="0"/>
                      <w:szCs w:val="21"/>
                    </w:rPr>
                    <w:t>mg/L</w:t>
                  </w:r>
                </w:p>
              </w:tc>
              <w:tc>
                <w:tcPr>
                  <w:tcW w:w="1690" w:type="dxa"/>
                  <w:vAlign w:val="center"/>
                </w:tcPr>
                <w:p>
                  <w:pPr>
                    <w:contextualSpacing/>
                    <w:jc w:val="center"/>
                    <w:rPr>
                      <w:b/>
                      <w:kern w:val="0"/>
                      <w:szCs w:val="21"/>
                    </w:rPr>
                  </w:pPr>
                  <w:r>
                    <w:rPr>
                      <w:b/>
                      <w:kern w:val="0"/>
                      <w:szCs w:val="21"/>
                    </w:rPr>
                    <w:t>meq/L</w:t>
                  </w:r>
                </w:p>
              </w:tc>
              <w:tc>
                <w:tcPr>
                  <w:tcW w:w="1691" w:type="dxa"/>
                  <w:vAlign w:val="center"/>
                </w:tcPr>
                <w:p>
                  <w:pPr>
                    <w:contextualSpacing/>
                    <w:jc w:val="center"/>
                    <w:rPr>
                      <w:b/>
                      <w:kern w:val="0"/>
                      <w:szCs w:val="21"/>
                    </w:rPr>
                  </w:pPr>
                  <w:r>
                    <w:rPr>
                      <w:b/>
                      <w:kern w:val="0"/>
                      <w:szCs w:val="21"/>
                    </w:rPr>
                    <w:t>meq%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1631" w:type="dxa"/>
                  <w:vMerge w:val="restart"/>
                  <w:vAlign w:val="center"/>
                </w:tcPr>
                <w:p>
                  <w:pPr>
                    <w:contextualSpacing/>
                    <w:jc w:val="center"/>
                    <w:rPr>
                      <w:b/>
                      <w:kern w:val="0"/>
                      <w:szCs w:val="21"/>
                    </w:rPr>
                  </w:pPr>
                  <w:r>
                    <w:rPr>
                      <w:b/>
                      <w:kern w:val="0"/>
                      <w:szCs w:val="21"/>
                    </w:rPr>
                    <w:t>阳</w:t>
                  </w:r>
                </w:p>
                <w:p>
                  <w:pPr>
                    <w:contextualSpacing/>
                    <w:jc w:val="center"/>
                    <w:rPr>
                      <w:b/>
                      <w:kern w:val="0"/>
                      <w:szCs w:val="21"/>
                    </w:rPr>
                  </w:pPr>
                  <w:r>
                    <w:rPr>
                      <w:b/>
                      <w:kern w:val="0"/>
                      <w:szCs w:val="21"/>
                    </w:rPr>
                    <w:t>离</w:t>
                  </w:r>
                </w:p>
                <w:p>
                  <w:pPr>
                    <w:contextualSpacing/>
                    <w:jc w:val="center"/>
                    <w:rPr>
                      <w:b/>
                      <w:kern w:val="0"/>
                      <w:szCs w:val="21"/>
                    </w:rPr>
                  </w:pPr>
                  <w:r>
                    <w:rPr>
                      <w:b/>
                      <w:kern w:val="0"/>
                      <w:szCs w:val="21"/>
                    </w:rPr>
                    <w:t>子</w:t>
                  </w:r>
                </w:p>
              </w:tc>
              <w:tc>
                <w:tcPr>
                  <w:tcW w:w="1701" w:type="dxa"/>
                  <w:vAlign w:val="center"/>
                </w:tcPr>
                <w:p>
                  <w:pPr>
                    <w:contextualSpacing/>
                    <w:jc w:val="center"/>
                    <w:rPr>
                      <w:kern w:val="0"/>
                      <w:szCs w:val="21"/>
                      <w:vertAlign w:val="superscript"/>
                    </w:rPr>
                  </w:pPr>
                  <w:r>
                    <w:rPr>
                      <w:kern w:val="0"/>
                      <w:szCs w:val="21"/>
                    </w:rPr>
                    <w:t>K</w:t>
                  </w:r>
                  <w:r>
                    <w:rPr>
                      <w:kern w:val="0"/>
                      <w:szCs w:val="21"/>
                      <w:vertAlign w:val="superscript"/>
                    </w:rPr>
                    <w:t>+</w:t>
                  </w:r>
                  <w:r>
                    <w:rPr>
                      <w:kern w:val="0"/>
                      <w:szCs w:val="21"/>
                    </w:rPr>
                    <w:t>+Na</w:t>
                  </w:r>
                  <w:r>
                    <w:rPr>
                      <w:kern w:val="0"/>
                      <w:szCs w:val="21"/>
                      <w:vertAlign w:val="superscript"/>
                    </w:rPr>
                    <w:t>+</w:t>
                  </w:r>
                </w:p>
              </w:tc>
              <w:tc>
                <w:tcPr>
                  <w:tcW w:w="1680" w:type="dxa"/>
                  <w:vAlign w:val="bottom"/>
                </w:tcPr>
                <w:p>
                  <w:pPr>
                    <w:widowControl/>
                    <w:jc w:val="center"/>
                    <w:rPr>
                      <w:kern w:val="0"/>
                      <w:szCs w:val="21"/>
                    </w:rPr>
                  </w:pPr>
                  <w:r>
                    <w:rPr>
                      <w:kern w:val="0"/>
                      <w:szCs w:val="21"/>
                    </w:rPr>
                    <w:t xml:space="preserve">13.90 </w:t>
                  </w:r>
                </w:p>
              </w:tc>
              <w:tc>
                <w:tcPr>
                  <w:tcW w:w="1690" w:type="dxa"/>
                  <w:vAlign w:val="bottom"/>
                </w:tcPr>
                <w:p>
                  <w:pPr>
                    <w:widowControl/>
                    <w:jc w:val="center"/>
                    <w:rPr>
                      <w:kern w:val="0"/>
                      <w:szCs w:val="21"/>
                    </w:rPr>
                  </w:pPr>
                  <w:r>
                    <w:rPr>
                      <w:kern w:val="0"/>
                      <w:szCs w:val="21"/>
                    </w:rPr>
                    <w:t>0.51</w:t>
                  </w:r>
                </w:p>
              </w:tc>
              <w:tc>
                <w:tcPr>
                  <w:tcW w:w="1691" w:type="dxa"/>
                  <w:vAlign w:val="bottom"/>
                </w:tcPr>
                <w:p>
                  <w:pPr>
                    <w:widowControl/>
                    <w:jc w:val="center"/>
                    <w:rPr>
                      <w:kern w:val="0"/>
                      <w:szCs w:val="21"/>
                    </w:rPr>
                  </w:pPr>
                  <w:r>
                    <w:rPr>
                      <w:kern w:val="0"/>
                      <w:szCs w:val="21"/>
                    </w:rPr>
                    <w:t>17.43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1" w:hRule="atLeast"/>
                <w:jc w:val="center"/>
              </w:trPr>
              <w:tc>
                <w:tcPr>
                  <w:tcW w:w="1631" w:type="dxa"/>
                  <w:vMerge w:val="continue"/>
                  <w:vAlign w:val="center"/>
                </w:tcPr>
                <w:p>
                  <w:pPr>
                    <w:contextualSpacing/>
                    <w:jc w:val="center"/>
                    <w:rPr>
                      <w:b/>
                      <w:kern w:val="0"/>
                      <w:szCs w:val="21"/>
                    </w:rPr>
                  </w:pPr>
                </w:p>
              </w:tc>
              <w:tc>
                <w:tcPr>
                  <w:tcW w:w="1701" w:type="dxa"/>
                  <w:vAlign w:val="center"/>
                </w:tcPr>
                <w:p>
                  <w:pPr>
                    <w:contextualSpacing/>
                    <w:jc w:val="center"/>
                    <w:rPr>
                      <w:kern w:val="0"/>
                      <w:szCs w:val="21"/>
                    </w:rPr>
                  </w:pPr>
                  <w:r>
                    <w:rPr>
                      <w:kern w:val="0"/>
                      <w:szCs w:val="21"/>
                    </w:rPr>
                    <w:t>Ca</w:t>
                  </w:r>
                  <w:r>
                    <w:rPr>
                      <w:kern w:val="0"/>
                      <w:szCs w:val="21"/>
                      <w:vertAlign w:val="superscript"/>
                    </w:rPr>
                    <w:t>2+</w:t>
                  </w:r>
                </w:p>
              </w:tc>
              <w:tc>
                <w:tcPr>
                  <w:tcW w:w="1680" w:type="dxa"/>
                  <w:vAlign w:val="center"/>
                </w:tcPr>
                <w:p>
                  <w:pPr>
                    <w:widowControl/>
                    <w:jc w:val="center"/>
                    <w:rPr>
                      <w:kern w:val="0"/>
                      <w:szCs w:val="21"/>
                    </w:rPr>
                  </w:pPr>
                  <w:r>
                    <w:rPr>
                      <w:kern w:val="0"/>
                      <w:szCs w:val="21"/>
                    </w:rPr>
                    <w:t>32.8</w:t>
                  </w:r>
                </w:p>
              </w:tc>
              <w:tc>
                <w:tcPr>
                  <w:tcW w:w="1690" w:type="dxa"/>
                  <w:vAlign w:val="bottom"/>
                </w:tcPr>
                <w:p>
                  <w:pPr>
                    <w:widowControl/>
                    <w:jc w:val="center"/>
                    <w:rPr>
                      <w:kern w:val="0"/>
                      <w:szCs w:val="21"/>
                    </w:rPr>
                  </w:pPr>
                  <w:r>
                    <w:rPr>
                      <w:kern w:val="0"/>
                      <w:szCs w:val="21"/>
                    </w:rPr>
                    <w:t>1.64</w:t>
                  </w:r>
                </w:p>
              </w:tc>
              <w:tc>
                <w:tcPr>
                  <w:tcW w:w="1691" w:type="dxa"/>
                  <w:vAlign w:val="bottom"/>
                </w:tcPr>
                <w:p>
                  <w:pPr>
                    <w:widowControl/>
                    <w:jc w:val="center"/>
                    <w:rPr>
                      <w:kern w:val="0"/>
                      <w:szCs w:val="21"/>
                    </w:rPr>
                  </w:pPr>
                  <w:r>
                    <w:rPr>
                      <w:kern w:val="0"/>
                      <w:szCs w:val="21"/>
                    </w:rPr>
                    <w:t>55.69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1" w:hRule="atLeast"/>
                <w:jc w:val="center"/>
              </w:trPr>
              <w:tc>
                <w:tcPr>
                  <w:tcW w:w="1631" w:type="dxa"/>
                  <w:vMerge w:val="continue"/>
                  <w:vAlign w:val="center"/>
                </w:tcPr>
                <w:p>
                  <w:pPr>
                    <w:contextualSpacing/>
                    <w:jc w:val="center"/>
                    <w:rPr>
                      <w:b/>
                      <w:kern w:val="0"/>
                      <w:szCs w:val="21"/>
                    </w:rPr>
                  </w:pPr>
                </w:p>
              </w:tc>
              <w:tc>
                <w:tcPr>
                  <w:tcW w:w="1701" w:type="dxa"/>
                  <w:vAlign w:val="center"/>
                </w:tcPr>
                <w:p>
                  <w:pPr>
                    <w:contextualSpacing/>
                    <w:jc w:val="center"/>
                    <w:rPr>
                      <w:kern w:val="0"/>
                      <w:szCs w:val="21"/>
                    </w:rPr>
                  </w:pPr>
                  <w:r>
                    <w:rPr>
                      <w:kern w:val="0"/>
                      <w:szCs w:val="21"/>
                    </w:rPr>
                    <w:t>Mg</w:t>
                  </w:r>
                  <w:r>
                    <w:rPr>
                      <w:kern w:val="0"/>
                      <w:szCs w:val="21"/>
                      <w:vertAlign w:val="superscript"/>
                    </w:rPr>
                    <w:t>2+</w:t>
                  </w:r>
                </w:p>
              </w:tc>
              <w:tc>
                <w:tcPr>
                  <w:tcW w:w="1680" w:type="dxa"/>
                  <w:vAlign w:val="center"/>
                </w:tcPr>
                <w:p>
                  <w:pPr>
                    <w:widowControl/>
                    <w:jc w:val="center"/>
                    <w:rPr>
                      <w:kern w:val="0"/>
                      <w:szCs w:val="21"/>
                    </w:rPr>
                  </w:pPr>
                  <w:r>
                    <w:rPr>
                      <w:kern w:val="0"/>
                      <w:szCs w:val="21"/>
                    </w:rPr>
                    <w:t>9.5</w:t>
                  </w:r>
                </w:p>
              </w:tc>
              <w:tc>
                <w:tcPr>
                  <w:tcW w:w="1690" w:type="dxa"/>
                  <w:vAlign w:val="bottom"/>
                </w:tcPr>
                <w:p>
                  <w:pPr>
                    <w:widowControl/>
                    <w:jc w:val="center"/>
                    <w:rPr>
                      <w:kern w:val="0"/>
                      <w:szCs w:val="21"/>
                    </w:rPr>
                  </w:pPr>
                  <w:r>
                    <w:rPr>
                      <w:kern w:val="0"/>
                      <w:szCs w:val="21"/>
                    </w:rPr>
                    <w:t>0.79</w:t>
                  </w:r>
                </w:p>
              </w:tc>
              <w:tc>
                <w:tcPr>
                  <w:tcW w:w="1691" w:type="dxa"/>
                  <w:vAlign w:val="bottom"/>
                </w:tcPr>
                <w:p>
                  <w:pPr>
                    <w:widowControl/>
                    <w:jc w:val="center"/>
                    <w:rPr>
                      <w:kern w:val="0"/>
                      <w:szCs w:val="21"/>
                    </w:rPr>
                  </w:pPr>
                  <w:r>
                    <w:rPr>
                      <w:kern w:val="0"/>
                      <w:szCs w:val="21"/>
                    </w:rPr>
                    <w:t>26.88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1" w:type="dxa"/>
                  <w:vMerge w:val="continue"/>
                  <w:vAlign w:val="center"/>
                </w:tcPr>
                <w:p>
                  <w:pPr>
                    <w:contextualSpacing/>
                    <w:jc w:val="center"/>
                    <w:rPr>
                      <w:b/>
                      <w:kern w:val="0"/>
                      <w:szCs w:val="21"/>
                    </w:rPr>
                  </w:pPr>
                </w:p>
              </w:tc>
              <w:tc>
                <w:tcPr>
                  <w:tcW w:w="1701" w:type="dxa"/>
                  <w:vAlign w:val="center"/>
                </w:tcPr>
                <w:p>
                  <w:pPr>
                    <w:contextualSpacing/>
                    <w:jc w:val="center"/>
                    <w:rPr>
                      <w:kern w:val="0"/>
                      <w:szCs w:val="21"/>
                    </w:rPr>
                  </w:pPr>
                  <w:r>
                    <w:rPr>
                      <w:kern w:val="0"/>
                      <w:szCs w:val="21"/>
                    </w:rPr>
                    <w:t>总计</w:t>
                  </w:r>
                </w:p>
              </w:tc>
              <w:tc>
                <w:tcPr>
                  <w:tcW w:w="1680" w:type="dxa"/>
                  <w:vAlign w:val="bottom"/>
                </w:tcPr>
                <w:p>
                  <w:pPr>
                    <w:widowControl/>
                    <w:jc w:val="center"/>
                    <w:rPr>
                      <w:kern w:val="0"/>
                      <w:szCs w:val="21"/>
                    </w:rPr>
                  </w:pPr>
                  <w:r>
                    <w:rPr>
                      <w:kern w:val="0"/>
                      <w:szCs w:val="21"/>
                    </w:rPr>
                    <w:t xml:space="preserve">56.20 </w:t>
                  </w:r>
                </w:p>
              </w:tc>
              <w:tc>
                <w:tcPr>
                  <w:tcW w:w="1690" w:type="dxa"/>
                  <w:vAlign w:val="bottom"/>
                </w:tcPr>
                <w:p>
                  <w:pPr>
                    <w:widowControl/>
                    <w:jc w:val="center"/>
                    <w:rPr>
                      <w:kern w:val="0"/>
                      <w:szCs w:val="21"/>
                    </w:rPr>
                  </w:pPr>
                  <w:r>
                    <w:rPr>
                      <w:kern w:val="0"/>
                      <w:szCs w:val="21"/>
                    </w:rPr>
                    <w:t>2.95</w:t>
                  </w:r>
                </w:p>
              </w:tc>
              <w:tc>
                <w:tcPr>
                  <w:tcW w:w="1691" w:type="dxa"/>
                  <w:vAlign w:val="bottom"/>
                </w:tcPr>
                <w:p>
                  <w:pPr>
                    <w:widowControl/>
                    <w:jc w:val="center"/>
                    <w:rPr>
                      <w:kern w:val="0"/>
                      <w:szCs w:val="21"/>
                    </w:rPr>
                  </w:pPr>
                  <w:r>
                    <w:rPr>
                      <w:kern w:val="0"/>
                      <w:szCs w:val="21"/>
                    </w:rPr>
                    <w:t>100.00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1631" w:type="dxa"/>
                  <w:vMerge w:val="restart"/>
                  <w:vAlign w:val="center"/>
                </w:tcPr>
                <w:p>
                  <w:pPr>
                    <w:contextualSpacing/>
                    <w:jc w:val="center"/>
                    <w:rPr>
                      <w:b/>
                      <w:kern w:val="0"/>
                      <w:szCs w:val="21"/>
                    </w:rPr>
                  </w:pPr>
                  <w:r>
                    <w:rPr>
                      <w:b/>
                      <w:kern w:val="0"/>
                      <w:szCs w:val="21"/>
                    </w:rPr>
                    <w:t>阴</w:t>
                  </w:r>
                </w:p>
                <w:p>
                  <w:pPr>
                    <w:contextualSpacing/>
                    <w:jc w:val="center"/>
                    <w:rPr>
                      <w:b/>
                      <w:kern w:val="0"/>
                      <w:szCs w:val="21"/>
                    </w:rPr>
                  </w:pPr>
                  <w:r>
                    <w:rPr>
                      <w:b/>
                      <w:kern w:val="0"/>
                      <w:szCs w:val="21"/>
                    </w:rPr>
                    <w:t>离</w:t>
                  </w:r>
                </w:p>
                <w:p>
                  <w:pPr>
                    <w:contextualSpacing/>
                    <w:jc w:val="center"/>
                    <w:rPr>
                      <w:b/>
                      <w:kern w:val="0"/>
                      <w:szCs w:val="21"/>
                    </w:rPr>
                  </w:pPr>
                  <w:r>
                    <w:rPr>
                      <w:b/>
                      <w:kern w:val="0"/>
                      <w:szCs w:val="21"/>
                    </w:rPr>
                    <w:t>子</w:t>
                  </w:r>
                </w:p>
              </w:tc>
              <w:tc>
                <w:tcPr>
                  <w:tcW w:w="1701" w:type="dxa"/>
                  <w:vAlign w:val="center"/>
                </w:tcPr>
                <w:p>
                  <w:pPr>
                    <w:contextualSpacing/>
                    <w:jc w:val="center"/>
                    <w:rPr>
                      <w:kern w:val="0"/>
                      <w:szCs w:val="21"/>
                    </w:rPr>
                  </w:pPr>
                  <w:r>
                    <w:rPr>
                      <w:kern w:val="0"/>
                      <w:szCs w:val="21"/>
                    </w:rPr>
                    <w:t>HCO</w:t>
                  </w:r>
                  <w:r>
                    <w:rPr>
                      <w:kern w:val="0"/>
                      <w:szCs w:val="21"/>
                      <w:vertAlign w:val="subscript"/>
                    </w:rPr>
                    <w:t>3</w:t>
                  </w:r>
                  <w:r>
                    <w:rPr>
                      <w:kern w:val="0"/>
                      <w:szCs w:val="21"/>
                      <w:vertAlign w:val="superscript"/>
                    </w:rPr>
                    <w:t>-</w:t>
                  </w:r>
                </w:p>
              </w:tc>
              <w:tc>
                <w:tcPr>
                  <w:tcW w:w="1680" w:type="dxa"/>
                  <w:vAlign w:val="center"/>
                </w:tcPr>
                <w:p>
                  <w:pPr>
                    <w:widowControl/>
                    <w:jc w:val="center"/>
                    <w:rPr>
                      <w:kern w:val="0"/>
                      <w:szCs w:val="21"/>
                    </w:rPr>
                  </w:pPr>
                  <w:r>
                    <w:rPr>
                      <w:kern w:val="0"/>
                      <w:szCs w:val="21"/>
                    </w:rPr>
                    <w:t>163</w:t>
                  </w:r>
                </w:p>
              </w:tc>
              <w:tc>
                <w:tcPr>
                  <w:tcW w:w="1690" w:type="dxa"/>
                  <w:vAlign w:val="bottom"/>
                </w:tcPr>
                <w:p>
                  <w:pPr>
                    <w:widowControl/>
                    <w:jc w:val="center"/>
                    <w:rPr>
                      <w:kern w:val="0"/>
                      <w:szCs w:val="21"/>
                    </w:rPr>
                  </w:pPr>
                  <w:r>
                    <w:rPr>
                      <w:kern w:val="0"/>
                      <w:szCs w:val="21"/>
                    </w:rPr>
                    <w:t>2.67</w:t>
                  </w:r>
                </w:p>
              </w:tc>
              <w:tc>
                <w:tcPr>
                  <w:tcW w:w="1691" w:type="dxa"/>
                  <w:vAlign w:val="bottom"/>
                </w:tcPr>
                <w:p>
                  <w:pPr>
                    <w:widowControl/>
                    <w:jc w:val="center"/>
                    <w:rPr>
                      <w:kern w:val="0"/>
                      <w:szCs w:val="21"/>
                    </w:rPr>
                  </w:pPr>
                  <w:r>
                    <w:rPr>
                      <w:kern w:val="0"/>
                      <w:szCs w:val="21"/>
                    </w:rPr>
                    <w:t>89.15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1631" w:type="dxa"/>
                  <w:vMerge w:val="continue"/>
                  <w:vAlign w:val="center"/>
                </w:tcPr>
                <w:p>
                  <w:pPr>
                    <w:contextualSpacing/>
                    <w:jc w:val="center"/>
                    <w:rPr>
                      <w:b/>
                      <w:kern w:val="0"/>
                      <w:szCs w:val="21"/>
                    </w:rPr>
                  </w:pPr>
                </w:p>
              </w:tc>
              <w:tc>
                <w:tcPr>
                  <w:tcW w:w="1701" w:type="dxa"/>
                  <w:vAlign w:val="center"/>
                </w:tcPr>
                <w:p>
                  <w:pPr>
                    <w:contextualSpacing/>
                    <w:jc w:val="center"/>
                    <w:rPr>
                      <w:kern w:val="0"/>
                      <w:szCs w:val="21"/>
                      <w:vertAlign w:val="superscript"/>
                    </w:rPr>
                  </w:pPr>
                  <w:r>
                    <w:rPr>
                      <w:kern w:val="0"/>
                      <w:szCs w:val="21"/>
                    </w:rPr>
                    <w:t>Cl</w:t>
                  </w:r>
                  <w:r>
                    <w:rPr>
                      <w:kern w:val="0"/>
                      <w:szCs w:val="21"/>
                      <w:vertAlign w:val="superscript"/>
                    </w:rPr>
                    <w:t>-</w:t>
                  </w:r>
                </w:p>
              </w:tc>
              <w:tc>
                <w:tcPr>
                  <w:tcW w:w="1680" w:type="dxa"/>
                  <w:vAlign w:val="center"/>
                </w:tcPr>
                <w:p>
                  <w:pPr>
                    <w:widowControl/>
                    <w:jc w:val="center"/>
                    <w:rPr>
                      <w:kern w:val="0"/>
                      <w:szCs w:val="21"/>
                    </w:rPr>
                  </w:pPr>
                  <w:r>
                    <w:rPr>
                      <w:kern w:val="0"/>
                      <w:szCs w:val="21"/>
                    </w:rPr>
                    <w:t>6.68</w:t>
                  </w:r>
                </w:p>
              </w:tc>
              <w:tc>
                <w:tcPr>
                  <w:tcW w:w="1690" w:type="dxa"/>
                  <w:vAlign w:val="bottom"/>
                </w:tcPr>
                <w:p>
                  <w:pPr>
                    <w:widowControl/>
                    <w:jc w:val="center"/>
                    <w:rPr>
                      <w:kern w:val="0"/>
                      <w:szCs w:val="21"/>
                    </w:rPr>
                  </w:pPr>
                  <w:r>
                    <w:rPr>
                      <w:kern w:val="0"/>
                      <w:szCs w:val="21"/>
                    </w:rPr>
                    <w:t>0.19</w:t>
                  </w:r>
                </w:p>
              </w:tc>
              <w:tc>
                <w:tcPr>
                  <w:tcW w:w="1691" w:type="dxa"/>
                  <w:vAlign w:val="bottom"/>
                </w:tcPr>
                <w:p>
                  <w:pPr>
                    <w:widowControl/>
                    <w:jc w:val="center"/>
                    <w:rPr>
                      <w:kern w:val="0"/>
                      <w:szCs w:val="21"/>
                    </w:rPr>
                  </w:pPr>
                  <w:r>
                    <w:rPr>
                      <w:kern w:val="0"/>
                      <w:szCs w:val="21"/>
                    </w:rPr>
                    <w:t>6.28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1" w:hRule="atLeast"/>
                <w:jc w:val="center"/>
              </w:trPr>
              <w:tc>
                <w:tcPr>
                  <w:tcW w:w="1631" w:type="dxa"/>
                  <w:vMerge w:val="continue"/>
                  <w:vAlign w:val="center"/>
                </w:tcPr>
                <w:p>
                  <w:pPr>
                    <w:contextualSpacing/>
                    <w:jc w:val="center"/>
                    <w:rPr>
                      <w:b/>
                      <w:kern w:val="0"/>
                      <w:szCs w:val="21"/>
                    </w:rPr>
                  </w:pPr>
                </w:p>
              </w:tc>
              <w:tc>
                <w:tcPr>
                  <w:tcW w:w="1701" w:type="dxa"/>
                  <w:vAlign w:val="center"/>
                </w:tcPr>
                <w:p>
                  <w:pPr>
                    <w:contextualSpacing/>
                    <w:jc w:val="center"/>
                    <w:rPr>
                      <w:kern w:val="0"/>
                      <w:szCs w:val="21"/>
                      <w:vertAlign w:val="superscript"/>
                    </w:rPr>
                  </w:pPr>
                  <w:r>
                    <w:rPr>
                      <w:kern w:val="0"/>
                      <w:szCs w:val="21"/>
                    </w:rPr>
                    <w:t>SO</w:t>
                  </w:r>
                  <w:r>
                    <w:rPr>
                      <w:kern w:val="0"/>
                      <w:szCs w:val="21"/>
                      <w:vertAlign w:val="subscript"/>
                    </w:rPr>
                    <w:t>4</w:t>
                  </w:r>
                  <w:r>
                    <w:rPr>
                      <w:kern w:val="0"/>
                      <w:szCs w:val="21"/>
                      <w:vertAlign w:val="superscript"/>
                    </w:rPr>
                    <w:t>2-</w:t>
                  </w:r>
                </w:p>
              </w:tc>
              <w:tc>
                <w:tcPr>
                  <w:tcW w:w="1680" w:type="dxa"/>
                  <w:vAlign w:val="center"/>
                </w:tcPr>
                <w:p>
                  <w:pPr>
                    <w:widowControl/>
                    <w:jc w:val="center"/>
                    <w:rPr>
                      <w:kern w:val="0"/>
                      <w:szCs w:val="21"/>
                    </w:rPr>
                  </w:pPr>
                  <w:r>
                    <w:rPr>
                      <w:kern w:val="0"/>
                      <w:szCs w:val="21"/>
                    </w:rPr>
                    <w:t>6.57</w:t>
                  </w:r>
                </w:p>
              </w:tc>
              <w:tc>
                <w:tcPr>
                  <w:tcW w:w="1690" w:type="dxa"/>
                  <w:vAlign w:val="bottom"/>
                </w:tcPr>
                <w:p>
                  <w:pPr>
                    <w:widowControl/>
                    <w:jc w:val="center"/>
                    <w:rPr>
                      <w:kern w:val="0"/>
                      <w:szCs w:val="21"/>
                    </w:rPr>
                  </w:pPr>
                  <w:r>
                    <w:rPr>
                      <w:kern w:val="0"/>
                      <w:szCs w:val="21"/>
                    </w:rPr>
                    <w:t>0.14</w:t>
                  </w:r>
                </w:p>
              </w:tc>
              <w:tc>
                <w:tcPr>
                  <w:tcW w:w="1691" w:type="dxa"/>
                  <w:vAlign w:val="bottom"/>
                </w:tcPr>
                <w:p>
                  <w:pPr>
                    <w:widowControl/>
                    <w:jc w:val="center"/>
                    <w:rPr>
                      <w:kern w:val="0"/>
                      <w:szCs w:val="21"/>
                    </w:rPr>
                  </w:pPr>
                  <w:r>
                    <w:rPr>
                      <w:kern w:val="0"/>
                      <w:szCs w:val="21"/>
                    </w:rPr>
                    <w:t>4.57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31" w:type="dxa"/>
                  <w:vMerge w:val="continue"/>
                  <w:vAlign w:val="center"/>
                </w:tcPr>
                <w:p>
                  <w:pPr>
                    <w:contextualSpacing/>
                    <w:jc w:val="center"/>
                    <w:rPr>
                      <w:b/>
                      <w:kern w:val="0"/>
                      <w:szCs w:val="21"/>
                    </w:rPr>
                  </w:pPr>
                </w:p>
              </w:tc>
              <w:tc>
                <w:tcPr>
                  <w:tcW w:w="1701" w:type="dxa"/>
                  <w:vAlign w:val="center"/>
                </w:tcPr>
                <w:p>
                  <w:pPr>
                    <w:contextualSpacing/>
                    <w:jc w:val="center"/>
                    <w:rPr>
                      <w:kern w:val="0"/>
                      <w:szCs w:val="21"/>
                    </w:rPr>
                  </w:pPr>
                  <w:r>
                    <w:rPr>
                      <w:kern w:val="0"/>
                      <w:szCs w:val="21"/>
                    </w:rPr>
                    <w:t>总计</w:t>
                  </w:r>
                </w:p>
              </w:tc>
              <w:tc>
                <w:tcPr>
                  <w:tcW w:w="1680" w:type="dxa"/>
                  <w:vAlign w:val="bottom"/>
                </w:tcPr>
                <w:p>
                  <w:pPr>
                    <w:widowControl/>
                    <w:jc w:val="center"/>
                    <w:rPr>
                      <w:kern w:val="0"/>
                      <w:szCs w:val="21"/>
                    </w:rPr>
                  </w:pPr>
                  <w:r>
                    <w:rPr>
                      <w:kern w:val="0"/>
                      <w:szCs w:val="21"/>
                    </w:rPr>
                    <w:t>176.25</w:t>
                  </w:r>
                </w:p>
              </w:tc>
              <w:tc>
                <w:tcPr>
                  <w:tcW w:w="1690" w:type="dxa"/>
                  <w:vAlign w:val="bottom"/>
                </w:tcPr>
                <w:p>
                  <w:pPr>
                    <w:widowControl/>
                    <w:jc w:val="center"/>
                    <w:rPr>
                      <w:kern w:val="0"/>
                      <w:szCs w:val="21"/>
                    </w:rPr>
                  </w:pPr>
                  <w:r>
                    <w:rPr>
                      <w:kern w:val="0"/>
                      <w:szCs w:val="21"/>
                    </w:rPr>
                    <w:t xml:space="preserve">3.00 </w:t>
                  </w:r>
                </w:p>
              </w:tc>
              <w:tc>
                <w:tcPr>
                  <w:tcW w:w="1691" w:type="dxa"/>
                  <w:vAlign w:val="bottom"/>
                </w:tcPr>
                <w:p>
                  <w:pPr>
                    <w:widowControl/>
                    <w:jc w:val="center"/>
                    <w:rPr>
                      <w:kern w:val="0"/>
                      <w:szCs w:val="21"/>
                    </w:rPr>
                  </w:pPr>
                  <w:r>
                    <w:rPr>
                      <w:kern w:val="0"/>
                      <w:szCs w:val="21"/>
                    </w:rPr>
                    <w:t xml:space="preserve">100.00 </w:t>
                  </w:r>
                </w:p>
              </w:tc>
            </w:tr>
          </w:tbl>
          <w:p>
            <w:pPr>
              <w:spacing w:line="360" w:lineRule="auto"/>
              <w:ind w:firstLine="480" w:firstLineChars="200"/>
              <w:rPr>
                <w:sz w:val="24"/>
              </w:rPr>
            </w:pPr>
            <w:r>
              <w:rPr>
                <w:sz w:val="24"/>
              </w:rPr>
              <w:t>对阴阳离子平衡关系进行检测可采用以下公式进行计算：</w:t>
            </w:r>
          </w:p>
          <w:p>
            <w:pPr>
              <w:spacing w:line="360" w:lineRule="auto"/>
              <w:jc w:val="center"/>
              <w:rPr>
                <w:smallCaps/>
                <w:kern w:val="0"/>
                <w:sz w:val="20"/>
                <w:szCs w:val="20"/>
              </w:rPr>
            </w:pPr>
            <w:r>
              <w:rPr>
                <w:smallCaps/>
                <w:kern w:val="0"/>
                <w:sz w:val="20"/>
              </w:rPr>
              <w:drawing>
                <wp:inline distT="0" distB="0" distL="0" distR="0">
                  <wp:extent cx="1780540" cy="447040"/>
                  <wp:effectExtent l="0" t="0" r="0" b="0"/>
                  <wp:docPr id="24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780540" cy="447040"/>
                          </a:xfrm>
                          <a:prstGeom prst="rect">
                            <a:avLst/>
                          </a:prstGeom>
                          <a:noFill/>
                          <a:ln>
                            <a:noFill/>
                          </a:ln>
                          <a:effectLst/>
                        </pic:spPr>
                      </pic:pic>
                    </a:graphicData>
                  </a:graphic>
                </wp:inline>
              </w:drawing>
            </w:r>
          </w:p>
          <w:p>
            <w:pPr>
              <w:spacing w:line="360" w:lineRule="auto"/>
              <w:ind w:firstLine="480" w:firstLineChars="200"/>
              <w:rPr>
                <w:sz w:val="24"/>
              </w:rPr>
            </w:pPr>
            <w:r>
              <w:rPr>
                <w:sz w:val="24"/>
              </w:rPr>
              <w:t>其中：mc为阳离子当量，ma为阴离子当量</w:t>
            </w:r>
          </w:p>
          <w:p>
            <w:pPr>
              <w:spacing w:line="360" w:lineRule="auto"/>
              <w:ind w:firstLine="480" w:firstLineChars="200"/>
              <w:rPr>
                <w:sz w:val="24"/>
              </w:rPr>
            </w:pPr>
            <w:r>
              <w:rPr>
                <w:sz w:val="24"/>
              </w:rPr>
              <w:t>m=质量浓度/分子量*离子价</w:t>
            </w:r>
          </w:p>
          <w:p>
            <w:pPr>
              <w:spacing w:line="360" w:lineRule="auto"/>
              <w:ind w:firstLine="480" w:firstLineChars="200"/>
              <w:rPr>
                <w:sz w:val="24"/>
              </w:rPr>
            </w:pPr>
            <w:r>
              <w:rPr>
                <w:sz w:val="24"/>
              </w:rPr>
              <w:t>对于一份监测报告，E小于等于5%可以认为监测报告数据更加准确。项目区现状地下水监测数据阴阳离子平衡计算成果见下表。由分析结果可知，各监测数据阴阳离子平衡E值均在5%以内，故认为监测数据准确。</w:t>
            </w:r>
          </w:p>
          <w:p>
            <w:pPr>
              <w:spacing w:line="360" w:lineRule="auto"/>
              <w:jc w:val="center"/>
              <w:rPr>
                <w:b/>
                <w:sz w:val="24"/>
              </w:rPr>
            </w:pPr>
            <w:r>
              <w:rPr>
                <w:b/>
                <w:sz w:val="24"/>
              </w:rPr>
              <w:t>表</w:t>
            </w:r>
            <w:r>
              <w:rPr>
                <w:rFonts w:hint="eastAsia"/>
                <w:b/>
                <w:sz w:val="24"/>
              </w:rPr>
              <w:t xml:space="preserve">3-7 </w:t>
            </w:r>
            <w:r>
              <w:rPr>
                <w:b/>
                <w:sz w:val="24"/>
              </w:rPr>
              <w:t>阴阳离子平衡关系计算成果表</w:t>
            </w:r>
          </w:p>
          <w:tbl>
            <w:tblPr>
              <w:tblStyle w:val="21"/>
              <w:tblW w:w="789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72"/>
              <w:gridCol w:w="47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8" w:hRule="atLeast"/>
                <w:jc w:val="center"/>
              </w:trPr>
              <w:tc>
                <w:tcPr>
                  <w:tcW w:w="3172" w:type="dxa"/>
                  <w:tcBorders>
                    <w:tl2br w:val="nil"/>
                    <w:tr2bl w:val="nil"/>
                  </w:tcBorders>
                  <w:vAlign w:val="center"/>
                </w:tcPr>
                <w:p>
                  <w:pPr>
                    <w:widowControl/>
                    <w:jc w:val="center"/>
                    <w:rPr>
                      <w:szCs w:val="21"/>
                    </w:rPr>
                  </w:pPr>
                  <w:r>
                    <w:rPr>
                      <w:szCs w:val="21"/>
                    </w:rPr>
                    <w:t>离子当量</w:t>
                  </w:r>
                </w:p>
              </w:tc>
              <w:tc>
                <w:tcPr>
                  <w:tcW w:w="4726" w:type="dxa"/>
                  <w:tcBorders>
                    <w:tl2br w:val="nil"/>
                    <w:tr2bl w:val="nil"/>
                  </w:tcBorders>
                  <w:vAlign w:val="center"/>
                </w:tcPr>
                <w:p>
                  <w:pPr>
                    <w:widowControl/>
                    <w:jc w:val="center"/>
                    <w:rPr>
                      <w:szCs w:val="21"/>
                    </w:rPr>
                  </w:pPr>
                  <w:r>
                    <w:rPr>
                      <w:szCs w:val="21"/>
                    </w:rPr>
                    <w:t>1</w:t>
                  </w:r>
                  <w:r>
                    <w:rPr>
                      <w:rFonts w:hint="eastAsia" w:ascii="宋体" w:hAnsi="宋体" w:cs="宋体"/>
                      <w:b/>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3" w:hRule="atLeast"/>
                <w:jc w:val="center"/>
              </w:trPr>
              <w:tc>
                <w:tcPr>
                  <w:tcW w:w="3172" w:type="dxa"/>
                  <w:tcBorders>
                    <w:tl2br w:val="nil"/>
                    <w:tr2bl w:val="nil"/>
                  </w:tcBorders>
                  <w:vAlign w:val="center"/>
                </w:tcPr>
                <w:p>
                  <w:pPr>
                    <w:widowControl/>
                    <w:jc w:val="center"/>
                    <w:rPr>
                      <w:kern w:val="0"/>
                      <w:szCs w:val="21"/>
                    </w:rPr>
                  </w:pPr>
                  <w:r>
                    <w:rPr>
                      <w:kern w:val="0"/>
                      <w:szCs w:val="21"/>
                    </w:rPr>
                    <w:t>Σmc</w:t>
                  </w:r>
                </w:p>
              </w:tc>
              <w:tc>
                <w:tcPr>
                  <w:tcW w:w="4726" w:type="dxa"/>
                  <w:tcBorders>
                    <w:tl2br w:val="nil"/>
                    <w:tr2bl w:val="nil"/>
                  </w:tcBorders>
                  <w:vAlign w:val="center"/>
                </w:tcPr>
                <w:p>
                  <w:pPr>
                    <w:widowControl/>
                    <w:jc w:val="center"/>
                    <w:rPr>
                      <w:kern w:val="0"/>
                      <w:szCs w:val="21"/>
                    </w:rPr>
                  </w:pPr>
                  <w:r>
                    <w:rPr>
                      <w:rFonts w:hint="eastAsia"/>
                      <w:kern w:val="0"/>
                      <w:szCs w:val="21"/>
                    </w:rPr>
                    <w:t>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3" w:hRule="atLeast"/>
                <w:jc w:val="center"/>
              </w:trPr>
              <w:tc>
                <w:tcPr>
                  <w:tcW w:w="3172" w:type="dxa"/>
                  <w:tcBorders>
                    <w:tl2br w:val="nil"/>
                    <w:tr2bl w:val="nil"/>
                  </w:tcBorders>
                  <w:vAlign w:val="center"/>
                </w:tcPr>
                <w:p>
                  <w:pPr>
                    <w:widowControl/>
                    <w:jc w:val="center"/>
                    <w:rPr>
                      <w:kern w:val="0"/>
                      <w:szCs w:val="21"/>
                    </w:rPr>
                  </w:pPr>
                  <w:r>
                    <w:rPr>
                      <w:kern w:val="0"/>
                      <w:szCs w:val="21"/>
                    </w:rPr>
                    <w:t>Σma</w:t>
                  </w:r>
                </w:p>
              </w:tc>
              <w:tc>
                <w:tcPr>
                  <w:tcW w:w="4726" w:type="dxa"/>
                  <w:tcBorders>
                    <w:tl2br w:val="nil"/>
                    <w:tr2bl w:val="nil"/>
                  </w:tcBorders>
                  <w:vAlign w:val="center"/>
                </w:tcPr>
                <w:p>
                  <w:pPr>
                    <w:widowControl/>
                    <w:jc w:val="center"/>
                    <w:rPr>
                      <w:kern w:val="0"/>
                      <w:szCs w:val="21"/>
                    </w:rPr>
                  </w:pPr>
                  <w:r>
                    <w:rPr>
                      <w:rFonts w:hint="eastAsia"/>
                      <w:kern w:val="0"/>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8" w:hRule="atLeast"/>
                <w:jc w:val="center"/>
              </w:trPr>
              <w:tc>
                <w:tcPr>
                  <w:tcW w:w="3172" w:type="dxa"/>
                  <w:tcBorders>
                    <w:tl2br w:val="nil"/>
                    <w:tr2bl w:val="nil"/>
                  </w:tcBorders>
                  <w:vAlign w:val="center"/>
                </w:tcPr>
                <w:p>
                  <w:pPr>
                    <w:widowControl/>
                    <w:jc w:val="center"/>
                    <w:rPr>
                      <w:kern w:val="0"/>
                      <w:szCs w:val="21"/>
                    </w:rPr>
                  </w:pPr>
                  <w:r>
                    <w:rPr>
                      <w:kern w:val="0"/>
                      <w:szCs w:val="21"/>
                    </w:rPr>
                    <w:t>E值（%）</w:t>
                  </w:r>
                </w:p>
              </w:tc>
              <w:tc>
                <w:tcPr>
                  <w:tcW w:w="4726" w:type="dxa"/>
                  <w:tcBorders>
                    <w:tl2br w:val="nil"/>
                    <w:tr2bl w:val="nil"/>
                  </w:tcBorders>
                  <w:vAlign w:val="center"/>
                </w:tcPr>
                <w:p>
                  <w:pPr>
                    <w:widowControl/>
                    <w:jc w:val="center"/>
                    <w:rPr>
                      <w:kern w:val="0"/>
                      <w:szCs w:val="21"/>
                    </w:rPr>
                  </w:pPr>
                  <w:r>
                    <w:rPr>
                      <w:rFonts w:hint="eastAsia"/>
                      <w:kern w:val="0"/>
                      <w:szCs w:val="21"/>
                    </w:rPr>
                    <w:t>-0.84</w:t>
                  </w:r>
                </w:p>
              </w:tc>
            </w:tr>
          </w:tbl>
          <w:p>
            <w:pPr>
              <w:spacing w:line="360" w:lineRule="auto"/>
              <w:ind w:firstLine="480" w:firstLineChars="200"/>
              <w:contextualSpacing/>
              <w:jc w:val="left"/>
              <w:rPr>
                <w:rFonts w:eastAsiaTheme="minorEastAsia"/>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52" w:type="dxa"/>
            <w:vAlign w:val="center"/>
          </w:tcPr>
          <w:p>
            <w:pPr>
              <w:adjustRightInd w:val="0"/>
              <w:snapToGrid w:val="0"/>
              <w:jc w:val="center"/>
              <w:rPr>
                <w:rFonts w:eastAsiaTheme="minorEastAsia"/>
                <w:kern w:val="0"/>
                <w:sz w:val="24"/>
              </w:rPr>
            </w:pPr>
            <w:r>
              <w:rPr>
                <w:rFonts w:hint="eastAsia" w:eastAsiaTheme="minorEastAsia"/>
                <w:kern w:val="0"/>
                <w:sz w:val="24"/>
              </w:rPr>
              <w:t>环境</w:t>
            </w:r>
          </w:p>
          <w:p>
            <w:pPr>
              <w:adjustRightInd w:val="0"/>
              <w:snapToGrid w:val="0"/>
              <w:jc w:val="center"/>
              <w:rPr>
                <w:rFonts w:eastAsiaTheme="minorEastAsia"/>
                <w:kern w:val="0"/>
                <w:sz w:val="24"/>
              </w:rPr>
            </w:pPr>
            <w:r>
              <w:rPr>
                <w:rFonts w:hint="eastAsia" w:eastAsiaTheme="minorEastAsia"/>
                <w:kern w:val="0"/>
                <w:sz w:val="24"/>
              </w:rPr>
              <w:t>保护</w:t>
            </w:r>
          </w:p>
          <w:p>
            <w:pPr>
              <w:adjustRightInd w:val="0"/>
              <w:snapToGrid w:val="0"/>
              <w:jc w:val="center"/>
              <w:rPr>
                <w:rFonts w:eastAsiaTheme="minorEastAsia"/>
                <w:kern w:val="0"/>
                <w:sz w:val="24"/>
              </w:rPr>
            </w:pPr>
            <w:r>
              <w:rPr>
                <w:rFonts w:hint="eastAsia" w:eastAsiaTheme="minorEastAsia"/>
                <w:kern w:val="0"/>
                <w:sz w:val="24"/>
              </w:rPr>
              <w:t>目标</w:t>
            </w:r>
          </w:p>
        </w:tc>
        <w:tc>
          <w:tcPr>
            <w:tcW w:w="8609" w:type="dxa"/>
            <w:vAlign w:val="center"/>
          </w:tcPr>
          <w:p>
            <w:pPr>
              <w:spacing w:line="360" w:lineRule="auto"/>
              <w:ind w:firstLine="482" w:firstLineChars="200"/>
              <w:contextualSpacing/>
              <w:rPr>
                <w:rFonts w:eastAsiaTheme="minorEastAsia"/>
                <w:b/>
                <w:kern w:val="0"/>
                <w:sz w:val="24"/>
              </w:rPr>
            </w:pPr>
            <w:r>
              <w:rPr>
                <w:rFonts w:eastAsiaTheme="minorEastAsia"/>
                <w:b/>
                <w:kern w:val="0"/>
                <w:sz w:val="24"/>
              </w:rPr>
              <w:t>1</w:t>
            </w:r>
            <w:r>
              <w:rPr>
                <w:rFonts w:hint="eastAsia" w:eastAsiaTheme="minorEastAsia"/>
                <w:b/>
                <w:kern w:val="0"/>
                <w:sz w:val="24"/>
              </w:rPr>
              <w:t>、大气环境保护目标</w:t>
            </w:r>
          </w:p>
          <w:p>
            <w:pPr>
              <w:spacing w:line="360" w:lineRule="auto"/>
              <w:ind w:firstLine="480" w:firstLineChars="200"/>
              <w:contextualSpacing/>
              <w:rPr>
                <w:kern w:val="0"/>
                <w:sz w:val="24"/>
              </w:rPr>
            </w:pPr>
            <w:r>
              <w:rPr>
                <w:kern w:val="0"/>
                <w:sz w:val="24"/>
              </w:rPr>
              <w:t>厂界外500m范围内大气环境保护目标为农村地区中人群较集中的区域，具体情况详见下表，环境保护敏感点分布情况详见附图2。</w:t>
            </w:r>
          </w:p>
          <w:p>
            <w:pPr>
              <w:contextualSpacing/>
              <w:jc w:val="center"/>
              <w:rPr>
                <w:b/>
                <w:kern w:val="0"/>
                <w:sz w:val="24"/>
              </w:rPr>
            </w:pPr>
          </w:p>
          <w:p>
            <w:pPr>
              <w:contextualSpacing/>
              <w:jc w:val="center"/>
              <w:rPr>
                <w:b/>
                <w:kern w:val="0"/>
                <w:sz w:val="24"/>
              </w:rPr>
            </w:pPr>
          </w:p>
          <w:p>
            <w:pPr>
              <w:contextualSpacing/>
              <w:jc w:val="center"/>
              <w:rPr>
                <w:b/>
                <w:kern w:val="0"/>
                <w:sz w:val="24"/>
              </w:rPr>
            </w:pPr>
          </w:p>
          <w:p>
            <w:pPr>
              <w:contextualSpacing/>
              <w:jc w:val="center"/>
              <w:rPr>
                <w:b/>
                <w:kern w:val="0"/>
                <w:sz w:val="24"/>
              </w:rPr>
            </w:pPr>
          </w:p>
          <w:p>
            <w:pPr>
              <w:contextualSpacing/>
              <w:jc w:val="center"/>
              <w:rPr>
                <w:b/>
                <w:kern w:val="0"/>
                <w:sz w:val="24"/>
              </w:rPr>
            </w:pPr>
            <w:r>
              <w:rPr>
                <w:b/>
                <w:kern w:val="0"/>
                <w:sz w:val="24"/>
              </w:rPr>
              <w:t>表3-</w:t>
            </w:r>
            <w:r>
              <w:rPr>
                <w:rFonts w:hint="eastAsia"/>
                <w:b/>
                <w:kern w:val="0"/>
                <w:sz w:val="24"/>
              </w:rPr>
              <w:t>8</w:t>
            </w:r>
            <w:r>
              <w:rPr>
                <w:b/>
                <w:kern w:val="0"/>
                <w:sz w:val="24"/>
              </w:rPr>
              <w:t>项目环境空气敏感保护目标一览表</w:t>
            </w:r>
          </w:p>
          <w:tbl>
            <w:tblPr>
              <w:tblStyle w:val="21"/>
              <w:tblW w:w="839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6"/>
              <w:gridCol w:w="1490"/>
              <w:gridCol w:w="656"/>
              <w:gridCol w:w="836"/>
              <w:gridCol w:w="812"/>
              <w:gridCol w:w="1846"/>
              <w:gridCol w:w="10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706" w:type="dxa"/>
                  <w:vAlign w:val="center"/>
                </w:tcPr>
                <w:p>
                  <w:pPr>
                    <w:widowControl/>
                    <w:jc w:val="center"/>
                    <w:rPr>
                      <w:kern w:val="0"/>
                      <w:szCs w:val="21"/>
                    </w:rPr>
                  </w:pPr>
                  <w:r>
                    <w:rPr>
                      <w:kern w:val="0"/>
                      <w:szCs w:val="21"/>
                    </w:rPr>
                    <w:t>名称</w:t>
                  </w:r>
                </w:p>
              </w:tc>
              <w:tc>
                <w:tcPr>
                  <w:tcW w:w="1490" w:type="dxa"/>
                  <w:vAlign w:val="center"/>
                </w:tcPr>
                <w:p>
                  <w:pPr>
                    <w:widowControl/>
                    <w:jc w:val="center"/>
                    <w:rPr>
                      <w:kern w:val="0"/>
                      <w:szCs w:val="21"/>
                    </w:rPr>
                  </w:pPr>
                  <w:r>
                    <w:rPr>
                      <w:kern w:val="0"/>
                      <w:szCs w:val="21"/>
                    </w:rPr>
                    <w:t>保护对象</w:t>
                  </w:r>
                </w:p>
              </w:tc>
              <w:tc>
                <w:tcPr>
                  <w:tcW w:w="656" w:type="dxa"/>
                  <w:vAlign w:val="center"/>
                </w:tcPr>
                <w:p>
                  <w:pPr>
                    <w:widowControl/>
                    <w:spacing w:line="0" w:lineRule="atLeast"/>
                    <w:jc w:val="center"/>
                    <w:rPr>
                      <w:kern w:val="0"/>
                      <w:szCs w:val="21"/>
                    </w:rPr>
                  </w:pPr>
                  <w:r>
                    <w:rPr>
                      <w:kern w:val="0"/>
                      <w:szCs w:val="21"/>
                    </w:rPr>
                    <w:t>保护内容</w:t>
                  </w:r>
                </w:p>
              </w:tc>
              <w:tc>
                <w:tcPr>
                  <w:tcW w:w="836" w:type="dxa"/>
                  <w:vAlign w:val="center"/>
                </w:tcPr>
                <w:p>
                  <w:pPr>
                    <w:widowControl/>
                    <w:spacing w:line="0" w:lineRule="atLeast"/>
                    <w:jc w:val="center"/>
                    <w:rPr>
                      <w:kern w:val="0"/>
                      <w:szCs w:val="21"/>
                    </w:rPr>
                  </w:pPr>
                  <w:r>
                    <w:rPr>
                      <w:kern w:val="0"/>
                      <w:szCs w:val="21"/>
                    </w:rPr>
                    <w:t>环境功能区</w:t>
                  </w:r>
                </w:p>
              </w:tc>
              <w:tc>
                <w:tcPr>
                  <w:tcW w:w="812" w:type="dxa"/>
                  <w:vAlign w:val="center"/>
                </w:tcPr>
                <w:p>
                  <w:pPr>
                    <w:widowControl/>
                    <w:jc w:val="center"/>
                    <w:rPr>
                      <w:kern w:val="0"/>
                      <w:szCs w:val="21"/>
                    </w:rPr>
                  </w:pPr>
                  <w:r>
                    <w:rPr>
                      <w:kern w:val="0"/>
                      <w:szCs w:val="21"/>
                    </w:rPr>
                    <w:t>相对厂址方位</w:t>
                  </w:r>
                </w:p>
              </w:tc>
              <w:tc>
                <w:tcPr>
                  <w:tcW w:w="1846" w:type="dxa"/>
                  <w:vAlign w:val="center"/>
                </w:tcPr>
                <w:p>
                  <w:pPr>
                    <w:widowControl/>
                    <w:jc w:val="center"/>
                    <w:rPr>
                      <w:kern w:val="0"/>
                      <w:szCs w:val="21"/>
                    </w:rPr>
                  </w:pPr>
                  <w:r>
                    <w:rPr>
                      <w:kern w:val="0"/>
                      <w:szCs w:val="21"/>
                    </w:rPr>
                    <w:t>相对厂界距离</w:t>
                  </w:r>
                </w:p>
              </w:tc>
              <w:tc>
                <w:tcPr>
                  <w:tcW w:w="1047" w:type="dxa"/>
                  <w:vAlign w:val="center"/>
                </w:tcPr>
                <w:p>
                  <w:pPr>
                    <w:widowControl/>
                    <w:jc w:val="center"/>
                    <w:rPr>
                      <w:kern w:val="0"/>
                      <w:szCs w:val="21"/>
                    </w:rPr>
                  </w:pPr>
                  <w:r>
                    <w:rPr>
                      <w:kern w:val="0"/>
                      <w:szCs w:val="21"/>
                    </w:rPr>
                    <w:t>户数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1706" w:type="dxa"/>
                  <w:vMerge w:val="restart"/>
                  <w:vAlign w:val="center"/>
                </w:tcPr>
                <w:p>
                  <w:pPr>
                    <w:adjustRightInd w:val="0"/>
                    <w:snapToGrid w:val="0"/>
                    <w:jc w:val="center"/>
                    <w:rPr>
                      <w:szCs w:val="21"/>
                    </w:rPr>
                  </w:pPr>
                  <w:r>
                    <w:rPr>
                      <w:rFonts w:hint="eastAsia"/>
                      <w:szCs w:val="21"/>
                    </w:rPr>
                    <w:t>东风村</w:t>
                  </w:r>
                </w:p>
              </w:tc>
              <w:tc>
                <w:tcPr>
                  <w:tcW w:w="1490" w:type="dxa"/>
                  <w:vMerge w:val="restart"/>
                  <w:vAlign w:val="center"/>
                </w:tcPr>
                <w:p>
                  <w:pPr>
                    <w:jc w:val="center"/>
                    <w:rPr>
                      <w:szCs w:val="21"/>
                    </w:rPr>
                  </w:pPr>
                  <w:r>
                    <w:rPr>
                      <w:szCs w:val="21"/>
                    </w:rPr>
                    <w:t>农村地区中人群较集中区</w:t>
                  </w:r>
                </w:p>
              </w:tc>
              <w:tc>
                <w:tcPr>
                  <w:tcW w:w="656" w:type="dxa"/>
                  <w:vMerge w:val="restart"/>
                  <w:vAlign w:val="center"/>
                </w:tcPr>
                <w:p>
                  <w:pPr>
                    <w:contextualSpacing/>
                    <w:jc w:val="center"/>
                    <w:rPr>
                      <w:szCs w:val="21"/>
                    </w:rPr>
                  </w:pPr>
                  <w:r>
                    <w:rPr>
                      <w:szCs w:val="21"/>
                    </w:rPr>
                    <w:t>人群</w:t>
                  </w:r>
                </w:p>
              </w:tc>
              <w:tc>
                <w:tcPr>
                  <w:tcW w:w="836" w:type="dxa"/>
                  <w:vMerge w:val="restart"/>
                  <w:vAlign w:val="center"/>
                </w:tcPr>
                <w:p>
                  <w:pPr>
                    <w:contextualSpacing/>
                    <w:jc w:val="center"/>
                    <w:rPr>
                      <w:szCs w:val="21"/>
                    </w:rPr>
                  </w:pPr>
                  <w:r>
                    <w:rPr>
                      <w:szCs w:val="21"/>
                    </w:rPr>
                    <w:t>二类区</w:t>
                  </w:r>
                </w:p>
              </w:tc>
              <w:tc>
                <w:tcPr>
                  <w:tcW w:w="812" w:type="dxa"/>
                  <w:vAlign w:val="center"/>
                </w:tcPr>
                <w:p>
                  <w:pPr>
                    <w:contextualSpacing/>
                    <w:jc w:val="center"/>
                    <w:rPr>
                      <w:szCs w:val="21"/>
                    </w:rPr>
                  </w:pPr>
                  <w:r>
                    <w:rPr>
                      <w:szCs w:val="21"/>
                    </w:rPr>
                    <w:t>E</w:t>
                  </w:r>
                </w:p>
              </w:tc>
              <w:tc>
                <w:tcPr>
                  <w:tcW w:w="1846" w:type="dxa"/>
                  <w:vAlign w:val="center"/>
                </w:tcPr>
                <w:p>
                  <w:pPr>
                    <w:jc w:val="center"/>
                    <w:rPr>
                      <w:szCs w:val="21"/>
                    </w:rPr>
                  </w:pPr>
                  <w:r>
                    <w:rPr>
                      <w:rFonts w:hint="eastAsia"/>
                      <w:szCs w:val="21"/>
                    </w:rPr>
                    <w:t>5</w:t>
                  </w:r>
                  <w:r>
                    <w:rPr>
                      <w:szCs w:val="21"/>
                    </w:rPr>
                    <w:t>m</w:t>
                  </w:r>
                </w:p>
              </w:tc>
              <w:tc>
                <w:tcPr>
                  <w:tcW w:w="1047" w:type="dxa"/>
                  <w:vMerge w:val="restart"/>
                  <w:vAlign w:val="center"/>
                </w:tcPr>
                <w:p>
                  <w:pPr>
                    <w:jc w:val="center"/>
                    <w:rPr>
                      <w:szCs w:val="21"/>
                    </w:rPr>
                  </w:pPr>
                  <w:r>
                    <w:rPr>
                      <w:rFonts w:hint="eastAsia"/>
                      <w:szCs w:val="21"/>
                    </w:rPr>
                    <w:t>148户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1706" w:type="dxa"/>
                  <w:vMerge w:val="continue"/>
                  <w:vAlign w:val="center"/>
                </w:tcPr>
                <w:p>
                  <w:pPr>
                    <w:adjustRightInd w:val="0"/>
                    <w:snapToGrid w:val="0"/>
                    <w:jc w:val="center"/>
                    <w:rPr>
                      <w:szCs w:val="21"/>
                    </w:rPr>
                  </w:pPr>
                </w:p>
              </w:tc>
              <w:tc>
                <w:tcPr>
                  <w:tcW w:w="1490" w:type="dxa"/>
                  <w:vMerge w:val="continue"/>
                  <w:vAlign w:val="center"/>
                </w:tcPr>
                <w:p>
                  <w:pPr>
                    <w:jc w:val="center"/>
                    <w:rPr>
                      <w:szCs w:val="21"/>
                    </w:rPr>
                  </w:pPr>
                </w:p>
              </w:tc>
              <w:tc>
                <w:tcPr>
                  <w:tcW w:w="656" w:type="dxa"/>
                  <w:vMerge w:val="continue"/>
                  <w:vAlign w:val="center"/>
                </w:tcPr>
                <w:p>
                  <w:pPr>
                    <w:contextualSpacing/>
                    <w:jc w:val="center"/>
                    <w:rPr>
                      <w:szCs w:val="21"/>
                    </w:rPr>
                  </w:pPr>
                </w:p>
              </w:tc>
              <w:tc>
                <w:tcPr>
                  <w:tcW w:w="836" w:type="dxa"/>
                  <w:vMerge w:val="continue"/>
                  <w:vAlign w:val="center"/>
                </w:tcPr>
                <w:p>
                  <w:pPr>
                    <w:contextualSpacing/>
                    <w:jc w:val="center"/>
                    <w:rPr>
                      <w:szCs w:val="21"/>
                    </w:rPr>
                  </w:pPr>
                </w:p>
              </w:tc>
              <w:tc>
                <w:tcPr>
                  <w:tcW w:w="812" w:type="dxa"/>
                  <w:vAlign w:val="center"/>
                </w:tcPr>
                <w:p>
                  <w:pPr>
                    <w:contextualSpacing/>
                    <w:jc w:val="center"/>
                    <w:rPr>
                      <w:szCs w:val="21"/>
                    </w:rPr>
                  </w:pPr>
                  <w:r>
                    <w:rPr>
                      <w:rFonts w:hint="eastAsia"/>
                      <w:szCs w:val="21"/>
                    </w:rPr>
                    <w:t>S</w:t>
                  </w:r>
                </w:p>
              </w:tc>
              <w:tc>
                <w:tcPr>
                  <w:tcW w:w="1846" w:type="dxa"/>
                  <w:vAlign w:val="center"/>
                </w:tcPr>
                <w:p>
                  <w:pPr>
                    <w:jc w:val="center"/>
                    <w:rPr>
                      <w:szCs w:val="21"/>
                    </w:rPr>
                  </w:pPr>
                  <w:r>
                    <w:rPr>
                      <w:rFonts w:hint="eastAsia"/>
                      <w:szCs w:val="21"/>
                    </w:rPr>
                    <w:t>22</w:t>
                  </w:r>
                  <w:r>
                    <w:rPr>
                      <w:szCs w:val="21"/>
                    </w:rPr>
                    <w:t>m</w:t>
                  </w:r>
                </w:p>
              </w:tc>
              <w:tc>
                <w:tcPr>
                  <w:tcW w:w="1047" w:type="dxa"/>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1706" w:type="dxa"/>
                  <w:vMerge w:val="continue"/>
                  <w:vAlign w:val="center"/>
                </w:tcPr>
                <w:p>
                  <w:pPr>
                    <w:adjustRightInd w:val="0"/>
                    <w:snapToGrid w:val="0"/>
                    <w:jc w:val="center"/>
                    <w:rPr>
                      <w:szCs w:val="21"/>
                    </w:rPr>
                  </w:pPr>
                </w:p>
              </w:tc>
              <w:tc>
                <w:tcPr>
                  <w:tcW w:w="1490" w:type="dxa"/>
                  <w:vMerge w:val="continue"/>
                  <w:vAlign w:val="center"/>
                </w:tcPr>
                <w:p>
                  <w:pPr>
                    <w:jc w:val="center"/>
                    <w:rPr>
                      <w:szCs w:val="21"/>
                    </w:rPr>
                  </w:pPr>
                </w:p>
              </w:tc>
              <w:tc>
                <w:tcPr>
                  <w:tcW w:w="656" w:type="dxa"/>
                  <w:vMerge w:val="continue"/>
                  <w:vAlign w:val="center"/>
                </w:tcPr>
                <w:p>
                  <w:pPr>
                    <w:contextualSpacing/>
                    <w:jc w:val="center"/>
                    <w:rPr>
                      <w:szCs w:val="21"/>
                    </w:rPr>
                  </w:pPr>
                </w:p>
              </w:tc>
              <w:tc>
                <w:tcPr>
                  <w:tcW w:w="836" w:type="dxa"/>
                  <w:vMerge w:val="continue"/>
                  <w:vAlign w:val="center"/>
                </w:tcPr>
                <w:p>
                  <w:pPr>
                    <w:contextualSpacing/>
                    <w:jc w:val="center"/>
                    <w:rPr>
                      <w:szCs w:val="21"/>
                    </w:rPr>
                  </w:pPr>
                </w:p>
              </w:tc>
              <w:tc>
                <w:tcPr>
                  <w:tcW w:w="812" w:type="dxa"/>
                  <w:vAlign w:val="center"/>
                </w:tcPr>
                <w:p>
                  <w:pPr>
                    <w:contextualSpacing/>
                    <w:jc w:val="center"/>
                    <w:rPr>
                      <w:szCs w:val="21"/>
                    </w:rPr>
                  </w:pPr>
                  <w:r>
                    <w:rPr>
                      <w:rFonts w:hint="eastAsia"/>
                      <w:szCs w:val="21"/>
                    </w:rPr>
                    <w:t>NE</w:t>
                  </w:r>
                </w:p>
              </w:tc>
              <w:tc>
                <w:tcPr>
                  <w:tcW w:w="1846" w:type="dxa"/>
                  <w:vAlign w:val="center"/>
                </w:tcPr>
                <w:p>
                  <w:pPr>
                    <w:jc w:val="center"/>
                    <w:rPr>
                      <w:szCs w:val="21"/>
                    </w:rPr>
                  </w:pPr>
                  <w:r>
                    <w:rPr>
                      <w:rFonts w:hint="eastAsia"/>
                      <w:szCs w:val="21"/>
                    </w:rPr>
                    <w:t>290m</w:t>
                  </w:r>
                </w:p>
              </w:tc>
              <w:tc>
                <w:tcPr>
                  <w:tcW w:w="1047" w:type="dxa"/>
                  <w:vMerge w:val="continue"/>
                  <w:vAlign w:val="center"/>
                </w:tcPr>
                <w:p>
                  <w:pPr>
                    <w:jc w:val="center"/>
                    <w:rPr>
                      <w:szCs w:val="21"/>
                    </w:rPr>
                  </w:pPr>
                </w:p>
              </w:tc>
            </w:tr>
          </w:tbl>
          <w:p>
            <w:pPr>
              <w:spacing w:line="360" w:lineRule="auto"/>
              <w:ind w:firstLine="482" w:firstLineChars="200"/>
              <w:contextualSpacing/>
              <w:rPr>
                <w:rFonts w:eastAsiaTheme="minorEastAsia"/>
                <w:b/>
                <w:kern w:val="0"/>
                <w:sz w:val="24"/>
              </w:rPr>
            </w:pPr>
            <w:r>
              <w:rPr>
                <w:rFonts w:eastAsiaTheme="minorEastAsia"/>
                <w:b/>
                <w:kern w:val="0"/>
                <w:sz w:val="24"/>
              </w:rPr>
              <w:t>2</w:t>
            </w:r>
            <w:r>
              <w:rPr>
                <w:rFonts w:hint="eastAsia" w:eastAsiaTheme="minorEastAsia"/>
                <w:b/>
                <w:kern w:val="0"/>
                <w:sz w:val="24"/>
              </w:rPr>
              <w:t>、声环境保护目标</w:t>
            </w:r>
          </w:p>
          <w:p>
            <w:pPr>
              <w:adjustRightInd w:val="0"/>
              <w:snapToGrid w:val="0"/>
              <w:spacing w:line="360" w:lineRule="auto"/>
              <w:ind w:firstLine="406" w:firstLineChars="169"/>
              <w:rPr>
                <w:bCs/>
                <w:kern w:val="0"/>
                <w:sz w:val="24"/>
              </w:rPr>
            </w:pPr>
            <w:r>
              <w:rPr>
                <w:bCs/>
                <w:kern w:val="0"/>
                <w:sz w:val="24"/>
              </w:rPr>
              <w:t>本项目厂界50m范围内声环境保护目标见下表</w:t>
            </w:r>
            <w:r>
              <w:rPr>
                <w:rFonts w:hint="eastAsia"/>
                <w:bCs/>
                <w:kern w:val="0"/>
                <w:sz w:val="24"/>
              </w:rPr>
              <w:t>。</w:t>
            </w:r>
          </w:p>
          <w:p>
            <w:pPr>
              <w:spacing w:line="360" w:lineRule="auto"/>
              <w:contextualSpacing/>
              <w:jc w:val="center"/>
              <w:rPr>
                <w:b/>
                <w:kern w:val="0"/>
                <w:sz w:val="24"/>
              </w:rPr>
            </w:pPr>
            <w:r>
              <w:rPr>
                <w:b/>
                <w:kern w:val="0"/>
                <w:sz w:val="24"/>
              </w:rPr>
              <w:t>表3-</w:t>
            </w:r>
            <w:r>
              <w:rPr>
                <w:rFonts w:hint="eastAsia"/>
                <w:b/>
                <w:kern w:val="0"/>
                <w:sz w:val="24"/>
              </w:rPr>
              <w:t>9</w:t>
            </w:r>
            <w:r>
              <w:rPr>
                <w:b/>
                <w:kern w:val="0"/>
                <w:sz w:val="24"/>
              </w:rPr>
              <w:t>项目声环境敏感保护目标一览表</w:t>
            </w:r>
          </w:p>
          <w:tbl>
            <w:tblPr>
              <w:tblStyle w:val="21"/>
              <w:tblW w:w="80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1"/>
              <w:gridCol w:w="2863"/>
              <w:gridCol w:w="1335"/>
              <w:gridCol w:w="19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1941" w:type="dxa"/>
                  <w:vAlign w:val="center"/>
                </w:tcPr>
                <w:p>
                  <w:pPr>
                    <w:tabs>
                      <w:tab w:val="right" w:pos="2309"/>
                    </w:tabs>
                    <w:adjustRightInd w:val="0"/>
                    <w:snapToGrid w:val="0"/>
                    <w:jc w:val="center"/>
                    <w:rPr>
                      <w:kern w:val="0"/>
                      <w:szCs w:val="21"/>
                    </w:rPr>
                  </w:pPr>
                  <w:r>
                    <w:rPr>
                      <w:kern w:val="0"/>
                      <w:szCs w:val="21"/>
                    </w:rPr>
                    <w:t>保护对象</w:t>
                  </w:r>
                </w:p>
              </w:tc>
              <w:tc>
                <w:tcPr>
                  <w:tcW w:w="2863" w:type="dxa"/>
                  <w:vAlign w:val="center"/>
                </w:tcPr>
                <w:p>
                  <w:pPr>
                    <w:adjustRightInd w:val="0"/>
                    <w:snapToGrid w:val="0"/>
                    <w:jc w:val="center"/>
                    <w:rPr>
                      <w:kern w:val="0"/>
                      <w:szCs w:val="21"/>
                    </w:rPr>
                  </w:pPr>
                  <w:r>
                    <w:rPr>
                      <w:kern w:val="0"/>
                      <w:szCs w:val="21"/>
                    </w:rPr>
                    <w:t>环境功能区</w:t>
                  </w:r>
                </w:p>
              </w:tc>
              <w:tc>
                <w:tcPr>
                  <w:tcW w:w="1335" w:type="dxa"/>
                  <w:vAlign w:val="center"/>
                </w:tcPr>
                <w:p>
                  <w:pPr>
                    <w:adjustRightInd w:val="0"/>
                    <w:snapToGrid w:val="0"/>
                    <w:jc w:val="center"/>
                    <w:rPr>
                      <w:kern w:val="0"/>
                      <w:szCs w:val="21"/>
                    </w:rPr>
                  </w:pPr>
                  <w:r>
                    <w:rPr>
                      <w:kern w:val="0"/>
                      <w:szCs w:val="21"/>
                    </w:rPr>
                    <w:t>相对方位</w:t>
                  </w:r>
                </w:p>
              </w:tc>
              <w:tc>
                <w:tcPr>
                  <w:tcW w:w="1903" w:type="dxa"/>
                  <w:vAlign w:val="center"/>
                </w:tcPr>
                <w:p>
                  <w:pPr>
                    <w:adjustRightInd w:val="0"/>
                    <w:snapToGrid w:val="0"/>
                    <w:jc w:val="center"/>
                    <w:rPr>
                      <w:kern w:val="0"/>
                      <w:szCs w:val="21"/>
                    </w:rPr>
                  </w:pPr>
                  <w:r>
                    <w:rPr>
                      <w:kern w:val="0"/>
                      <w:szCs w:val="21"/>
                    </w:rPr>
                    <w:t>相对最近距离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941" w:type="dxa"/>
                  <w:vMerge w:val="restart"/>
                  <w:vAlign w:val="center"/>
                </w:tcPr>
                <w:p>
                  <w:pPr>
                    <w:tabs>
                      <w:tab w:val="right" w:pos="2309"/>
                    </w:tabs>
                    <w:adjustRightInd w:val="0"/>
                    <w:snapToGrid w:val="0"/>
                    <w:jc w:val="center"/>
                    <w:rPr>
                      <w:kern w:val="0"/>
                      <w:szCs w:val="21"/>
                    </w:rPr>
                  </w:pPr>
                  <w:r>
                    <w:rPr>
                      <w:rFonts w:hint="eastAsia"/>
                      <w:szCs w:val="21"/>
                    </w:rPr>
                    <w:t>东风村</w:t>
                  </w:r>
                  <w:r>
                    <w:rPr>
                      <w:bCs/>
                      <w:szCs w:val="21"/>
                    </w:rPr>
                    <w:t>居民</w:t>
                  </w:r>
                </w:p>
              </w:tc>
              <w:tc>
                <w:tcPr>
                  <w:tcW w:w="2863" w:type="dxa"/>
                  <w:vMerge w:val="restart"/>
                  <w:vAlign w:val="center"/>
                </w:tcPr>
                <w:p>
                  <w:pPr>
                    <w:adjustRightInd w:val="0"/>
                    <w:snapToGrid w:val="0"/>
                    <w:jc w:val="center"/>
                    <w:rPr>
                      <w:kern w:val="0"/>
                      <w:szCs w:val="21"/>
                    </w:rPr>
                  </w:pPr>
                  <w:r>
                    <w:rPr>
                      <w:kern w:val="0"/>
                      <w:szCs w:val="21"/>
                    </w:rPr>
                    <w:t>《声环境质量标准》（GB3096-2008）</w:t>
                  </w:r>
                  <w:r>
                    <w:rPr>
                      <w:rFonts w:hint="eastAsia"/>
                      <w:kern w:val="0"/>
                      <w:szCs w:val="21"/>
                    </w:rPr>
                    <w:t>2</w:t>
                  </w:r>
                  <w:r>
                    <w:rPr>
                      <w:kern w:val="0"/>
                      <w:szCs w:val="21"/>
                    </w:rPr>
                    <w:t>类</w:t>
                  </w:r>
                </w:p>
              </w:tc>
              <w:tc>
                <w:tcPr>
                  <w:tcW w:w="1335" w:type="dxa"/>
                  <w:vAlign w:val="center"/>
                </w:tcPr>
                <w:p>
                  <w:pPr>
                    <w:contextualSpacing/>
                    <w:jc w:val="center"/>
                    <w:rPr>
                      <w:szCs w:val="21"/>
                    </w:rPr>
                  </w:pPr>
                  <w:r>
                    <w:rPr>
                      <w:szCs w:val="21"/>
                    </w:rPr>
                    <w:t>E</w:t>
                  </w:r>
                </w:p>
              </w:tc>
              <w:tc>
                <w:tcPr>
                  <w:tcW w:w="1903" w:type="dxa"/>
                  <w:vAlign w:val="center"/>
                </w:tcPr>
                <w:p>
                  <w:pPr>
                    <w:jc w:val="center"/>
                    <w:rPr>
                      <w:szCs w:val="21"/>
                    </w:rPr>
                  </w:pPr>
                  <w:r>
                    <w:rPr>
                      <w:rFonts w:hint="eastAsia"/>
                      <w:szCs w:val="21"/>
                    </w:rPr>
                    <w:t>5</w:t>
                  </w:r>
                  <w:r>
                    <w:rPr>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941" w:type="dxa"/>
                  <w:vMerge w:val="continue"/>
                  <w:vAlign w:val="center"/>
                </w:tcPr>
                <w:p>
                  <w:pPr>
                    <w:adjustRightInd w:val="0"/>
                    <w:snapToGrid w:val="0"/>
                    <w:jc w:val="center"/>
                  </w:pPr>
                </w:p>
              </w:tc>
              <w:tc>
                <w:tcPr>
                  <w:tcW w:w="2863" w:type="dxa"/>
                  <w:vMerge w:val="continue"/>
                  <w:vAlign w:val="center"/>
                </w:tcPr>
                <w:p>
                  <w:pPr>
                    <w:adjustRightInd w:val="0"/>
                    <w:snapToGrid w:val="0"/>
                    <w:jc w:val="center"/>
                  </w:pPr>
                </w:p>
              </w:tc>
              <w:tc>
                <w:tcPr>
                  <w:tcW w:w="1335" w:type="dxa"/>
                  <w:vAlign w:val="center"/>
                </w:tcPr>
                <w:p>
                  <w:pPr>
                    <w:contextualSpacing/>
                    <w:jc w:val="center"/>
                    <w:rPr>
                      <w:szCs w:val="21"/>
                    </w:rPr>
                  </w:pPr>
                  <w:r>
                    <w:rPr>
                      <w:rFonts w:hint="eastAsia"/>
                      <w:szCs w:val="21"/>
                    </w:rPr>
                    <w:t>S</w:t>
                  </w:r>
                </w:p>
              </w:tc>
              <w:tc>
                <w:tcPr>
                  <w:tcW w:w="1903" w:type="dxa"/>
                  <w:vAlign w:val="center"/>
                </w:tcPr>
                <w:p>
                  <w:pPr>
                    <w:jc w:val="center"/>
                    <w:rPr>
                      <w:szCs w:val="21"/>
                    </w:rPr>
                  </w:pPr>
                  <w:r>
                    <w:rPr>
                      <w:rFonts w:hint="eastAsia"/>
                      <w:szCs w:val="21"/>
                    </w:rPr>
                    <w:t>22</w:t>
                  </w:r>
                  <w:r>
                    <w:rPr>
                      <w:szCs w:val="21"/>
                    </w:rPr>
                    <w:t>m</w:t>
                  </w:r>
                </w:p>
              </w:tc>
            </w:tr>
          </w:tbl>
          <w:p>
            <w:pPr>
              <w:spacing w:line="360" w:lineRule="auto"/>
              <w:ind w:firstLine="482" w:firstLineChars="200"/>
              <w:contextualSpacing/>
              <w:rPr>
                <w:rFonts w:eastAsiaTheme="minorEastAsia"/>
                <w:b/>
                <w:kern w:val="0"/>
                <w:sz w:val="24"/>
              </w:rPr>
            </w:pPr>
            <w:r>
              <w:rPr>
                <w:rFonts w:eastAsiaTheme="minorEastAsia"/>
                <w:b/>
                <w:kern w:val="0"/>
                <w:sz w:val="24"/>
              </w:rPr>
              <w:t>3</w:t>
            </w:r>
            <w:r>
              <w:rPr>
                <w:rFonts w:hint="eastAsia" w:eastAsiaTheme="minorEastAsia"/>
                <w:b/>
                <w:kern w:val="0"/>
                <w:sz w:val="24"/>
              </w:rPr>
              <w:t>、地下水环境保护目标</w:t>
            </w:r>
          </w:p>
          <w:p>
            <w:pPr>
              <w:spacing w:line="360" w:lineRule="auto"/>
              <w:ind w:firstLine="480" w:firstLineChars="200"/>
              <w:contextualSpacing/>
              <w:rPr>
                <w:rFonts w:eastAsiaTheme="minorEastAsia"/>
                <w:kern w:val="0"/>
                <w:sz w:val="24"/>
              </w:rPr>
            </w:pPr>
            <w:r>
              <w:rPr>
                <w:rFonts w:hint="eastAsia" w:eastAsiaTheme="minorEastAsia"/>
                <w:kern w:val="0"/>
                <w:sz w:val="24"/>
              </w:rPr>
              <w:t>厂界外</w:t>
            </w:r>
            <w:r>
              <w:rPr>
                <w:rFonts w:eastAsiaTheme="minorEastAsia"/>
                <w:kern w:val="0"/>
                <w:sz w:val="24"/>
              </w:rPr>
              <w:t>500m</w:t>
            </w:r>
            <w:r>
              <w:rPr>
                <w:rFonts w:hint="eastAsia" w:eastAsiaTheme="minorEastAsia"/>
                <w:kern w:val="0"/>
                <w:sz w:val="24"/>
              </w:rPr>
              <w:t>范围内无热水、矿泉水、温泉等特殊地下水资源。</w:t>
            </w:r>
          </w:p>
          <w:p>
            <w:pPr>
              <w:spacing w:line="360" w:lineRule="auto"/>
              <w:ind w:firstLine="480" w:firstLineChars="200"/>
              <w:contextualSpacing/>
              <w:rPr>
                <w:rFonts w:eastAsiaTheme="minorEastAsia"/>
                <w:kern w:val="0"/>
                <w:sz w:val="24"/>
              </w:rPr>
            </w:pPr>
            <w:r>
              <w:rPr>
                <w:rFonts w:hint="eastAsia" w:eastAsiaTheme="minorEastAsia"/>
                <w:kern w:val="0"/>
                <w:sz w:val="24"/>
              </w:rPr>
              <w:t>本项目附近</w:t>
            </w:r>
            <w:r>
              <w:rPr>
                <w:rFonts w:eastAsiaTheme="minorEastAsia"/>
                <w:kern w:val="0"/>
                <w:sz w:val="24"/>
              </w:rPr>
              <w:t>500m</w:t>
            </w:r>
            <w:r>
              <w:rPr>
                <w:rFonts w:hint="eastAsia" w:eastAsiaTheme="minorEastAsia"/>
                <w:kern w:val="0"/>
                <w:sz w:val="24"/>
              </w:rPr>
              <w:t>范围内水源地为东城镇饮用水水源。东城镇饮用水水源保护区范围</w:t>
            </w:r>
            <w:r>
              <w:rPr>
                <w:rFonts w:eastAsiaTheme="minorEastAsia"/>
                <w:kern w:val="0"/>
                <w:sz w:val="24"/>
              </w:rPr>
              <w:t>(</w:t>
            </w:r>
            <w:r>
              <w:rPr>
                <w:rFonts w:hint="eastAsia" w:eastAsiaTheme="minorEastAsia"/>
                <w:kern w:val="0"/>
                <w:sz w:val="24"/>
              </w:rPr>
              <w:t>共</w:t>
            </w:r>
            <w:r>
              <w:rPr>
                <w:rFonts w:eastAsiaTheme="minorEastAsia"/>
                <w:kern w:val="0"/>
                <w:sz w:val="24"/>
              </w:rPr>
              <w:t>3</w:t>
            </w:r>
            <w:r>
              <w:rPr>
                <w:rFonts w:hint="eastAsia" w:eastAsiaTheme="minorEastAsia"/>
                <w:kern w:val="0"/>
                <w:sz w:val="24"/>
              </w:rPr>
              <w:t>眼井，均为承压水型水源地，不设二级保护区</w:t>
            </w:r>
            <w:r>
              <w:rPr>
                <w:rFonts w:eastAsiaTheme="minorEastAsia"/>
                <w:kern w:val="0"/>
                <w:sz w:val="24"/>
              </w:rPr>
              <w:t>)</w:t>
            </w:r>
            <w:r>
              <w:rPr>
                <w:rFonts w:hint="eastAsia" w:eastAsiaTheme="minorEastAsia"/>
                <w:kern w:val="0"/>
                <w:sz w:val="24"/>
              </w:rPr>
              <w:t>。一级保护区范围：分别以</w:t>
            </w:r>
            <w:r>
              <w:rPr>
                <w:rFonts w:eastAsiaTheme="minorEastAsia"/>
                <w:kern w:val="0"/>
                <w:sz w:val="24"/>
              </w:rPr>
              <w:t>3</w:t>
            </w:r>
            <w:r>
              <w:rPr>
                <w:rFonts w:hint="eastAsia" w:eastAsiaTheme="minorEastAsia"/>
                <w:kern w:val="0"/>
                <w:sz w:val="24"/>
              </w:rPr>
              <w:t>眼取水井为圆心，</w:t>
            </w:r>
            <w:r>
              <w:rPr>
                <w:rFonts w:eastAsiaTheme="minorEastAsia"/>
                <w:kern w:val="0"/>
                <w:sz w:val="24"/>
              </w:rPr>
              <w:t>30</w:t>
            </w:r>
            <w:r>
              <w:rPr>
                <w:rFonts w:hint="eastAsia" w:eastAsiaTheme="minorEastAsia"/>
                <w:kern w:val="0"/>
                <w:sz w:val="24"/>
              </w:rPr>
              <w:t>米为半径的圆形所围区域，面积为</w:t>
            </w:r>
            <w:r>
              <w:rPr>
                <w:rFonts w:eastAsiaTheme="minorEastAsia"/>
                <w:kern w:val="0"/>
                <w:sz w:val="24"/>
              </w:rPr>
              <w:t>0.0085</w:t>
            </w:r>
            <w:r>
              <w:rPr>
                <w:rFonts w:hint="eastAsia" w:eastAsiaTheme="minorEastAsia"/>
                <w:kern w:val="0"/>
                <w:sz w:val="24"/>
              </w:rPr>
              <w:t>平方公里</w:t>
            </w:r>
            <w:r>
              <w:rPr>
                <w:rFonts w:eastAsiaTheme="minorEastAsia"/>
                <w:kern w:val="0"/>
                <w:sz w:val="24"/>
              </w:rPr>
              <w:t>。</w:t>
            </w:r>
          </w:p>
          <w:p>
            <w:pPr>
              <w:spacing w:line="360" w:lineRule="auto"/>
              <w:ind w:firstLine="480" w:firstLineChars="200"/>
              <w:contextualSpacing/>
              <w:rPr>
                <w:rFonts w:eastAsiaTheme="minorEastAsia"/>
                <w:kern w:val="0"/>
                <w:sz w:val="24"/>
              </w:rPr>
            </w:pPr>
            <w:r>
              <w:rPr>
                <w:rFonts w:hint="eastAsia" w:eastAsiaTheme="minorEastAsia"/>
                <w:kern w:val="0"/>
                <w:sz w:val="24"/>
              </w:rPr>
              <w:t>根据调查，东诚镇集中式饮用水水源井位于本项目东北侧约440米，东城镇饮用水水源保护区位于本项目东北侧约410米。</w:t>
            </w:r>
          </w:p>
          <w:p>
            <w:pPr>
              <w:spacing w:line="360" w:lineRule="auto"/>
              <w:contextualSpacing/>
              <w:jc w:val="center"/>
              <w:rPr>
                <w:b/>
                <w:kern w:val="0"/>
                <w:sz w:val="24"/>
              </w:rPr>
            </w:pPr>
            <w:r>
              <w:rPr>
                <w:b/>
                <w:kern w:val="0"/>
                <w:sz w:val="24"/>
              </w:rPr>
              <w:t>表3-</w:t>
            </w:r>
            <w:r>
              <w:rPr>
                <w:rFonts w:hint="eastAsia"/>
                <w:b/>
                <w:kern w:val="0"/>
                <w:sz w:val="24"/>
              </w:rPr>
              <w:t>10地下水</w:t>
            </w:r>
            <w:r>
              <w:rPr>
                <w:b/>
                <w:kern w:val="0"/>
                <w:sz w:val="24"/>
              </w:rPr>
              <w:t>环境保护目标一览表</w:t>
            </w:r>
          </w:p>
          <w:tbl>
            <w:tblPr>
              <w:tblStyle w:val="21"/>
              <w:tblW w:w="839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4"/>
              <w:gridCol w:w="2204"/>
              <w:gridCol w:w="2204"/>
              <w:gridCol w:w="1027"/>
              <w:gridCol w:w="14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1494" w:type="dxa"/>
                  <w:vAlign w:val="center"/>
                </w:tcPr>
                <w:p>
                  <w:pPr>
                    <w:tabs>
                      <w:tab w:val="right" w:pos="2309"/>
                    </w:tabs>
                    <w:adjustRightInd w:val="0"/>
                    <w:snapToGrid w:val="0"/>
                    <w:jc w:val="center"/>
                    <w:rPr>
                      <w:kern w:val="0"/>
                      <w:szCs w:val="21"/>
                    </w:rPr>
                  </w:pPr>
                  <w:r>
                    <w:rPr>
                      <w:kern w:val="0"/>
                      <w:szCs w:val="21"/>
                    </w:rPr>
                    <w:t>保护对象</w:t>
                  </w:r>
                </w:p>
              </w:tc>
              <w:tc>
                <w:tcPr>
                  <w:tcW w:w="2204" w:type="dxa"/>
                  <w:vAlign w:val="center"/>
                </w:tcPr>
                <w:p>
                  <w:pPr>
                    <w:adjustRightInd w:val="0"/>
                    <w:snapToGrid w:val="0"/>
                    <w:jc w:val="center"/>
                    <w:rPr>
                      <w:kern w:val="0"/>
                      <w:szCs w:val="21"/>
                    </w:rPr>
                  </w:pPr>
                  <w:r>
                    <w:rPr>
                      <w:rFonts w:hint="eastAsia"/>
                      <w:szCs w:val="21"/>
                    </w:rPr>
                    <w:t>环境敏感目标名称</w:t>
                  </w:r>
                </w:p>
              </w:tc>
              <w:tc>
                <w:tcPr>
                  <w:tcW w:w="2204" w:type="dxa"/>
                  <w:vAlign w:val="center"/>
                </w:tcPr>
                <w:p>
                  <w:pPr>
                    <w:adjustRightInd w:val="0"/>
                    <w:snapToGrid w:val="0"/>
                    <w:jc w:val="center"/>
                    <w:rPr>
                      <w:kern w:val="0"/>
                      <w:szCs w:val="21"/>
                    </w:rPr>
                  </w:pPr>
                  <w:r>
                    <w:rPr>
                      <w:rFonts w:hint="eastAsia"/>
                      <w:kern w:val="0"/>
                      <w:szCs w:val="21"/>
                    </w:rPr>
                    <w:t>环境功能区划及环境保护要求</w:t>
                  </w:r>
                </w:p>
              </w:tc>
              <w:tc>
                <w:tcPr>
                  <w:tcW w:w="1027" w:type="dxa"/>
                  <w:vAlign w:val="center"/>
                </w:tcPr>
                <w:p>
                  <w:pPr>
                    <w:adjustRightInd w:val="0"/>
                    <w:snapToGrid w:val="0"/>
                    <w:jc w:val="center"/>
                    <w:rPr>
                      <w:kern w:val="0"/>
                      <w:szCs w:val="21"/>
                    </w:rPr>
                  </w:pPr>
                  <w:r>
                    <w:rPr>
                      <w:kern w:val="0"/>
                      <w:szCs w:val="21"/>
                    </w:rPr>
                    <w:t>相对方位</w:t>
                  </w:r>
                </w:p>
              </w:tc>
              <w:tc>
                <w:tcPr>
                  <w:tcW w:w="1464" w:type="dxa"/>
                  <w:vAlign w:val="center"/>
                </w:tcPr>
                <w:p>
                  <w:pPr>
                    <w:adjustRightInd w:val="0"/>
                    <w:snapToGrid w:val="0"/>
                    <w:jc w:val="center"/>
                    <w:rPr>
                      <w:kern w:val="0"/>
                      <w:szCs w:val="21"/>
                    </w:rPr>
                  </w:pPr>
                  <w:r>
                    <w:rPr>
                      <w:kern w:val="0"/>
                      <w:szCs w:val="21"/>
                    </w:rPr>
                    <w:t>相对最近距离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26" w:hRule="atLeast"/>
                <w:jc w:val="center"/>
              </w:trPr>
              <w:tc>
                <w:tcPr>
                  <w:tcW w:w="1494" w:type="dxa"/>
                  <w:vAlign w:val="center"/>
                </w:tcPr>
                <w:p>
                  <w:pPr>
                    <w:tabs>
                      <w:tab w:val="right" w:pos="2309"/>
                    </w:tabs>
                    <w:adjustRightInd w:val="0"/>
                    <w:snapToGrid w:val="0"/>
                    <w:jc w:val="center"/>
                    <w:rPr>
                      <w:kern w:val="0"/>
                      <w:szCs w:val="21"/>
                    </w:rPr>
                  </w:pPr>
                  <w:r>
                    <w:rPr>
                      <w:rFonts w:hint="eastAsia"/>
                      <w:szCs w:val="21"/>
                    </w:rPr>
                    <w:t>地下水</w:t>
                  </w:r>
                </w:p>
              </w:tc>
              <w:tc>
                <w:tcPr>
                  <w:tcW w:w="2204" w:type="dxa"/>
                  <w:vAlign w:val="center"/>
                </w:tcPr>
                <w:p>
                  <w:pPr>
                    <w:adjustRightInd w:val="0"/>
                    <w:snapToGrid w:val="0"/>
                    <w:jc w:val="center"/>
                    <w:rPr>
                      <w:kern w:val="0"/>
                      <w:szCs w:val="21"/>
                    </w:rPr>
                  </w:pPr>
                  <w:r>
                    <w:rPr>
                      <w:rFonts w:hint="eastAsia"/>
                      <w:kern w:val="0"/>
                      <w:szCs w:val="21"/>
                    </w:rPr>
                    <w:t>东诚镇集中式饮用水水源保护区</w:t>
                  </w:r>
                </w:p>
              </w:tc>
              <w:tc>
                <w:tcPr>
                  <w:tcW w:w="2204" w:type="dxa"/>
                  <w:vAlign w:val="center"/>
                </w:tcPr>
                <w:p>
                  <w:pPr>
                    <w:adjustRightInd w:val="0"/>
                    <w:snapToGrid w:val="0"/>
                    <w:jc w:val="center"/>
                    <w:rPr>
                      <w:kern w:val="0"/>
                      <w:szCs w:val="21"/>
                    </w:rPr>
                  </w:pPr>
                  <w:r>
                    <w:rPr>
                      <w:rFonts w:hint="eastAsia"/>
                      <w:kern w:val="0"/>
                      <w:szCs w:val="21"/>
                    </w:rPr>
                    <w:t>《地下水质量标准》</w:t>
                  </w:r>
                </w:p>
                <w:p>
                  <w:pPr>
                    <w:adjustRightInd w:val="0"/>
                    <w:snapToGrid w:val="0"/>
                    <w:jc w:val="center"/>
                    <w:rPr>
                      <w:kern w:val="0"/>
                      <w:szCs w:val="21"/>
                    </w:rPr>
                  </w:pPr>
                  <w:r>
                    <w:rPr>
                      <w:rFonts w:hint="eastAsia"/>
                      <w:kern w:val="0"/>
                      <w:szCs w:val="21"/>
                    </w:rPr>
                    <w:t>（</w:t>
                  </w:r>
                  <w:r>
                    <w:rPr>
                      <w:kern w:val="0"/>
                      <w:szCs w:val="21"/>
                    </w:rPr>
                    <w:t>GB/T14848-2017</w:t>
                  </w:r>
                  <w:r>
                    <w:rPr>
                      <w:rFonts w:hint="eastAsia"/>
                      <w:kern w:val="0"/>
                      <w:szCs w:val="21"/>
                    </w:rPr>
                    <w:t>）</w:t>
                  </w:r>
                  <w:r>
                    <w:rPr>
                      <w:kern w:val="0"/>
                      <w:szCs w:val="21"/>
                    </w:rPr>
                    <w:t>Ⅲ</w:t>
                  </w:r>
                  <w:r>
                    <w:rPr>
                      <w:rFonts w:hint="eastAsia"/>
                      <w:kern w:val="0"/>
                      <w:szCs w:val="21"/>
                    </w:rPr>
                    <w:t>类</w:t>
                  </w:r>
                </w:p>
              </w:tc>
              <w:tc>
                <w:tcPr>
                  <w:tcW w:w="1027" w:type="dxa"/>
                  <w:vAlign w:val="center"/>
                </w:tcPr>
                <w:p>
                  <w:pPr>
                    <w:contextualSpacing/>
                    <w:jc w:val="center"/>
                    <w:rPr>
                      <w:szCs w:val="21"/>
                    </w:rPr>
                  </w:pPr>
                  <w:r>
                    <w:rPr>
                      <w:rFonts w:hint="eastAsia"/>
                      <w:szCs w:val="21"/>
                    </w:rPr>
                    <w:t>NE</w:t>
                  </w:r>
                </w:p>
              </w:tc>
              <w:tc>
                <w:tcPr>
                  <w:tcW w:w="1464" w:type="dxa"/>
                  <w:vAlign w:val="center"/>
                </w:tcPr>
                <w:p>
                  <w:pPr>
                    <w:jc w:val="center"/>
                    <w:rPr>
                      <w:szCs w:val="21"/>
                    </w:rPr>
                  </w:pPr>
                  <w:r>
                    <w:rPr>
                      <w:rFonts w:hint="eastAsia"/>
                      <w:szCs w:val="21"/>
                    </w:rPr>
                    <w:t>410</w:t>
                  </w:r>
                  <w:r>
                    <w:rPr>
                      <w:szCs w:val="21"/>
                    </w:rPr>
                    <w:t>m</w:t>
                  </w:r>
                </w:p>
              </w:tc>
            </w:tr>
          </w:tbl>
          <w:p>
            <w:pPr>
              <w:pStyle w:val="42"/>
              <w:spacing w:beforeLines="0" w:afterLines="0" w:line="360" w:lineRule="auto"/>
              <w:ind w:firstLine="482"/>
              <w:contextualSpacing/>
              <w:rPr>
                <w:rFonts w:eastAsiaTheme="minorEastAsia"/>
                <w:b/>
                <w:color w:val="auto"/>
              </w:rPr>
            </w:pPr>
            <w:r>
              <w:rPr>
                <w:rFonts w:eastAsiaTheme="minorEastAsia"/>
                <w:b/>
                <w:color w:val="auto"/>
              </w:rPr>
              <w:t>4</w:t>
            </w:r>
            <w:r>
              <w:rPr>
                <w:rFonts w:hint="eastAsia" w:eastAsiaTheme="minorEastAsia"/>
                <w:b/>
                <w:color w:val="auto"/>
              </w:rPr>
              <w:t>、生态环境保护目标</w:t>
            </w:r>
          </w:p>
          <w:p>
            <w:pPr>
              <w:spacing w:line="360" w:lineRule="auto"/>
              <w:ind w:firstLine="480" w:firstLineChars="200"/>
              <w:contextualSpacing/>
              <w:jc w:val="left"/>
              <w:rPr>
                <w:rFonts w:eastAsiaTheme="minorEastAsia"/>
                <w:kern w:val="0"/>
                <w:sz w:val="24"/>
              </w:rPr>
            </w:pPr>
            <w:r>
              <w:rPr>
                <w:rFonts w:hint="eastAsia" w:eastAsiaTheme="minorEastAsia"/>
                <w:kern w:val="0"/>
                <w:sz w:val="24"/>
              </w:rPr>
              <w:t>本项目建设地点属于黑龙江省虎林市东诚镇东风村，占地为工业用地，用地范围内无生态环境保护目标。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88" w:hRule="atLeast"/>
          <w:jc w:val="center"/>
        </w:trPr>
        <w:tc>
          <w:tcPr>
            <w:tcW w:w="452" w:type="dxa"/>
            <w:tcMar>
              <w:left w:w="28" w:type="dxa"/>
              <w:right w:w="28" w:type="dxa"/>
            </w:tcMar>
            <w:vAlign w:val="center"/>
          </w:tcPr>
          <w:p>
            <w:pPr>
              <w:adjustRightInd w:val="0"/>
              <w:snapToGrid w:val="0"/>
              <w:jc w:val="center"/>
              <w:rPr>
                <w:rFonts w:eastAsiaTheme="minorEastAsia"/>
                <w:kern w:val="0"/>
                <w:sz w:val="24"/>
              </w:rPr>
            </w:pPr>
            <w:r>
              <w:rPr>
                <w:rFonts w:hint="eastAsia" w:eastAsiaTheme="minorEastAsia"/>
                <w:kern w:val="0"/>
                <w:sz w:val="24"/>
              </w:rPr>
              <w:t>污染</w:t>
            </w:r>
          </w:p>
          <w:p>
            <w:pPr>
              <w:adjustRightInd w:val="0"/>
              <w:snapToGrid w:val="0"/>
              <w:jc w:val="center"/>
              <w:rPr>
                <w:rFonts w:eastAsiaTheme="minorEastAsia"/>
                <w:kern w:val="0"/>
                <w:sz w:val="24"/>
              </w:rPr>
            </w:pPr>
            <w:r>
              <w:rPr>
                <w:rFonts w:hint="eastAsia" w:eastAsiaTheme="minorEastAsia"/>
                <w:kern w:val="0"/>
                <w:sz w:val="24"/>
              </w:rPr>
              <w:t>物排</w:t>
            </w:r>
          </w:p>
          <w:p>
            <w:pPr>
              <w:adjustRightInd w:val="0"/>
              <w:snapToGrid w:val="0"/>
              <w:jc w:val="center"/>
              <w:rPr>
                <w:rFonts w:eastAsiaTheme="minorEastAsia"/>
                <w:kern w:val="0"/>
                <w:sz w:val="24"/>
              </w:rPr>
            </w:pPr>
            <w:r>
              <w:rPr>
                <w:rFonts w:hint="eastAsia" w:eastAsiaTheme="minorEastAsia"/>
                <w:kern w:val="0"/>
                <w:sz w:val="24"/>
              </w:rPr>
              <w:t>放控</w:t>
            </w:r>
          </w:p>
          <w:p>
            <w:pPr>
              <w:adjustRightInd w:val="0"/>
              <w:snapToGrid w:val="0"/>
              <w:jc w:val="center"/>
              <w:rPr>
                <w:rFonts w:eastAsiaTheme="minorEastAsia"/>
                <w:kern w:val="0"/>
                <w:sz w:val="24"/>
              </w:rPr>
            </w:pPr>
            <w:r>
              <w:rPr>
                <w:rFonts w:hint="eastAsia" w:eastAsiaTheme="minorEastAsia"/>
                <w:kern w:val="0"/>
                <w:sz w:val="24"/>
              </w:rPr>
              <w:t>制标</w:t>
            </w:r>
          </w:p>
          <w:p>
            <w:pPr>
              <w:adjustRightInd w:val="0"/>
              <w:snapToGrid w:val="0"/>
              <w:jc w:val="center"/>
              <w:rPr>
                <w:rFonts w:eastAsiaTheme="minorEastAsia"/>
                <w:kern w:val="0"/>
                <w:sz w:val="24"/>
              </w:rPr>
            </w:pPr>
            <w:r>
              <w:rPr>
                <w:rFonts w:hint="eastAsia" w:eastAsiaTheme="minorEastAsia"/>
                <w:kern w:val="0"/>
                <w:sz w:val="24"/>
              </w:rPr>
              <w:t>准</w:t>
            </w:r>
          </w:p>
        </w:tc>
        <w:tc>
          <w:tcPr>
            <w:tcW w:w="8609" w:type="dxa"/>
            <w:vAlign w:val="center"/>
          </w:tcPr>
          <w:p>
            <w:pPr>
              <w:spacing w:line="360" w:lineRule="auto"/>
              <w:ind w:firstLine="482" w:firstLineChars="200"/>
              <w:contextualSpacing/>
              <w:rPr>
                <w:rFonts w:eastAsiaTheme="minorEastAsia"/>
                <w:b/>
                <w:kern w:val="0"/>
                <w:sz w:val="24"/>
              </w:rPr>
            </w:pPr>
            <w:r>
              <w:rPr>
                <w:rFonts w:eastAsiaTheme="minorEastAsia"/>
                <w:b/>
                <w:kern w:val="0"/>
                <w:sz w:val="24"/>
              </w:rPr>
              <w:t>1</w:t>
            </w:r>
            <w:r>
              <w:rPr>
                <w:rFonts w:hint="eastAsia" w:eastAsiaTheme="minorEastAsia"/>
                <w:b/>
                <w:kern w:val="0"/>
                <w:sz w:val="24"/>
              </w:rPr>
              <w:t>、废气</w:t>
            </w:r>
          </w:p>
          <w:p>
            <w:pPr>
              <w:spacing w:line="360" w:lineRule="auto"/>
              <w:ind w:firstLine="480" w:firstLineChars="200"/>
              <w:jc w:val="left"/>
              <w:rPr>
                <w:rFonts w:eastAsiaTheme="minorEastAsia"/>
                <w:bCs/>
                <w:sz w:val="24"/>
              </w:rPr>
            </w:pPr>
            <w:r>
              <w:rPr>
                <w:rFonts w:hint="eastAsia" w:eastAsiaTheme="minorEastAsia"/>
                <w:bCs/>
                <w:sz w:val="24"/>
              </w:rPr>
              <w:t>施工期扬尘执行《大气污染物综合排放标准》（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无组织排放标准限值；</w:t>
            </w:r>
          </w:p>
          <w:p>
            <w:pPr>
              <w:spacing w:line="360" w:lineRule="auto"/>
              <w:ind w:firstLine="480" w:firstLineChars="200"/>
              <w:jc w:val="left"/>
              <w:rPr>
                <w:rFonts w:eastAsiaTheme="minorEastAsia"/>
                <w:bCs/>
                <w:sz w:val="24"/>
              </w:rPr>
            </w:pPr>
            <w:r>
              <w:rPr>
                <w:rFonts w:hint="eastAsia" w:eastAsiaTheme="minorEastAsia"/>
                <w:bCs/>
                <w:sz w:val="24"/>
              </w:rPr>
              <w:t>营运期</w:t>
            </w:r>
            <w:r>
              <w:rPr>
                <w:rFonts w:hint="eastAsia" w:eastAsiaTheme="minorEastAsia"/>
                <w:sz w:val="24"/>
              </w:rPr>
              <w:t>有组织颗粒物、非甲烷总烃</w:t>
            </w:r>
            <w:r>
              <w:rPr>
                <w:rFonts w:hint="eastAsia" w:eastAsiaTheme="minorEastAsia"/>
                <w:bCs/>
                <w:sz w:val="24"/>
              </w:rPr>
              <w:t>执行《大气污染物综合排放标准》（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排放限值，</w:t>
            </w:r>
            <w:r>
              <w:rPr>
                <w:rFonts w:hint="eastAsia" w:eastAsiaTheme="minorEastAsia"/>
                <w:sz w:val="24"/>
              </w:rPr>
              <w:t>厂界非甲烷总烃、颗粒物</w:t>
            </w:r>
            <w:r>
              <w:rPr>
                <w:rFonts w:hint="eastAsia" w:eastAsiaTheme="minorEastAsia"/>
                <w:bCs/>
                <w:sz w:val="24"/>
              </w:rPr>
              <w:t>执行</w:t>
            </w:r>
            <w:r>
              <w:rPr>
                <w:rFonts w:eastAsiaTheme="minorEastAsia"/>
                <w:bCs/>
                <w:sz w:val="24"/>
              </w:rPr>
              <w:t>《大气污染物综合排放标准》（GB16297-1996）表2中</w:t>
            </w:r>
            <w:r>
              <w:rPr>
                <w:rFonts w:hint="eastAsia" w:eastAsiaTheme="minorEastAsia"/>
                <w:bCs/>
                <w:sz w:val="24"/>
              </w:rPr>
              <w:t>无组织排放监控浓度限值。</w:t>
            </w:r>
            <w:r>
              <w:rPr>
                <w:rFonts w:hint="eastAsia" w:eastAsiaTheme="minorEastAsia"/>
                <w:sz w:val="24"/>
              </w:rPr>
              <w:t>厂区内挥发性有机物无组织排放监控点浓度执行《挥发性有机物无组织排放控制标准》（</w:t>
            </w:r>
            <w:r>
              <w:rPr>
                <w:rFonts w:eastAsiaTheme="minorEastAsia"/>
                <w:sz w:val="24"/>
              </w:rPr>
              <w:t>GB37822-2019</w:t>
            </w:r>
            <w:r>
              <w:rPr>
                <w:rFonts w:hint="eastAsia" w:eastAsiaTheme="minorEastAsia"/>
                <w:sz w:val="24"/>
              </w:rPr>
              <w:t>）中表</w:t>
            </w:r>
            <w:r>
              <w:rPr>
                <w:rFonts w:eastAsiaTheme="minorEastAsia"/>
                <w:sz w:val="24"/>
              </w:rPr>
              <w:t>A.1</w:t>
            </w:r>
            <w:r>
              <w:rPr>
                <w:rFonts w:hint="eastAsia" w:eastAsiaTheme="minorEastAsia"/>
                <w:sz w:val="24"/>
              </w:rPr>
              <w:t>规定的限值。</w:t>
            </w:r>
            <w:r>
              <w:rPr>
                <w:rFonts w:hint="eastAsia" w:eastAsiaTheme="minorEastAsia"/>
                <w:bCs/>
                <w:sz w:val="24"/>
              </w:rPr>
              <w:t>标准值见下表。</w:t>
            </w:r>
          </w:p>
          <w:p>
            <w:pPr>
              <w:spacing w:line="360" w:lineRule="auto"/>
              <w:ind w:firstLine="480" w:firstLineChars="200"/>
              <w:jc w:val="left"/>
              <w:rPr>
                <w:rFonts w:eastAsiaTheme="minorEastAsia"/>
                <w:bCs/>
                <w:sz w:val="24"/>
              </w:rPr>
            </w:pPr>
            <w:r>
              <w:rPr>
                <w:rFonts w:hint="eastAsia" w:eastAsiaTheme="minorEastAsia"/>
                <w:bCs/>
                <w:sz w:val="24"/>
              </w:rPr>
              <w:t>根据调查，厂址周边</w:t>
            </w:r>
            <w:r>
              <w:rPr>
                <w:rFonts w:eastAsiaTheme="minorEastAsia"/>
                <w:bCs/>
                <w:sz w:val="24"/>
              </w:rPr>
              <w:t>200m</w:t>
            </w:r>
            <w:r>
              <w:rPr>
                <w:rFonts w:hint="eastAsia" w:eastAsiaTheme="minorEastAsia"/>
                <w:bCs/>
                <w:sz w:val="24"/>
              </w:rPr>
              <w:t>范围内建筑物最高高度为</w:t>
            </w:r>
            <w:r>
              <w:rPr>
                <w:rFonts w:eastAsiaTheme="minorEastAsia"/>
                <w:bCs/>
                <w:sz w:val="24"/>
              </w:rPr>
              <w:t>10m</w:t>
            </w:r>
            <w:r>
              <w:rPr>
                <w:rFonts w:hint="eastAsia" w:eastAsiaTheme="minorEastAsia"/>
                <w:bCs/>
                <w:sz w:val="24"/>
              </w:rPr>
              <w:t>，本项目有组织排气筒，高度</w:t>
            </w:r>
            <w:r>
              <w:rPr>
                <w:rFonts w:eastAsiaTheme="minorEastAsia"/>
                <w:bCs/>
                <w:sz w:val="24"/>
              </w:rPr>
              <w:t>15m</w:t>
            </w:r>
            <w:r>
              <w:rPr>
                <w:rFonts w:hint="eastAsia" w:eastAsiaTheme="minorEastAsia"/>
                <w:bCs/>
                <w:sz w:val="24"/>
              </w:rPr>
              <w:t>，满足高出周围</w:t>
            </w:r>
            <w:r>
              <w:rPr>
                <w:rFonts w:eastAsiaTheme="minorEastAsia"/>
                <w:bCs/>
                <w:sz w:val="24"/>
              </w:rPr>
              <w:t>200m</w:t>
            </w:r>
            <w:r>
              <w:rPr>
                <w:rFonts w:hint="eastAsia" w:eastAsiaTheme="minorEastAsia"/>
                <w:bCs/>
                <w:sz w:val="24"/>
              </w:rPr>
              <w:t>半径范围的建筑</w:t>
            </w:r>
            <w:r>
              <w:rPr>
                <w:rFonts w:eastAsiaTheme="minorEastAsia"/>
                <w:bCs/>
                <w:sz w:val="24"/>
              </w:rPr>
              <w:t>5m</w:t>
            </w:r>
            <w:r>
              <w:rPr>
                <w:rFonts w:hint="eastAsia" w:eastAsiaTheme="minorEastAsia"/>
                <w:bCs/>
                <w:sz w:val="24"/>
              </w:rPr>
              <w:t>以上的要求。</w:t>
            </w:r>
          </w:p>
          <w:p>
            <w:pPr>
              <w:pStyle w:val="44"/>
              <w:spacing w:before="24" w:after="24"/>
              <w:ind w:firstLine="0" w:firstLineChars="0"/>
              <w:jc w:val="center"/>
              <w:rPr>
                <w:rFonts w:eastAsiaTheme="minorEastAsia"/>
                <w:b/>
                <w:sz w:val="24"/>
              </w:rPr>
            </w:pPr>
            <w:r>
              <w:rPr>
                <w:rFonts w:hint="eastAsia" w:eastAsiaTheme="minorEastAsia"/>
                <w:b/>
                <w:sz w:val="24"/>
              </w:rPr>
              <w:t>表</w:t>
            </w:r>
            <w:r>
              <w:rPr>
                <w:rFonts w:eastAsiaTheme="minorEastAsia"/>
                <w:b/>
                <w:sz w:val="24"/>
              </w:rPr>
              <w:t>3-</w:t>
            </w:r>
            <w:r>
              <w:rPr>
                <w:rFonts w:hint="eastAsia" w:eastAsiaTheme="minorEastAsia"/>
                <w:b/>
                <w:sz w:val="24"/>
              </w:rPr>
              <w:t>11挥发性有机物无组织排放控制标准</w:t>
            </w:r>
          </w:p>
          <w:tbl>
            <w:tblPr>
              <w:tblStyle w:val="21"/>
              <w:tblW w:w="850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23"/>
              <w:gridCol w:w="1744"/>
              <w:gridCol w:w="2552"/>
              <w:gridCol w:w="22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923" w:type="dxa"/>
                  <w:vAlign w:val="center"/>
                </w:tcPr>
                <w:p>
                  <w:pPr>
                    <w:jc w:val="center"/>
                    <w:rPr>
                      <w:rFonts w:eastAsiaTheme="minorEastAsia"/>
                      <w:szCs w:val="21"/>
                    </w:rPr>
                  </w:pPr>
                  <w:r>
                    <w:rPr>
                      <w:rFonts w:hint="eastAsia" w:eastAsiaTheme="minorEastAsia"/>
                      <w:szCs w:val="21"/>
                    </w:rPr>
                    <w:t>污染物</w:t>
                  </w:r>
                </w:p>
              </w:tc>
              <w:tc>
                <w:tcPr>
                  <w:tcW w:w="1744" w:type="dxa"/>
                  <w:vAlign w:val="center"/>
                </w:tcPr>
                <w:p>
                  <w:pPr>
                    <w:jc w:val="center"/>
                    <w:rPr>
                      <w:rFonts w:eastAsiaTheme="minorEastAsia"/>
                      <w:szCs w:val="21"/>
                    </w:rPr>
                  </w:pPr>
                  <w:r>
                    <w:rPr>
                      <w:rFonts w:hint="eastAsia" w:eastAsiaTheme="minorEastAsia"/>
                      <w:szCs w:val="21"/>
                    </w:rPr>
                    <w:t>排放限值</w:t>
                  </w:r>
                  <w:r>
                    <w:rPr>
                      <w:rFonts w:eastAsiaTheme="minorEastAsia"/>
                      <w:szCs w:val="21"/>
                    </w:rPr>
                    <w:t>mg/m</w:t>
                  </w:r>
                  <w:r>
                    <w:rPr>
                      <w:rFonts w:eastAsiaTheme="minorEastAsia"/>
                      <w:szCs w:val="21"/>
                      <w:vertAlign w:val="superscript"/>
                    </w:rPr>
                    <w:t>3</w:t>
                  </w:r>
                </w:p>
              </w:tc>
              <w:tc>
                <w:tcPr>
                  <w:tcW w:w="2552" w:type="dxa"/>
                  <w:tcMar>
                    <w:top w:w="0" w:type="dxa"/>
                    <w:left w:w="0" w:type="dxa"/>
                    <w:bottom w:w="0" w:type="dxa"/>
                    <w:right w:w="0" w:type="dxa"/>
                  </w:tcMar>
                  <w:vAlign w:val="center"/>
                </w:tcPr>
                <w:p>
                  <w:pPr>
                    <w:jc w:val="center"/>
                    <w:rPr>
                      <w:rFonts w:eastAsiaTheme="minorEastAsia"/>
                      <w:szCs w:val="21"/>
                    </w:rPr>
                  </w:pPr>
                  <w:r>
                    <w:rPr>
                      <w:rFonts w:hint="eastAsia" w:eastAsiaTheme="minorEastAsia"/>
                      <w:szCs w:val="21"/>
                    </w:rPr>
                    <w:t>限值含义</w:t>
                  </w:r>
                </w:p>
              </w:tc>
              <w:tc>
                <w:tcPr>
                  <w:tcW w:w="2286" w:type="dxa"/>
                  <w:vAlign w:val="center"/>
                </w:tcPr>
                <w:p>
                  <w:pPr>
                    <w:jc w:val="center"/>
                    <w:rPr>
                      <w:rFonts w:eastAsiaTheme="minorEastAsia"/>
                      <w:szCs w:val="21"/>
                    </w:rPr>
                  </w:pPr>
                  <w:r>
                    <w:rPr>
                      <w:rFonts w:hint="eastAsia" w:eastAsiaTheme="minorEastAsia"/>
                      <w:szCs w:val="21"/>
                    </w:rPr>
                    <w:t>无组织排放监控位置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92" w:hRule="atLeast"/>
                <w:jc w:val="center"/>
              </w:trPr>
              <w:tc>
                <w:tcPr>
                  <w:tcW w:w="1923" w:type="dxa"/>
                  <w:vMerge w:val="restart"/>
                  <w:vAlign w:val="center"/>
                </w:tcPr>
                <w:p>
                  <w:pPr>
                    <w:jc w:val="center"/>
                    <w:rPr>
                      <w:rFonts w:eastAsiaTheme="minorEastAsia"/>
                      <w:szCs w:val="21"/>
                    </w:rPr>
                  </w:pPr>
                  <w:r>
                    <w:rPr>
                      <w:rFonts w:eastAsiaTheme="minorEastAsia"/>
                      <w:szCs w:val="21"/>
                    </w:rPr>
                    <w:t>NMHC</w:t>
                  </w:r>
                </w:p>
              </w:tc>
              <w:tc>
                <w:tcPr>
                  <w:tcW w:w="1744" w:type="dxa"/>
                  <w:vAlign w:val="center"/>
                </w:tcPr>
                <w:p>
                  <w:pPr>
                    <w:jc w:val="center"/>
                    <w:rPr>
                      <w:rFonts w:eastAsiaTheme="minorEastAsia"/>
                      <w:szCs w:val="21"/>
                    </w:rPr>
                  </w:pPr>
                  <w:r>
                    <w:rPr>
                      <w:rFonts w:eastAsiaTheme="minorEastAsia"/>
                      <w:szCs w:val="21"/>
                    </w:rPr>
                    <w:t>10</w:t>
                  </w:r>
                </w:p>
              </w:tc>
              <w:tc>
                <w:tcPr>
                  <w:tcW w:w="2552" w:type="dxa"/>
                  <w:vAlign w:val="center"/>
                </w:tcPr>
                <w:p>
                  <w:pPr>
                    <w:pStyle w:val="79"/>
                    <w:widowControl w:val="0"/>
                    <w:pBdr>
                      <w:bottom w:val="none" w:color="auto" w:sz="0" w:space="0"/>
                    </w:pBdr>
                    <w:spacing w:before="0" w:after="0"/>
                    <w:ind w:firstLine="210"/>
                    <w:rPr>
                      <w:rFonts w:ascii="Times New Roman" w:hAnsi="Times New Roman" w:eastAsiaTheme="minorEastAsia"/>
                      <w:kern w:val="2"/>
                      <w:szCs w:val="21"/>
                    </w:rPr>
                  </w:pPr>
                  <w:r>
                    <w:rPr>
                      <w:rFonts w:hint="eastAsia" w:ascii="Times New Roman" w:hAnsi="Times New Roman" w:eastAsiaTheme="minorEastAsia"/>
                      <w:kern w:val="2"/>
                      <w:szCs w:val="21"/>
                    </w:rPr>
                    <w:t>监控点处</w:t>
                  </w:r>
                  <w:r>
                    <w:rPr>
                      <w:rFonts w:ascii="Times New Roman" w:hAnsi="Times New Roman" w:eastAsiaTheme="minorEastAsia"/>
                      <w:kern w:val="2"/>
                      <w:szCs w:val="21"/>
                    </w:rPr>
                    <w:t>1h</w:t>
                  </w:r>
                  <w:r>
                    <w:rPr>
                      <w:rFonts w:hint="eastAsia" w:ascii="Times New Roman" w:hAnsi="Times New Roman" w:eastAsiaTheme="minorEastAsia"/>
                      <w:kern w:val="2"/>
                      <w:szCs w:val="21"/>
                    </w:rPr>
                    <w:t>平均浓度值</w:t>
                  </w:r>
                </w:p>
              </w:tc>
              <w:tc>
                <w:tcPr>
                  <w:tcW w:w="2286" w:type="dxa"/>
                  <w:vMerge w:val="restart"/>
                  <w:vAlign w:val="center"/>
                </w:tcPr>
                <w:p>
                  <w:pPr>
                    <w:jc w:val="center"/>
                    <w:rPr>
                      <w:rFonts w:eastAsiaTheme="minorEastAsia"/>
                      <w:szCs w:val="21"/>
                    </w:rPr>
                  </w:pPr>
                  <w:r>
                    <w:rPr>
                      <w:rFonts w:hint="eastAsia" w:eastAsiaTheme="minorEastAsia"/>
                      <w:szCs w:val="21"/>
                    </w:rPr>
                    <w:t>在厂房外设置监控点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54" w:hRule="atLeast"/>
                <w:jc w:val="center"/>
              </w:trPr>
              <w:tc>
                <w:tcPr>
                  <w:tcW w:w="1923" w:type="dxa"/>
                  <w:vMerge w:val="continue"/>
                  <w:vAlign w:val="center"/>
                </w:tcPr>
                <w:p>
                  <w:pPr>
                    <w:jc w:val="center"/>
                    <w:rPr>
                      <w:rFonts w:eastAsiaTheme="minorEastAsia"/>
                      <w:szCs w:val="21"/>
                    </w:rPr>
                  </w:pPr>
                </w:p>
              </w:tc>
              <w:tc>
                <w:tcPr>
                  <w:tcW w:w="1744" w:type="dxa"/>
                  <w:vAlign w:val="center"/>
                </w:tcPr>
                <w:p>
                  <w:pPr>
                    <w:jc w:val="center"/>
                    <w:rPr>
                      <w:rFonts w:eastAsiaTheme="minorEastAsia"/>
                      <w:szCs w:val="21"/>
                    </w:rPr>
                  </w:pPr>
                  <w:r>
                    <w:rPr>
                      <w:rFonts w:eastAsiaTheme="minorEastAsia"/>
                      <w:szCs w:val="21"/>
                    </w:rPr>
                    <w:t>30</w:t>
                  </w:r>
                </w:p>
              </w:tc>
              <w:tc>
                <w:tcPr>
                  <w:tcW w:w="2552" w:type="dxa"/>
                  <w:vAlign w:val="center"/>
                </w:tcPr>
                <w:p>
                  <w:pPr>
                    <w:pStyle w:val="79"/>
                    <w:widowControl w:val="0"/>
                    <w:pBdr>
                      <w:bottom w:val="none" w:color="auto" w:sz="0" w:space="0"/>
                    </w:pBdr>
                    <w:spacing w:before="0" w:after="0"/>
                    <w:ind w:firstLine="210"/>
                    <w:rPr>
                      <w:rFonts w:ascii="Times New Roman" w:hAnsi="Times New Roman" w:eastAsiaTheme="minorEastAsia"/>
                      <w:kern w:val="2"/>
                      <w:szCs w:val="21"/>
                    </w:rPr>
                  </w:pPr>
                  <w:r>
                    <w:rPr>
                      <w:rFonts w:hint="eastAsia" w:ascii="Times New Roman" w:hAnsi="Times New Roman" w:eastAsiaTheme="minorEastAsia"/>
                      <w:kern w:val="2"/>
                      <w:szCs w:val="21"/>
                    </w:rPr>
                    <w:t>监控点处任意一次浓度值</w:t>
                  </w:r>
                </w:p>
              </w:tc>
              <w:tc>
                <w:tcPr>
                  <w:tcW w:w="2286" w:type="dxa"/>
                  <w:vMerge w:val="continue"/>
                  <w:vAlign w:val="center"/>
                </w:tcPr>
                <w:p>
                  <w:pPr>
                    <w:jc w:val="center"/>
                    <w:rPr>
                      <w:rFonts w:eastAsiaTheme="minorEastAsia"/>
                      <w:szCs w:val="21"/>
                    </w:rPr>
                  </w:pPr>
                </w:p>
              </w:tc>
            </w:tr>
          </w:tbl>
          <w:p>
            <w:pPr>
              <w:adjustRightInd w:val="0"/>
              <w:spacing w:line="276" w:lineRule="auto"/>
              <w:jc w:val="center"/>
              <w:textAlignment w:val="baseline"/>
              <w:rPr>
                <w:rFonts w:eastAsiaTheme="minorEastAsia"/>
                <w:b/>
                <w:bCs/>
                <w:kern w:val="0"/>
                <w:sz w:val="24"/>
              </w:rPr>
            </w:pPr>
            <w:r>
              <w:rPr>
                <w:rFonts w:hint="eastAsia" w:eastAsiaTheme="minorEastAsia"/>
                <w:b/>
                <w:bCs/>
                <w:kern w:val="0"/>
                <w:sz w:val="24"/>
              </w:rPr>
              <w:t>表</w:t>
            </w:r>
            <w:r>
              <w:rPr>
                <w:rFonts w:eastAsiaTheme="minorEastAsia"/>
                <w:b/>
                <w:bCs/>
                <w:kern w:val="0"/>
                <w:sz w:val="24"/>
              </w:rPr>
              <w:t>3-</w:t>
            </w:r>
            <w:r>
              <w:rPr>
                <w:rFonts w:hint="eastAsia" w:eastAsiaTheme="minorEastAsia"/>
                <w:b/>
                <w:bCs/>
                <w:kern w:val="0"/>
                <w:sz w:val="24"/>
              </w:rPr>
              <w:t>12大气污染物综合排放标准</w:t>
            </w:r>
          </w:p>
          <w:tbl>
            <w:tblPr>
              <w:tblStyle w:val="21"/>
              <w:tblpPr w:leftFromText="180" w:rightFromText="180" w:vertAnchor="text" w:tblpXSpec="center" w:tblpY="1"/>
              <w:tblOverlap w:val="never"/>
              <w:tblW w:w="839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
            <w:tblGrid>
              <w:gridCol w:w="955"/>
              <w:gridCol w:w="887"/>
              <w:gridCol w:w="1559"/>
              <w:gridCol w:w="1134"/>
              <w:gridCol w:w="38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Ex>
              <w:trPr>
                <w:cantSplit/>
                <w:trHeight w:val="750" w:hRule="exact"/>
              </w:trPr>
              <w:tc>
                <w:tcPr>
                  <w:tcW w:w="955" w:type="dxa"/>
                  <w:vAlign w:val="center"/>
                </w:tcPr>
                <w:p>
                  <w:pPr>
                    <w:spacing w:line="0" w:lineRule="atLeast"/>
                    <w:jc w:val="center"/>
                    <w:rPr>
                      <w:rFonts w:eastAsiaTheme="minorEastAsia"/>
                      <w:szCs w:val="21"/>
                    </w:rPr>
                  </w:pPr>
                  <w:r>
                    <w:rPr>
                      <w:rFonts w:hint="eastAsia" w:eastAsiaTheme="minorEastAsia"/>
                      <w:szCs w:val="21"/>
                    </w:rPr>
                    <w:t>污染物</w:t>
                  </w:r>
                </w:p>
              </w:tc>
              <w:tc>
                <w:tcPr>
                  <w:tcW w:w="887" w:type="dxa"/>
                  <w:vAlign w:val="center"/>
                </w:tcPr>
                <w:p>
                  <w:pPr>
                    <w:spacing w:line="0" w:lineRule="atLeast"/>
                    <w:jc w:val="center"/>
                    <w:rPr>
                      <w:rFonts w:eastAsiaTheme="minorEastAsia"/>
                      <w:szCs w:val="21"/>
                    </w:rPr>
                  </w:pPr>
                  <w:r>
                    <w:rPr>
                      <w:rFonts w:hint="eastAsia" w:eastAsiaTheme="minorEastAsia"/>
                      <w:szCs w:val="21"/>
                    </w:rPr>
                    <w:t>排放源</w:t>
                  </w:r>
                </w:p>
              </w:tc>
              <w:tc>
                <w:tcPr>
                  <w:tcW w:w="1559" w:type="dxa"/>
                  <w:vAlign w:val="center"/>
                </w:tcPr>
                <w:p>
                  <w:pPr>
                    <w:spacing w:line="0" w:lineRule="atLeast"/>
                    <w:jc w:val="center"/>
                    <w:rPr>
                      <w:rFonts w:eastAsiaTheme="minorEastAsia"/>
                      <w:szCs w:val="21"/>
                    </w:rPr>
                  </w:pPr>
                  <w:r>
                    <w:rPr>
                      <w:rFonts w:hint="eastAsia" w:eastAsiaTheme="minorEastAsia"/>
                      <w:szCs w:val="21"/>
                    </w:rPr>
                    <w:t>厂周界外浓度最高点</w:t>
                  </w:r>
                </w:p>
              </w:tc>
              <w:tc>
                <w:tcPr>
                  <w:tcW w:w="1134" w:type="dxa"/>
                  <w:vAlign w:val="center"/>
                </w:tcPr>
                <w:p>
                  <w:pPr>
                    <w:spacing w:line="0" w:lineRule="atLeast"/>
                    <w:jc w:val="center"/>
                    <w:rPr>
                      <w:rFonts w:eastAsiaTheme="minorEastAsia"/>
                      <w:szCs w:val="21"/>
                    </w:rPr>
                  </w:pPr>
                  <w:r>
                    <w:rPr>
                      <w:rFonts w:hint="eastAsia"/>
                    </w:rPr>
                    <w:t>排气筒高度</w:t>
                  </w:r>
                </w:p>
              </w:tc>
              <w:tc>
                <w:tcPr>
                  <w:tcW w:w="3864" w:type="dxa"/>
                  <w:vAlign w:val="center"/>
                </w:tcPr>
                <w:p>
                  <w:pPr>
                    <w:spacing w:line="0" w:lineRule="atLeast"/>
                    <w:jc w:val="center"/>
                    <w:rPr>
                      <w:rFonts w:eastAsiaTheme="minorEastAsia"/>
                      <w:szCs w:val="21"/>
                    </w:rPr>
                  </w:pPr>
                  <w:r>
                    <w:rPr>
                      <w:rFonts w:hint="eastAsia" w:eastAsiaTheme="minorEastAsia"/>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Ex>
              <w:trPr>
                <w:cantSplit/>
                <w:trHeight w:val="710" w:hRule="exact"/>
              </w:trPr>
              <w:tc>
                <w:tcPr>
                  <w:tcW w:w="955" w:type="dxa"/>
                  <w:vMerge w:val="restart"/>
                  <w:vAlign w:val="center"/>
                </w:tcPr>
                <w:p>
                  <w:pPr>
                    <w:spacing w:line="0" w:lineRule="atLeast"/>
                    <w:jc w:val="center"/>
                    <w:rPr>
                      <w:rFonts w:eastAsiaTheme="minorEastAsia"/>
                      <w:szCs w:val="21"/>
                    </w:rPr>
                  </w:pPr>
                  <w:r>
                    <w:rPr>
                      <w:rFonts w:hint="eastAsia" w:eastAsiaTheme="minorEastAsia"/>
                      <w:szCs w:val="21"/>
                    </w:rPr>
                    <w:t>非甲烷总烃</w:t>
                  </w:r>
                </w:p>
              </w:tc>
              <w:tc>
                <w:tcPr>
                  <w:tcW w:w="887" w:type="dxa"/>
                  <w:vAlign w:val="center"/>
                </w:tcPr>
                <w:p>
                  <w:pPr>
                    <w:spacing w:line="0" w:lineRule="atLeast"/>
                    <w:jc w:val="center"/>
                    <w:rPr>
                      <w:rFonts w:eastAsiaTheme="minorEastAsia"/>
                      <w:szCs w:val="21"/>
                    </w:rPr>
                  </w:pPr>
                  <w:r>
                    <w:rPr>
                      <w:rFonts w:hint="eastAsia" w:eastAsiaTheme="minorEastAsia"/>
                      <w:szCs w:val="21"/>
                    </w:rPr>
                    <w:t>有组织</w:t>
                  </w:r>
                </w:p>
              </w:tc>
              <w:tc>
                <w:tcPr>
                  <w:tcW w:w="1559" w:type="dxa"/>
                  <w:vAlign w:val="center"/>
                </w:tcPr>
                <w:p>
                  <w:pPr>
                    <w:spacing w:line="0" w:lineRule="atLeast"/>
                    <w:jc w:val="center"/>
                    <w:rPr>
                      <w:rFonts w:eastAsiaTheme="minorEastAsia"/>
                      <w:szCs w:val="21"/>
                    </w:rPr>
                  </w:pPr>
                  <w:r>
                    <w:rPr>
                      <w:rFonts w:eastAsiaTheme="minorEastAsia"/>
                      <w:szCs w:val="21"/>
                    </w:rPr>
                    <w:t>120mg/m</w:t>
                  </w:r>
                  <w:r>
                    <w:rPr>
                      <w:rFonts w:eastAsiaTheme="minorEastAsia"/>
                      <w:szCs w:val="21"/>
                      <w:vertAlign w:val="superscript"/>
                    </w:rPr>
                    <w:t>3</w:t>
                  </w:r>
                </w:p>
              </w:tc>
              <w:tc>
                <w:tcPr>
                  <w:tcW w:w="1134" w:type="dxa"/>
                  <w:vAlign w:val="center"/>
                </w:tcPr>
                <w:p>
                  <w:pPr>
                    <w:spacing w:line="0" w:lineRule="atLeast"/>
                    <w:jc w:val="center"/>
                    <w:rPr>
                      <w:rFonts w:eastAsiaTheme="minorEastAsia"/>
                      <w:bCs/>
                      <w:szCs w:val="21"/>
                    </w:rPr>
                  </w:pPr>
                  <w:r>
                    <w:rPr>
                      <w:rFonts w:hint="eastAsia" w:eastAsiaTheme="minorEastAsia"/>
                      <w:bCs/>
                      <w:szCs w:val="21"/>
                    </w:rPr>
                    <w:t>15m</w:t>
                  </w:r>
                </w:p>
              </w:tc>
              <w:tc>
                <w:tcPr>
                  <w:tcW w:w="3864" w:type="dxa"/>
                  <w:vAlign w:val="center"/>
                </w:tcPr>
                <w:p>
                  <w:pPr>
                    <w:spacing w:line="0" w:lineRule="atLeast"/>
                    <w:jc w:val="center"/>
                    <w:rPr>
                      <w:rFonts w:eastAsiaTheme="minorEastAsia"/>
                      <w:bCs/>
                      <w:szCs w:val="21"/>
                    </w:rPr>
                  </w:pPr>
                  <w:r>
                    <w:rPr>
                      <w:rFonts w:hint="eastAsia" w:eastAsiaTheme="minorEastAsia"/>
                      <w:bCs/>
                      <w:szCs w:val="21"/>
                    </w:rPr>
                    <w:t>《大气污染物综合排放标准》（</w:t>
                  </w:r>
                  <w:r>
                    <w:rPr>
                      <w:rFonts w:eastAsiaTheme="minorEastAsia"/>
                      <w:bCs/>
                      <w:szCs w:val="21"/>
                    </w:rPr>
                    <w:t>GB16297-1996</w:t>
                  </w:r>
                  <w:r>
                    <w:rPr>
                      <w:rFonts w:hint="eastAsia" w:eastAsiaTheme="minorEastAsia"/>
                      <w:bCs/>
                      <w:szCs w:val="21"/>
                    </w:rPr>
                    <w:t>）表</w:t>
                  </w:r>
                  <w:r>
                    <w:rPr>
                      <w:rFonts w:eastAsiaTheme="minorEastAsia"/>
                      <w:bCs/>
                      <w:szCs w:val="21"/>
                    </w:rPr>
                    <w:t>2</w:t>
                  </w:r>
                  <w:r>
                    <w:rPr>
                      <w:rFonts w:hint="eastAsia" w:eastAsiaTheme="minorEastAsia"/>
                      <w:bCs/>
                      <w:szCs w:val="21"/>
                    </w:rPr>
                    <w:t>排放限值（</w:t>
                  </w:r>
                  <w:r>
                    <w:rPr>
                      <w:rFonts w:eastAsiaTheme="minorEastAsia"/>
                      <w:bCs/>
                      <w:szCs w:val="21"/>
                    </w:rPr>
                    <w:t>GB16297-1996</w:t>
                  </w:r>
                  <w:r>
                    <w:rPr>
                      <w:rFonts w:hint="eastAsia" w:eastAsiaTheme="minorEastAsia"/>
                      <w:bCs/>
                      <w:szCs w:val="21"/>
                    </w:rPr>
                    <w:t>）表</w:t>
                  </w:r>
                  <w:r>
                    <w:rPr>
                      <w:rFonts w:eastAsiaTheme="minorEastAsia"/>
                      <w:bCs/>
                      <w:szCs w:val="21"/>
                    </w:rPr>
                    <w:t>2</w:t>
                  </w:r>
                  <w:r>
                    <w:rPr>
                      <w:rFonts w:hint="eastAsia" w:eastAsiaTheme="minorEastAsia"/>
                      <w:bCs/>
                      <w:szCs w:val="21"/>
                    </w:rPr>
                    <w:t>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Ex>
              <w:trPr>
                <w:cantSplit/>
                <w:trHeight w:val="710" w:hRule="exact"/>
              </w:trPr>
              <w:tc>
                <w:tcPr>
                  <w:tcW w:w="955" w:type="dxa"/>
                  <w:vMerge w:val="continue"/>
                  <w:vAlign w:val="center"/>
                </w:tcPr>
                <w:p>
                  <w:pPr>
                    <w:spacing w:line="0" w:lineRule="atLeast"/>
                    <w:jc w:val="center"/>
                    <w:rPr>
                      <w:rFonts w:eastAsiaTheme="minorEastAsia"/>
                      <w:szCs w:val="21"/>
                    </w:rPr>
                  </w:pPr>
                </w:p>
              </w:tc>
              <w:tc>
                <w:tcPr>
                  <w:tcW w:w="887" w:type="dxa"/>
                  <w:vAlign w:val="center"/>
                </w:tcPr>
                <w:p>
                  <w:pPr>
                    <w:spacing w:line="0" w:lineRule="atLeast"/>
                    <w:jc w:val="center"/>
                    <w:rPr>
                      <w:rFonts w:eastAsiaTheme="minorEastAsia"/>
                      <w:szCs w:val="21"/>
                    </w:rPr>
                  </w:pPr>
                  <w:r>
                    <w:rPr>
                      <w:rFonts w:hint="eastAsia" w:eastAsiaTheme="minorEastAsia"/>
                      <w:szCs w:val="21"/>
                    </w:rPr>
                    <w:t>无组织</w:t>
                  </w:r>
                </w:p>
              </w:tc>
              <w:tc>
                <w:tcPr>
                  <w:tcW w:w="1559" w:type="dxa"/>
                  <w:vAlign w:val="center"/>
                </w:tcPr>
                <w:p>
                  <w:pPr>
                    <w:spacing w:line="0" w:lineRule="atLeast"/>
                    <w:jc w:val="center"/>
                    <w:rPr>
                      <w:rFonts w:eastAsiaTheme="minorEastAsia"/>
                      <w:szCs w:val="21"/>
                    </w:rPr>
                  </w:pPr>
                  <w:r>
                    <w:rPr>
                      <w:rFonts w:eastAsiaTheme="minorEastAsia"/>
                      <w:szCs w:val="21"/>
                    </w:rPr>
                    <w:t>4.0mg/m</w:t>
                  </w:r>
                  <w:r>
                    <w:rPr>
                      <w:rFonts w:eastAsiaTheme="minorEastAsia"/>
                      <w:szCs w:val="21"/>
                      <w:vertAlign w:val="superscript"/>
                    </w:rPr>
                    <w:t>3</w:t>
                  </w:r>
                </w:p>
              </w:tc>
              <w:tc>
                <w:tcPr>
                  <w:tcW w:w="1134" w:type="dxa"/>
                  <w:vAlign w:val="center"/>
                </w:tcPr>
                <w:p>
                  <w:pPr>
                    <w:spacing w:line="0" w:lineRule="atLeast"/>
                    <w:jc w:val="center"/>
                    <w:rPr>
                      <w:bCs/>
                      <w:szCs w:val="21"/>
                    </w:rPr>
                  </w:pPr>
                  <w:r>
                    <w:rPr>
                      <w:rFonts w:hint="eastAsia"/>
                      <w:bCs/>
                      <w:szCs w:val="21"/>
                    </w:rPr>
                    <w:t>/</w:t>
                  </w:r>
                </w:p>
              </w:tc>
              <w:tc>
                <w:tcPr>
                  <w:tcW w:w="3864" w:type="dxa"/>
                  <w:vAlign w:val="center"/>
                </w:tcPr>
                <w:p>
                  <w:pPr>
                    <w:spacing w:line="0" w:lineRule="atLeast"/>
                    <w:jc w:val="center"/>
                    <w:rPr>
                      <w:rFonts w:eastAsiaTheme="minorEastAsia"/>
                      <w:szCs w:val="21"/>
                    </w:rPr>
                  </w:pPr>
                  <w:r>
                    <w:rPr>
                      <w:bCs/>
                      <w:szCs w:val="21"/>
                    </w:rPr>
                    <w:t>《大气污染物综合排放标准》（GB16297-1996）表2中</w:t>
                  </w:r>
                  <w:r>
                    <w:rPr>
                      <w:rFonts w:hint="eastAsia"/>
                      <w:bCs/>
                      <w:szCs w:val="21"/>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Ex>
              <w:trPr>
                <w:cantSplit/>
                <w:trHeight w:val="615" w:hRule="atLeast"/>
              </w:trPr>
              <w:tc>
                <w:tcPr>
                  <w:tcW w:w="955" w:type="dxa"/>
                  <w:vMerge w:val="restart"/>
                  <w:vAlign w:val="center"/>
                </w:tcPr>
                <w:p>
                  <w:pPr>
                    <w:spacing w:line="0" w:lineRule="atLeast"/>
                    <w:jc w:val="center"/>
                    <w:rPr>
                      <w:rFonts w:eastAsiaTheme="minorEastAsia"/>
                      <w:szCs w:val="21"/>
                    </w:rPr>
                  </w:pPr>
                  <w:r>
                    <w:rPr>
                      <w:rFonts w:hint="eastAsia" w:eastAsiaTheme="minorEastAsia"/>
                      <w:szCs w:val="21"/>
                    </w:rPr>
                    <w:t>颗粒物</w:t>
                  </w:r>
                </w:p>
              </w:tc>
              <w:tc>
                <w:tcPr>
                  <w:tcW w:w="887" w:type="dxa"/>
                  <w:vAlign w:val="center"/>
                </w:tcPr>
                <w:p>
                  <w:pPr>
                    <w:spacing w:line="0" w:lineRule="atLeast"/>
                    <w:jc w:val="center"/>
                    <w:rPr>
                      <w:rFonts w:eastAsiaTheme="minorEastAsia"/>
                      <w:szCs w:val="21"/>
                    </w:rPr>
                  </w:pPr>
                  <w:r>
                    <w:rPr>
                      <w:rFonts w:hint="eastAsia" w:eastAsiaTheme="minorEastAsia"/>
                      <w:szCs w:val="21"/>
                    </w:rPr>
                    <w:t>有组织</w:t>
                  </w:r>
                </w:p>
              </w:tc>
              <w:tc>
                <w:tcPr>
                  <w:tcW w:w="1559" w:type="dxa"/>
                  <w:vAlign w:val="center"/>
                </w:tcPr>
                <w:p>
                  <w:pPr>
                    <w:spacing w:line="0" w:lineRule="atLeast"/>
                    <w:jc w:val="center"/>
                    <w:rPr>
                      <w:rFonts w:eastAsiaTheme="minorEastAsia"/>
                      <w:szCs w:val="21"/>
                    </w:rPr>
                  </w:pPr>
                  <w:r>
                    <w:rPr>
                      <w:rFonts w:eastAsiaTheme="minorEastAsia"/>
                      <w:szCs w:val="21"/>
                    </w:rPr>
                    <w:t>120mg/m</w:t>
                  </w:r>
                  <w:r>
                    <w:rPr>
                      <w:rFonts w:eastAsiaTheme="minorEastAsia"/>
                      <w:szCs w:val="21"/>
                      <w:vertAlign w:val="superscript"/>
                    </w:rPr>
                    <w:t>3</w:t>
                  </w:r>
                </w:p>
              </w:tc>
              <w:tc>
                <w:tcPr>
                  <w:tcW w:w="1134" w:type="dxa"/>
                  <w:vAlign w:val="center"/>
                </w:tcPr>
                <w:p>
                  <w:pPr>
                    <w:spacing w:line="0" w:lineRule="atLeast"/>
                    <w:jc w:val="center"/>
                    <w:rPr>
                      <w:rFonts w:eastAsiaTheme="minorEastAsia"/>
                      <w:bCs/>
                      <w:szCs w:val="21"/>
                    </w:rPr>
                  </w:pPr>
                  <w:r>
                    <w:rPr>
                      <w:rFonts w:hint="eastAsia" w:eastAsiaTheme="minorEastAsia"/>
                      <w:bCs/>
                      <w:szCs w:val="21"/>
                    </w:rPr>
                    <w:t>15m</w:t>
                  </w:r>
                </w:p>
              </w:tc>
              <w:tc>
                <w:tcPr>
                  <w:tcW w:w="3864" w:type="dxa"/>
                  <w:vAlign w:val="center"/>
                </w:tcPr>
                <w:p>
                  <w:pPr>
                    <w:spacing w:line="0" w:lineRule="atLeast"/>
                    <w:jc w:val="center"/>
                    <w:rPr>
                      <w:rFonts w:eastAsiaTheme="minorEastAsia"/>
                      <w:szCs w:val="21"/>
                    </w:rPr>
                  </w:pPr>
                  <w:r>
                    <w:rPr>
                      <w:rFonts w:hint="eastAsia" w:eastAsiaTheme="minorEastAsia"/>
                      <w:bCs/>
                      <w:szCs w:val="21"/>
                    </w:rPr>
                    <w:t>《大气污染物综合排放标准》（</w:t>
                  </w:r>
                  <w:r>
                    <w:rPr>
                      <w:rFonts w:eastAsiaTheme="minorEastAsia"/>
                      <w:bCs/>
                      <w:szCs w:val="21"/>
                    </w:rPr>
                    <w:t>GB16297-1996</w:t>
                  </w:r>
                  <w:r>
                    <w:rPr>
                      <w:rFonts w:hint="eastAsia" w:eastAsiaTheme="minorEastAsia"/>
                      <w:bCs/>
                      <w:szCs w:val="21"/>
                    </w:rPr>
                    <w:t>）表</w:t>
                  </w:r>
                  <w:r>
                    <w:rPr>
                      <w:rFonts w:eastAsiaTheme="minorEastAsia"/>
                      <w:bCs/>
                      <w:szCs w:val="21"/>
                    </w:rPr>
                    <w:t>2</w:t>
                  </w:r>
                  <w:r>
                    <w:rPr>
                      <w:rFonts w:hint="eastAsia" w:eastAsiaTheme="minorEastAsia"/>
                      <w:bCs/>
                      <w:szCs w:val="21"/>
                    </w:rPr>
                    <w:t>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Ex>
              <w:trPr>
                <w:cantSplit/>
                <w:trHeight w:val="615" w:hRule="atLeast"/>
              </w:trPr>
              <w:tc>
                <w:tcPr>
                  <w:tcW w:w="955" w:type="dxa"/>
                  <w:vMerge w:val="continue"/>
                  <w:vAlign w:val="center"/>
                </w:tcPr>
                <w:p>
                  <w:pPr>
                    <w:spacing w:line="0" w:lineRule="atLeast"/>
                    <w:jc w:val="center"/>
                    <w:rPr>
                      <w:rFonts w:eastAsiaTheme="minorEastAsia"/>
                      <w:szCs w:val="21"/>
                    </w:rPr>
                  </w:pPr>
                </w:p>
              </w:tc>
              <w:tc>
                <w:tcPr>
                  <w:tcW w:w="887" w:type="dxa"/>
                  <w:vAlign w:val="center"/>
                </w:tcPr>
                <w:p>
                  <w:pPr>
                    <w:spacing w:line="0" w:lineRule="atLeast"/>
                    <w:jc w:val="center"/>
                    <w:rPr>
                      <w:rFonts w:eastAsiaTheme="minorEastAsia"/>
                      <w:szCs w:val="21"/>
                    </w:rPr>
                  </w:pPr>
                  <w:r>
                    <w:rPr>
                      <w:rFonts w:hint="eastAsia" w:eastAsiaTheme="minorEastAsia"/>
                      <w:szCs w:val="21"/>
                    </w:rPr>
                    <w:t>无组织</w:t>
                  </w:r>
                </w:p>
              </w:tc>
              <w:tc>
                <w:tcPr>
                  <w:tcW w:w="1559" w:type="dxa"/>
                  <w:vAlign w:val="center"/>
                </w:tcPr>
                <w:p>
                  <w:pPr>
                    <w:spacing w:line="0" w:lineRule="atLeast"/>
                    <w:jc w:val="center"/>
                    <w:rPr>
                      <w:rFonts w:eastAsiaTheme="minorEastAsia"/>
                      <w:szCs w:val="21"/>
                    </w:rPr>
                  </w:pPr>
                  <w:r>
                    <w:rPr>
                      <w:rFonts w:eastAsiaTheme="minorEastAsia"/>
                      <w:szCs w:val="21"/>
                    </w:rPr>
                    <w:t>1.0mg/m</w:t>
                  </w:r>
                  <w:r>
                    <w:rPr>
                      <w:rFonts w:eastAsiaTheme="minorEastAsia"/>
                      <w:szCs w:val="21"/>
                      <w:vertAlign w:val="superscript"/>
                    </w:rPr>
                    <w:t>3</w:t>
                  </w:r>
                </w:p>
              </w:tc>
              <w:tc>
                <w:tcPr>
                  <w:tcW w:w="1134" w:type="dxa"/>
                  <w:vAlign w:val="center"/>
                </w:tcPr>
                <w:p>
                  <w:pPr>
                    <w:spacing w:line="0" w:lineRule="atLeast"/>
                    <w:jc w:val="center"/>
                    <w:rPr>
                      <w:rFonts w:eastAsiaTheme="minorEastAsia"/>
                      <w:bCs/>
                      <w:szCs w:val="21"/>
                    </w:rPr>
                  </w:pPr>
                  <w:r>
                    <w:rPr>
                      <w:rFonts w:hint="eastAsia" w:eastAsiaTheme="minorEastAsia"/>
                      <w:bCs/>
                      <w:szCs w:val="21"/>
                    </w:rPr>
                    <w:t>/</w:t>
                  </w:r>
                </w:p>
              </w:tc>
              <w:tc>
                <w:tcPr>
                  <w:tcW w:w="3864" w:type="dxa"/>
                  <w:vAlign w:val="center"/>
                </w:tcPr>
                <w:p>
                  <w:pPr>
                    <w:spacing w:line="0" w:lineRule="atLeast"/>
                    <w:jc w:val="center"/>
                    <w:rPr>
                      <w:rFonts w:eastAsiaTheme="minorEastAsia"/>
                      <w:szCs w:val="21"/>
                    </w:rPr>
                  </w:pPr>
                  <w:r>
                    <w:rPr>
                      <w:rFonts w:eastAsiaTheme="minorEastAsia"/>
                      <w:bCs/>
                      <w:szCs w:val="21"/>
                    </w:rPr>
                    <w:t>《大气污染物综合排放标准》（GB16297-1996）表2中</w:t>
                  </w:r>
                  <w:r>
                    <w:rPr>
                      <w:rFonts w:hint="eastAsia" w:eastAsiaTheme="minorEastAsia"/>
                      <w:bCs/>
                      <w:szCs w:val="21"/>
                    </w:rPr>
                    <w:t>无组织排放监控浓度限值</w:t>
                  </w:r>
                </w:p>
              </w:tc>
            </w:tr>
          </w:tbl>
          <w:p>
            <w:pPr>
              <w:spacing w:line="360" w:lineRule="auto"/>
              <w:ind w:firstLine="482" w:firstLineChars="200"/>
              <w:contextualSpacing/>
              <w:rPr>
                <w:rFonts w:eastAsiaTheme="minorEastAsia"/>
                <w:b/>
                <w:kern w:val="0"/>
                <w:sz w:val="24"/>
              </w:rPr>
            </w:pPr>
            <w:r>
              <w:rPr>
                <w:rFonts w:eastAsiaTheme="minorEastAsia"/>
                <w:b/>
                <w:kern w:val="0"/>
                <w:sz w:val="24"/>
              </w:rPr>
              <w:t>2</w:t>
            </w:r>
            <w:r>
              <w:rPr>
                <w:rFonts w:hint="eastAsia" w:eastAsiaTheme="minorEastAsia"/>
                <w:b/>
                <w:kern w:val="0"/>
                <w:sz w:val="24"/>
              </w:rPr>
              <w:t>、噪声</w:t>
            </w:r>
          </w:p>
          <w:p>
            <w:pPr>
              <w:pStyle w:val="44"/>
              <w:snapToGrid/>
              <w:ind w:firstLine="480"/>
              <w:contextualSpacing/>
              <w:jc w:val="left"/>
              <w:rPr>
                <w:rFonts w:eastAsiaTheme="minorEastAsia"/>
                <w:sz w:val="24"/>
              </w:rPr>
            </w:pPr>
            <w:r>
              <w:rPr>
                <w:rFonts w:hint="eastAsia"/>
                <w:bCs/>
                <w:kern w:val="0"/>
                <w:sz w:val="24"/>
              </w:rPr>
              <w:t>根据</w:t>
            </w:r>
            <w:r>
              <w:rPr>
                <w:bCs/>
                <w:kern w:val="0"/>
                <w:sz w:val="24"/>
              </w:rPr>
              <w:t>《声环境质量标准》（GB3096-2008）中规定，</w:t>
            </w:r>
            <w:r>
              <w:rPr>
                <w:rFonts w:hint="eastAsia"/>
                <w:bCs/>
                <w:kern w:val="0"/>
                <w:sz w:val="24"/>
              </w:rPr>
              <w:t>村庄原则上执行1类声环境功能区要求，工业活动较多的村庄以及有交通干线经过的村庄（指执行4类声环境功能区要求以外的地区)）可局部或全部执行2 类声环境功能区要求。由于本项目北侧厂界为S201省道（二级公路），故项目区执行2类声环境功能区要求。</w:t>
            </w:r>
          </w:p>
          <w:p>
            <w:pPr>
              <w:pStyle w:val="44"/>
              <w:snapToGrid/>
              <w:ind w:firstLine="480"/>
              <w:contextualSpacing/>
              <w:jc w:val="left"/>
              <w:rPr>
                <w:rFonts w:eastAsiaTheme="minorEastAsia"/>
                <w:sz w:val="24"/>
              </w:rPr>
            </w:pPr>
            <w:r>
              <w:rPr>
                <w:rFonts w:hint="eastAsia" w:eastAsiaTheme="minorEastAsia"/>
                <w:bCs/>
                <w:sz w:val="24"/>
              </w:rPr>
              <w:t>本项目施工期场界噪声执行《建筑施工场界环境噪声排放标准》（</w:t>
            </w:r>
            <w:r>
              <w:rPr>
                <w:rFonts w:eastAsiaTheme="minorEastAsia"/>
                <w:bCs/>
                <w:sz w:val="24"/>
              </w:rPr>
              <w:t>GB12523-2011</w:t>
            </w:r>
            <w:r>
              <w:rPr>
                <w:rFonts w:hint="eastAsia" w:eastAsiaTheme="minorEastAsia"/>
                <w:bCs/>
                <w:sz w:val="24"/>
              </w:rPr>
              <w:t>）表</w:t>
            </w:r>
            <w:r>
              <w:rPr>
                <w:rFonts w:eastAsiaTheme="minorEastAsia"/>
                <w:bCs/>
                <w:sz w:val="24"/>
              </w:rPr>
              <w:t>2</w:t>
            </w:r>
            <w:r>
              <w:rPr>
                <w:rFonts w:hint="eastAsia" w:eastAsiaTheme="minorEastAsia"/>
                <w:bCs/>
                <w:sz w:val="24"/>
              </w:rPr>
              <w:t>标准；营运期北侧厂界为</w:t>
            </w:r>
            <w:r>
              <w:rPr>
                <w:rFonts w:hint="eastAsia" w:eastAsiaTheme="minorEastAsia"/>
                <w:bCs/>
                <w:kern w:val="0"/>
                <w:sz w:val="24"/>
                <w:szCs w:val="21"/>
              </w:rPr>
              <w:t>S201省道（二级公路），</w:t>
            </w:r>
            <w:r>
              <w:rPr>
                <w:rFonts w:hint="eastAsia" w:eastAsiaTheme="minorEastAsia"/>
                <w:bCs/>
                <w:sz w:val="24"/>
              </w:rPr>
              <w:t>噪声执行《工业企业厂界环境噪声排放标准》（</w:t>
            </w:r>
            <w:r>
              <w:rPr>
                <w:rFonts w:eastAsiaTheme="minorEastAsia"/>
                <w:bCs/>
                <w:sz w:val="24"/>
              </w:rPr>
              <w:t>GB12348-2008</w:t>
            </w:r>
            <w:r>
              <w:rPr>
                <w:rFonts w:hint="eastAsia" w:eastAsiaTheme="minorEastAsia"/>
                <w:bCs/>
                <w:sz w:val="24"/>
              </w:rPr>
              <w:t>）表</w:t>
            </w:r>
            <w:r>
              <w:rPr>
                <w:rFonts w:eastAsiaTheme="minorEastAsia"/>
                <w:bCs/>
                <w:sz w:val="24"/>
              </w:rPr>
              <w:t>1</w:t>
            </w:r>
            <w:r>
              <w:rPr>
                <w:rFonts w:hint="eastAsia" w:eastAsiaTheme="minorEastAsia"/>
                <w:bCs/>
                <w:sz w:val="24"/>
              </w:rPr>
              <w:t>中</w:t>
            </w:r>
            <w:r>
              <w:rPr>
                <w:rFonts w:eastAsiaTheme="minorEastAsia"/>
                <w:bCs/>
                <w:sz w:val="24"/>
              </w:rPr>
              <w:t>4</w:t>
            </w:r>
            <w:r>
              <w:rPr>
                <w:rFonts w:hint="eastAsia" w:eastAsiaTheme="minorEastAsia"/>
                <w:bCs/>
                <w:sz w:val="24"/>
              </w:rPr>
              <w:t>类标准，其余厂界噪声</w:t>
            </w:r>
            <w:r>
              <w:rPr>
                <w:rFonts w:eastAsiaTheme="minorEastAsia"/>
                <w:bCs/>
                <w:sz w:val="24"/>
              </w:rPr>
              <w:t>2</w:t>
            </w:r>
            <w:r>
              <w:rPr>
                <w:rFonts w:hint="eastAsia" w:eastAsiaTheme="minorEastAsia"/>
                <w:bCs/>
                <w:sz w:val="24"/>
              </w:rPr>
              <w:t>类标准</w:t>
            </w:r>
            <w:r>
              <w:rPr>
                <w:rFonts w:hint="eastAsia" w:eastAsiaTheme="minorEastAsia"/>
                <w:sz w:val="24"/>
              </w:rPr>
              <w:t>。</w:t>
            </w:r>
          </w:p>
          <w:p>
            <w:pPr>
              <w:pStyle w:val="44"/>
              <w:snapToGrid/>
              <w:ind w:firstLine="0" w:firstLineChars="0"/>
              <w:contextualSpacing/>
              <w:jc w:val="center"/>
              <w:rPr>
                <w:rFonts w:eastAsiaTheme="minorEastAsia"/>
                <w:b/>
                <w:sz w:val="24"/>
              </w:rPr>
            </w:pPr>
            <w:r>
              <w:rPr>
                <w:rFonts w:hint="eastAsia" w:eastAsiaTheme="minorEastAsia"/>
                <w:b/>
                <w:sz w:val="24"/>
              </w:rPr>
              <w:t>表</w:t>
            </w:r>
            <w:r>
              <w:rPr>
                <w:rFonts w:eastAsiaTheme="minorEastAsia"/>
                <w:b/>
                <w:sz w:val="24"/>
              </w:rPr>
              <w:t>3-</w:t>
            </w:r>
            <w:r>
              <w:rPr>
                <w:rFonts w:hint="eastAsia" w:eastAsiaTheme="minorEastAsia"/>
                <w:b/>
                <w:sz w:val="24"/>
              </w:rPr>
              <w:t>13施工期噪声排放标准</w:t>
            </w:r>
          </w:p>
          <w:tbl>
            <w:tblPr>
              <w:tblStyle w:val="21"/>
              <w:tblW w:w="8394"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6" w:type="dxa"/>
                <w:bottom w:w="0" w:type="dxa"/>
                <w:right w:w="56" w:type="dxa"/>
              </w:tblCellMar>
            </w:tblPr>
            <w:tblGrid>
              <w:gridCol w:w="4716"/>
              <w:gridCol w:w="1891"/>
              <w:gridCol w:w="17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6" w:type="dxa"/>
                  <w:bottom w:w="0" w:type="dxa"/>
                  <w:right w:w="56" w:type="dxa"/>
                </w:tblCellMar>
              </w:tblPrEx>
              <w:trPr>
                <w:cantSplit/>
                <w:trHeight w:val="346" w:hRule="exact"/>
                <w:jc w:val="center"/>
              </w:trPr>
              <w:tc>
                <w:tcPr>
                  <w:tcW w:w="4716" w:type="dxa"/>
                  <w:vAlign w:val="center"/>
                </w:tcPr>
                <w:p>
                  <w:pPr>
                    <w:adjustRightInd w:val="0"/>
                    <w:snapToGrid w:val="0"/>
                    <w:spacing w:line="0" w:lineRule="atLeast"/>
                    <w:jc w:val="center"/>
                    <w:rPr>
                      <w:rFonts w:eastAsiaTheme="minorEastAsia"/>
                      <w:bCs/>
                      <w:szCs w:val="21"/>
                    </w:rPr>
                  </w:pPr>
                  <w:r>
                    <w:rPr>
                      <w:rFonts w:hint="eastAsia" w:eastAsiaTheme="minorEastAsia"/>
                      <w:bCs/>
                      <w:szCs w:val="21"/>
                    </w:rPr>
                    <w:t>标准名称</w:t>
                  </w:r>
                </w:p>
              </w:tc>
              <w:tc>
                <w:tcPr>
                  <w:tcW w:w="1891" w:type="dxa"/>
                  <w:vAlign w:val="center"/>
                </w:tcPr>
                <w:p>
                  <w:pPr>
                    <w:adjustRightInd w:val="0"/>
                    <w:snapToGrid w:val="0"/>
                    <w:spacing w:line="0" w:lineRule="atLeast"/>
                    <w:jc w:val="center"/>
                    <w:rPr>
                      <w:rFonts w:eastAsiaTheme="minorEastAsia"/>
                      <w:bCs/>
                      <w:szCs w:val="21"/>
                    </w:rPr>
                  </w:pPr>
                  <w:r>
                    <w:rPr>
                      <w:rFonts w:hint="eastAsia" w:eastAsiaTheme="minorEastAsia"/>
                      <w:bCs/>
                      <w:szCs w:val="21"/>
                    </w:rPr>
                    <w:t>昼间</w:t>
                  </w:r>
                </w:p>
              </w:tc>
              <w:tc>
                <w:tcPr>
                  <w:tcW w:w="1787" w:type="dxa"/>
                  <w:vAlign w:val="center"/>
                </w:tcPr>
                <w:p>
                  <w:pPr>
                    <w:adjustRightInd w:val="0"/>
                    <w:snapToGrid w:val="0"/>
                    <w:spacing w:line="0" w:lineRule="atLeast"/>
                    <w:jc w:val="center"/>
                    <w:rPr>
                      <w:rFonts w:eastAsiaTheme="minorEastAsia"/>
                      <w:bCs/>
                      <w:szCs w:val="21"/>
                    </w:rPr>
                  </w:pPr>
                  <w:r>
                    <w:rPr>
                      <w:rFonts w:hint="eastAsia" w:eastAsiaTheme="minorEastAsia"/>
                      <w:bCs/>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6" w:type="dxa"/>
                  <w:bottom w:w="0" w:type="dxa"/>
                  <w:right w:w="56" w:type="dxa"/>
                </w:tblCellMar>
              </w:tblPrEx>
              <w:trPr>
                <w:cantSplit/>
                <w:trHeight w:val="600" w:hRule="exact"/>
                <w:jc w:val="center"/>
              </w:trPr>
              <w:tc>
                <w:tcPr>
                  <w:tcW w:w="4716" w:type="dxa"/>
                  <w:vAlign w:val="center"/>
                </w:tcPr>
                <w:p>
                  <w:pPr>
                    <w:adjustRightInd w:val="0"/>
                    <w:snapToGrid w:val="0"/>
                    <w:spacing w:line="0" w:lineRule="atLeast"/>
                    <w:jc w:val="center"/>
                    <w:rPr>
                      <w:rFonts w:eastAsiaTheme="minorEastAsia"/>
                      <w:bCs/>
                      <w:szCs w:val="21"/>
                    </w:rPr>
                  </w:pPr>
                  <w:r>
                    <w:rPr>
                      <w:rFonts w:hint="eastAsia" w:eastAsiaTheme="minorEastAsia"/>
                      <w:bCs/>
                      <w:szCs w:val="21"/>
                    </w:rPr>
                    <w:t>《建筑施工场界环境噪声排放标准》（</w:t>
                  </w:r>
                  <w:r>
                    <w:rPr>
                      <w:rFonts w:eastAsiaTheme="minorEastAsia"/>
                      <w:bCs/>
                      <w:szCs w:val="21"/>
                    </w:rPr>
                    <w:t>GB12523-2011</w:t>
                  </w:r>
                  <w:r>
                    <w:rPr>
                      <w:rFonts w:hint="eastAsia" w:eastAsiaTheme="minorEastAsia"/>
                      <w:bCs/>
                      <w:szCs w:val="21"/>
                    </w:rPr>
                    <w:t>）</w:t>
                  </w:r>
                </w:p>
              </w:tc>
              <w:tc>
                <w:tcPr>
                  <w:tcW w:w="1891" w:type="dxa"/>
                  <w:vAlign w:val="center"/>
                </w:tcPr>
                <w:p>
                  <w:pPr>
                    <w:adjustRightInd w:val="0"/>
                    <w:snapToGrid w:val="0"/>
                    <w:spacing w:line="0" w:lineRule="atLeast"/>
                    <w:jc w:val="center"/>
                    <w:rPr>
                      <w:rFonts w:eastAsiaTheme="minorEastAsia"/>
                      <w:bCs/>
                      <w:szCs w:val="21"/>
                    </w:rPr>
                  </w:pPr>
                  <w:r>
                    <w:rPr>
                      <w:rFonts w:eastAsiaTheme="minorEastAsia"/>
                      <w:bCs/>
                      <w:szCs w:val="21"/>
                    </w:rPr>
                    <w:t>70 dB</w:t>
                  </w:r>
                  <w:r>
                    <w:rPr>
                      <w:rFonts w:hint="eastAsia" w:eastAsiaTheme="minorEastAsia"/>
                      <w:bCs/>
                      <w:szCs w:val="21"/>
                    </w:rPr>
                    <w:t>（</w:t>
                  </w:r>
                  <w:r>
                    <w:rPr>
                      <w:rFonts w:eastAsiaTheme="minorEastAsia"/>
                      <w:bCs/>
                      <w:szCs w:val="21"/>
                    </w:rPr>
                    <w:t>A</w:t>
                  </w:r>
                  <w:r>
                    <w:rPr>
                      <w:rFonts w:hint="eastAsia" w:eastAsiaTheme="minorEastAsia"/>
                      <w:bCs/>
                      <w:szCs w:val="21"/>
                    </w:rPr>
                    <w:t>）</w:t>
                  </w:r>
                </w:p>
              </w:tc>
              <w:tc>
                <w:tcPr>
                  <w:tcW w:w="1787" w:type="dxa"/>
                  <w:vAlign w:val="center"/>
                </w:tcPr>
                <w:p>
                  <w:pPr>
                    <w:adjustRightInd w:val="0"/>
                    <w:snapToGrid w:val="0"/>
                    <w:spacing w:line="0" w:lineRule="atLeast"/>
                    <w:jc w:val="center"/>
                    <w:rPr>
                      <w:rFonts w:eastAsiaTheme="minorEastAsia"/>
                      <w:bCs/>
                      <w:szCs w:val="21"/>
                    </w:rPr>
                  </w:pPr>
                  <w:r>
                    <w:rPr>
                      <w:rFonts w:eastAsiaTheme="minorEastAsia"/>
                      <w:bCs/>
                      <w:szCs w:val="21"/>
                    </w:rPr>
                    <w:t>55 dB</w:t>
                  </w:r>
                  <w:r>
                    <w:rPr>
                      <w:rFonts w:hint="eastAsia" w:eastAsiaTheme="minorEastAsia"/>
                      <w:bCs/>
                      <w:szCs w:val="21"/>
                    </w:rPr>
                    <w:t>（</w:t>
                  </w:r>
                  <w:r>
                    <w:rPr>
                      <w:rFonts w:eastAsiaTheme="minorEastAsia"/>
                      <w:bCs/>
                      <w:szCs w:val="21"/>
                    </w:rPr>
                    <w:t>A</w:t>
                  </w:r>
                  <w:r>
                    <w:rPr>
                      <w:rFonts w:hint="eastAsia" w:eastAsiaTheme="minorEastAsia"/>
                      <w:bCs/>
                      <w:szCs w:val="21"/>
                    </w:rPr>
                    <w:t>）</w:t>
                  </w:r>
                </w:p>
              </w:tc>
            </w:tr>
          </w:tbl>
          <w:p>
            <w:pPr>
              <w:pStyle w:val="44"/>
              <w:snapToGrid/>
              <w:ind w:firstLine="0" w:firstLineChars="0"/>
              <w:contextualSpacing/>
              <w:jc w:val="center"/>
              <w:rPr>
                <w:rFonts w:eastAsiaTheme="minorEastAsia"/>
                <w:b/>
                <w:sz w:val="24"/>
              </w:rPr>
            </w:pPr>
            <w:r>
              <w:rPr>
                <w:rFonts w:hint="eastAsia" w:eastAsiaTheme="minorEastAsia"/>
                <w:b/>
                <w:sz w:val="24"/>
              </w:rPr>
              <w:t>表</w:t>
            </w:r>
            <w:r>
              <w:rPr>
                <w:rFonts w:eastAsiaTheme="minorEastAsia"/>
                <w:b/>
                <w:sz w:val="24"/>
              </w:rPr>
              <w:t>3-</w:t>
            </w:r>
            <w:r>
              <w:rPr>
                <w:rFonts w:hint="eastAsia" w:eastAsiaTheme="minorEastAsia"/>
                <w:b/>
                <w:sz w:val="24"/>
              </w:rPr>
              <w:t>14营运期噪声排放标准</w:t>
            </w:r>
          </w:p>
          <w:tbl>
            <w:tblPr>
              <w:tblStyle w:val="21"/>
              <w:tblW w:w="839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78"/>
              <w:gridCol w:w="2051"/>
              <w:gridCol w:w="1732"/>
              <w:gridCol w:w="17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jc w:val="center"/>
              </w:trPr>
              <w:tc>
                <w:tcPr>
                  <w:tcW w:w="2878" w:type="dxa"/>
                  <w:vAlign w:val="center"/>
                </w:tcPr>
                <w:p>
                  <w:pPr>
                    <w:adjustRightInd w:val="0"/>
                    <w:snapToGrid w:val="0"/>
                    <w:jc w:val="center"/>
                    <w:rPr>
                      <w:rFonts w:eastAsiaTheme="minorEastAsia"/>
                      <w:szCs w:val="21"/>
                    </w:rPr>
                  </w:pPr>
                  <w:r>
                    <w:rPr>
                      <w:rFonts w:hint="eastAsia" w:eastAsiaTheme="minorEastAsia"/>
                      <w:szCs w:val="21"/>
                    </w:rPr>
                    <w:t>位置</w:t>
                  </w:r>
                </w:p>
              </w:tc>
              <w:tc>
                <w:tcPr>
                  <w:tcW w:w="2051" w:type="dxa"/>
                  <w:vAlign w:val="center"/>
                </w:tcPr>
                <w:p>
                  <w:pPr>
                    <w:adjustRightInd w:val="0"/>
                    <w:snapToGrid w:val="0"/>
                    <w:jc w:val="center"/>
                    <w:rPr>
                      <w:rFonts w:eastAsiaTheme="minorEastAsia"/>
                      <w:szCs w:val="21"/>
                    </w:rPr>
                  </w:pPr>
                  <w:r>
                    <w:rPr>
                      <w:rFonts w:hint="eastAsia" w:eastAsiaTheme="minorEastAsia"/>
                      <w:szCs w:val="21"/>
                    </w:rPr>
                    <w:t>单位</w:t>
                  </w:r>
                </w:p>
              </w:tc>
              <w:tc>
                <w:tcPr>
                  <w:tcW w:w="1732" w:type="dxa"/>
                  <w:vAlign w:val="center"/>
                </w:tcPr>
                <w:p>
                  <w:pPr>
                    <w:adjustRightInd w:val="0"/>
                    <w:snapToGrid w:val="0"/>
                    <w:jc w:val="center"/>
                    <w:rPr>
                      <w:rFonts w:eastAsiaTheme="minorEastAsia"/>
                      <w:szCs w:val="21"/>
                    </w:rPr>
                  </w:pPr>
                  <w:r>
                    <w:rPr>
                      <w:rFonts w:hint="eastAsia" w:eastAsiaTheme="minorEastAsia"/>
                      <w:szCs w:val="21"/>
                    </w:rPr>
                    <w:t>昼间</w:t>
                  </w:r>
                </w:p>
              </w:tc>
              <w:tc>
                <w:tcPr>
                  <w:tcW w:w="1732" w:type="dxa"/>
                  <w:vAlign w:val="center"/>
                </w:tcPr>
                <w:p>
                  <w:pPr>
                    <w:adjustRightInd w:val="0"/>
                    <w:snapToGrid w:val="0"/>
                    <w:jc w:val="center"/>
                    <w:rPr>
                      <w:rFonts w:eastAsiaTheme="minorEastAsia"/>
                      <w:szCs w:val="21"/>
                    </w:rPr>
                  </w:pPr>
                  <w:r>
                    <w:rPr>
                      <w:rFonts w:hint="eastAsia" w:eastAsiaTheme="minorEastAsia"/>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0" w:hRule="atLeast"/>
                <w:jc w:val="center"/>
              </w:trPr>
              <w:tc>
                <w:tcPr>
                  <w:tcW w:w="2878" w:type="dxa"/>
                  <w:vAlign w:val="center"/>
                </w:tcPr>
                <w:p>
                  <w:pPr>
                    <w:adjustRightInd w:val="0"/>
                    <w:snapToGrid w:val="0"/>
                    <w:jc w:val="center"/>
                    <w:rPr>
                      <w:rFonts w:eastAsiaTheme="minorEastAsia"/>
                      <w:szCs w:val="21"/>
                    </w:rPr>
                  </w:pPr>
                  <w:r>
                    <w:rPr>
                      <w:rFonts w:hint="eastAsia" w:eastAsiaTheme="minorEastAsia"/>
                      <w:szCs w:val="21"/>
                    </w:rPr>
                    <w:t>其余厂界</w:t>
                  </w:r>
                </w:p>
              </w:tc>
              <w:tc>
                <w:tcPr>
                  <w:tcW w:w="2051" w:type="dxa"/>
                  <w:vAlign w:val="center"/>
                </w:tcPr>
                <w:p>
                  <w:pPr>
                    <w:jc w:val="center"/>
                    <w:rPr>
                      <w:rFonts w:eastAsiaTheme="minorEastAsia"/>
                      <w:szCs w:val="21"/>
                    </w:rPr>
                  </w:pPr>
                  <w:r>
                    <w:rPr>
                      <w:rFonts w:eastAsiaTheme="minorEastAsia"/>
                      <w:szCs w:val="21"/>
                    </w:rPr>
                    <w:t>dB(A)</w:t>
                  </w:r>
                </w:p>
              </w:tc>
              <w:tc>
                <w:tcPr>
                  <w:tcW w:w="1732" w:type="dxa"/>
                  <w:vAlign w:val="center"/>
                </w:tcPr>
                <w:p>
                  <w:pPr>
                    <w:adjustRightInd w:val="0"/>
                    <w:snapToGrid w:val="0"/>
                    <w:jc w:val="center"/>
                    <w:rPr>
                      <w:rFonts w:eastAsiaTheme="minorEastAsia"/>
                      <w:szCs w:val="21"/>
                    </w:rPr>
                  </w:pPr>
                  <w:r>
                    <w:rPr>
                      <w:rFonts w:eastAsiaTheme="minorEastAsia"/>
                      <w:szCs w:val="21"/>
                    </w:rPr>
                    <w:t>60</w:t>
                  </w:r>
                </w:p>
              </w:tc>
              <w:tc>
                <w:tcPr>
                  <w:tcW w:w="1732" w:type="dxa"/>
                  <w:vAlign w:val="center"/>
                </w:tcPr>
                <w:p>
                  <w:pPr>
                    <w:adjustRightInd w:val="0"/>
                    <w:snapToGrid w:val="0"/>
                    <w:jc w:val="center"/>
                    <w:rPr>
                      <w:rFonts w:eastAsiaTheme="minorEastAsia"/>
                      <w:szCs w:val="21"/>
                    </w:rPr>
                  </w:pPr>
                  <w:r>
                    <w:rPr>
                      <w:rFonts w:eastAsiaTheme="minorEastAsia"/>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0" w:hRule="atLeast"/>
                <w:jc w:val="center"/>
              </w:trPr>
              <w:tc>
                <w:tcPr>
                  <w:tcW w:w="2878" w:type="dxa"/>
                  <w:vAlign w:val="center"/>
                </w:tcPr>
                <w:p>
                  <w:pPr>
                    <w:adjustRightInd w:val="0"/>
                    <w:snapToGrid w:val="0"/>
                    <w:jc w:val="center"/>
                    <w:rPr>
                      <w:rFonts w:eastAsiaTheme="minorEastAsia"/>
                      <w:szCs w:val="21"/>
                    </w:rPr>
                  </w:pPr>
                  <w:r>
                    <w:rPr>
                      <w:rFonts w:hint="eastAsia" w:eastAsiaTheme="minorEastAsia"/>
                      <w:szCs w:val="21"/>
                    </w:rPr>
                    <w:t>北侧厂界</w:t>
                  </w:r>
                </w:p>
              </w:tc>
              <w:tc>
                <w:tcPr>
                  <w:tcW w:w="2051" w:type="dxa"/>
                  <w:vAlign w:val="center"/>
                </w:tcPr>
                <w:p>
                  <w:pPr>
                    <w:jc w:val="center"/>
                    <w:rPr>
                      <w:rFonts w:eastAsiaTheme="minorEastAsia"/>
                      <w:szCs w:val="21"/>
                    </w:rPr>
                  </w:pPr>
                  <w:r>
                    <w:rPr>
                      <w:rFonts w:eastAsiaTheme="minorEastAsia"/>
                      <w:szCs w:val="21"/>
                    </w:rPr>
                    <w:t>dB(A)</w:t>
                  </w:r>
                </w:p>
              </w:tc>
              <w:tc>
                <w:tcPr>
                  <w:tcW w:w="1732" w:type="dxa"/>
                  <w:vAlign w:val="center"/>
                </w:tcPr>
                <w:p>
                  <w:pPr>
                    <w:adjustRightInd w:val="0"/>
                    <w:snapToGrid w:val="0"/>
                    <w:jc w:val="center"/>
                    <w:rPr>
                      <w:rFonts w:eastAsiaTheme="minorEastAsia"/>
                      <w:szCs w:val="21"/>
                    </w:rPr>
                  </w:pPr>
                  <w:r>
                    <w:rPr>
                      <w:rFonts w:eastAsiaTheme="minorEastAsia"/>
                      <w:szCs w:val="21"/>
                    </w:rPr>
                    <w:t>70</w:t>
                  </w:r>
                </w:p>
              </w:tc>
              <w:tc>
                <w:tcPr>
                  <w:tcW w:w="1732" w:type="dxa"/>
                  <w:vAlign w:val="center"/>
                </w:tcPr>
                <w:p>
                  <w:pPr>
                    <w:adjustRightInd w:val="0"/>
                    <w:snapToGrid w:val="0"/>
                    <w:jc w:val="center"/>
                    <w:rPr>
                      <w:rFonts w:eastAsiaTheme="minorEastAsia"/>
                      <w:szCs w:val="21"/>
                    </w:rPr>
                  </w:pPr>
                  <w:r>
                    <w:rPr>
                      <w:rFonts w:eastAsiaTheme="minorEastAsia"/>
                      <w:szCs w:val="21"/>
                    </w:rPr>
                    <w:t>55</w:t>
                  </w:r>
                </w:p>
              </w:tc>
            </w:tr>
          </w:tbl>
          <w:p>
            <w:pPr>
              <w:pStyle w:val="44"/>
              <w:snapToGrid/>
              <w:ind w:firstLine="482"/>
              <w:contextualSpacing/>
              <w:jc w:val="left"/>
              <w:rPr>
                <w:rFonts w:eastAsiaTheme="minorEastAsia"/>
                <w:b/>
                <w:bCs/>
                <w:sz w:val="24"/>
              </w:rPr>
            </w:pPr>
            <w:r>
              <w:rPr>
                <w:rFonts w:eastAsiaTheme="minorEastAsia"/>
                <w:b/>
                <w:bCs/>
                <w:sz w:val="24"/>
              </w:rPr>
              <w:t>3</w:t>
            </w:r>
            <w:r>
              <w:rPr>
                <w:rFonts w:hint="eastAsia" w:eastAsiaTheme="minorEastAsia"/>
                <w:b/>
                <w:bCs/>
                <w:sz w:val="24"/>
              </w:rPr>
              <w:t>、废水</w:t>
            </w:r>
          </w:p>
          <w:p>
            <w:pPr>
              <w:pStyle w:val="44"/>
              <w:snapToGrid/>
              <w:ind w:firstLine="480"/>
              <w:contextualSpacing/>
              <w:jc w:val="left"/>
              <w:rPr>
                <w:rFonts w:eastAsiaTheme="minorEastAsia"/>
                <w:bCs/>
                <w:sz w:val="24"/>
              </w:rPr>
            </w:pPr>
            <w:r>
              <w:rPr>
                <w:rFonts w:hint="eastAsia" w:eastAsiaTheme="minorEastAsia"/>
                <w:bCs/>
                <w:sz w:val="24"/>
              </w:rPr>
              <w:t>本项目营运期废水排放执行《污水综合排放标准》（</w:t>
            </w:r>
            <w:r>
              <w:rPr>
                <w:rFonts w:eastAsiaTheme="minorEastAsia"/>
                <w:bCs/>
                <w:sz w:val="24"/>
              </w:rPr>
              <w:t>GB8978-1996</w:t>
            </w:r>
            <w:r>
              <w:rPr>
                <w:rFonts w:hint="eastAsia" w:eastAsiaTheme="minorEastAsia"/>
                <w:bCs/>
                <w:sz w:val="24"/>
              </w:rPr>
              <w:t>）表</w:t>
            </w:r>
            <w:r>
              <w:rPr>
                <w:rFonts w:eastAsiaTheme="minorEastAsia"/>
                <w:bCs/>
                <w:sz w:val="24"/>
              </w:rPr>
              <w:t>4</w:t>
            </w:r>
            <w:r>
              <w:rPr>
                <w:rFonts w:hint="eastAsia" w:eastAsiaTheme="minorEastAsia"/>
                <w:bCs/>
                <w:sz w:val="24"/>
              </w:rPr>
              <w:t>中三级标准。</w:t>
            </w:r>
          </w:p>
          <w:p>
            <w:pPr>
              <w:spacing w:line="360" w:lineRule="auto"/>
              <w:contextualSpacing/>
              <w:jc w:val="center"/>
              <w:rPr>
                <w:b/>
                <w:sz w:val="24"/>
              </w:rPr>
            </w:pPr>
            <w:r>
              <w:rPr>
                <w:rFonts w:hint="eastAsia"/>
                <w:b/>
                <w:sz w:val="24"/>
              </w:rPr>
              <w:t>表</w:t>
            </w:r>
            <w:r>
              <w:rPr>
                <w:b/>
                <w:sz w:val="24"/>
              </w:rPr>
              <w:t>3-</w:t>
            </w:r>
            <w:r>
              <w:rPr>
                <w:rFonts w:hint="eastAsia"/>
                <w:b/>
                <w:sz w:val="24"/>
              </w:rPr>
              <w:t>15水污染物排放标准</w:t>
            </w:r>
          </w:p>
          <w:tbl>
            <w:tblPr>
              <w:tblStyle w:val="21"/>
              <w:tblW w:w="8113"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28"/>
              <w:gridCol w:w="1385"/>
              <w:gridCol w:w="3796"/>
              <w:gridCol w:w="220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7" w:hRule="atLeast"/>
                <w:jc w:val="center"/>
              </w:trPr>
              <w:tc>
                <w:tcPr>
                  <w:tcW w:w="728" w:type="dxa"/>
                  <w:vAlign w:val="center"/>
                </w:tcPr>
                <w:p>
                  <w:pPr>
                    <w:jc w:val="center"/>
                    <w:rPr>
                      <w:position w:val="6"/>
                      <w:szCs w:val="21"/>
                    </w:rPr>
                  </w:pPr>
                  <w:r>
                    <w:rPr>
                      <w:rFonts w:hint="eastAsia"/>
                      <w:position w:val="6"/>
                      <w:szCs w:val="21"/>
                    </w:rPr>
                    <w:t>序号</w:t>
                  </w:r>
                </w:p>
              </w:tc>
              <w:tc>
                <w:tcPr>
                  <w:tcW w:w="1385" w:type="dxa"/>
                  <w:vAlign w:val="center"/>
                </w:tcPr>
                <w:p>
                  <w:pPr>
                    <w:jc w:val="center"/>
                    <w:rPr>
                      <w:position w:val="6"/>
                      <w:szCs w:val="21"/>
                    </w:rPr>
                  </w:pPr>
                  <w:r>
                    <w:rPr>
                      <w:rFonts w:hint="eastAsia"/>
                      <w:position w:val="6"/>
                      <w:szCs w:val="21"/>
                    </w:rPr>
                    <w:t>排放口编号</w:t>
                  </w:r>
                </w:p>
              </w:tc>
              <w:tc>
                <w:tcPr>
                  <w:tcW w:w="3796" w:type="dxa"/>
                  <w:vAlign w:val="center"/>
                </w:tcPr>
                <w:p>
                  <w:pPr>
                    <w:jc w:val="center"/>
                    <w:rPr>
                      <w:position w:val="6"/>
                      <w:szCs w:val="21"/>
                    </w:rPr>
                  </w:pPr>
                  <w:r>
                    <w:rPr>
                      <w:rFonts w:hint="eastAsia"/>
                      <w:position w:val="6"/>
                      <w:szCs w:val="21"/>
                    </w:rPr>
                    <w:t>污染物种类</w:t>
                  </w:r>
                </w:p>
              </w:tc>
              <w:tc>
                <w:tcPr>
                  <w:tcW w:w="2204" w:type="dxa"/>
                  <w:vAlign w:val="center"/>
                </w:tcPr>
                <w:p>
                  <w:pPr>
                    <w:jc w:val="center"/>
                    <w:rPr>
                      <w:position w:val="6"/>
                      <w:szCs w:val="21"/>
                    </w:rPr>
                  </w:pPr>
                  <w:r>
                    <w:rPr>
                      <w:rFonts w:hint="eastAsia"/>
                      <w:position w:val="6"/>
                      <w:szCs w:val="21"/>
                    </w:rPr>
                    <w:t>三级标准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 w:hRule="atLeast"/>
                <w:jc w:val="center"/>
              </w:trPr>
              <w:tc>
                <w:tcPr>
                  <w:tcW w:w="728" w:type="dxa"/>
                  <w:vMerge w:val="restart"/>
                  <w:vAlign w:val="center"/>
                </w:tcPr>
                <w:p>
                  <w:pPr>
                    <w:jc w:val="center"/>
                    <w:rPr>
                      <w:position w:val="6"/>
                      <w:szCs w:val="21"/>
                    </w:rPr>
                  </w:pPr>
                  <w:r>
                    <w:rPr>
                      <w:position w:val="6"/>
                      <w:szCs w:val="21"/>
                    </w:rPr>
                    <w:t>1</w:t>
                  </w:r>
                </w:p>
              </w:tc>
              <w:tc>
                <w:tcPr>
                  <w:tcW w:w="1385" w:type="dxa"/>
                  <w:vMerge w:val="restart"/>
                  <w:vAlign w:val="center"/>
                </w:tcPr>
                <w:p>
                  <w:pPr>
                    <w:jc w:val="center"/>
                    <w:rPr>
                      <w:position w:val="6"/>
                      <w:szCs w:val="21"/>
                    </w:rPr>
                  </w:pPr>
                  <w:r>
                    <w:rPr>
                      <w:rFonts w:hint="eastAsia"/>
                      <w:position w:val="6"/>
                      <w:szCs w:val="21"/>
                    </w:rPr>
                    <w:t>DW</w:t>
                  </w:r>
                  <w:r>
                    <w:rPr>
                      <w:position w:val="6"/>
                      <w:szCs w:val="21"/>
                    </w:rPr>
                    <w:t>001</w:t>
                  </w:r>
                </w:p>
              </w:tc>
              <w:tc>
                <w:tcPr>
                  <w:tcW w:w="3796" w:type="dxa"/>
                  <w:vAlign w:val="center"/>
                </w:tcPr>
                <w:p>
                  <w:pPr>
                    <w:jc w:val="center"/>
                    <w:rPr>
                      <w:position w:val="6"/>
                      <w:szCs w:val="21"/>
                    </w:rPr>
                  </w:pPr>
                  <w:r>
                    <w:rPr>
                      <w:rFonts w:hint="eastAsia"/>
                      <w:position w:val="6"/>
                      <w:szCs w:val="21"/>
                    </w:rPr>
                    <w:t>化学需氧量（</w:t>
                  </w:r>
                  <w:r>
                    <w:rPr>
                      <w:position w:val="6"/>
                      <w:szCs w:val="21"/>
                    </w:rPr>
                    <w:t>mg/L</w:t>
                  </w:r>
                  <w:r>
                    <w:rPr>
                      <w:rFonts w:hint="eastAsia"/>
                      <w:position w:val="6"/>
                      <w:szCs w:val="21"/>
                    </w:rPr>
                    <w:t>）</w:t>
                  </w:r>
                </w:p>
              </w:tc>
              <w:tc>
                <w:tcPr>
                  <w:tcW w:w="2204" w:type="dxa"/>
                  <w:vAlign w:val="center"/>
                </w:tcPr>
                <w:p>
                  <w:pPr>
                    <w:widowControl/>
                    <w:jc w:val="center"/>
                    <w:rPr>
                      <w:position w:val="6"/>
                      <w:szCs w:val="21"/>
                    </w:rPr>
                  </w:pPr>
                  <w:r>
                    <w:rPr>
                      <w:position w:val="6"/>
                      <w:szCs w:val="21"/>
                    </w:rPr>
                    <w:t>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77" w:hRule="atLeast"/>
                <w:jc w:val="center"/>
              </w:trPr>
              <w:tc>
                <w:tcPr>
                  <w:tcW w:w="728" w:type="dxa"/>
                  <w:vMerge w:val="continue"/>
                  <w:vAlign w:val="center"/>
                </w:tcPr>
                <w:p>
                  <w:pPr>
                    <w:jc w:val="center"/>
                    <w:rPr>
                      <w:position w:val="6"/>
                      <w:szCs w:val="21"/>
                    </w:rPr>
                  </w:pPr>
                </w:p>
              </w:tc>
              <w:tc>
                <w:tcPr>
                  <w:tcW w:w="1385" w:type="dxa"/>
                  <w:vMerge w:val="continue"/>
                  <w:vAlign w:val="center"/>
                </w:tcPr>
                <w:p>
                  <w:pPr>
                    <w:jc w:val="center"/>
                    <w:rPr>
                      <w:position w:val="6"/>
                      <w:szCs w:val="21"/>
                    </w:rPr>
                  </w:pPr>
                </w:p>
              </w:tc>
              <w:tc>
                <w:tcPr>
                  <w:tcW w:w="3796" w:type="dxa"/>
                  <w:vAlign w:val="center"/>
                </w:tcPr>
                <w:p>
                  <w:pPr>
                    <w:jc w:val="center"/>
                    <w:rPr>
                      <w:position w:val="6"/>
                      <w:szCs w:val="21"/>
                    </w:rPr>
                  </w:pPr>
                  <w:r>
                    <w:rPr>
                      <w:rFonts w:hint="eastAsia"/>
                      <w:position w:val="6"/>
                      <w:szCs w:val="21"/>
                    </w:rPr>
                    <w:t>氨氮（</w:t>
                  </w:r>
                  <w:r>
                    <w:rPr>
                      <w:position w:val="6"/>
                      <w:szCs w:val="21"/>
                    </w:rPr>
                    <w:t>mg/L</w:t>
                  </w:r>
                  <w:r>
                    <w:rPr>
                      <w:rFonts w:hint="eastAsia"/>
                      <w:position w:val="6"/>
                      <w:szCs w:val="21"/>
                    </w:rPr>
                    <w:t>）</w:t>
                  </w:r>
                </w:p>
              </w:tc>
              <w:tc>
                <w:tcPr>
                  <w:tcW w:w="2204" w:type="dxa"/>
                  <w:vAlign w:val="center"/>
                </w:tcPr>
                <w:p>
                  <w:pPr>
                    <w:jc w:val="center"/>
                    <w:rPr>
                      <w:position w:val="6"/>
                      <w:szCs w:val="21"/>
                    </w:rPr>
                  </w:pPr>
                  <w:r>
                    <w:rPr>
                      <w:position w:val="6"/>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77" w:hRule="atLeast"/>
                <w:jc w:val="center"/>
              </w:trPr>
              <w:tc>
                <w:tcPr>
                  <w:tcW w:w="728" w:type="dxa"/>
                  <w:vMerge w:val="continue"/>
                  <w:vAlign w:val="center"/>
                </w:tcPr>
                <w:p>
                  <w:pPr>
                    <w:jc w:val="center"/>
                    <w:rPr>
                      <w:position w:val="6"/>
                      <w:szCs w:val="21"/>
                    </w:rPr>
                  </w:pPr>
                </w:p>
              </w:tc>
              <w:tc>
                <w:tcPr>
                  <w:tcW w:w="1385" w:type="dxa"/>
                  <w:vMerge w:val="continue"/>
                  <w:vAlign w:val="center"/>
                </w:tcPr>
                <w:p>
                  <w:pPr>
                    <w:jc w:val="center"/>
                    <w:rPr>
                      <w:position w:val="6"/>
                      <w:szCs w:val="21"/>
                    </w:rPr>
                  </w:pPr>
                </w:p>
              </w:tc>
              <w:tc>
                <w:tcPr>
                  <w:tcW w:w="3796" w:type="dxa"/>
                  <w:vAlign w:val="center"/>
                </w:tcPr>
                <w:p>
                  <w:pPr>
                    <w:jc w:val="center"/>
                    <w:rPr>
                      <w:position w:val="6"/>
                      <w:szCs w:val="21"/>
                    </w:rPr>
                  </w:pPr>
                  <w:r>
                    <w:rPr>
                      <w:rFonts w:hint="eastAsia"/>
                      <w:position w:val="6"/>
                      <w:szCs w:val="21"/>
                    </w:rPr>
                    <w:t>石油类（</w:t>
                  </w:r>
                  <w:r>
                    <w:rPr>
                      <w:position w:val="6"/>
                      <w:szCs w:val="21"/>
                    </w:rPr>
                    <w:t>mg/L</w:t>
                  </w:r>
                  <w:r>
                    <w:rPr>
                      <w:rFonts w:hint="eastAsia"/>
                      <w:position w:val="6"/>
                      <w:szCs w:val="21"/>
                    </w:rPr>
                    <w:t>）</w:t>
                  </w:r>
                </w:p>
              </w:tc>
              <w:tc>
                <w:tcPr>
                  <w:tcW w:w="2204" w:type="dxa"/>
                  <w:vAlign w:val="center"/>
                </w:tcPr>
                <w:p>
                  <w:pPr>
                    <w:jc w:val="center"/>
                    <w:rPr>
                      <w:position w:val="6"/>
                      <w:szCs w:val="21"/>
                    </w:rPr>
                  </w:pPr>
                  <w:r>
                    <w:rPr>
                      <w:position w:val="6"/>
                      <w:szCs w:val="21"/>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142" w:hRule="atLeast"/>
                <w:jc w:val="center"/>
              </w:trPr>
              <w:tc>
                <w:tcPr>
                  <w:tcW w:w="728" w:type="dxa"/>
                  <w:vMerge w:val="continue"/>
                  <w:vAlign w:val="center"/>
                </w:tcPr>
                <w:p>
                  <w:pPr>
                    <w:jc w:val="center"/>
                    <w:rPr>
                      <w:position w:val="6"/>
                      <w:szCs w:val="21"/>
                    </w:rPr>
                  </w:pPr>
                </w:p>
              </w:tc>
              <w:tc>
                <w:tcPr>
                  <w:tcW w:w="1385" w:type="dxa"/>
                  <w:vMerge w:val="continue"/>
                  <w:vAlign w:val="center"/>
                </w:tcPr>
                <w:p>
                  <w:pPr>
                    <w:jc w:val="center"/>
                    <w:rPr>
                      <w:position w:val="6"/>
                      <w:szCs w:val="21"/>
                    </w:rPr>
                  </w:pPr>
                </w:p>
              </w:tc>
              <w:tc>
                <w:tcPr>
                  <w:tcW w:w="3796" w:type="dxa"/>
                  <w:vAlign w:val="center"/>
                </w:tcPr>
                <w:p>
                  <w:pPr>
                    <w:jc w:val="center"/>
                    <w:rPr>
                      <w:position w:val="6"/>
                      <w:szCs w:val="21"/>
                    </w:rPr>
                  </w:pPr>
                  <w:r>
                    <w:rPr>
                      <w:position w:val="6"/>
                      <w:szCs w:val="21"/>
                    </w:rPr>
                    <w:t>SS</w:t>
                  </w:r>
                  <w:r>
                    <w:rPr>
                      <w:rFonts w:hint="eastAsia"/>
                      <w:position w:val="6"/>
                      <w:szCs w:val="21"/>
                    </w:rPr>
                    <w:t>（</w:t>
                  </w:r>
                  <w:r>
                    <w:rPr>
                      <w:position w:val="6"/>
                      <w:szCs w:val="21"/>
                    </w:rPr>
                    <w:t>mg/L</w:t>
                  </w:r>
                  <w:r>
                    <w:rPr>
                      <w:rFonts w:hint="eastAsia"/>
                      <w:position w:val="6"/>
                      <w:szCs w:val="21"/>
                    </w:rPr>
                    <w:t>）</w:t>
                  </w:r>
                </w:p>
              </w:tc>
              <w:tc>
                <w:tcPr>
                  <w:tcW w:w="2204" w:type="dxa"/>
                  <w:vAlign w:val="center"/>
                </w:tcPr>
                <w:p>
                  <w:pPr>
                    <w:jc w:val="center"/>
                    <w:rPr>
                      <w:position w:val="6"/>
                      <w:szCs w:val="21"/>
                    </w:rPr>
                  </w:pPr>
                  <w:r>
                    <w:rPr>
                      <w:position w:val="6"/>
                      <w:szCs w:val="21"/>
                    </w:rPr>
                    <w:t>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77" w:hRule="atLeast"/>
                <w:jc w:val="center"/>
              </w:trPr>
              <w:tc>
                <w:tcPr>
                  <w:tcW w:w="728" w:type="dxa"/>
                  <w:vMerge w:val="continue"/>
                  <w:vAlign w:val="center"/>
                </w:tcPr>
                <w:p>
                  <w:pPr>
                    <w:jc w:val="center"/>
                    <w:rPr>
                      <w:position w:val="6"/>
                      <w:szCs w:val="21"/>
                    </w:rPr>
                  </w:pPr>
                </w:p>
              </w:tc>
              <w:tc>
                <w:tcPr>
                  <w:tcW w:w="1385" w:type="dxa"/>
                  <w:vMerge w:val="continue"/>
                  <w:vAlign w:val="center"/>
                </w:tcPr>
                <w:p>
                  <w:pPr>
                    <w:jc w:val="center"/>
                    <w:rPr>
                      <w:position w:val="6"/>
                      <w:szCs w:val="21"/>
                    </w:rPr>
                  </w:pPr>
                </w:p>
              </w:tc>
              <w:tc>
                <w:tcPr>
                  <w:tcW w:w="3796" w:type="dxa"/>
                  <w:vAlign w:val="center"/>
                </w:tcPr>
                <w:p>
                  <w:pPr>
                    <w:jc w:val="center"/>
                    <w:rPr>
                      <w:position w:val="6"/>
                      <w:szCs w:val="21"/>
                    </w:rPr>
                  </w:pPr>
                  <w:r>
                    <w:rPr>
                      <w:rFonts w:eastAsiaTheme="minorEastAsia"/>
                      <w:szCs w:val="21"/>
                    </w:rPr>
                    <w:t>pH（无量纲）</w:t>
                  </w:r>
                </w:p>
              </w:tc>
              <w:tc>
                <w:tcPr>
                  <w:tcW w:w="2204" w:type="dxa"/>
                  <w:vAlign w:val="center"/>
                </w:tcPr>
                <w:p>
                  <w:pPr>
                    <w:jc w:val="center"/>
                    <w:rPr>
                      <w:position w:val="6"/>
                      <w:szCs w:val="21"/>
                    </w:rPr>
                  </w:pPr>
                  <w:r>
                    <w:rPr>
                      <w:rFonts w:hint="eastAsia"/>
                      <w:position w:val="6"/>
                      <w:szCs w:val="21"/>
                    </w:rPr>
                    <w:t>6-9</w:t>
                  </w:r>
                </w:p>
              </w:tc>
            </w:tr>
          </w:tbl>
          <w:p>
            <w:pPr>
              <w:spacing w:line="360" w:lineRule="auto"/>
              <w:ind w:firstLine="482" w:firstLineChars="200"/>
              <w:contextualSpacing/>
              <w:rPr>
                <w:rFonts w:eastAsiaTheme="minorEastAsia"/>
                <w:b/>
                <w:sz w:val="24"/>
              </w:rPr>
            </w:pPr>
            <w:r>
              <w:rPr>
                <w:rFonts w:eastAsiaTheme="minorEastAsia"/>
                <w:b/>
                <w:sz w:val="24"/>
              </w:rPr>
              <w:t>4</w:t>
            </w:r>
            <w:r>
              <w:rPr>
                <w:rFonts w:hint="eastAsia" w:eastAsiaTheme="minorEastAsia"/>
                <w:b/>
                <w:sz w:val="24"/>
              </w:rPr>
              <w:t>、固体废物</w:t>
            </w:r>
          </w:p>
          <w:p>
            <w:pPr>
              <w:spacing w:line="360" w:lineRule="auto"/>
              <w:ind w:firstLine="480" w:firstLineChars="200"/>
              <w:contextualSpacing/>
              <w:rPr>
                <w:rFonts w:eastAsiaTheme="minorEastAsia"/>
                <w:bCs/>
                <w:kern w:val="0"/>
                <w:sz w:val="24"/>
              </w:rPr>
            </w:pPr>
            <w:r>
              <w:rPr>
                <w:rFonts w:hint="eastAsia" w:eastAsiaTheme="minorEastAsia"/>
                <w:sz w:val="24"/>
              </w:rPr>
              <w:t>营运期一般固废执行《一般工业固体废物贮存和填埋污染控制标准》（</w:t>
            </w:r>
            <w:r>
              <w:rPr>
                <w:rFonts w:eastAsiaTheme="minorEastAsia"/>
                <w:sz w:val="24"/>
              </w:rPr>
              <w:t>GB18599-2020</w:t>
            </w:r>
            <w:r>
              <w:rPr>
                <w:rFonts w:hint="eastAsia" w:eastAsiaTheme="minorEastAsia"/>
                <w:sz w:val="24"/>
              </w:rPr>
              <w:t>）中相关要求。危险废物处理和处置执行《危险废物贮存污染控制标准》（GB18597-2023）相关要求</w:t>
            </w:r>
            <w:r>
              <w:rPr>
                <w:rFonts w:hint="eastAsia" w:eastAsiaTheme="minorEastAsia"/>
                <w:bCs/>
                <w:kern w:val="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15" w:hRule="atLeast"/>
          <w:jc w:val="center"/>
        </w:trPr>
        <w:tc>
          <w:tcPr>
            <w:tcW w:w="452" w:type="dxa"/>
            <w:vAlign w:val="center"/>
          </w:tcPr>
          <w:p>
            <w:pPr>
              <w:adjustRightInd w:val="0"/>
              <w:snapToGrid w:val="0"/>
              <w:jc w:val="center"/>
              <w:rPr>
                <w:rFonts w:eastAsiaTheme="minorEastAsia"/>
                <w:kern w:val="0"/>
                <w:sz w:val="24"/>
              </w:rPr>
            </w:pPr>
            <w:r>
              <w:rPr>
                <w:rFonts w:hint="eastAsia" w:eastAsiaTheme="minorEastAsia"/>
                <w:kern w:val="0"/>
                <w:sz w:val="24"/>
              </w:rPr>
              <w:t>总量</w:t>
            </w:r>
          </w:p>
          <w:p>
            <w:pPr>
              <w:adjustRightInd w:val="0"/>
              <w:snapToGrid w:val="0"/>
              <w:jc w:val="center"/>
              <w:rPr>
                <w:rFonts w:eastAsiaTheme="minorEastAsia"/>
                <w:kern w:val="0"/>
                <w:sz w:val="24"/>
              </w:rPr>
            </w:pPr>
            <w:r>
              <w:rPr>
                <w:rFonts w:hint="eastAsia" w:eastAsiaTheme="minorEastAsia"/>
                <w:kern w:val="0"/>
                <w:sz w:val="24"/>
              </w:rPr>
              <w:t>控制</w:t>
            </w:r>
          </w:p>
          <w:p>
            <w:pPr>
              <w:adjustRightInd w:val="0"/>
              <w:snapToGrid w:val="0"/>
              <w:jc w:val="center"/>
              <w:rPr>
                <w:rFonts w:eastAsiaTheme="minorEastAsia"/>
                <w:kern w:val="0"/>
                <w:sz w:val="24"/>
              </w:rPr>
            </w:pPr>
            <w:r>
              <w:rPr>
                <w:rFonts w:hint="eastAsia" w:eastAsiaTheme="minorEastAsia"/>
                <w:kern w:val="0"/>
                <w:sz w:val="24"/>
              </w:rPr>
              <w:t>指标</w:t>
            </w:r>
          </w:p>
        </w:tc>
        <w:tc>
          <w:tcPr>
            <w:tcW w:w="8609" w:type="dxa"/>
            <w:vAlign w:val="center"/>
          </w:tcPr>
          <w:p>
            <w:pPr>
              <w:pStyle w:val="42"/>
              <w:spacing w:before="120" w:after="120" w:line="360" w:lineRule="auto"/>
              <w:ind w:firstLine="480"/>
              <w:contextualSpacing/>
              <w:rPr>
                <w:rFonts w:eastAsiaTheme="minorEastAsia"/>
                <w:color w:val="auto"/>
              </w:rPr>
            </w:pPr>
            <w:r>
              <w:rPr>
                <w:rFonts w:hint="eastAsia" w:eastAsiaTheme="minorEastAsia"/>
                <w:color w:val="auto"/>
              </w:rPr>
              <w:t>根 据 《 排 污 许 可 证 申 请 与 核 发 技 术 规 范 废 弃 资 源 加 工 工 业 》 （</w:t>
            </w:r>
            <w:r>
              <w:rPr>
                <w:rFonts w:eastAsiaTheme="minorEastAsia"/>
                <w:color w:val="auto"/>
              </w:rPr>
              <w:t>HJ1034-2019</w:t>
            </w:r>
            <w:r>
              <w:rPr>
                <w:rFonts w:hint="eastAsia" w:eastAsiaTheme="minorEastAsia"/>
                <w:color w:val="auto"/>
              </w:rPr>
              <w:t>）“一般排放口和无组织废气排放生产单元不许可排放量</w:t>
            </w:r>
            <w:r>
              <w:rPr>
                <w:rFonts w:eastAsiaTheme="minorEastAsia"/>
                <w:color w:val="auto"/>
              </w:rPr>
              <w:t>”</w:t>
            </w:r>
            <w:r>
              <w:rPr>
                <w:rFonts w:hint="eastAsia" w:eastAsiaTheme="minorEastAsia"/>
                <w:color w:val="auto"/>
              </w:rPr>
              <w:t>，本项目废气和废水排放口均为一般排放口，因此不许可排放量，本项目核定排放量等于预测排放量。本项目总量控制指标如下表：</w:t>
            </w:r>
          </w:p>
          <w:p>
            <w:pPr>
              <w:pStyle w:val="42"/>
              <w:spacing w:before="120" w:after="120" w:line="360" w:lineRule="auto"/>
              <w:ind w:firstLine="480"/>
              <w:contextualSpacing/>
              <w:rPr>
                <w:rFonts w:eastAsiaTheme="minorEastAsia"/>
                <w:color w:val="auto"/>
              </w:rPr>
            </w:pPr>
          </w:p>
          <w:p>
            <w:pPr>
              <w:pStyle w:val="42"/>
              <w:spacing w:before="120" w:after="120" w:line="360" w:lineRule="auto"/>
              <w:ind w:firstLine="480"/>
              <w:contextualSpacing/>
              <w:rPr>
                <w:rFonts w:eastAsiaTheme="minorEastAsia"/>
                <w:color w:val="auto"/>
              </w:rPr>
            </w:pPr>
          </w:p>
          <w:p>
            <w:pPr>
              <w:spacing w:line="360" w:lineRule="auto"/>
              <w:jc w:val="center"/>
              <w:rPr>
                <w:rFonts w:eastAsiaTheme="minorEastAsia"/>
                <w:b/>
                <w:sz w:val="24"/>
              </w:rPr>
            </w:pPr>
            <w:r>
              <w:rPr>
                <w:rFonts w:hint="eastAsia" w:eastAsiaTheme="minorEastAsia"/>
                <w:b/>
                <w:sz w:val="24"/>
              </w:rPr>
              <w:t>表</w:t>
            </w:r>
            <w:r>
              <w:rPr>
                <w:rFonts w:eastAsiaTheme="minorEastAsia"/>
                <w:b/>
                <w:sz w:val="24"/>
              </w:rPr>
              <w:t>3-</w:t>
            </w:r>
            <w:r>
              <w:rPr>
                <w:rFonts w:hint="eastAsia" w:eastAsiaTheme="minorEastAsia"/>
                <w:b/>
                <w:sz w:val="24"/>
              </w:rPr>
              <w:t>16项目排放总量控制表单位：</w:t>
            </w:r>
            <w:r>
              <w:rPr>
                <w:rFonts w:eastAsiaTheme="minorEastAsia"/>
                <w:b/>
                <w:sz w:val="24"/>
              </w:rPr>
              <w:t>t/a</w:t>
            </w:r>
          </w:p>
          <w:tbl>
            <w:tblPr>
              <w:tblStyle w:val="22"/>
              <w:tblW w:w="839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98"/>
              <w:gridCol w:w="2800"/>
              <w:gridCol w:w="27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 w:hRule="atLeast"/>
                <w:jc w:val="center"/>
              </w:trPr>
              <w:tc>
                <w:tcPr>
                  <w:tcW w:w="2798" w:type="dxa"/>
                  <w:vAlign w:val="center"/>
                </w:tcPr>
                <w:p>
                  <w:pPr>
                    <w:contextualSpacing/>
                    <w:jc w:val="center"/>
                    <w:rPr>
                      <w:rFonts w:eastAsiaTheme="minorEastAsia"/>
                      <w:kern w:val="0"/>
                      <w:szCs w:val="21"/>
                    </w:rPr>
                  </w:pPr>
                  <w:r>
                    <w:rPr>
                      <w:rFonts w:hint="eastAsia" w:eastAsiaTheme="minorEastAsia"/>
                      <w:kern w:val="0"/>
                      <w:szCs w:val="21"/>
                    </w:rPr>
                    <w:t>污染物</w:t>
                  </w:r>
                </w:p>
              </w:tc>
              <w:tc>
                <w:tcPr>
                  <w:tcW w:w="2800" w:type="dxa"/>
                  <w:vAlign w:val="center"/>
                </w:tcPr>
                <w:p>
                  <w:pPr>
                    <w:contextualSpacing/>
                    <w:jc w:val="center"/>
                    <w:rPr>
                      <w:rFonts w:eastAsiaTheme="minorEastAsia"/>
                      <w:kern w:val="0"/>
                      <w:szCs w:val="21"/>
                    </w:rPr>
                  </w:pPr>
                  <w:r>
                    <w:rPr>
                      <w:rFonts w:hint="eastAsia" w:eastAsiaTheme="minorEastAsia"/>
                      <w:kern w:val="0"/>
                      <w:szCs w:val="21"/>
                    </w:rPr>
                    <w:t>预测排放量</w:t>
                  </w:r>
                </w:p>
              </w:tc>
              <w:tc>
                <w:tcPr>
                  <w:tcW w:w="2795" w:type="dxa"/>
                  <w:vAlign w:val="center"/>
                </w:tcPr>
                <w:p>
                  <w:pPr>
                    <w:contextualSpacing/>
                    <w:jc w:val="center"/>
                    <w:rPr>
                      <w:rFonts w:eastAsiaTheme="minorEastAsia"/>
                      <w:kern w:val="0"/>
                      <w:szCs w:val="21"/>
                    </w:rPr>
                  </w:pPr>
                  <w:r>
                    <w:rPr>
                      <w:rFonts w:hint="eastAsia" w:eastAsiaTheme="minorEastAsia"/>
                      <w:kern w:val="0"/>
                      <w:szCs w:val="21"/>
                    </w:rPr>
                    <w:t>核定排放量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9" w:hRule="atLeast"/>
                <w:jc w:val="center"/>
              </w:trPr>
              <w:tc>
                <w:tcPr>
                  <w:tcW w:w="2798" w:type="dxa"/>
                  <w:vAlign w:val="center"/>
                </w:tcPr>
                <w:p>
                  <w:pPr>
                    <w:contextualSpacing/>
                    <w:jc w:val="center"/>
                    <w:rPr>
                      <w:rFonts w:eastAsiaTheme="minorEastAsia"/>
                      <w:kern w:val="0"/>
                      <w:szCs w:val="21"/>
                    </w:rPr>
                  </w:pPr>
                  <w:r>
                    <w:rPr>
                      <w:rFonts w:hint="eastAsia" w:eastAsiaTheme="minorEastAsia"/>
                      <w:kern w:val="0"/>
                      <w:szCs w:val="21"/>
                    </w:rPr>
                    <w:t>颗粒物</w:t>
                  </w:r>
                </w:p>
              </w:tc>
              <w:tc>
                <w:tcPr>
                  <w:tcW w:w="2800" w:type="dxa"/>
                  <w:vAlign w:val="center"/>
                </w:tcPr>
                <w:p>
                  <w:pPr>
                    <w:spacing w:line="0" w:lineRule="atLeast"/>
                    <w:jc w:val="center"/>
                    <w:rPr>
                      <w:rFonts w:eastAsiaTheme="minorEastAsia"/>
                      <w:bCs/>
                      <w:szCs w:val="21"/>
                    </w:rPr>
                  </w:pPr>
                  <w:r>
                    <w:rPr>
                      <w:rFonts w:hint="eastAsia" w:eastAsiaTheme="minorEastAsia"/>
                      <w:bCs/>
                      <w:szCs w:val="21"/>
                    </w:rPr>
                    <w:t>0.12</w:t>
                  </w:r>
                </w:p>
              </w:tc>
              <w:tc>
                <w:tcPr>
                  <w:tcW w:w="2795" w:type="dxa"/>
                  <w:vAlign w:val="center"/>
                </w:tcPr>
                <w:p>
                  <w:pPr>
                    <w:spacing w:line="0" w:lineRule="atLeast"/>
                    <w:jc w:val="center"/>
                    <w:rPr>
                      <w:rFonts w:eastAsiaTheme="minorEastAsia"/>
                      <w:bCs/>
                      <w:szCs w:val="21"/>
                    </w:rPr>
                  </w:pPr>
                  <w:r>
                    <w:rPr>
                      <w:rFonts w:hint="eastAsia" w:eastAsiaTheme="minorEastAsia"/>
                      <w:bCs/>
                      <w:szCs w:val="21"/>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9" w:hRule="atLeast"/>
                <w:jc w:val="center"/>
              </w:trPr>
              <w:tc>
                <w:tcPr>
                  <w:tcW w:w="2798" w:type="dxa"/>
                  <w:vAlign w:val="center"/>
                </w:tcPr>
                <w:p>
                  <w:pPr>
                    <w:contextualSpacing/>
                    <w:jc w:val="center"/>
                    <w:rPr>
                      <w:rFonts w:eastAsiaTheme="minorEastAsia"/>
                      <w:kern w:val="0"/>
                      <w:szCs w:val="21"/>
                    </w:rPr>
                  </w:pPr>
                  <w:r>
                    <w:rPr>
                      <w:rFonts w:hint="eastAsia" w:eastAsiaTheme="minorEastAsia"/>
                      <w:kern w:val="0"/>
                      <w:szCs w:val="21"/>
                    </w:rPr>
                    <w:t>非甲烷总烃</w:t>
                  </w:r>
                </w:p>
              </w:tc>
              <w:tc>
                <w:tcPr>
                  <w:tcW w:w="2800" w:type="dxa"/>
                  <w:vAlign w:val="center"/>
                </w:tcPr>
                <w:p>
                  <w:pPr>
                    <w:spacing w:line="0" w:lineRule="atLeast"/>
                    <w:jc w:val="center"/>
                    <w:rPr>
                      <w:rFonts w:eastAsiaTheme="minorEastAsia"/>
                      <w:bCs/>
                      <w:szCs w:val="21"/>
                    </w:rPr>
                  </w:pPr>
                  <w:r>
                    <w:rPr>
                      <w:rFonts w:hint="eastAsia" w:eastAsiaTheme="minorEastAsia"/>
                      <w:bCs/>
                      <w:szCs w:val="21"/>
                    </w:rPr>
                    <w:t>0.0038</w:t>
                  </w:r>
                </w:p>
              </w:tc>
              <w:tc>
                <w:tcPr>
                  <w:tcW w:w="2795" w:type="dxa"/>
                  <w:vAlign w:val="center"/>
                </w:tcPr>
                <w:p>
                  <w:pPr>
                    <w:spacing w:line="0" w:lineRule="atLeast"/>
                    <w:jc w:val="center"/>
                    <w:rPr>
                      <w:rFonts w:eastAsiaTheme="minorEastAsia"/>
                      <w:bCs/>
                      <w:szCs w:val="21"/>
                    </w:rPr>
                  </w:pPr>
                  <w:r>
                    <w:rPr>
                      <w:rFonts w:eastAsiaTheme="minorEastAsia"/>
                      <w:bCs/>
                      <w:szCs w:val="21"/>
                    </w:rPr>
                    <w:t>0.00</w:t>
                  </w:r>
                  <w:r>
                    <w:rPr>
                      <w:rFonts w:hint="eastAsia" w:eastAsiaTheme="minorEastAsia"/>
                      <w:bCs/>
                      <w:szCs w:val="21"/>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9" w:hRule="atLeast"/>
                <w:jc w:val="center"/>
              </w:trPr>
              <w:tc>
                <w:tcPr>
                  <w:tcW w:w="2798" w:type="dxa"/>
                  <w:vAlign w:val="center"/>
                </w:tcPr>
                <w:p>
                  <w:pPr>
                    <w:contextualSpacing/>
                    <w:jc w:val="center"/>
                  </w:pPr>
                  <w:r>
                    <w:t>COD</w:t>
                  </w:r>
                </w:p>
              </w:tc>
              <w:tc>
                <w:tcPr>
                  <w:tcW w:w="2800" w:type="dxa"/>
                  <w:vAlign w:val="center"/>
                </w:tcPr>
                <w:p>
                  <w:pPr>
                    <w:autoSpaceDE w:val="0"/>
                    <w:autoSpaceDN w:val="0"/>
                    <w:spacing w:line="0" w:lineRule="atLeast"/>
                    <w:contextualSpacing/>
                    <w:jc w:val="center"/>
                    <w:rPr>
                      <w:rFonts w:eastAsiaTheme="minorEastAsia"/>
                      <w:szCs w:val="21"/>
                    </w:rPr>
                  </w:pPr>
                  <w:r>
                    <w:rPr>
                      <w:rFonts w:eastAsiaTheme="minorEastAsia"/>
                      <w:szCs w:val="21"/>
                    </w:rPr>
                    <w:t>0.0</w:t>
                  </w:r>
                  <w:r>
                    <w:rPr>
                      <w:rFonts w:hint="eastAsia" w:eastAsiaTheme="minorEastAsia"/>
                      <w:szCs w:val="21"/>
                    </w:rPr>
                    <w:t>3</w:t>
                  </w:r>
                </w:p>
              </w:tc>
              <w:tc>
                <w:tcPr>
                  <w:tcW w:w="2795" w:type="dxa"/>
                  <w:vAlign w:val="center"/>
                </w:tcPr>
                <w:p>
                  <w:pPr>
                    <w:autoSpaceDE w:val="0"/>
                    <w:autoSpaceDN w:val="0"/>
                    <w:spacing w:line="0" w:lineRule="atLeast"/>
                    <w:contextualSpacing/>
                    <w:jc w:val="center"/>
                    <w:rPr>
                      <w:rFonts w:eastAsiaTheme="minorEastAsia"/>
                      <w:szCs w:val="21"/>
                    </w:rPr>
                  </w:pPr>
                  <w:r>
                    <w:rPr>
                      <w:rFonts w:eastAsiaTheme="minorEastAsia"/>
                      <w:szCs w:val="21"/>
                    </w:rPr>
                    <w:t>0.0</w:t>
                  </w:r>
                  <w:r>
                    <w:rPr>
                      <w:rFonts w:hint="eastAsia" w:eastAsiaTheme="minorEastAsia"/>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9" w:hRule="atLeast"/>
                <w:jc w:val="center"/>
              </w:trPr>
              <w:tc>
                <w:tcPr>
                  <w:tcW w:w="2798" w:type="dxa"/>
                  <w:vAlign w:val="center"/>
                </w:tcPr>
                <w:p>
                  <w:pPr>
                    <w:contextualSpacing/>
                    <w:jc w:val="center"/>
                  </w:pPr>
                  <w:r>
                    <w:rPr>
                      <w:rFonts w:hint="eastAsia"/>
                    </w:rPr>
                    <w:t>氨氮</w:t>
                  </w:r>
                </w:p>
              </w:tc>
              <w:tc>
                <w:tcPr>
                  <w:tcW w:w="2800" w:type="dxa"/>
                  <w:vAlign w:val="center"/>
                </w:tcPr>
                <w:p>
                  <w:pPr>
                    <w:autoSpaceDE w:val="0"/>
                    <w:autoSpaceDN w:val="0"/>
                    <w:spacing w:line="0" w:lineRule="atLeast"/>
                    <w:contextualSpacing/>
                    <w:jc w:val="center"/>
                    <w:rPr>
                      <w:rFonts w:eastAsiaTheme="minorEastAsia"/>
                      <w:szCs w:val="21"/>
                    </w:rPr>
                  </w:pPr>
                  <w:r>
                    <w:rPr>
                      <w:rFonts w:eastAsiaTheme="minorEastAsia"/>
                      <w:szCs w:val="21"/>
                    </w:rPr>
                    <w:t>0.000</w:t>
                  </w:r>
                  <w:r>
                    <w:rPr>
                      <w:rFonts w:hint="eastAsia" w:eastAsiaTheme="minorEastAsia"/>
                      <w:szCs w:val="21"/>
                    </w:rPr>
                    <w:t>3</w:t>
                  </w:r>
                </w:p>
              </w:tc>
              <w:tc>
                <w:tcPr>
                  <w:tcW w:w="2795" w:type="dxa"/>
                  <w:vAlign w:val="center"/>
                </w:tcPr>
                <w:p>
                  <w:pPr>
                    <w:autoSpaceDE w:val="0"/>
                    <w:autoSpaceDN w:val="0"/>
                    <w:spacing w:line="0" w:lineRule="atLeast"/>
                    <w:contextualSpacing/>
                    <w:jc w:val="center"/>
                    <w:rPr>
                      <w:rFonts w:eastAsiaTheme="minorEastAsia"/>
                      <w:szCs w:val="21"/>
                    </w:rPr>
                  </w:pPr>
                  <w:r>
                    <w:rPr>
                      <w:rFonts w:eastAsiaTheme="minorEastAsia"/>
                      <w:szCs w:val="21"/>
                    </w:rPr>
                    <w:t>0.000</w:t>
                  </w:r>
                  <w:r>
                    <w:rPr>
                      <w:rFonts w:hint="eastAsia" w:eastAsiaTheme="minorEastAsia"/>
                      <w:szCs w:val="21"/>
                    </w:rPr>
                    <w:t>3</w:t>
                  </w:r>
                </w:p>
              </w:tc>
            </w:tr>
          </w:tbl>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p>
            <w:pPr>
              <w:spacing w:line="360" w:lineRule="auto"/>
              <w:contextualSpacing/>
              <w:rPr>
                <w:rFonts w:eastAsiaTheme="minorEastAsia"/>
                <w:kern w:val="0"/>
                <w:szCs w:val="21"/>
              </w:rPr>
            </w:pPr>
          </w:p>
        </w:tc>
      </w:tr>
    </w:tbl>
    <w:p>
      <w:pPr>
        <w:pStyle w:val="16"/>
        <w:jc w:val="center"/>
        <w:outlineLvl w:val="0"/>
        <w:rPr>
          <w:rFonts w:ascii="Times New Roman" w:hAnsi="Times New Roman" w:eastAsiaTheme="minorEastAsia"/>
          <w:snapToGrid w:val="0"/>
          <w:sz w:val="30"/>
          <w:szCs w:val="30"/>
        </w:rPr>
      </w:pPr>
      <w:r>
        <w:rPr>
          <w:rFonts w:ascii="Times New Roman" w:hAnsi="Times New Roman" w:eastAsiaTheme="minorEastAsia"/>
          <w:snapToGrid w:val="0"/>
          <w:sz w:val="36"/>
          <w:szCs w:val="36"/>
        </w:rPr>
        <w:br w:type="page"/>
      </w:r>
      <w:bookmarkStart w:id="9" w:name="_Toc114492905"/>
      <w:r>
        <w:rPr>
          <w:rFonts w:hint="eastAsia" w:ascii="Times New Roman" w:hAnsi="Times New Roman" w:eastAsiaTheme="minorEastAsia"/>
          <w:snapToGrid w:val="0"/>
          <w:sz w:val="30"/>
          <w:szCs w:val="30"/>
        </w:rPr>
        <w:t>四、主要环境影响和保护措施</w:t>
      </w:r>
      <w:bookmarkEnd w:id="9"/>
    </w:p>
    <w:tbl>
      <w:tblPr>
        <w:tblStyle w:val="21"/>
        <w:tblW w:w="9383"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6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19" w:hRule="atLeast"/>
          <w:jc w:val="center"/>
        </w:trPr>
        <w:tc>
          <w:tcPr>
            <w:tcW w:w="736" w:type="dxa"/>
            <w:tcMar>
              <w:left w:w="28" w:type="dxa"/>
              <w:right w:w="28" w:type="dxa"/>
            </w:tcMar>
            <w:vAlign w:val="center"/>
          </w:tcPr>
          <w:p>
            <w:pPr>
              <w:adjustRightInd w:val="0"/>
              <w:snapToGrid w:val="0"/>
              <w:jc w:val="center"/>
              <w:rPr>
                <w:rFonts w:eastAsiaTheme="minorEastAsia"/>
                <w:kern w:val="0"/>
                <w:sz w:val="24"/>
              </w:rPr>
            </w:pPr>
            <w:r>
              <w:rPr>
                <w:rFonts w:hint="eastAsia" w:eastAsiaTheme="minorEastAsia"/>
                <w:kern w:val="0"/>
                <w:sz w:val="24"/>
              </w:rPr>
              <w:t>施工期环境保护措施</w:t>
            </w:r>
          </w:p>
        </w:tc>
        <w:tc>
          <w:tcPr>
            <w:tcW w:w="8647" w:type="dxa"/>
            <w:vAlign w:val="center"/>
          </w:tcPr>
          <w:p>
            <w:pPr>
              <w:spacing w:line="360" w:lineRule="auto"/>
              <w:ind w:firstLine="482" w:firstLineChars="200"/>
              <w:contextualSpacing/>
              <w:rPr>
                <w:rFonts w:eastAsiaTheme="minorEastAsia"/>
                <w:b/>
                <w:bCs/>
                <w:sz w:val="24"/>
              </w:rPr>
            </w:pPr>
            <w:r>
              <w:rPr>
                <w:rFonts w:hint="eastAsia" w:eastAsiaTheme="minorEastAsia"/>
                <w:b/>
                <w:bCs/>
                <w:sz w:val="24"/>
              </w:rPr>
              <w:t>一、废水</w:t>
            </w:r>
          </w:p>
          <w:p>
            <w:pPr>
              <w:spacing w:line="360" w:lineRule="auto"/>
              <w:ind w:firstLine="480" w:firstLineChars="200"/>
              <w:contextualSpacing/>
              <w:rPr>
                <w:rFonts w:eastAsiaTheme="minorEastAsia"/>
                <w:bCs/>
                <w:sz w:val="24"/>
              </w:rPr>
            </w:pPr>
            <w:r>
              <w:rPr>
                <w:rFonts w:hint="eastAsia" w:eastAsiaTheme="minorEastAsia"/>
                <w:bCs/>
                <w:sz w:val="24"/>
              </w:rPr>
              <w:t>本项目施工期间，施工单位应严格执行《建设工程施工场地文明施工及环境管理暂行规定》，对地面污水的排放进行组织设计，严禁乱排和污染道路、环境等，严禁将污水直接排放。施工时产生的泥浆水必须经沉沙池处理后回用到施工中。在回填土堆放场、施工泥浆产生点应设置临时沉沙池，含泥沙雨水、泥浆水经沉沙池沉淀后用于场地洒水抑尘。施工人员生活污水排放量为</w:t>
            </w:r>
            <w:r>
              <w:rPr>
                <w:rFonts w:eastAsiaTheme="minorEastAsia"/>
                <w:bCs/>
                <w:sz w:val="24"/>
              </w:rPr>
              <w:t>0.32t/d</w:t>
            </w:r>
            <w:r>
              <w:rPr>
                <w:rFonts w:hint="eastAsia" w:eastAsiaTheme="minorEastAsia"/>
                <w:bCs/>
                <w:sz w:val="24"/>
              </w:rPr>
              <w:t>，生活污水排入防渗旱厕，定期清掏，外运堆肥，不外排。由于施工期间水量小、时间短，施工废水经处理后不会对周围地表水体产生较大的不良影响。</w:t>
            </w:r>
          </w:p>
          <w:p>
            <w:pPr>
              <w:spacing w:line="360" w:lineRule="auto"/>
              <w:ind w:firstLine="482" w:firstLineChars="200"/>
              <w:contextualSpacing/>
              <w:rPr>
                <w:rFonts w:eastAsiaTheme="minorEastAsia"/>
                <w:b/>
                <w:bCs/>
                <w:sz w:val="24"/>
              </w:rPr>
            </w:pPr>
            <w:r>
              <w:rPr>
                <w:rFonts w:hint="eastAsia" w:eastAsiaTheme="minorEastAsia"/>
                <w:b/>
                <w:bCs/>
                <w:sz w:val="24"/>
              </w:rPr>
              <w:t>二、废气</w:t>
            </w:r>
          </w:p>
          <w:p>
            <w:pPr>
              <w:spacing w:line="360" w:lineRule="auto"/>
              <w:ind w:firstLine="480" w:firstLineChars="200"/>
              <w:contextualSpacing/>
              <w:rPr>
                <w:rFonts w:eastAsiaTheme="minorEastAsia"/>
                <w:bCs/>
                <w:sz w:val="24"/>
              </w:rPr>
            </w:pPr>
            <w:r>
              <w:rPr>
                <w:rFonts w:hint="eastAsia" w:eastAsiaTheme="minorEastAsia"/>
                <w:bCs/>
                <w:sz w:val="24"/>
              </w:rPr>
              <w:t>施工期主要环境空气污染物为废气和扬尘两类。为使施工过程中产生的粉尘和废气对周围环境空气的影响降低到最小程度，建议采取以下防护措施：</w:t>
            </w:r>
          </w:p>
          <w:p>
            <w:pPr>
              <w:spacing w:line="360" w:lineRule="auto"/>
              <w:ind w:firstLine="480" w:firstLineChars="200"/>
              <w:contextualSpacing/>
              <w:rPr>
                <w:rFonts w:eastAsiaTheme="minorEastAsia"/>
                <w:bCs/>
                <w:sz w:val="24"/>
              </w:rPr>
            </w:pPr>
            <w:r>
              <w:rPr>
                <w:rFonts w:eastAsiaTheme="minorEastAsia"/>
                <w:bCs/>
                <w:sz w:val="24"/>
              </w:rPr>
              <w:t>1</w:t>
            </w:r>
            <w:r>
              <w:rPr>
                <w:rFonts w:hint="eastAsia" w:eastAsiaTheme="minorEastAsia"/>
                <w:bCs/>
                <w:sz w:val="24"/>
              </w:rPr>
              <w:t>、开挖过程中，应洒水使作业面保持一定的湿度；对施工场地内松散、干涸的表土，也应经常洒水防止粉尘、扬尘；回填土方时，在表层土质干燥时应适当洒水，防止粉尘飞扬；</w:t>
            </w:r>
          </w:p>
          <w:p>
            <w:pPr>
              <w:spacing w:line="360" w:lineRule="auto"/>
              <w:ind w:firstLine="480" w:firstLineChars="200"/>
              <w:contextualSpacing/>
              <w:rPr>
                <w:rFonts w:eastAsiaTheme="minorEastAsia"/>
                <w:bCs/>
                <w:sz w:val="24"/>
              </w:rPr>
            </w:pPr>
            <w:r>
              <w:rPr>
                <w:rFonts w:eastAsiaTheme="minorEastAsia"/>
                <w:bCs/>
                <w:sz w:val="24"/>
              </w:rPr>
              <w:t>2</w:t>
            </w:r>
            <w:r>
              <w:rPr>
                <w:rFonts w:hint="eastAsia" w:eastAsiaTheme="minorEastAsia"/>
                <w:bCs/>
                <w:sz w:val="24"/>
              </w:rPr>
              <w:t>、加强回填土方堆放场的管理，要制定土方表面压实、定期喷水、覆盖等措施；不需要的泥土，建筑材料弃渣应及时运走，不宜长时间堆积；</w:t>
            </w:r>
          </w:p>
          <w:p>
            <w:pPr>
              <w:spacing w:line="360" w:lineRule="auto"/>
              <w:ind w:firstLine="480" w:firstLineChars="200"/>
              <w:contextualSpacing/>
              <w:rPr>
                <w:rFonts w:eastAsiaTheme="minorEastAsia"/>
                <w:bCs/>
                <w:sz w:val="24"/>
              </w:rPr>
            </w:pPr>
            <w:r>
              <w:rPr>
                <w:rFonts w:eastAsiaTheme="minorEastAsia"/>
                <w:bCs/>
                <w:sz w:val="24"/>
              </w:rPr>
              <w:t>3</w:t>
            </w:r>
            <w:r>
              <w:rPr>
                <w:rFonts w:hint="eastAsia" w:eastAsiaTheme="minorEastAsia"/>
                <w:bCs/>
                <w:sz w:val="24"/>
              </w:rPr>
              <w:t>、运土卡车及建筑材料运输车应按规定配置防洒落装备，装载不宜过满，保证运输过程中不散落；并规划好运输车辆的运行路线与时间，尽量避免在繁华区、交通集中区和居民住宅等敏感区行驶；</w:t>
            </w:r>
          </w:p>
          <w:p>
            <w:pPr>
              <w:spacing w:line="360" w:lineRule="auto"/>
              <w:ind w:firstLine="480" w:firstLineChars="200"/>
              <w:contextualSpacing/>
              <w:rPr>
                <w:rFonts w:eastAsiaTheme="minorEastAsia"/>
                <w:bCs/>
                <w:sz w:val="24"/>
              </w:rPr>
            </w:pPr>
            <w:r>
              <w:rPr>
                <w:rFonts w:eastAsiaTheme="minorEastAsia"/>
                <w:bCs/>
                <w:sz w:val="24"/>
              </w:rPr>
              <w:t>4</w:t>
            </w:r>
            <w:r>
              <w:rPr>
                <w:rFonts w:hint="eastAsia" w:eastAsiaTheme="minorEastAsia"/>
                <w:bCs/>
                <w:sz w:val="24"/>
              </w:rPr>
              <w:t>、运输车辆加蓬盖，且出装、卸场地前应先冲洗干净，减少车轮、底盘等携带泥土散落路面；</w:t>
            </w:r>
          </w:p>
          <w:p>
            <w:pPr>
              <w:spacing w:line="360" w:lineRule="auto"/>
              <w:ind w:firstLine="480" w:firstLineChars="200"/>
              <w:contextualSpacing/>
              <w:rPr>
                <w:rFonts w:eastAsiaTheme="minorEastAsia"/>
                <w:bCs/>
                <w:sz w:val="24"/>
              </w:rPr>
            </w:pPr>
            <w:r>
              <w:rPr>
                <w:rFonts w:eastAsiaTheme="minorEastAsia"/>
                <w:bCs/>
                <w:sz w:val="24"/>
              </w:rPr>
              <w:t>5</w:t>
            </w:r>
            <w:r>
              <w:rPr>
                <w:rFonts w:hint="eastAsia" w:eastAsiaTheme="minorEastAsia"/>
                <w:bCs/>
                <w:sz w:val="24"/>
              </w:rPr>
              <w:t>、对运输过程中散落在路面上的泥土要及时清扫，以减少运行过程中的扬尘；</w:t>
            </w:r>
          </w:p>
          <w:p>
            <w:pPr>
              <w:spacing w:line="360" w:lineRule="auto"/>
              <w:ind w:firstLine="480" w:firstLineChars="200"/>
              <w:contextualSpacing/>
              <w:rPr>
                <w:rFonts w:eastAsiaTheme="minorEastAsia"/>
                <w:bCs/>
                <w:sz w:val="24"/>
              </w:rPr>
            </w:pPr>
            <w:r>
              <w:rPr>
                <w:rFonts w:eastAsiaTheme="minorEastAsia"/>
                <w:bCs/>
                <w:sz w:val="24"/>
              </w:rPr>
              <w:t>6</w:t>
            </w:r>
            <w:r>
              <w:rPr>
                <w:rFonts w:hint="eastAsia" w:eastAsiaTheme="minorEastAsia"/>
                <w:bCs/>
                <w:sz w:val="24"/>
              </w:rPr>
              <w:t>、施工过程中，应严禁将废弃的建筑材料作为燃料燃烧。</w:t>
            </w:r>
          </w:p>
          <w:p>
            <w:pPr>
              <w:spacing w:line="360" w:lineRule="auto"/>
              <w:ind w:firstLine="480" w:firstLineChars="200"/>
              <w:contextualSpacing/>
              <w:rPr>
                <w:rFonts w:eastAsiaTheme="minorEastAsia"/>
                <w:bCs/>
                <w:sz w:val="24"/>
              </w:rPr>
            </w:pPr>
            <w:r>
              <w:rPr>
                <w:rFonts w:hint="eastAsia" w:eastAsiaTheme="minorEastAsia"/>
                <w:bCs/>
                <w:sz w:val="24"/>
              </w:rPr>
              <w:t>经上述治理后，施工期产生的粉尘、废气、扬尘将得到有效的控制，场界外可满足《大气污染物综合排放标准》（</w:t>
            </w:r>
            <w:r>
              <w:rPr>
                <w:rFonts w:eastAsiaTheme="minorEastAsia"/>
                <w:bCs/>
                <w:sz w:val="24"/>
              </w:rPr>
              <w:t>GB16297-1996</w:t>
            </w:r>
            <w:r>
              <w:rPr>
                <w:rFonts w:hint="eastAsia" w:eastAsiaTheme="minorEastAsia"/>
                <w:bCs/>
                <w:sz w:val="24"/>
              </w:rPr>
              <w:t>）规定的表</w:t>
            </w:r>
            <w:r>
              <w:rPr>
                <w:rFonts w:eastAsiaTheme="minorEastAsia"/>
                <w:bCs/>
                <w:sz w:val="24"/>
              </w:rPr>
              <w:t>2</w:t>
            </w:r>
            <w:r>
              <w:rPr>
                <w:rFonts w:hint="eastAsia" w:eastAsiaTheme="minorEastAsia"/>
                <w:bCs/>
                <w:sz w:val="24"/>
              </w:rPr>
              <w:t>颗粒物无组织排放监控浓度限值</w:t>
            </w:r>
            <w:r>
              <w:rPr>
                <w:rFonts w:eastAsiaTheme="minorEastAsia"/>
                <w:bCs/>
                <w:sz w:val="24"/>
              </w:rPr>
              <w:t>1.0mg/m</w:t>
            </w:r>
            <w:r>
              <w:rPr>
                <w:rFonts w:eastAsiaTheme="minorEastAsia"/>
                <w:bCs/>
                <w:sz w:val="24"/>
                <w:vertAlign w:val="superscript"/>
              </w:rPr>
              <w:t>3</w:t>
            </w:r>
            <w:r>
              <w:rPr>
                <w:rFonts w:hint="eastAsia" w:eastAsiaTheme="minorEastAsia"/>
                <w:bCs/>
                <w:sz w:val="24"/>
              </w:rPr>
              <w:t>（周界外浓度最高点），可被周围环境所接受。</w:t>
            </w:r>
          </w:p>
          <w:p>
            <w:pPr>
              <w:spacing w:line="360" w:lineRule="auto"/>
              <w:ind w:firstLine="482" w:firstLineChars="200"/>
              <w:contextualSpacing/>
              <w:rPr>
                <w:rFonts w:eastAsiaTheme="minorEastAsia"/>
                <w:b/>
                <w:bCs/>
                <w:sz w:val="24"/>
              </w:rPr>
            </w:pPr>
            <w:r>
              <w:rPr>
                <w:rFonts w:hint="eastAsia" w:eastAsiaTheme="minorEastAsia"/>
                <w:b/>
                <w:bCs/>
                <w:sz w:val="24"/>
              </w:rPr>
              <w:t>三、噪声</w:t>
            </w:r>
          </w:p>
          <w:p>
            <w:pPr>
              <w:spacing w:line="360" w:lineRule="auto"/>
              <w:ind w:firstLine="480" w:firstLineChars="200"/>
              <w:contextualSpacing/>
              <w:rPr>
                <w:rFonts w:eastAsiaTheme="minorEastAsia"/>
                <w:bCs/>
                <w:sz w:val="24"/>
              </w:rPr>
            </w:pPr>
            <w:r>
              <w:rPr>
                <w:rFonts w:hint="eastAsia" w:eastAsiaTheme="minorEastAsia"/>
                <w:bCs/>
                <w:sz w:val="24"/>
              </w:rPr>
              <w:t>施工期噪声主要来源于施工设备和汽车运输，其控制应从规范施工秩序着手，夜间不施工，施工现场合理布局，高噪声设备远离敏感目标作业，以避免局部声级过高，尽可能将施工阶段的噪声减至最小。此外，选用低噪声机械设备或带隔声、消声的设备，对产生噪声的施工设备加强维护和维修工作，降低人为噪声：按规定操作机械设备，模板、支架装卸过程中，尽量减少碰撞声音；尽量少用哨子、笛等指挥作业。</w:t>
            </w:r>
          </w:p>
          <w:p>
            <w:pPr>
              <w:spacing w:line="360" w:lineRule="auto"/>
              <w:ind w:firstLine="480" w:firstLineChars="200"/>
              <w:contextualSpacing/>
              <w:rPr>
                <w:rFonts w:eastAsiaTheme="minorEastAsia"/>
                <w:bCs/>
                <w:sz w:val="24"/>
              </w:rPr>
            </w:pPr>
            <w:r>
              <w:rPr>
                <w:rFonts w:hint="eastAsia" w:eastAsiaTheme="minorEastAsia"/>
                <w:bCs/>
                <w:sz w:val="24"/>
              </w:rPr>
              <w:t>经上述治理后，施工期产生的噪声满足《建筑施工场界环境噪声排放标准》（</w:t>
            </w:r>
            <w:r>
              <w:rPr>
                <w:rFonts w:eastAsiaTheme="minorEastAsia"/>
                <w:bCs/>
                <w:sz w:val="24"/>
              </w:rPr>
              <w:t>GB12523-2011</w:t>
            </w:r>
            <w:r>
              <w:rPr>
                <w:rFonts w:hint="eastAsia" w:eastAsiaTheme="minorEastAsia"/>
                <w:bCs/>
                <w:sz w:val="24"/>
              </w:rPr>
              <w:t>）标准要求，施工场地距离敏感目标较远，施工期对环境敏感目标的影响较小。</w:t>
            </w:r>
          </w:p>
          <w:p>
            <w:pPr>
              <w:spacing w:line="360" w:lineRule="auto"/>
              <w:ind w:firstLine="482" w:firstLineChars="200"/>
              <w:contextualSpacing/>
              <w:rPr>
                <w:rFonts w:eastAsiaTheme="minorEastAsia"/>
                <w:b/>
                <w:bCs/>
                <w:sz w:val="24"/>
              </w:rPr>
            </w:pPr>
            <w:r>
              <w:rPr>
                <w:rFonts w:hint="eastAsia" w:eastAsiaTheme="minorEastAsia"/>
                <w:b/>
                <w:bCs/>
                <w:sz w:val="24"/>
              </w:rPr>
              <w:t>四、固体废物</w:t>
            </w:r>
          </w:p>
          <w:p>
            <w:pPr>
              <w:spacing w:line="360" w:lineRule="auto"/>
              <w:ind w:firstLine="480" w:firstLineChars="200"/>
              <w:contextualSpacing/>
              <w:rPr>
                <w:rFonts w:eastAsiaTheme="minorEastAsia"/>
                <w:bCs/>
                <w:sz w:val="24"/>
              </w:rPr>
            </w:pPr>
            <w:r>
              <w:rPr>
                <w:rFonts w:hint="eastAsia" w:eastAsiaTheme="minorEastAsia"/>
                <w:sz w:val="24"/>
              </w:rPr>
              <w:t>施工残土、建筑垃圾为主要固体废物，应及时清运，并按市政部门指定地点堆放。运输车辆加盖遮挡，防止产生二次扬尘。生活垃圾统一收集后由市政统一处理</w:t>
            </w:r>
            <w:r>
              <w:rPr>
                <w:rFonts w:hint="eastAsia" w:eastAsiaTheme="minorEastAsia"/>
                <w:bCs/>
                <w:sz w:val="24"/>
              </w:rPr>
              <w:t>。</w:t>
            </w: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contextualSpacing/>
              <w:rPr>
                <w:rFonts w:eastAsiaTheme="minorEastAsia"/>
                <w:bCs/>
                <w:sz w:val="24"/>
              </w:rPr>
            </w:pPr>
          </w:p>
          <w:p>
            <w:pPr>
              <w:spacing w:line="360" w:lineRule="auto"/>
              <w:contextualSpacing/>
              <w:rPr>
                <w:rFonts w:eastAsiaTheme="minorEastAsia"/>
                <w:bCs/>
                <w:sz w:val="24"/>
              </w:rPr>
            </w:pPr>
          </w:p>
          <w:p>
            <w:pPr>
              <w:spacing w:line="360" w:lineRule="auto"/>
              <w:contextualSpacing/>
              <w:rPr>
                <w:rFonts w:eastAsiaTheme="minorEastAsia"/>
                <w:bCs/>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810" w:hRule="atLeast"/>
          <w:jc w:val="center"/>
        </w:trPr>
        <w:tc>
          <w:tcPr>
            <w:tcW w:w="736" w:type="dxa"/>
            <w:tcMar>
              <w:left w:w="28" w:type="dxa"/>
              <w:right w:w="28" w:type="dxa"/>
            </w:tcMar>
            <w:vAlign w:val="center"/>
          </w:tcPr>
          <w:p>
            <w:pPr>
              <w:adjustRightInd w:val="0"/>
              <w:snapToGrid w:val="0"/>
              <w:jc w:val="center"/>
              <w:rPr>
                <w:rFonts w:eastAsiaTheme="minorEastAsia"/>
                <w:kern w:val="0"/>
                <w:sz w:val="24"/>
              </w:rPr>
            </w:pPr>
            <w:r>
              <w:rPr>
                <w:rFonts w:hint="eastAsia" w:eastAsiaTheme="minorEastAsia"/>
                <w:kern w:val="0"/>
                <w:sz w:val="24"/>
              </w:rPr>
              <w:t>运营</w:t>
            </w:r>
          </w:p>
          <w:p>
            <w:pPr>
              <w:adjustRightInd w:val="0"/>
              <w:snapToGrid w:val="0"/>
              <w:jc w:val="center"/>
              <w:rPr>
                <w:rFonts w:eastAsiaTheme="minorEastAsia"/>
                <w:kern w:val="0"/>
                <w:sz w:val="24"/>
              </w:rPr>
            </w:pPr>
            <w:r>
              <w:rPr>
                <w:rFonts w:hint="eastAsia" w:eastAsiaTheme="minorEastAsia"/>
                <w:kern w:val="0"/>
                <w:sz w:val="24"/>
              </w:rPr>
              <w:t>期环</w:t>
            </w:r>
          </w:p>
          <w:p>
            <w:pPr>
              <w:adjustRightInd w:val="0"/>
              <w:snapToGrid w:val="0"/>
              <w:jc w:val="center"/>
              <w:rPr>
                <w:rFonts w:eastAsiaTheme="minorEastAsia"/>
                <w:kern w:val="0"/>
                <w:sz w:val="24"/>
              </w:rPr>
            </w:pPr>
            <w:r>
              <w:rPr>
                <w:rFonts w:hint="eastAsia" w:eastAsiaTheme="minorEastAsia"/>
                <w:kern w:val="0"/>
                <w:sz w:val="24"/>
              </w:rPr>
              <w:t>境影</w:t>
            </w:r>
          </w:p>
          <w:p>
            <w:pPr>
              <w:adjustRightInd w:val="0"/>
              <w:snapToGrid w:val="0"/>
              <w:jc w:val="center"/>
              <w:rPr>
                <w:rFonts w:eastAsiaTheme="minorEastAsia"/>
                <w:kern w:val="0"/>
                <w:sz w:val="24"/>
              </w:rPr>
            </w:pPr>
            <w:r>
              <w:rPr>
                <w:rFonts w:hint="eastAsia" w:eastAsiaTheme="minorEastAsia"/>
                <w:kern w:val="0"/>
                <w:sz w:val="24"/>
              </w:rPr>
              <w:t>响和</w:t>
            </w:r>
          </w:p>
          <w:p>
            <w:pPr>
              <w:adjustRightInd w:val="0"/>
              <w:snapToGrid w:val="0"/>
              <w:jc w:val="center"/>
              <w:rPr>
                <w:rFonts w:eastAsiaTheme="minorEastAsia"/>
                <w:kern w:val="0"/>
                <w:sz w:val="24"/>
              </w:rPr>
            </w:pPr>
            <w:r>
              <w:rPr>
                <w:rFonts w:hint="eastAsia" w:eastAsiaTheme="minorEastAsia"/>
                <w:kern w:val="0"/>
                <w:sz w:val="24"/>
              </w:rPr>
              <w:t>保护</w:t>
            </w:r>
          </w:p>
          <w:p>
            <w:pPr>
              <w:adjustRightInd w:val="0"/>
              <w:snapToGrid w:val="0"/>
              <w:jc w:val="center"/>
              <w:rPr>
                <w:rFonts w:eastAsiaTheme="minorEastAsia"/>
                <w:kern w:val="0"/>
                <w:sz w:val="24"/>
              </w:rPr>
            </w:pPr>
            <w:r>
              <w:rPr>
                <w:rFonts w:hint="eastAsia" w:eastAsiaTheme="minorEastAsia"/>
                <w:kern w:val="0"/>
                <w:sz w:val="24"/>
              </w:rPr>
              <w:t>措施</w:t>
            </w:r>
          </w:p>
        </w:tc>
        <w:tc>
          <w:tcPr>
            <w:tcW w:w="8647" w:type="dxa"/>
            <w:vAlign w:val="center"/>
          </w:tcPr>
          <w:p>
            <w:pPr>
              <w:spacing w:line="360" w:lineRule="auto"/>
              <w:ind w:firstLine="482" w:firstLineChars="200"/>
              <w:contextualSpacing/>
              <w:rPr>
                <w:rFonts w:eastAsiaTheme="minorEastAsia"/>
                <w:b/>
                <w:bCs/>
                <w:sz w:val="24"/>
              </w:rPr>
            </w:pPr>
            <w:r>
              <w:rPr>
                <w:rFonts w:hint="eastAsia" w:eastAsiaTheme="minorEastAsia"/>
                <w:b/>
                <w:bCs/>
                <w:sz w:val="24"/>
              </w:rPr>
              <w:t>（一）废气</w:t>
            </w:r>
          </w:p>
          <w:p>
            <w:pPr>
              <w:spacing w:line="360" w:lineRule="auto"/>
              <w:contextualSpacing/>
              <w:jc w:val="center"/>
              <w:rPr>
                <w:rFonts w:eastAsiaTheme="minorEastAsia"/>
                <w:b/>
                <w:bCs/>
                <w:sz w:val="24"/>
              </w:rPr>
            </w:pPr>
            <w:r>
              <w:rPr>
                <w:rFonts w:hint="eastAsia" w:eastAsiaTheme="minorEastAsia"/>
                <w:b/>
                <w:bCs/>
                <w:sz w:val="24"/>
              </w:rPr>
              <w:t>表</w:t>
            </w:r>
            <w:r>
              <w:rPr>
                <w:rFonts w:eastAsiaTheme="minorEastAsia"/>
                <w:b/>
                <w:bCs/>
                <w:sz w:val="24"/>
              </w:rPr>
              <w:t xml:space="preserve">4-1 </w:t>
            </w:r>
            <w:r>
              <w:rPr>
                <w:rFonts w:hint="eastAsia" w:eastAsiaTheme="minorEastAsia"/>
                <w:b/>
                <w:bCs/>
                <w:sz w:val="24"/>
              </w:rPr>
              <w:t>废气污染源源强核算结果及相关参数一览表</w:t>
            </w:r>
          </w:p>
          <w:tbl>
            <w:tblPr>
              <w:tblStyle w:val="22"/>
              <w:tblpPr w:leftFromText="180" w:rightFromText="180" w:vertAnchor="text" w:tblpXSpec="center" w:tblpY="1"/>
              <w:tblOverlap w:val="never"/>
              <w:tblW w:w="82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
              <w:gridCol w:w="361"/>
              <w:gridCol w:w="363"/>
              <w:gridCol w:w="764"/>
              <w:gridCol w:w="604"/>
              <w:gridCol w:w="581"/>
              <w:gridCol w:w="1022"/>
              <w:gridCol w:w="512"/>
              <w:gridCol w:w="385"/>
              <w:gridCol w:w="637"/>
              <w:gridCol w:w="635"/>
              <w:gridCol w:w="635"/>
              <w:gridCol w:w="639"/>
              <w:gridCol w:w="7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2" w:hRule="atLeast"/>
              </w:trPr>
              <w:tc>
                <w:tcPr>
                  <w:tcW w:w="387" w:type="dxa"/>
                  <w:vMerge w:val="restart"/>
                  <w:vAlign w:val="center"/>
                </w:tcPr>
                <w:p>
                  <w:pPr>
                    <w:spacing w:line="0" w:lineRule="atLeast"/>
                    <w:jc w:val="center"/>
                    <w:rPr>
                      <w:rFonts w:eastAsiaTheme="minorEastAsia"/>
                      <w:bCs/>
                      <w:szCs w:val="21"/>
                    </w:rPr>
                  </w:pPr>
                  <w:r>
                    <w:rPr>
                      <w:rFonts w:hint="eastAsia" w:eastAsiaTheme="minorEastAsia"/>
                      <w:bCs/>
                      <w:szCs w:val="21"/>
                    </w:rPr>
                    <w:t>产排污环节</w:t>
                  </w:r>
                </w:p>
              </w:tc>
              <w:tc>
                <w:tcPr>
                  <w:tcW w:w="361" w:type="dxa"/>
                  <w:vMerge w:val="restart"/>
                  <w:vAlign w:val="center"/>
                </w:tcPr>
                <w:p>
                  <w:pPr>
                    <w:spacing w:line="0" w:lineRule="atLeast"/>
                    <w:jc w:val="center"/>
                    <w:rPr>
                      <w:rFonts w:eastAsiaTheme="minorEastAsia"/>
                      <w:bCs/>
                      <w:szCs w:val="21"/>
                    </w:rPr>
                  </w:pPr>
                  <w:r>
                    <w:rPr>
                      <w:rFonts w:hint="eastAsia" w:eastAsiaTheme="minorEastAsia"/>
                      <w:bCs/>
                      <w:szCs w:val="21"/>
                    </w:rPr>
                    <w:t>污染物</w:t>
                  </w:r>
                </w:p>
              </w:tc>
              <w:tc>
                <w:tcPr>
                  <w:tcW w:w="363" w:type="dxa"/>
                  <w:vMerge w:val="restart"/>
                  <w:vAlign w:val="center"/>
                </w:tcPr>
                <w:p>
                  <w:pPr>
                    <w:spacing w:line="0" w:lineRule="atLeast"/>
                    <w:jc w:val="center"/>
                    <w:rPr>
                      <w:rFonts w:eastAsiaTheme="minorEastAsia"/>
                      <w:bCs/>
                      <w:szCs w:val="21"/>
                    </w:rPr>
                  </w:pPr>
                  <w:r>
                    <w:rPr>
                      <w:rFonts w:hint="eastAsia" w:eastAsiaTheme="minorEastAsia"/>
                      <w:bCs/>
                      <w:szCs w:val="21"/>
                    </w:rPr>
                    <w:t>排放方式</w:t>
                  </w:r>
                </w:p>
              </w:tc>
              <w:tc>
                <w:tcPr>
                  <w:tcW w:w="1949" w:type="dxa"/>
                  <w:gridSpan w:val="3"/>
                  <w:vAlign w:val="center"/>
                </w:tcPr>
                <w:p>
                  <w:pPr>
                    <w:spacing w:line="0" w:lineRule="atLeast"/>
                    <w:jc w:val="center"/>
                    <w:rPr>
                      <w:rFonts w:eastAsiaTheme="minorEastAsia"/>
                      <w:bCs/>
                      <w:szCs w:val="21"/>
                    </w:rPr>
                  </w:pPr>
                  <w:r>
                    <w:rPr>
                      <w:rFonts w:hint="eastAsia" w:eastAsiaTheme="minorEastAsia"/>
                      <w:bCs/>
                      <w:szCs w:val="21"/>
                    </w:rPr>
                    <w:t>污染物产生</w:t>
                  </w:r>
                </w:p>
              </w:tc>
              <w:tc>
                <w:tcPr>
                  <w:tcW w:w="3191" w:type="dxa"/>
                  <w:gridSpan w:val="5"/>
                  <w:vAlign w:val="center"/>
                </w:tcPr>
                <w:p>
                  <w:pPr>
                    <w:spacing w:line="0" w:lineRule="atLeast"/>
                    <w:jc w:val="center"/>
                    <w:rPr>
                      <w:rFonts w:eastAsiaTheme="minorEastAsia"/>
                      <w:bCs/>
                      <w:szCs w:val="21"/>
                    </w:rPr>
                  </w:pPr>
                  <w:r>
                    <w:rPr>
                      <w:rFonts w:hint="eastAsia" w:eastAsiaTheme="minorEastAsia"/>
                      <w:bCs/>
                      <w:szCs w:val="21"/>
                    </w:rPr>
                    <w:t>治理措施</w:t>
                  </w:r>
                </w:p>
              </w:tc>
              <w:tc>
                <w:tcPr>
                  <w:tcW w:w="2002" w:type="dxa"/>
                  <w:gridSpan w:val="3"/>
                  <w:vAlign w:val="center"/>
                </w:tcPr>
                <w:p>
                  <w:pPr>
                    <w:spacing w:line="0" w:lineRule="atLeast"/>
                    <w:jc w:val="center"/>
                    <w:rPr>
                      <w:rFonts w:eastAsiaTheme="minorEastAsia"/>
                      <w:bCs/>
                      <w:szCs w:val="21"/>
                    </w:rPr>
                  </w:pPr>
                  <w:r>
                    <w:rPr>
                      <w:rFonts w:hint="eastAsia" w:eastAsiaTheme="minorEastAsia"/>
                      <w:bCs/>
                      <w:szCs w:val="21"/>
                    </w:rPr>
                    <w:t>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0" w:hRule="atLeast"/>
              </w:trPr>
              <w:tc>
                <w:tcPr>
                  <w:tcW w:w="387" w:type="dxa"/>
                  <w:vMerge w:val="continue"/>
                  <w:vAlign w:val="center"/>
                </w:tcPr>
                <w:p>
                  <w:pPr>
                    <w:spacing w:line="0" w:lineRule="atLeast"/>
                    <w:jc w:val="center"/>
                    <w:rPr>
                      <w:rFonts w:eastAsiaTheme="minorEastAsia"/>
                      <w:bCs/>
                      <w:szCs w:val="21"/>
                    </w:rPr>
                  </w:pPr>
                </w:p>
              </w:tc>
              <w:tc>
                <w:tcPr>
                  <w:tcW w:w="361" w:type="dxa"/>
                  <w:vMerge w:val="continue"/>
                  <w:vAlign w:val="center"/>
                </w:tcPr>
                <w:p>
                  <w:pPr>
                    <w:spacing w:line="0" w:lineRule="atLeast"/>
                    <w:jc w:val="center"/>
                    <w:rPr>
                      <w:rFonts w:eastAsiaTheme="minorEastAsia"/>
                      <w:bCs/>
                      <w:szCs w:val="21"/>
                    </w:rPr>
                  </w:pPr>
                </w:p>
              </w:tc>
              <w:tc>
                <w:tcPr>
                  <w:tcW w:w="363" w:type="dxa"/>
                  <w:vMerge w:val="continue"/>
                  <w:vAlign w:val="center"/>
                </w:tcPr>
                <w:p>
                  <w:pPr>
                    <w:spacing w:line="0" w:lineRule="atLeast"/>
                    <w:jc w:val="center"/>
                    <w:rPr>
                      <w:rFonts w:eastAsiaTheme="minorEastAsia"/>
                      <w:bCs/>
                      <w:szCs w:val="21"/>
                    </w:rPr>
                  </w:pPr>
                </w:p>
              </w:tc>
              <w:tc>
                <w:tcPr>
                  <w:tcW w:w="764" w:type="dxa"/>
                  <w:vAlign w:val="center"/>
                </w:tcPr>
                <w:p>
                  <w:pPr>
                    <w:spacing w:line="0" w:lineRule="atLeast"/>
                    <w:jc w:val="center"/>
                    <w:rPr>
                      <w:rFonts w:eastAsiaTheme="minorEastAsia"/>
                      <w:bCs/>
                      <w:szCs w:val="21"/>
                    </w:rPr>
                  </w:pPr>
                  <w:r>
                    <w:rPr>
                      <w:rFonts w:hint="eastAsia" w:eastAsiaTheme="minorEastAsia"/>
                      <w:bCs/>
                      <w:szCs w:val="21"/>
                    </w:rPr>
                    <w:t>产生</w:t>
                  </w:r>
                </w:p>
                <w:p>
                  <w:pPr>
                    <w:spacing w:line="0" w:lineRule="atLeast"/>
                    <w:jc w:val="center"/>
                    <w:rPr>
                      <w:rFonts w:eastAsiaTheme="minorEastAsia"/>
                      <w:bCs/>
                      <w:szCs w:val="21"/>
                    </w:rPr>
                  </w:pPr>
                  <w:r>
                    <w:rPr>
                      <w:rFonts w:hint="eastAsia" w:eastAsiaTheme="minorEastAsia"/>
                      <w:bCs/>
                      <w:szCs w:val="21"/>
                    </w:rPr>
                    <w:t>浓度</w:t>
                  </w:r>
                </w:p>
                <w:p>
                  <w:pPr>
                    <w:spacing w:line="0" w:lineRule="atLeast"/>
                    <w:jc w:val="center"/>
                    <w:rPr>
                      <w:rFonts w:eastAsiaTheme="minorEastAsia"/>
                      <w:bCs/>
                      <w:szCs w:val="21"/>
                    </w:rPr>
                  </w:pPr>
                  <w:r>
                    <w:rPr>
                      <w:rFonts w:eastAsiaTheme="minorEastAsia"/>
                      <w:bCs/>
                      <w:szCs w:val="21"/>
                    </w:rPr>
                    <w:t>mg/m</w:t>
                  </w:r>
                  <w:r>
                    <w:rPr>
                      <w:rFonts w:eastAsiaTheme="minorEastAsia"/>
                      <w:bCs/>
                      <w:szCs w:val="21"/>
                      <w:vertAlign w:val="superscript"/>
                    </w:rPr>
                    <w:t>3</w:t>
                  </w:r>
                </w:p>
              </w:tc>
              <w:tc>
                <w:tcPr>
                  <w:tcW w:w="604" w:type="dxa"/>
                  <w:vAlign w:val="center"/>
                </w:tcPr>
                <w:p>
                  <w:pPr>
                    <w:spacing w:line="0" w:lineRule="atLeast"/>
                    <w:jc w:val="center"/>
                    <w:rPr>
                      <w:rFonts w:eastAsiaTheme="minorEastAsia"/>
                      <w:bCs/>
                      <w:szCs w:val="21"/>
                    </w:rPr>
                  </w:pPr>
                  <w:r>
                    <w:rPr>
                      <w:rFonts w:hint="eastAsia" w:eastAsiaTheme="minorEastAsia"/>
                      <w:bCs/>
                      <w:szCs w:val="21"/>
                    </w:rPr>
                    <w:t>产生速率</w:t>
                  </w:r>
                </w:p>
                <w:p>
                  <w:pPr>
                    <w:spacing w:line="0" w:lineRule="atLeast"/>
                    <w:jc w:val="center"/>
                    <w:rPr>
                      <w:rFonts w:eastAsiaTheme="minorEastAsia"/>
                      <w:bCs/>
                      <w:szCs w:val="21"/>
                    </w:rPr>
                  </w:pPr>
                  <w:r>
                    <w:rPr>
                      <w:rFonts w:eastAsiaTheme="minorEastAsia"/>
                      <w:bCs/>
                      <w:szCs w:val="21"/>
                    </w:rPr>
                    <w:t>kg/h</w:t>
                  </w:r>
                </w:p>
              </w:tc>
              <w:tc>
                <w:tcPr>
                  <w:tcW w:w="581" w:type="dxa"/>
                  <w:vAlign w:val="center"/>
                </w:tcPr>
                <w:p>
                  <w:pPr>
                    <w:spacing w:line="0" w:lineRule="atLeast"/>
                    <w:jc w:val="center"/>
                    <w:rPr>
                      <w:rFonts w:eastAsiaTheme="minorEastAsia"/>
                      <w:bCs/>
                      <w:szCs w:val="21"/>
                    </w:rPr>
                  </w:pPr>
                  <w:r>
                    <w:rPr>
                      <w:rFonts w:hint="eastAsia" w:eastAsiaTheme="minorEastAsia"/>
                      <w:bCs/>
                      <w:szCs w:val="21"/>
                    </w:rPr>
                    <w:t>产生量</w:t>
                  </w:r>
                </w:p>
                <w:p>
                  <w:pPr>
                    <w:spacing w:line="0" w:lineRule="atLeast"/>
                    <w:jc w:val="center"/>
                    <w:rPr>
                      <w:rFonts w:eastAsiaTheme="minorEastAsia"/>
                      <w:bCs/>
                      <w:szCs w:val="21"/>
                    </w:rPr>
                  </w:pPr>
                  <w:r>
                    <w:rPr>
                      <w:rFonts w:eastAsiaTheme="minorEastAsia"/>
                      <w:bCs/>
                      <w:szCs w:val="21"/>
                    </w:rPr>
                    <w:t>t/a</w:t>
                  </w:r>
                </w:p>
              </w:tc>
              <w:tc>
                <w:tcPr>
                  <w:tcW w:w="1022" w:type="dxa"/>
                  <w:vAlign w:val="center"/>
                </w:tcPr>
                <w:p>
                  <w:pPr>
                    <w:spacing w:line="0" w:lineRule="atLeast"/>
                    <w:jc w:val="center"/>
                    <w:rPr>
                      <w:rFonts w:eastAsiaTheme="minorEastAsia"/>
                      <w:bCs/>
                      <w:szCs w:val="21"/>
                    </w:rPr>
                  </w:pPr>
                  <w:r>
                    <w:rPr>
                      <w:rFonts w:hint="eastAsia" w:eastAsiaTheme="minorEastAsia"/>
                      <w:bCs/>
                      <w:szCs w:val="21"/>
                    </w:rPr>
                    <w:t>工艺</w:t>
                  </w:r>
                </w:p>
              </w:tc>
              <w:tc>
                <w:tcPr>
                  <w:tcW w:w="512" w:type="dxa"/>
                  <w:vAlign w:val="center"/>
                </w:tcPr>
                <w:p>
                  <w:pPr>
                    <w:spacing w:line="0" w:lineRule="atLeast"/>
                    <w:jc w:val="center"/>
                    <w:rPr>
                      <w:rFonts w:eastAsiaTheme="minorEastAsia"/>
                      <w:bCs/>
                      <w:szCs w:val="21"/>
                    </w:rPr>
                  </w:pPr>
                  <w:r>
                    <w:rPr>
                      <w:rFonts w:hint="eastAsia" w:eastAsiaTheme="minorEastAsia"/>
                      <w:bCs/>
                      <w:szCs w:val="21"/>
                    </w:rPr>
                    <w:t>收集效率</w:t>
                  </w:r>
                  <w:r>
                    <w:rPr>
                      <w:rFonts w:eastAsiaTheme="minorEastAsia"/>
                      <w:bCs/>
                      <w:szCs w:val="21"/>
                    </w:rPr>
                    <w:t>%</w:t>
                  </w:r>
                </w:p>
              </w:tc>
              <w:tc>
                <w:tcPr>
                  <w:tcW w:w="385" w:type="dxa"/>
                  <w:vAlign w:val="center"/>
                </w:tcPr>
                <w:p>
                  <w:pPr>
                    <w:spacing w:line="0" w:lineRule="atLeast"/>
                    <w:jc w:val="center"/>
                    <w:rPr>
                      <w:rFonts w:eastAsiaTheme="minorEastAsia"/>
                      <w:bCs/>
                      <w:szCs w:val="21"/>
                    </w:rPr>
                  </w:pPr>
                  <w:r>
                    <w:rPr>
                      <w:rFonts w:hint="eastAsia" w:eastAsiaTheme="minorEastAsia"/>
                      <w:bCs/>
                      <w:szCs w:val="21"/>
                    </w:rPr>
                    <w:t>去除率</w:t>
                  </w:r>
                  <w:r>
                    <w:rPr>
                      <w:rFonts w:eastAsiaTheme="minorEastAsia"/>
                      <w:bCs/>
                      <w:szCs w:val="21"/>
                    </w:rPr>
                    <w:t>%</w:t>
                  </w:r>
                </w:p>
              </w:tc>
              <w:tc>
                <w:tcPr>
                  <w:tcW w:w="637" w:type="dxa"/>
                  <w:vAlign w:val="center"/>
                </w:tcPr>
                <w:p>
                  <w:pPr>
                    <w:spacing w:line="0" w:lineRule="atLeast"/>
                    <w:jc w:val="center"/>
                    <w:rPr>
                      <w:rFonts w:eastAsiaTheme="minorEastAsia"/>
                      <w:bCs/>
                      <w:szCs w:val="21"/>
                    </w:rPr>
                  </w:pPr>
                  <w:r>
                    <w:rPr>
                      <w:rFonts w:hint="eastAsia" w:eastAsiaTheme="minorEastAsia"/>
                      <w:bCs/>
                      <w:szCs w:val="21"/>
                    </w:rPr>
                    <w:t>是否为可行技术</w:t>
                  </w:r>
                </w:p>
              </w:tc>
              <w:tc>
                <w:tcPr>
                  <w:tcW w:w="635" w:type="dxa"/>
                  <w:vAlign w:val="center"/>
                </w:tcPr>
                <w:p>
                  <w:pPr>
                    <w:spacing w:line="0" w:lineRule="atLeast"/>
                    <w:jc w:val="center"/>
                    <w:rPr>
                      <w:rFonts w:eastAsiaTheme="minorEastAsia"/>
                      <w:bCs/>
                      <w:szCs w:val="21"/>
                    </w:rPr>
                  </w:pPr>
                  <w:r>
                    <w:rPr>
                      <w:rFonts w:hint="eastAsia" w:eastAsiaTheme="minorEastAsia"/>
                      <w:bCs/>
                      <w:szCs w:val="21"/>
                    </w:rPr>
                    <w:t>处理能力</w:t>
                  </w:r>
                  <w:r>
                    <w:rPr>
                      <w:rFonts w:eastAsiaTheme="minorEastAsia"/>
                      <w:bCs/>
                      <w:szCs w:val="21"/>
                    </w:rPr>
                    <w:t>m</w:t>
                  </w:r>
                  <w:r>
                    <w:rPr>
                      <w:rFonts w:eastAsiaTheme="minorEastAsia"/>
                      <w:bCs/>
                      <w:szCs w:val="21"/>
                      <w:vertAlign w:val="superscript"/>
                    </w:rPr>
                    <w:t>3</w:t>
                  </w:r>
                  <w:r>
                    <w:rPr>
                      <w:rFonts w:eastAsiaTheme="minorEastAsia"/>
                      <w:bCs/>
                      <w:szCs w:val="21"/>
                    </w:rPr>
                    <w:t>/</w:t>
                  </w:r>
                  <w:r>
                    <w:rPr>
                      <w:rFonts w:hint="eastAsia" w:eastAsiaTheme="minorEastAsia"/>
                      <w:bCs/>
                      <w:szCs w:val="21"/>
                    </w:rPr>
                    <w:t>h</w:t>
                  </w:r>
                </w:p>
              </w:tc>
              <w:tc>
                <w:tcPr>
                  <w:tcW w:w="635" w:type="dxa"/>
                  <w:vAlign w:val="center"/>
                </w:tcPr>
                <w:p>
                  <w:pPr>
                    <w:spacing w:line="0" w:lineRule="atLeast"/>
                    <w:jc w:val="center"/>
                    <w:rPr>
                      <w:rFonts w:eastAsiaTheme="minorEastAsia"/>
                      <w:bCs/>
                      <w:szCs w:val="21"/>
                    </w:rPr>
                  </w:pPr>
                  <w:r>
                    <w:rPr>
                      <w:rFonts w:hint="eastAsia" w:eastAsiaTheme="minorEastAsia"/>
                      <w:bCs/>
                      <w:szCs w:val="21"/>
                    </w:rPr>
                    <w:t>排放</w:t>
                  </w:r>
                </w:p>
                <w:p>
                  <w:pPr>
                    <w:spacing w:line="0" w:lineRule="atLeast"/>
                    <w:jc w:val="center"/>
                    <w:rPr>
                      <w:rFonts w:eastAsiaTheme="minorEastAsia"/>
                      <w:bCs/>
                      <w:szCs w:val="21"/>
                    </w:rPr>
                  </w:pPr>
                  <w:r>
                    <w:rPr>
                      <w:rFonts w:hint="eastAsia" w:eastAsiaTheme="minorEastAsia"/>
                      <w:bCs/>
                      <w:szCs w:val="21"/>
                    </w:rPr>
                    <w:t>浓度</w:t>
                  </w:r>
                  <w:r>
                    <w:rPr>
                      <w:rFonts w:eastAsiaTheme="minorEastAsia"/>
                      <w:bCs/>
                      <w:szCs w:val="21"/>
                    </w:rPr>
                    <w:t>mg/m</w:t>
                  </w:r>
                  <w:r>
                    <w:rPr>
                      <w:rFonts w:eastAsiaTheme="minorEastAsia"/>
                      <w:bCs/>
                      <w:szCs w:val="21"/>
                      <w:vertAlign w:val="superscript"/>
                    </w:rPr>
                    <w:t>3</w:t>
                  </w:r>
                </w:p>
              </w:tc>
              <w:tc>
                <w:tcPr>
                  <w:tcW w:w="639" w:type="dxa"/>
                  <w:vAlign w:val="center"/>
                </w:tcPr>
                <w:p>
                  <w:pPr>
                    <w:spacing w:line="0" w:lineRule="atLeast"/>
                    <w:jc w:val="center"/>
                    <w:rPr>
                      <w:rFonts w:eastAsiaTheme="minorEastAsia"/>
                      <w:bCs/>
                      <w:szCs w:val="21"/>
                    </w:rPr>
                  </w:pPr>
                  <w:r>
                    <w:rPr>
                      <w:rFonts w:hint="eastAsia" w:eastAsiaTheme="minorEastAsia"/>
                      <w:bCs/>
                      <w:szCs w:val="21"/>
                    </w:rPr>
                    <w:t>排放速率</w:t>
                  </w:r>
                </w:p>
                <w:p>
                  <w:pPr>
                    <w:spacing w:line="0" w:lineRule="atLeast"/>
                    <w:jc w:val="center"/>
                    <w:rPr>
                      <w:rFonts w:eastAsiaTheme="minorEastAsia"/>
                      <w:bCs/>
                      <w:szCs w:val="21"/>
                    </w:rPr>
                  </w:pPr>
                  <w:r>
                    <w:rPr>
                      <w:rFonts w:eastAsiaTheme="minorEastAsia"/>
                      <w:bCs/>
                      <w:szCs w:val="21"/>
                    </w:rPr>
                    <w:t>kg/h</w:t>
                  </w:r>
                </w:p>
              </w:tc>
              <w:tc>
                <w:tcPr>
                  <w:tcW w:w="728" w:type="dxa"/>
                  <w:vAlign w:val="center"/>
                </w:tcPr>
                <w:p>
                  <w:pPr>
                    <w:spacing w:line="0" w:lineRule="atLeast"/>
                    <w:jc w:val="center"/>
                    <w:rPr>
                      <w:rFonts w:eastAsiaTheme="minorEastAsia"/>
                      <w:bCs/>
                      <w:szCs w:val="21"/>
                    </w:rPr>
                  </w:pPr>
                  <w:r>
                    <w:rPr>
                      <w:rFonts w:hint="eastAsia" w:eastAsiaTheme="minorEastAsia"/>
                      <w:bCs/>
                      <w:szCs w:val="21"/>
                    </w:rPr>
                    <w:t>排放量</w:t>
                  </w:r>
                </w:p>
                <w:p>
                  <w:pPr>
                    <w:spacing w:line="0" w:lineRule="atLeast"/>
                    <w:jc w:val="center"/>
                    <w:rPr>
                      <w:rFonts w:eastAsiaTheme="minorEastAsia"/>
                      <w:bCs/>
                      <w:szCs w:val="21"/>
                    </w:rPr>
                  </w:pPr>
                  <w:r>
                    <w:rPr>
                      <w:rFonts w:eastAsiaTheme="minorEastAsia"/>
                      <w:bCs/>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2" w:hRule="atLeast"/>
              </w:trPr>
              <w:tc>
                <w:tcPr>
                  <w:tcW w:w="387" w:type="dxa"/>
                  <w:vMerge w:val="restart"/>
                  <w:vAlign w:val="center"/>
                </w:tcPr>
                <w:p>
                  <w:pPr>
                    <w:spacing w:line="0" w:lineRule="atLeast"/>
                    <w:jc w:val="center"/>
                    <w:rPr>
                      <w:rFonts w:eastAsiaTheme="minorEastAsia"/>
                      <w:bCs/>
                      <w:szCs w:val="21"/>
                    </w:rPr>
                  </w:pPr>
                  <w:r>
                    <w:rPr>
                      <w:rFonts w:hint="eastAsia" w:eastAsiaTheme="minorEastAsia"/>
                      <w:bCs/>
                      <w:szCs w:val="21"/>
                    </w:rPr>
                    <w:t>切割</w:t>
                  </w:r>
                </w:p>
              </w:tc>
              <w:tc>
                <w:tcPr>
                  <w:tcW w:w="361" w:type="dxa"/>
                  <w:vAlign w:val="center"/>
                </w:tcPr>
                <w:p>
                  <w:pPr>
                    <w:spacing w:line="0" w:lineRule="atLeast"/>
                    <w:jc w:val="center"/>
                    <w:rPr>
                      <w:rFonts w:eastAsiaTheme="minorEastAsia"/>
                      <w:bCs/>
                      <w:szCs w:val="21"/>
                    </w:rPr>
                  </w:pPr>
                  <w:r>
                    <w:rPr>
                      <w:rFonts w:hint="eastAsia" w:eastAsiaTheme="minorEastAsia"/>
                      <w:bCs/>
                      <w:szCs w:val="21"/>
                    </w:rPr>
                    <w:t>颗粒物</w:t>
                  </w:r>
                </w:p>
              </w:tc>
              <w:tc>
                <w:tcPr>
                  <w:tcW w:w="363" w:type="dxa"/>
                  <w:vAlign w:val="center"/>
                </w:tcPr>
                <w:p>
                  <w:pPr>
                    <w:spacing w:line="0" w:lineRule="atLeast"/>
                    <w:jc w:val="center"/>
                    <w:rPr>
                      <w:rFonts w:eastAsiaTheme="minorEastAsia"/>
                      <w:bCs/>
                      <w:szCs w:val="21"/>
                    </w:rPr>
                  </w:pPr>
                  <w:r>
                    <w:rPr>
                      <w:rFonts w:hint="eastAsia" w:eastAsiaTheme="minorEastAsia"/>
                      <w:bCs/>
                      <w:szCs w:val="21"/>
                    </w:rPr>
                    <w:t>有组织</w:t>
                  </w:r>
                </w:p>
              </w:tc>
              <w:tc>
                <w:tcPr>
                  <w:tcW w:w="764" w:type="dxa"/>
                  <w:vAlign w:val="center"/>
                </w:tcPr>
                <w:p>
                  <w:pPr>
                    <w:spacing w:line="0" w:lineRule="atLeast"/>
                    <w:jc w:val="center"/>
                    <w:rPr>
                      <w:rFonts w:eastAsiaTheme="minorEastAsia"/>
                      <w:bCs/>
                      <w:szCs w:val="21"/>
                    </w:rPr>
                  </w:pPr>
                  <w:r>
                    <w:rPr>
                      <w:rFonts w:hint="eastAsia" w:eastAsiaTheme="minorEastAsia"/>
                      <w:bCs/>
                      <w:szCs w:val="21"/>
                    </w:rPr>
                    <w:t>675</w:t>
                  </w:r>
                </w:p>
              </w:tc>
              <w:tc>
                <w:tcPr>
                  <w:tcW w:w="604" w:type="dxa"/>
                  <w:vAlign w:val="center"/>
                </w:tcPr>
                <w:p>
                  <w:pPr>
                    <w:spacing w:line="0" w:lineRule="atLeast"/>
                    <w:jc w:val="center"/>
                    <w:rPr>
                      <w:rFonts w:eastAsiaTheme="minorEastAsia"/>
                      <w:bCs/>
                      <w:szCs w:val="21"/>
                    </w:rPr>
                  </w:pPr>
                  <w:r>
                    <w:rPr>
                      <w:rFonts w:hint="eastAsia" w:eastAsiaTheme="minorEastAsia"/>
                      <w:bCs/>
                      <w:szCs w:val="21"/>
                    </w:rPr>
                    <w:t>4.95</w:t>
                  </w:r>
                </w:p>
              </w:tc>
              <w:tc>
                <w:tcPr>
                  <w:tcW w:w="581" w:type="dxa"/>
                  <w:vAlign w:val="center"/>
                </w:tcPr>
                <w:p>
                  <w:pPr>
                    <w:spacing w:line="0" w:lineRule="atLeast"/>
                    <w:jc w:val="center"/>
                    <w:rPr>
                      <w:rFonts w:eastAsiaTheme="minorEastAsia"/>
                      <w:bCs/>
                      <w:szCs w:val="21"/>
                    </w:rPr>
                  </w:pPr>
                  <w:r>
                    <w:rPr>
                      <w:rFonts w:hint="eastAsia" w:eastAsiaTheme="minorEastAsia"/>
                      <w:bCs/>
                      <w:szCs w:val="21"/>
                    </w:rPr>
                    <w:t>0.99</w:t>
                  </w:r>
                </w:p>
              </w:tc>
              <w:tc>
                <w:tcPr>
                  <w:tcW w:w="1022" w:type="dxa"/>
                  <w:vAlign w:val="center"/>
                </w:tcPr>
                <w:p>
                  <w:pPr>
                    <w:spacing w:line="0" w:lineRule="atLeast"/>
                    <w:jc w:val="center"/>
                    <w:rPr>
                      <w:rFonts w:eastAsiaTheme="minorEastAsia"/>
                      <w:bCs/>
                      <w:szCs w:val="21"/>
                    </w:rPr>
                  </w:pPr>
                  <w:r>
                    <w:rPr>
                      <w:rFonts w:eastAsiaTheme="minorEastAsia"/>
                      <w:bCs/>
                      <w:szCs w:val="21"/>
                    </w:rPr>
                    <w:t>切割区</w:t>
                  </w:r>
                  <w:r>
                    <w:rPr>
                      <w:rFonts w:hint="eastAsia" w:eastAsiaTheme="minorEastAsia"/>
                      <w:bCs/>
                      <w:szCs w:val="21"/>
                    </w:rPr>
                    <w:t>采用集气罩集中收集经</w:t>
                  </w:r>
                  <w:r>
                    <w:rPr>
                      <w:rFonts w:eastAsiaTheme="minorEastAsia"/>
                      <w:bCs/>
                      <w:szCs w:val="21"/>
                    </w:rPr>
                    <w:t>布袋除尘器</w:t>
                  </w:r>
                  <w:r>
                    <w:rPr>
                      <w:rFonts w:hint="eastAsia" w:eastAsiaTheme="minorEastAsia"/>
                      <w:bCs/>
                      <w:szCs w:val="21"/>
                    </w:rPr>
                    <w:t>处理后由</w:t>
                  </w:r>
                  <w:r>
                    <w:rPr>
                      <w:rFonts w:eastAsiaTheme="minorEastAsia"/>
                      <w:bCs/>
                      <w:szCs w:val="21"/>
                    </w:rPr>
                    <w:t>15m</w:t>
                  </w:r>
                  <w:r>
                    <w:rPr>
                      <w:rFonts w:hint="eastAsia" w:eastAsiaTheme="minorEastAsia"/>
                      <w:bCs/>
                      <w:szCs w:val="21"/>
                    </w:rPr>
                    <w:t>高1#排气筒排放</w:t>
                  </w:r>
                </w:p>
              </w:tc>
              <w:tc>
                <w:tcPr>
                  <w:tcW w:w="512" w:type="dxa"/>
                  <w:vAlign w:val="center"/>
                </w:tcPr>
                <w:p>
                  <w:pPr>
                    <w:spacing w:line="0" w:lineRule="atLeast"/>
                    <w:jc w:val="center"/>
                    <w:rPr>
                      <w:rFonts w:eastAsiaTheme="minorEastAsia"/>
                      <w:bCs/>
                      <w:szCs w:val="21"/>
                    </w:rPr>
                  </w:pPr>
                  <w:r>
                    <w:rPr>
                      <w:rFonts w:hint="eastAsia" w:eastAsiaTheme="minorEastAsia"/>
                      <w:bCs/>
                      <w:szCs w:val="21"/>
                    </w:rPr>
                    <w:t>90</w:t>
                  </w:r>
                </w:p>
              </w:tc>
              <w:tc>
                <w:tcPr>
                  <w:tcW w:w="385" w:type="dxa"/>
                  <w:vAlign w:val="center"/>
                </w:tcPr>
                <w:p>
                  <w:pPr>
                    <w:spacing w:line="0" w:lineRule="atLeast"/>
                    <w:jc w:val="center"/>
                    <w:rPr>
                      <w:rFonts w:eastAsiaTheme="minorEastAsia"/>
                      <w:bCs/>
                      <w:szCs w:val="21"/>
                    </w:rPr>
                  </w:pPr>
                  <w:r>
                    <w:rPr>
                      <w:rFonts w:hint="eastAsia" w:eastAsiaTheme="minorEastAsia"/>
                      <w:bCs/>
                      <w:szCs w:val="21"/>
                    </w:rPr>
                    <w:t>99</w:t>
                  </w:r>
                </w:p>
              </w:tc>
              <w:tc>
                <w:tcPr>
                  <w:tcW w:w="637" w:type="dxa"/>
                  <w:vAlign w:val="center"/>
                </w:tcPr>
                <w:p>
                  <w:pPr>
                    <w:spacing w:line="0" w:lineRule="atLeast"/>
                    <w:jc w:val="center"/>
                    <w:rPr>
                      <w:rFonts w:eastAsiaTheme="minorEastAsia"/>
                      <w:bCs/>
                      <w:szCs w:val="21"/>
                    </w:rPr>
                  </w:pPr>
                  <w:r>
                    <w:rPr>
                      <w:rFonts w:eastAsiaTheme="minorEastAsia"/>
                      <w:bCs/>
                      <w:szCs w:val="21"/>
                    </w:rPr>
                    <w:t>是</w:t>
                  </w:r>
                </w:p>
              </w:tc>
              <w:tc>
                <w:tcPr>
                  <w:tcW w:w="635" w:type="dxa"/>
                  <w:vAlign w:val="center"/>
                </w:tcPr>
                <w:p>
                  <w:pPr>
                    <w:spacing w:line="0" w:lineRule="atLeast"/>
                    <w:jc w:val="center"/>
                    <w:rPr>
                      <w:rFonts w:eastAsiaTheme="minorEastAsia"/>
                      <w:bCs/>
                      <w:szCs w:val="21"/>
                    </w:rPr>
                  </w:pPr>
                  <w:r>
                    <w:rPr>
                      <w:rFonts w:hint="eastAsia" w:eastAsiaTheme="minorEastAsia"/>
                      <w:bCs/>
                      <w:szCs w:val="21"/>
                    </w:rPr>
                    <w:t>10000</w:t>
                  </w:r>
                </w:p>
              </w:tc>
              <w:tc>
                <w:tcPr>
                  <w:tcW w:w="635" w:type="dxa"/>
                  <w:vAlign w:val="center"/>
                </w:tcPr>
                <w:p>
                  <w:pPr>
                    <w:spacing w:line="0" w:lineRule="atLeast"/>
                    <w:jc w:val="center"/>
                    <w:rPr>
                      <w:rFonts w:eastAsiaTheme="minorEastAsia"/>
                      <w:bCs/>
                      <w:szCs w:val="21"/>
                    </w:rPr>
                  </w:pPr>
                  <w:r>
                    <w:rPr>
                      <w:rFonts w:hint="eastAsia" w:eastAsiaTheme="minorEastAsia"/>
                      <w:bCs/>
                      <w:szCs w:val="21"/>
                    </w:rPr>
                    <w:t>5</w:t>
                  </w:r>
                </w:p>
              </w:tc>
              <w:tc>
                <w:tcPr>
                  <w:tcW w:w="639" w:type="dxa"/>
                  <w:vAlign w:val="center"/>
                </w:tcPr>
                <w:p>
                  <w:pPr>
                    <w:spacing w:line="0" w:lineRule="atLeast"/>
                    <w:jc w:val="center"/>
                    <w:rPr>
                      <w:rFonts w:eastAsiaTheme="minorEastAsia"/>
                      <w:bCs/>
                      <w:szCs w:val="21"/>
                    </w:rPr>
                  </w:pPr>
                  <w:r>
                    <w:rPr>
                      <w:rFonts w:hint="eastAsia" w:eastAsiaTheme="minorEastAsia"/>
                      <w:bCs/>
                      <w:szCs w:val="21"/>
                    </w:rPr>
                    <w:t>0.05</w:t>
                  </w:r>
                </w:p>
              </w:tc>
              <w:tc>
                <w:tcPr>
                  <w:tcW w:w="728" w:type="dxa"/>
                  <w:vAlign w:val="center"/>
                </w:tcPr>
                <w:p>
                  <w:pPr>
                    <w:spacing w:line="0" w:lineRule="atLeast"/>
                    <w:jc w:val="center"/>
                    <w:rPr>
                      <w:rFonts w:eastAsiaTheme="minorEastAsia"/>
                      <w:bCs/>
                      <w:szCs w:val="21"/>
                    </w:rPr>
                  </w:pPr>
                  <w:r>
                    <w:rPr>
                      <w:rFonts w:hint="eastAsia" w:eastAsiaTheme="minorEastAsia"/>
                      <w:bCs/>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2" w:hRule="atLeast"/>
              </w:trPr>
              <w:tc>
                <w:tcPr>
                  <w:tcW w:w="387" w:type="dxa"/>
                  <w:vMerge w:val="continue"/>
                  <w:vAlign w:val="center"/>
                </w:tcPr>
                <w:p>
                  <w:pPr>
                    <w:spacing w:line="0" w:lineRule="atLeast"/>
                    <w:jc w:val="center"/>
                    <w:rPr>
                      <w:rFonts w:eastAsiaTheme="minorEastAsia"/>
                      <w:bCs/>
                      <w:szCs w:val="21"/>
                    </w:rPr>
                  </w:pPr>
                </w:p>
              </w:tc>
              <w:tc>
                <w:tcPr>
                  <w:tcW w:w="361" w:type="dxa"/>
                  <w:vAlign w:val="center"/>
                </w:tcPr>
                <w:p>
                  <w:pPr>
                    <w:spacing w:line="0" w:lineRule="atLeast"/>
                    <w:jc w:val="center"/>
                    <w:rPr>
                      <w:rFonts w:eastAsiaTheme="minorEastAsia"/>
                      <w:bCs/>
                      <w:szCs w:val="21"/>
                    </w:rPr>
                  </w:pPr>
                  <w:r>
                    <w:rPr>
                      <w:rFonts w:hint="eastAsia" w:eastAsiaTheme="minorEastAsia"/>
                      <w:bCs/>
                      <w:szCs w:val="21"/>
                    </w:rPr>
                    <w:t>颗粒物</w:t>
                  </w:r>
                </w:p>
              </w:tc>
              <w:tc>
                <w:tcPr>
                  <w:tcW w:w="363" w:type="dxa"/>
                  <w:vAlign w:val="center"/>
                </w:tcPr>
                <w:p>
                  <w:pPr>
                    <w:spacing w:line="0" w:lineRule="atLeast"/>
                    <w:jc w:val="center"/>
                    <w:rPr>
                      <w:rFonts w:eastAsiaTheme="minorEastAsia"/>
                      <w:bCs/>
                      <w:szCs w:val="21"/>
                    </w:rPr>
                  </w:pPr>
                  <w:r>
                    <w:rPr>
                      <w:rFonts w:hint="eastAsia" w:eastAsiaTheme="minorEastAsia"/>
                      <w:bCs/>
                      <w:szCs w:val="21"/>
                    </w:rPr>
                    <w:t>无组织</w:t>
                  </w:r>
                </w:p>
              </w:tc>
              <w:tc>
                <w:tcPr>
                  <w:tcW w:w="764" w:type="dxa"/>
                  <w:vAlign w:val="center"/>
                </w:tcPr>
                <w:p>
                  <w:pPr>
                    <w:spacing w:line="0" w:lineRule="atLeast"/>
                    <w:jc w:val="center"/>
                    <w:rPr>
                      <w:rFonts w:eastAsiaTheme="minorEastAsia"/>
                      <w:bCs/>
                      <w:szCs w:val="21"/>
                    </w:rPr>
                  </w:pPr>
                  <w:r>
                    <w:rPr>
                      <w:rFonts w:eastAsiaTheme="minorEastAsia"/>
                      <w:bCs/>
                      <w:szCs w:val="21"/>
                    </w:rPr>
                    <w:t>/</w:t>
                  </w:r>
                </w:p>
              </w:tc>
              <w:tc>
                <w:tcPr>
                  <w:tcW w:w="604" w:type="dxa"/>
                  <w:vAlign w:val="center"/>
                </w:tcPr>
                <w:p>
                  <w:pPr>
                    <w:spacing w:line="0" w:lineRule="atLeast"/>
                    <w:jc w:val="center"/>
                    <w:rPr>
                      <w:rFonts w:eastAsiaTheme="minorEastAsia"/>
                      <w:bCs/>
                      <w:szCs w:val="21"/>
                    </w:rPr>
                  </w:pPr>
                  <w:r>
                    <w:rPr>
                      <w:rFonts w:hint="eastAsia" w:eastAsiaTheme="minorEastAsia"/>
                      <w:bCs/>
                      <w:szCs w:val="21"/>
                    </w:rPr>
                    <w:t>/</w:t>
                  </w:r>
                </w:p>
              </w:tc>
              <w:tc>
                <w:tcPr>
                  <w:tcW w:w="581" w:type="dxa"/>
                  <w:vAlign w:val="center"/>
                </w:tcPr>
                <w:p>
                  <w:pPr>
                    <w:spacing w:line="0" w:lineRule="atLeast"/>
                    <w:jc w:val="center"/>
                    <w:rPr>
                      <w:rFonts w:eastAsiaTheme="minorEastAsia"/>
                      <w:bCs/>
                      <w:szCs w:val="21"/>
                    </w:rPr>
                  </w:pPr>
                  <w:r>
                    <w:rPr>
                      <w:rFonts w:hint="eastAsia" w:eastAsiaTheme="minorEastAsia"/>
                      <w:bCs/>
                      <w:szCs w:val="21"/>
                    </w:rPr>
                    <w:t>0.11</w:t>
                  </w:r>
                </w:p>
              </w:tc>
              <w:tc>
                <w:tcPr>
                  <w:tcW w:w="1022" w:type="dxa"/>
                  <w:vAlign w:val="center"/>
                </w:tcPr>
                <w:p>
                  <w:pPr>
                    <w:spacing w:line="0" w:lineRule="atLeast"/>
                    <w:jc w:val="center"/>
                    <w:rPr>
                      <w:rFonts w:eastAsiaTheme="minorEastAsia"/>
                      <w:bCs/>
                      <w:szCs w:val="21"/>
                    </w:rPr>
                  </w:pPr>
                  <w:r>
                    <w:rPr>
                      <w:rFonts w:hint="eastAsia" w:eastAsiaTheme="minorEastAsia"/>
                      <w:bCs/>
                      <w:szCs w:val="21"/>
                    </w:rPr>
                    <w:t>/</w:t>
                  </w:r>
                </w:p>
              </w:tc>
              <w:tc>
                <w:tcPr>
                  <w:tcW w:w="512" w:type="dxa"/>
                  <w:vAlign w:val="center"/>
                </w:tcPr>
                <w:p>
                  <w:pPr>
                    <w:spacing w:line="0" w:lineRule="atLeast"/>
                    <w:jc w:val="center"/>
                    <w:rPr>
                      <w:rFonts w:eastAsiaTheme="minorEastAsia"/>
                      <w:bCs/>
                      <w:szCs w:val="21"/>
                    </w:rPr>
                  </w:pPr>
                  <w:r>
                    <w:rPr>
                      <w:rFonts w:hint="eastAsia" w:eastAsiaTheme="minorEastAsia"/>
                      <w:bCs/>
                      <w:szCs w:val="21"/>
                    </w:rPr>
                    <w:t>/</w:t>
                  </w:r>
                </w:p>
              </w:tc>
              <w:tc>
                <w:tcPr>
                  <w:tcW w:w="385" w:type="dxa"/>
                  <w:vAlign w:val="center"/>
                </w:tcPr>
                <w:p>
                  <w:pPr>
                    <w:spacing w:line="0" w:lineRule="atLeast"/>
                    <w:jc w:val="center"/>
                    <w:rPr>
                      <w:rFonts w:eastAsiaTheme="minorEastAsia"/>
                      <w:bCs/>
                      <w:szCs w:val="21"/>
                    </w:rPr>
                  </w:pPr>
                  <w:r>
                    <w:rPr>
                      <w:rFonts w:hint="eastAsia" w:eastAsiaTheme="minorEastAsia"/>
                      <w:bCs/>
                      <w:szCs w:val="21"/>
                    </w:rPr>
                    <w:t>/</w:t>
                  </w:r>
                </w:p>
              </w:tc>
              <w:tc>
                <w:tcPr>
                  <w:tcW w:w="637" w:type="dxa"/>
                  <w:vAlign w:val="center"/>
                </w:tcPr>
                <w:p>
                  <w:pPr>
                    <w:spacing w:line="0" w:lineRule="atLeast"/>
                    <w:jc w:val="center"/>
                    <w:rPr>
                      <w:rFonts w:eastAsiaTheme="minorEastAsia"/>
                      <w:bCs/>
                      <w:szCs w:val="21"/>
                    </w:rPr>
                  </w:pPr>
                  <w:r>
                    <w:rPr>
                      <w:rFonts w:hint="eastAsia" w:eastAsiaTheme="minorEastAsia"/>
                      <w:bCs/>
                      <w:szCs w:val="21"/>
                    </w:rPr>
                    <w:t>/</w:t>
                  </w:r>
                </w:p>
              </w:tc>
              <w:tc>
                <w:tcPr>
                  <w:tcW w:w="635" w:type="dxa"/>
                  <w:vAlign w:val="center"/>
                </w:tcPr>
                <w:p>
                  <w:pPr>
                    <w:spacing w:line="0" w:lineRule="atLeast"/>
                    <w:jc w:val="center"/>
                    <w:rPr>
                      <w:rFonts w:eastAsiaTheme="minorEastAsia"/>
                      <w:bCs/>
                      <w:szCs w:val="21"/>
                    </w:rPr>
                  </w:pPr>
                  <w:r>
                    <w:rPr>
                      <w:rFonts w:hint="eastAsia" w:eastAsiaTheme="minorEastAsia"/>
                      <w:bCs/>
                      <w:szCs w:val="21"/>
                    </w:rPr>
                    <w:t>/</w:t>
                  </w:r>
                </w:p>
              </w:tc>
              <w:tc>
                <w:tcPr>
                  <w:tcW w:w="635" w:type="dxa"/>
                  <w:vAlign w:val="center"/>
                </w:tcPr>
                <w:p>
                  <w:pPr>
                    <w:spacing w:line="0" w:lineRule="atLeast"/>
                    <w:jc w:val="center"/>
                    <w:rPr>
                      <w:rFonts w:eastAsiaTheme="minorEastAsia"/>
                      <w:bCs/>
                      <w:szCs w:val="21"/>
                    </w:rPr>
                  </w:pPr>
                  <w:r>
                    <w:rPr>
                      <w:rFonts w:hint="eastAsia" w:eastAsiaTheme="minorEastAsia"/>
                      <w:bCs/>
                      <w:szCs w:val="21"/>
                    </w:rPr>
                    <w:t>/</w:t>
                  </w:r>
                </w:p>
              </w:tc>
              <w:tc>
                <w:tcPr>
                  <w:tcW w:w="639" w:type="dxa"/>
                  <w:vAlign w:val="center"/>
                </w:tcPr>
                <w:p>
                  <w:pPr>
                    <w:spacing w:line="0" w:lineRule="atLeast"/>
                    <w:jc w:val="center"/>
                    <w:rPr>
                      <w:rFonts w:eastAsiaTheme="minorEastAsia"/>
                      <w:bCs/>
                      <w:szCs w:val="21"/>
                    </w:rPr>
                  </w:pPr>
                  <w:r>
                    <w:rPr>
                      <w:rFonts w:hint="eastAsia" w:eastAsiaTheme="minorEastAsia"/>
                      <w:bCs/>
                      <w:szCs w:val="21"/>
                    </w:rPr>
                    <w:t>/</w:t>
                  </w:r>
                </w:p>
              </w:tc>
              <w:tc>
                <w:tcPr>
                  <w:tcW w:w="728" w:type="dxa"/>
                  <w:vAlign w:val="center"/>
                </w:tcPr>
                <w:p>
                  <w:pPr>
                    <w:spacing w:line="0" w:lineRule="atLeast"/>
                    <w:jc w:val="center"/>
                    <w:rPr>
                      <w:rFonts w:eastAsiaTheme="minorEastAsia"/>
                      <w:bCs/>
                      <w:szCs w:val="21"/>
                    </w:rPr>
                  </w:pPr>
                  <w:r>
                    <w:rPr>
                      <w:rFonts w:hint="eastAsia" w:eastAsiaTheme="minorEastAsia"/>
                      <w:bCs/>
                      <w:szCs w:val="21"/>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60" w:hRule="atLeast"/>
              </w:trPr>
              <w:tc>
                <w:tcPr>
                  <w:tcW w:w="387" w:type="dxa"/>
                  <w:vMerge w:val="restart"/>
                  <w:vAlign w:val="center"/>
                </w:tcPr>
                <w:p>
                  <w:pPr>
                    <w:spacing w:line="0" w:lineRule="atLeast"/>
                    <w:jc w:val="center"/>
                    <w:rPr>
                      <w:rFonts w:eastAsiaTheme="minorEastAsia"/>
                      <w:bCs/>
                      <w:szCs w:val="21"/>
                    </w:rPr>
                  </w:pPr>
                  <w:r>
                    <w:rPr>
                      <w:rFonts w:hint="eastAsia" w:eastAsiaTheme="minorEastAsia"/>
                      <w:bCs/>
                      <w:szCs w:val="21"/>
                    </w:rPr>
                    <w:t>拆解区油类物质、防冻液等挥发</w:t>
                  </w:r>
                </w:p>
              </w:tc>
              <w:tc>
                <w:tcPr>
                  <w:tcW w:w="361" w:type="dxa"/>
                  <w:vMerge w:val="restart"/>
                  <w:vAlign w:val="center"/>
                </w:tcPr>
                <w:p>
                  <w:pPr>
                    <w:spacing w:line="0" w:lineRule="atLeast"/>
                    <w:jc w:val="center"/>
                    <w:rPr>
                      <w:rFonts w:eastAsiaTheme="minorEastAsia"/>
                      <w:bCs/>
                      <w:szCs w:val="21"/>
                    </w:rPr>
                  </w:pPr>
                  <w:r>
                    <w:rPr>
                      <w:rFonts w:hint="eastAsia" w:eastAsiaTheme="minorEastAsia"/>
                      <w:bCs/>
                      <w:szCs w:val="21"/>
                    </w:rPr>
                    <w:t>非甲烷总烃</w:t>
                  </w:r>
                </w:p>
              </w:tc>
              <w:tc>
                <w:tcPr>
                  <w:tcW w:w="363" w:type="dxa"/>
                  <w:vAlign w:val="center"/>
                </w:tcPr>
                <w:p>
                  <w:pPr>
                    <w:spacing w:line="0" w:lineRule="atLeast"/>
                    <w:jc w:val="center"/>
                    <w:rPr>
                      <w:rFonts w:eastAsiaTheme="minorEastAsia"/>
                      <w:bCs/>
                      <w:szCs w:val="21"/>
                    </w:rPr>
                  </w:pPr>
                  <w:r>
                    <w:rPr>
                      <w:rFonts w:hint="eastAsia" w:eastAsiaTheme="minorEastAsia"/>
                      <w:bCs/>
                      <w:szCs w:val="21"/>
                    </w:rPr>
                    <w:t>有组织</w:t>
                  </w:r>
                </w:p>
              </w:tc>
              <w:tc>
                <w:tcPr>
                  <w:tcW w:w="764" w:type="dxa"/>
                  <w:vAlign w:val="center"/>
                </w:tcPr>
                <w:p>
                  <w:pPr>
                    <w:spacing w:line="0" w:lineRule="atLeast"/>
                    <w:jc w:val="center"/>
                    <w:rPr>
                      <w:rFonts w:eastAsiaTheme="minorEastAsia"/>
                      <w:bCs/>
                      <w:szCs w:val="21"/>
                    </w:rPr>
                  </w:pPr>
                  <w:r>
                    <w:rPr>
                      <w:rFonts w:hint="eastAsia" w:eastAsiaTheme="minorEastAsia"/>
                      <w:bCs/>
                      <w:szCs w:val="21"/>
                    </w:rPr>
                    <w:t>70</w:t>
                  </w:r>
                </w:p>
              </w:tc>
              <w:tc>
                <w:tcPr>
                  <w:tcW w:w="604" w:type="dxa"/>
                  <w:vAlign w:val="center"/>
                </w:tcPr>
                <w:p>
                  <w:pPr>
                    <w:spacing w:line="0" w:lineRule="atLeast"/>
                    <w:jc w:val="center"/>
                    <w:rPr>
                      <w:rFonts w:eastAsiaTheme="minorEastAsia"/>
                      <w:bCs/>
                      <w:szCs w:val="21"/>
                    </w:rPr>
                  </w:pPr>
                  <w:r>
                    <w:rPr>
                      <w:rFonts w:hint="eastAsia" w:eastAsiaTheme="minorEastAsia"/>
                      <w:bCs/>
                      <w:szCs w:val="21"/>
                    </w:rPr>
                    <w:t>0.07</w:t>
                  </w:r>
                </w:p>
              </w:tc>
              <w:tc>
                <w:tcPr>
                  <w:tcW w:w="581" w:type="dxa"/>
                  <w:vAlign w:val="center"/>
                </w:tcPr>
                <w:p>
                  <w:pPr>
                    <w:spacing w:line="0" w:lineRule="atLeast"/>
                    <w:jc w:val="center"/>
                    <w:rPr>
                      <w:rFonts w:eastAsiaTheme="minorEastAsia"/>
                      <w:bCs/>
                      <w:szCs w:val="21"/>
                    </w:rPr>
                  </w:pPr>
                  <w:r>
                    <w:rPr>
                      <w:rFonts w:eastAsiaTheme="minorEastAsia"/>
                      <w:bCs/>
                      <w:szCs w:val="21"/>
                    </w:rPr>
                    <w:t>0.00</w:t>
                  </w:r>
                  <w:r>
                    <w:rPr>
                      <w:rFonts w:hint="eastAsia" w:eastAsiaTheme="minorEastAsia"/>
                      <w:bCs/>
                      <w:szCs w:val="21"/>
                    </w:rPr>
                    <w:t>75</w:t>
                  </w:r>
                </w:p>
              </w:tc>
              <w:tc>
                <w:tcPr>
                  <w:tcW w:w="1022" w:type="dxa"/>
                  <w:vAlign w:val="center"/>
                </w:tcPr>
                <w:p>
                  <w:pPr>
                    <w:spacing w:line="0" w:lineRule="atLeast"/>
                    <w:jc w:val="center"/>
                    <w:rPr>
                      <w:rFonts w:eastAsiaTheme="minorEastAsia"/>
                      <w:bCs/>
                      <w:szCs w:val="21"/>
                    </w:rPr>
                  </w:pPr>
                  <w:r>
                    <w:rPr>
                      <w:rFonts w:hint="eastAsia" w:eastAsiaTheme="minorEastAsia"/>
                      <w:bCs/>
                      <w:szCs w:val="21"/>
                    </w:rPr>
                    <w:t>油液排空区采用集气罩集中收集经二级活性炭吸附装置处理后由</w:t>
                  </w:r>
                  <w:r>
                    <w:rPr>
                      <w:rFonts w:eastAsiaTheme="minorEastAsia"/>
                      <w:bCs/>
                      <w:szCs w:val="21"/>
                    </w:rPr>
                    <w:t>15m</w:t>
                  </w:r>
                  <w:r>
                    <w:rPr>
                      <w:rFonts w:hint="eastAsia" w:eastAsiaTheme="minorEastAsia"/>
                      <w:bCs/>
                      <w:szCs w:val="21"/>
                    </w:rPr>
                    <w:t>高2#排气筒排放</w:t>
                  </w:r>
                </w:p>
              </w:tc>
              <w:tc>
                <w:tcPr>
                  <w:tcW w:w="512" w:type="dxa"/>
                  <w:vAlign w:val="center"/>
                </w:tcPr>
                <w:p>
                  <w:pPr>
                    <w:spacing w:line="0" w:lineRule="atLeast"/>
                    <w:jc w:val="center"/>
                    <w:rPr>
                      <w:rFonts w:eastAsiaTheme="minorEastAsia"/>
                      <w:bCs/>
                      <w:szCs w:val="21"/>
                    </w:rPr>
                  </w:pPr>
                  <w:r>
                    <w:rPr>
                      <w:rFonts w:eastAsiaTheme="minorEastAsia"/>
                      <w:bCs/>
                      <w:szCs w:val="21"/>
                    </w:rPr>
                    <w:t>90</w:t>
                  </w:r>
                </w:p>
              </w:tc>
              <w:tc>
                <w:tcPr>
                  <w:tcW w:w="385" w:type="dxa"/>
                  <w:vAlign w:val="center"/>
                </w:tcPr>
                <w:p>
                  <w:pPr>
                    <w:spacing w:line="0" w:lineRule="atLeast"/>
                    <w:jc w:val="center"/>
                    <w:rPr>
                      <w:rFonts w:eastAsiaTheme="minorEastAsia"/>
                      <w:bCs/>
                      <w:szCs w:val="21"/>
                    </w:rPr>
                  </w:pPr>
                  <w:r>
                    <w:rPr>
                      <w:rFonts w:hint="eastAsia" w:eastAsiaTheme="minorEastAsia"/>
                      <w:bCs/>
                      <w:szCs w:val="21"/>
                    </w:rPr>
                    <w:t>75</w:t>
                  </w:r>
                </w:p>
              </w:tc>
              <w:tc>
                <w:tcPr>
                  <w:tcW w:w="637" w:type="dxa"/>
                  <w:vAlign w:val="center"/>
                </w:tcPr>
                <w:p>
                  <w:pPr>
                    <w:spacing w:line="0" w:lineRule="atLeast"/>
                    <w:jc w:val="center"/>
                    <w:rPr>
                      <w:rFonts w:eastAsiaTheme="minorEastAsia"/>
                      <w:bCs/>
                      <w:szCs w:val="21"/>
                    </w:rPr>
                  </w:pPr>
                  <w:r>
                    <w:rPr>
                      <w:rFonts w:hint="eastAsia" w:eastAsiaTheme="minorEastAsia"/>
                      <w:bCs/>
                      <w:szCs w:val="21"/>
                    </w:rPr>
                    <w:t>是</w:t>
                  </w:r>
                </w:p>
              </w:tc>
              <w:tc>
                <w:tcPr>
                  <w:tcW w:w="635" w:type="dxa"/>
                  <w:vAlign w:val="center"/>
                </w:tcPr>
                <w:p>
                  <w:pPr>
                    <w:spacing w:line="0" w:lineRule="atLeast"/>
                    <w:jc w:val="center"/>
                    <w:rPr>
                      <w:rFonts w:eastAsiaTheme="minorEastAsia"/>
                      <w:bCs/>
                      <w:szCs w:val="21"/>
                    </w:rPr>
                  </w:pPr>
                  <w:r>
                    <w:rPr>
                      <w:rFonts w:hint="eastAsia" w:eastAsiaTheme="minorEastAsia"/>
                      <w:bCs/>
                      <w:szCs w:val="21"/>
                    </w:rPr>
                    <w:t>1000</w:t>
                  </w:r>
                </w:p>
              </w:tc>
              <w:tc>
                <w:tcPr>
                  <w:tcW w:w="635" w:type="dxa"/>
                  <w:vAlign w:val="center"/>
                </w:tcPr>
                <w:p>
                  <w:pPr>
                    <w:spacing w:line="0" w:lineRule="atLeast"/>
                    <w:jc w:val="center"/>
                    <w:rPr>
                      <w:rFonts w:eastAsiaTheme="minorEastAsia"/>
                      <w:bCs/>
                      <w:szCs w:val="21"/>
                    </w:rPr>
                  </w:pPr>
                  <w:r>
                    <w:rPr>
                      <w:rFonts w:hint="eastAsia" w:eastAsiaTheme="minorEastAsia"/>
                      <w:bCs/>
                      <w:szCs w:val="21"/>
                    </w:rPr>
                    <w:t>20</w:t>
                  </w:r>
                </w:p>
              </w:tc>
              <w:tc>
                <w:tcPr>
                  <w:tcW w:w="639" w:type="dxa"/>
                  <w:vAlign w:val="center"/>
                </w:tcPr>
                <w:p>
                  <w:pPr>
                    <w:spacing w:line="0" w:lineRule="atLeast"/>
                    <w:jc w:val="center"/>
                    <w:rPr>
                      <w:rFonts w:eastAsiaTheme="minorEastAsia"/>
                      <w:bCs/>
                      <w:szCs w:val="21"/>
                    </w:rPr>
                  </w:pPr>
                  <w:r>
                    <w:rPr>
                      <w:rFonts w:hint="eastAsia" w:eastAsiaTheme="minorEastAsia"/>
                      <w:bCs/>
                      <w:szCs w:val="21"/>
                    </w:rPr>
                    <w:t>0.02</w:t>
                  </w:r>
                </w:p>
              </w:tc>
              <w:tc>
                <w:tcPr>
                  <w:tcW w:w="728" w:type="dxa"/>
                  <w:vAlign w:val="center"/>
                </w:tcPr>
                <w:p>
                  <w:pPr>
                    <w:spacing w:line="0" w:lineRule="atLeast"/>
                    <w:jc w:val="center"/>
                    <w:rPr>
                      <w:rFonts w:eastAsiaTheme="minorEastAsia"/>
                      <w:bCs/>
                      <w:szCs w:val="21"/>
                    </w:rPr>
                  </w:pPr>
                  <w:r>
                    <w:rPr>
                      <w:rFonts w:eastAsiaTheme="minorEastAsia"/>
                      <w:bCs/>
                      <w:szCs w:val="21"/>
                    </w:rPr>
                    <w:t>0.00</w:t>
                  </w:r>
                  <w:r>
                    <w:rPr>
                      <w:rFonts w:hint="eastAsia" w:eastAsiaTheme="minorEastAsia"/>
                      <w:bCs/>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2" w:hRule="atLeast"/>
              </w:trPr>
              <w:tc>
                <w:tcPr>
                  <w:tcW w:w="387" w:type="dxa"/>
                  <w:vMerge w:val="continue"/>
                  <w:vAlign w:val="center"/>
                </w:tcPr>
                <w:p>
                  <w:pPr>
                    <w:spacing w:line="0" w:lineRule="atLeast"/>
                    <w:jc w:val="center"/>
                    <w:rPr>
                      <w:rFonts w:eastAsiaTheme="minorEastAsia"/>
                      <w:bCs/>
                      <w:szCs w:val="21"/>
                    </w:rPr>
                  </w:pPr>
                </w:p>
              </w:tc>
              <w:tc>
                <w:tcPr>
                  <w:tcW w:w="361" w:type="dxa"/>
                  <w:vMerge w:val="continue"/>
                  <w:vAlign w:val="center"/>
                </w:tcPr>
                <w:p>
                  <w:pPr>
                    <w:spacing w:line="0" w:lineRule="atLeast"/>
                    <w:jc w:val="center"/>
                    <w:rPr>
                      <w:rFonts w:eastAsiaTheme="minorEastAsia"/>
                      <w:bCs/>
                      <w:szCs w:val="21"/>
                    </w:rPr>
                  </w:pPr>
                </w:p>
              </w:tc>
              <w:tc>
                <w:tcPr>
                  <w:tcW w:w="363" w:type="dxa"/>
                  <w:vAlign w:val="center"/>
                </w:tcPr>
                <w:p>
                  <w:pPr>
                    <w:spacing w:line="0" w:lineRule="atLeast"/>
                    <w:jc w:val="center"/>
                    <w:rPr>
                      <w:rFonts w:eastAsiaTheme="minorEastAsia"/>
                      <w:bCs/>
                      <w:szCs w:val="21"/>
                    </w:rPr>
                  </w:pPr>
                  <w:r>
                    <w:rPr>
                      <w:rFonts w:hint="eastAsia" w:eastAsiaTheme="minorEastAsia"/>
                      <w:bCs/>
                      <w:szCs w:val="21"/>
                    </w:rPr>
                    <w:t>无组织</w:t>
                  </w:r>
                </w:p>
              </w:tc>
              <w:tc>
                <w:tcPr>
                  <w:tcW w:w="764" w:type="dxa"/>
                  <w:vAlign w:val="center"/>
                </w:tcPr>
                <w:p>
                  <w:pPr>
                    <w:spacing w:line="0" w:lineRule="atLeast"/>
                    <w:jc w:val="center"/>
                    <w:rPr>
                      <w:rFonts w:eastAsiaTheme="minorEastAsia"/>
                      <w:bCs/>
                      <w:szCs w:val="21"/>
                    </w:rPr>
                  </w:pPr>
                  <w:r>
                    <w:rPr>
                      <w:rFonts w:eastAsiaTheme="minorEastAsia"/>
                      <w:bCs/>
                      <w:szCs w:val="21"/>
                    </w:rPr>
                    <w:t>/</w:t>
                  </w:r>
                </w:p>
              </w:tc>
              <w:tc>
                <w:tcPr>
                  <w:tcW w:w="604" w:type="dxa"/>
                  <w:vAlign w:val="center"/>
                </w:tcPr>
                <w:p>
                  <w:pPr>
                    <w:spacing w:line="0" w:lineRule="atLeast"/>
                    <w:jc w:val="center"/>
                    <w:rPr>
                      <w:rFonts w:eastAsiaTheme="minorEastAsia"/>
                      <w:bCs/>
                      <w:szCs w:val="21"/>
                    </w:rPr>
                  </w:pPr>
                  <w:r>
                    <w:rPr>
                      <w:rFonts w:hint="eastAsia" w:eastAsiaTheme="minorEastAsia"/>
                      <w:bCs/>
                      <w:szCs w:val="21"/>
                    </w:rPr>
                    <w:t>/</w:t>
                  </w:r>
                </w:p>
              </w:tc>
              <w:tc>
                <w:tcPr>
                  <w:tcW w:w="581" w:type="dxa"/>
                  <w:vAlign w:val="center"/>
                </w:tcPr>
                <w:p>
                  <w:pPr>
                    <w:spacing w:line="0" w:lineRule="atLeast"/>
                    <w:jc w:val="center"/>
                    <w:rPr>
                      <w:rFonts w:eastAsiaTheme="minorEastAsia"/>
                      <w:bCs/>
                      <w:szCs w:val="21"/>
                    </w:rPr>
                  </w:pPr>
                  <w:r>
                    <w:rPr>
                      <w:rFonts w:eastAsiaTheme="minorEastAsia"/>
                      <w:bCs/>
                      <w:szCs w:val="21"/>
                    </w:rPr>
                    <w:t>0.000</w:t>
                  </w:r>
                  <w:r>
                    <w:rPr>
                      <w:rFonts w:hint="eastAsia" w:eastAsiaTheme="minorEastAsia"/>
                      <w:bCs/>
                      <w:szCs w:val="21"/>
                    </w:rPr>
                    <w:t>8</w:t>
                  </w:r>
                </w:p>
              </w:tc>
              <w:tc>
                <w:tcPr>
                  <w:tcW w:w="1022" w:type="dxa"/>
                  <w:vAlign w:val="center"/>
                </w:tcPr>
                <w:p>
                  <w:pPr>
                    <w:spacing w:line="0" w:lineRule="atLeast"/>
                    <w:jc w:val="center"/>
                    <w:rPr>
                      <w:rFonts w:eastAsiaTheme="minorEastAsia"/>
                      <w:bCs/>
                      <w:szCs w:val="21"/>
                    </w:rPr>
                  </w:pPr>
                  <w:r>
                    <w:rPr>
                      <w:rFonts w:hint="eastAsia" w:eastAsiaTheme="minorEastAsia"/>
                      <w:bCs/>
                      <w:szCs w:val="21"/>
                    </w:rPr>
                    <w:t>/</w:t>
                  </w:r>
                </w:p>
              </w:tc>
              <w:tc>
                <w:tcPr>
                  <w:tcW w:w="512" w:type="dxa"/>
                  <w:vAlign w:val="center"/>
                </w:tcPr>
                <w:p>
                  <w:pPr>
                    <w:spacing w:line="0" w:lineRule="atLeast"/>
                    <w:jc w:val="center"/>
                    <w:rPr>
                      <w:rFonts w:eastAsiaTheme="minorEastAsia"/>
                      <w:bCs/>
                      <w:szCs w:val="21"/>
                    </w:rPr>
                  </w:pPr>
                  <w:r>
                    <w:rPr>
                      <w:rFonts w:eastAsiaTheme="minorEastAsia"/>
                      <w:bCs/>
                      <w:szCs w:val="21"/>
                    </w:rPr>
                    <w:t>/</w:t>
                  </w:r>
                </w:p>
              </w:tc>
              <w:tc>
                <w:tcPr>
                  <w:tcW w:w="385" w:type="dxa"/>
                  <w:vAlign w:val="center"/>
                </w:tcPr>
                <w:p>
                  <w:pPr>
                    <w:spacing w:line="0" w:lineRule="atLeast"/>
                    <w:jc w:val="center"/>
                    <w:rPr>
                      <w:rFonts w:eastAsiaTheme="minorEastAsia"/>
                      <w:bCs/>
                      <w:szCs w:val="21"/>
                    </w:rPr>
                  </w:pPr>
                  <w:r>
                    <w:rPr>
                      <w:rFonts w:eastAsiaTheme="minorEastAsia"/>
                      <w:bCs/>
                      <w:szCs w:val="21"/>
                    </w:rPr>
                    <w:t>/</w:t>
                  </w:r>
                </w:p>
              </w:tc>
              <w:tc>
                <w:tcPr>
                  <w:tcW w:w="637" w:type="dxa"/>
                  <w:vAlign w:val="center"/>
                </w:tcPr>
                <w:p>
                  <w:pPr>
                    <w:spacing w:line="0" w:lineRule="atLeast"/>
                    <w:jc w:val="center"/>
                    <w:rPr>
                      <w:rFonts w:eastAsiaTheme="minorEastAsia"/>
                      <w:bCs/>
                      <w:szCs w:val="21"/>
                    </w:rPr>
                  </w:pPr>
                  <w:r>
                    <w:rPr>
                      <w:rFonts w:eastAsiaTheme="minorEastAsia"/>
                      <w:bCs/>
                      <w:szCs w:val="21"/>
                    </w:rPr>
                    <w:t>/</w:t>
                  </w:r>
                </w:p>
              </w:tc>
              <w:tc>
                <w:tcPr>
                  <w:tcW w:w="635" w:type="dxa"/>
                  <w:vAlign w:val="center"/>
                </w:tcPr>
                <w:p>
                  <w:pPr>
                    <w:spacing w:line="0" w:lineRule="atLeast"/>
                    <w:jc w:val="center"/>
                    <w:rPr>
                      <w:rFonts w:eastAsiaTheme="minorEastAsia"/>
                      <w:bCs/>
                      <w:szCs w:val="21"/>
                    </w:rPr>
                  </w:pPr>
                  <w:r>
                    <w:rPr>
                      <w:rFonts w:hint="eastAsia" w:eastAsiaTheme="minorEastAsia"/>
                      <w:bCs/>
                      <w:szCs w:val="21"/>
                    </w:rPr>
                    <w:t>/</w:t>
                  </w:r>
                </w:p>
              </w:tc>
              <w:tc>
                <w:tcPr>
                  <w:tcW w:w="635" w:type="dxa"/>
                  <w:vAlign w:val="center"/>
                </w:tcPr>
                <w:p>
                  <w:pPr>
                    <w:spacing w:line="0" w:lineRule="atLeast"/>
                    <w:jc w:val="center"/>
                    <w:rPr>
                      <w:rFonts w:eastAsiaTheme="minorEastAsia"/>
                      <w:bCs/>
                      <w:szCs w:val="21"/>
                    </w:rPr>
                  </w:pPr>
                  <w:r>
                    <w:rPr>
                      <w:rFonts w:eastAsiaTheme="minorEastAsia"/>
                      <w:bCs/>
                      <w:szCs w:val="21"/>
                    </w:rPr>
                    <w:t>/</w:t>
                  </w:r>
                </w:p>
              </w:tc>
              <w:tc>
                <w:tcPr>
                  <w:tcW w:w="639" w:type="dxa"/>
                  <w:vAlign w:val="center"/>
                </w:tcPr>
                <w:p>
                  <w:pPr>
                    <w:spacing w:line="0" w:lineRule="atLeast"/>
                    <w:jc w:val="center"/>
                    <w:rPr>
                      <w:rFonts w:eastAsiaTheme="minorEastAsia"/>
                      <w:bCs/>
                      <w:szCs w:val="21"/>
                    </w:rPr>
                  </w:pPr>
                  <w:r>
                    <w:rPr>
                      <w:rFonts w:hint="eastAsia" w:eastAsiaTheme="minorEastAsia"/>
                      <w:bCs/>
                      <w:szCs w:val="21"/>
                    </w:rPr>
                    <w:t>/</w:t>
                  </w:r>
                </w:p>
              </w:tc>
              <w:tc>
                <w:tcPr>
                  <w:tcW w:w="728" w:type="dxa"/>
                  <w:vAlign w:val="center"/>
                </w:tcPr>
                <w:p>
                  <w:pPr>
                    <w:spacing w:line="0" w:lineRule="atLeast"/>
                    <w:jc w:val="center"/>
                    <w:rPr>
                      <w:rFonts w:eastAsiaTheme="minorEastAsia"/>
                      <w:bCs/>
                      <w:szCs w:val="21"/>
                    </w:rPr>
                  </w:pPr>
                  <w:r>
                    <w:rPr>
                      <w:rFonts w:eastAsiaTheme="minorEastAsia"/>
                      <w:bCs/>
                      <w:szCs w:val="21"/>
                    </w:rPr>
                    <w:t>0.000</w:t>
                  </w:r>
                  <w:r>
                    <w:rPr>
                      <w:rFonts w:hint="eastAsia" w:eastAsiaTheme="minorEastAsia"/>
                      <w:bCs/>
                      <w:szCs w:val="21"/>
                    </w:rPr>
                    <w:t>8</w:t>
                  </w:r>
                </w:p>
              </w:tc>
            </w:tr>
          </w:tbl>
          <w:p/>
          <w:p/>
          <w:p/>
          <w:p/>
          <w:p/>
          <w:p/>
          <w:p/>
          <w:p>
            <w:pPr>
              <w:spacing w:line="360" w:lineRule="auto"/>
              <w:contextualSpacing/>
              <w:jc w:val="center"/>
              <w:rPr>
                <w:rFonts w:eastAsiaTheme="minorEastAsia"/>
                <w:b/>
                <w:bCs/>
                <w:sz w:val="24"/>
              </w:rPr>
            </w:pPr>
            <w:r>
              <w:rPr>
                <w:rFonts w:hint="eastAsia" w:eastAsiaTheme="minorEastAsia"/>
                <w:b/>
                <w:bCs/>
                <w:sz w:val="24"/>
              </w:rPr>
              <w:t>续表</w:t>
            </w:r>
            <w:r>
              <w:rPr>
                <w:rFonts w:eastAsiaTheme="minorEastAsia"/>
                <w:b/>
                <w:bCs/>
                <w:sz w:val="24"/>
              </w:rPr>
              <w:t xml:space="preserve">4-1 </w:t>
            </w:r>
            <w:r>
              <w:rPr>
                <w:rFonts w:hint="eastAsia" w:eastAsiaTheme="minorEastAsia"/>
                <w:b/>
                <w:bCs/>
                <w:sz w:val="24"/>
              </w:rPr>
              <w:t>废气污染源源强核算结果及相关参数一览表</w:t>
            </w:r>
          </w:p>
          <w:tbl>
            <w:tblPr>
              <w:tblStyle w:val="22"/>
              <w:tblpPr w:leftFromText="180" w:rightFromText="180" w:vertAnchor="text" w:tblpXSpec="center" w:tblpY="1"/>
              <w:tblOverlap w:val="never"/>
              <w:tblW w:w="82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
              <w:gridCol w:w="361"/>
              <w:gridCol w:w="363"/>
              <w:gridCol w:w="764"/>
              <w:gridCol w:w="604"/>
              <w:gridCol w:w="581"/>
              <w:gridCol w:w="1022"/>
              <w:gridCol w:w="512"/>
              <w:gridCol w:w="385"/>
              <w:gridCol w:w="637"/>
              <w:gridCol w:w="635"/>
              <w:gridCol w:w="635"/>
              <w:gridCol w:w="639"/>
              <w:gridCol w:w="7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2" w:hRule="atLeast"/>
              </w:trPr>
              <w:tc>
                <w:tcPr>
                  <w:tcW w:w="387" w:type="dxa"/>
                  <w:vMerge w:val="restart"/>
                  <w:vAlign w:val="center"/>
                </w:tcPr>
                <w:p>
                  <w:pPr>
                    <w:spacing w:line="0" w:lineRule="atLeast"/>
                    <w:jc w:val="center"/>
                    <w:rPr>
                      <w:rFonts w:eastAsiaTheme="minorEastAsia"/>
                      <w:bCs/>
                      <w:szCs w:val="21"/>
                    </w:rPr>
                  </w:pPr>
                  <w:r>
                    <w:rPr>
                      <w:rFonts w:eastAsiaTheme="minorEastAsia"/>
                      <w:bCs/>
                      <w:szCs w:val="21"/>
                    </w:rPr>
                    <w:t>危险废物贮存库</w:t>
                  </w:r>
                </w:p>
              </w:tc>
              <w:tc>
                <w:tcPr>
                  <w:tcW w:w="361" w:type="dxa"/>
                  <w:vMerge w:val="restart"/>
                  <w:vAlign w:val="center"/>
                </w:tcPr>
                <w:p>
                  <w:pPr>
                    <w:spacing w:line="0" w:lineRule="atLeast"/>
                    <w:jc w:val="center"/>
                    <w:rPr>
                      <w:rFonts w:eastAsiaTheme="minorEastAsia"/>
                      <w:bCs/>
                      <w:szCs w:val="21"/>
                    </w:rPr>
                  </w:pPr>
                  <w:r>
                    <w:rPr>
                      <w:rFonts w:hint="eastAsia" w:eastAsiaTheme="minorEastAsia"/>
                      <w:bCs/>
                      <w:szCs w:val="21"/>
                    </w:rPr>
                    <w:t>非甲烷总烃</w:t>
                  </w:r>
                </w:p>
              </w:tc>
              <w:tc>
                <w:tcPr>
                  <w:tcW w:w="363" w:type="dxa"/>
                  <w:vAlign w:val="center"/>
                </w:tcPr>
                <w:p>
                  <w:pPr>
                    <w:spacing w:line="0" w:lineRule="atLeast"/>
                    <w:jc w:val="center"/>
                    <w:rPr>
                      <w:rFonts w:eastAsiaTheme="minorEastAsia"/>
                      <w:bCs/>
                      <w:szCs w:val="21"/>
                    </w:rPr>
                  </w:pPr>
                  <w:r>
                    <w:rPr>
                      <w:rFonts w:hint="eastAsia" w:eastAsiaTheme="minorEastAsia"/>
                      <w:bCs/>
                      <w:szCs w:val="21"/>
                    </w:rPr>
                    <w:t>有组织</w:t>
                  </w:r>
                </w:p>
              </w:tc>
              <w:tc>
                <w:tcPr>
                  <w:tcW w:w="764" w:type="dxa"/>
                  <w:vAlign w:val="center"/>
                </w:tcPr>
                <w:p>
                  <w:pPr>
                    <w:spacing w:line="0" w:lineRule="atLeast"/>
                    <w:jc w:val="center"/>
                    <w:rPr>
                      <w:rFonts w:eastAsiaTheme="minorEastAsia"/>
                      <w:bCs/>
                      <w:szCs w:val="21"/>
                    </w:rPr>
                  </w:pPr>
                  <w:r>
                    <w:rPr>
                      <w:rFonts w:hint="eastAsia" w:eastAsiaTheme="minorEastAsia"/>
                      <w:bCs/>
                      <w:szCs w:val="21"/>
                    </w:rPr>
                    <w:t>1.0</w:t>
                  </w:r>
                </w:p>
              </w:tc>
              <w:tc>
                <w:tcPr>
                  <w:tcW w:w="604" w:type="dxa"/>
                  <w:vAlign w:val="center"/>
                </w:tcPr>
                <w:p>
                  <w:pPr>
                    <w:spacing w:line="0" w:lineRule="atLeast"/>
                    <w:jc w:val="center"/>
                    <w:rPr>
                      <w:rFonts w:eastAsiaTheme="minorEastAsia"/>
                      <w:bCs/>
                      <w:szCs w:val="21"/>
                    </w:rPr>
                  </w:pPr>
                  <w:r>
                    <w:rPr>
                      <w:rFonts w:hint="eastAsia" w:eastAsiaTheme="minorEastAsia"/>
                      <w:bCs/>
                      <w:szCs w:val="21"/>
                    </w:rPr>
                    <w:t>0.001</w:t>
                  </w:r>
                </w:p>
              </w:tc>
              <w:tc>
                <w:tcPr>
                  <w:tcW w:w="581" w:type="dxa"/>
                  <w:vAlign w:val="center"/>
                </w:tcPr>
                <w:p>
                  <w:pPr>
                    <w:spacing w:line="0" w:lineRule="atLeast"/>
                    <w:jc w:val="center"/>
                    <w:rPr>
                      <w:rFonts w:eastAsiaTheme="minorEastAsia"/>
                      <w:bCs/>
                      <w:szCs w:val="21"/>
                    </w:rPr>
                  </w:pPr>
                  <w:r>
                    <w:rPr>
                      <w:rFonts w:hint="eastAsia" w:eastAsiaTheme="minorEastAsia"/>
                      <w:bCs/>
                      <w:szCs w:val="21"/>
                    </w:rPr>
                    <w:t>0.0027</w:t>
                  </w:r>
                </w:p>
              </w:tc>
              <w:tc>
                <w:tcPr>
                  <w:tcW w:w="1022" w:type="dxa"/>
                  <w:vAlign w:val="center"/>
                </w:tcPr>
                <w:p>
                  <w:pPr>
                    <w:spacing w:line="0" w:lineRule="atLeast"/>
                    <w:jc w:val="center"/>
                    <w:rPr>
                      <w:rFonts w:eastAsiaTheme="minorEastAsia"/>
                      <w:bCs/>
                      <w:szCs w:val="21"/>
                    </w:rPr>
                  </w:pPr>
                  <w:r>
                    <w:rPr>
                      <w:rFonts w:eastAsiaTheme="minorEastAsia"/>
                      <w:bCs/>
                      <w:szCs w:val="21"/>
                    </w:rPr>
                    <w:t>采取负压收集方式，经二级活性炭吸附装置处理后由15m高</w:t>
                  </w:r>
                  <w:r>
                    <w:rPr>
                      <w:rFonts w:hint="eastAsia" w:eastAsiaTheme="minorEastAsia"/>
                      <w:bCs/>
                      <w:szCs w:val="21"/>
                    </w:rPr>
                    <w:t>3</w:t>
                  </w:r>
                  <w:r>
                    <w:rPr>
                      <w:rFonts w:eastAsiaTheme="minorEastAsia"/>
                      <w:bCs/>
                      <w:szCs w:val="21"/>
                    </w:rPr>
                    <w:t>#排气筒排放</w:t>
                  </w:r>
                  <w:r>
                    <w:rPr>
                      <w:rFonts w:hint="eastAsia" w:eastAsiaTheme="minorEastAsia"/>
                      <w:bCs/>
                      <w:szCs w:val="21"/>
                    </w:rPr>
                    <w:t xml:space="preserve"> </w:t>
                  </w:r>
                </w:p>
              </w:tc>
              <w:tc>
                <w:tcPr>
                  <w:tcW w:w="512" w:type="dxa"/>
                  <w:vAlign w:val="center"/>
                </w:tcPr>
                <w:p>
                  <w:pPr>
                    <w:spacing w:line="0" w:lineRule="atLeast"/>
                    <w:jc w:val="center"/>
                    <w:rPr>
                      <w:rFonts w:eastAsiaTheme="minorEastAsia"/>
                      <w:bCs/>
                      <w:szCs w:val="21"/>
                    </w:rPr>
                  </w:pPr>
                  <w:r>
                    <w:rPr>
                      <w:rFonts w:eastAsiaTheme="minorEastAsia"/>
                      <w:bCs/>
                      <w:szCs w:val="21"/>
                    </w:rPr>
                    <w:t>90</w:t>
                  </w:r>
                </w:p>
              </w:tc>
              <w:tc>
                <w:tcPr>
                  <w:tcW w:w="385" w:type="dxa"/>
                  <w:vAlign w:val="center"/>
                </w:tcPr>
                <w:p>
                  <w:pPr>
                    <w:spacing w:line="0" w:lineRule="atLeast"/>
                    <w:jc w:val="center"/>
                    <w:rPr>
                      <w:rFonts w:eastAsiaTheme="minorEastAsia"/>
                      <w:bCs/>
                      <w:szCs w:val="21"/>
                    </w:rPr>
                  </w:pPr>
                  <w:r>
                    <w:rPr>
                      <w:rFonts w:hint="eastAsia" w:eastAsiaTheme="minorEastAsia"/>
                      <w:bCs/>
                      <w:szCs w:val="21"/>
                    </w:rPr>
                    <w:t>75</w:t>
                  </w:r>
                </w:p>
              </w:tc>
              <w:tc>
                <w:tcPr>
                  <w:tcW w:w="637" w:type="dxa"/>
                  <w:vAlign w:val="center"/>
                </w:tcPr>
                <w:p>
                  <w:pPr>
                    <w:spacing w:line="0" w:lineRule="atLeast"/>
                    <w:jc w:val="center"/>
                    <w:rPr>
                      <w:rFonts w:eastAsiaTheme="minorEastAsia"/>
                      <w:bCs/>
                      <w:szCs w:val="21"/>
                    </w:rPr>
                  </w:pPr>
                  <w:r>
                    <w:rPr>
                      <w:rFonts w:hint="eastAsia" w:eastAsiaTheme="minorEastAsia"/>
                      <w:bCs/>
                      <w:szCs w:val="21"/>
                    </w:rPr>
                    <w:t>是</w:t>
                  </w:r>
                </w:p>
              </w:tc>
              <w:tc>
                <w:tcPr>
                  <w:tcW w:w="635" w:type="dxa"/>
                  <w:vAlign w:val="center"/>
                </w:tcPr>
                <w:p>
                  <w:pPr>
                    <w:spacing w:line="0" w:lineRule="atLeast"/>
                    <w:jc w:val="center"/>
                    <w:rPr>
                      <w:rFonts w:eastAsiaTheme="minorEastAsia"/>
                      <w:bCs/>
                      <w:szCs w:val="21"/>
                    </w:rPr>
                  </w:pPr>
                  <w:r>
                    <w:rPr>
                      <w:rFonts w:hint="eastAsia" w:eastAsiaTheme="minorEastAsia"/>
                      <w:bCs/>
                      <w:szCs w:val="21"/>
                    </w:rPr>
                    <w:t>1000</w:t>
                  </w:r>
                </w:p>
              </w:tc>
              <w:tc>
                <w:tcPr>
                  <w:tcW w:w="635" w:type="dxa"/>
                  <w:vAlign w:val="center"/>
                </w:tcPr>
                <w:p>
                  <w:pPr>
                    <w:spacing w:line="0" w:lineRule="atLeast"/>
                    <w:jc w:val="center"/>
                    <w:rPr>
                      <w:rFonts w:eastAsiaTheme="minorEastAsia"/>
                      <w:bCs/>
                      <w:szCs w:val="21"/>
                    </w:rPr>
                  </w:pPr>
                  <w:r>
                    <w:rPr>
                      <w:rFonts w:hint="eastAsia" w:eastAsiaTheme="minorEastAsia"/>
                      <w:bCs/>
                      <w:szCs w:val="21"/>
                    </w:rPr>
                    <w:t>0.3</w:t>
                  </w:r>
                </w:p>
              </w:tc>
              <w:tc>
                <w:tcPr>
                  <w:tcW w:w="639" w:type="dxa"/>
                  <w:vAlign w:val="center"/>
                </w:tcPr>
                <w:p>
                  <w:pPr>
                    <w:spacing w:line="0" w:lineRule="atLeast"/>
                    <w:jc w:val="center"/>
                    <w:rPr>
                      <w:rFonts w:eastAsiaTheme="minorEastAsia"/>
                      <w:bCs/>
                      <w:szCs w:val="21"/>
                    </w:rPr>
                  </w:pPr>
                  <w:r>
                    <w:rPr>
                      <w:rFonts w:hint="eastAsia" w:eastAsiaTheme="minorEastAsia"/>
                      <w:bCs/>
                      <w:szCs w:val="21"/>
                    </w:rPr>
                    <w:t>0.0003</w:t>
                  </w:r>
                </w:p>
              </w:tc>
              <w:tc>
                <w:tcPr>
                  <w:tcW w:w="728" w:type="dxa"/>
                  <w:vAlign w:val="center"/>
                </w:tcPr>
                <w:p>
                  <w:pPr>
                    <w:spacing w:line="0" w:lineRule="atLeast"/>
                    <w:jc w:val="center"/>
                    <w:rPr>
                      <w:rFonts w:eastAsiaTheme="minorEastAsia"/>
                      <w:bCs/>
                      <w:szCs w:val="21"/>
                    </w:rPr>
                  </w:pPr>
                  <w:r>
                    <w:rPr>
                      <w:rFonts w:eastAsiaTheme="minorEastAsia"/>
                      <w:bCs/>
                      <w:szCs w:val="21"/>
                    </w:rPr>
                    <w:t>0.0</w:t>
                  </w:r>
                  <w:r>
                    <w:rPr>
                      <w:rFonts w:hint="eastAsia" w:eastAsiaTheme="minorEastAsia"/>
                      <w:bCs/>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2" w:hRule="atLeast"/>
              </w:trPr>
              <w:tc>
                <w:tcPr>
                  <w:tcW w:w="387" w:type="dxa"/>
                  <w:vMerge w:val="continue"/>
                  <w:vAlign w:val="center"/>
                </w:tcPr>
                <w:p>
                  <w:pPr>
                    <w:spacing w:line="0" w:lineRule="atLeast"/>
                    <w:jc w:val="center"/>
                    <w:rPr>
                      <w:rFonts w:eastAsiaTheme="minorEastAsia"/>
                      <w:bCs/>
                      <w:szCs w:val="21"/>
                    </w:rPr>
                  </w:pPr>
                </w:p>
              </w:tc>
              <w:tc>
                <w:tcPr>
                  <w:tcW w:w="361" w:type="dxa"/>
                  <w:vMerge w:val="continue"/>
                  <w:vAlign w:val="center"/>
                </w:tcPr>
                <w:p>
                  <w:pPr>
                    <w:spacing w:line="0" w:lineRule="atLeast"/>
                    <w:jc w:val="center"/>
                    <w:rPr>
                      <w:rFonts w:eastAsiaTheme="minorEastAsia"/>
                      <w:bCs/>
                      <w:szCs w:val="21"/>
                    </w:rPr>
                  </w:pPr>
                </w:p>
              </w:tc>
              <w:tc>
                <w:tcPr>
                  <w:tcW w:w="363" w:type="dxa"/>
                  <w:vAlign w:val="center"/>
                </w:tcPr>
                <w:p>
                  <w:pPr>
                    <w:spacing w:line="0" w:lineRule="atLeast"/>
                    <w:jc w:val="center"/>
                    <w:rPr>
                      <w:rFonts w:eastAsiaTheme="minorEastAsia"/>
                      <w:bCs/>
                      <w:szCs w:val="21"/>
                    </w:rPr>
                  </w:pPr>
                  <w:r>
                    <w:rPr>
                      <w:rFonts w:hint="eastAsia" w:eastAsiaTheme="minorEastAsia"/>
                      <w:bCs/>
                      <w:szCs w:val="21"/>
                    </w:rPr>
                    <w:t>无组织</w:t>
                  </w:r>
                </w:p>
              </w:tc>
              <w:tc>
                <w:tcPr>
                  <w:tcW w:w="764" w:type="dxa"/>
                  <w:vAlign w:val="center"/>
                </w:tcPr>
                <w:p>
                  <w:pPr>
                    <w:spacing w:line="0" w:lineRule="atLeast"/>
                    <w:jc w:val="center"/>
                    <w:rPr>
                      <w:rFonts w:eastAsiaTheme="minorEastAsia"/>
                      <w:bCs/>
                      <w:szCs w:val="21"/>
                    </w:rPr>
                  </w:pPr>
                  <w:r>
                    <w:rPr>
                      <w:rFonts w:hint="eastAsia" w:eastAsiaTheme="minorEastAsia"/>
                      <w:bCs/>
                      <w:szCs w:val="21"/>
                    </w:rPr>
                    <w:t>/</w:t>
                  </w:r>
                </w:p>
              </w:tc>
              <w:tc>
                <w:tcPr>
                  <w:tcW w:w="604" w:type="dxa"/>
                  <w:vAlign w:val="center"/>
                </w:tcPr>
                <w:p>
                  <w:pPr>
                    <w:spacing w:line="0" w:lineRule="atLeast"/>
                    <w:jc w:val="center"/>
                    <w:rPr>
                      <w:rFonts w:eastAsiaTheme="minorEastAsia"/>
                      <w:bCs/>
                      <w:szCs w:val="21"/>
                    </w:rPr>
                  </w:pPr>
                  <w:r>
                    <w:rPr>
                      <w:rFonts w:hint="eastAsia" w:eastAsiaTheme="minorEastAsia"/>
                      <w:bCs/>
                      <w:szCs w:val="21"/>
                    </w:rPr>
                    <w:t>/</w:t>
                  </w:r>
                </w:p>
              </w:tc>
              <w:tc>
                <w:tcPr>
                  <w:tcW w:w="581" w:type="dxa"/>
                  <w:vAlign w:val="center"/>
                </w:tcPr>
                <w:p>
                  <w:pPr>
                    <w:spacing w:line="0" w:lineRule="atLeast"/>
                    <w:jc w:val="center"/>
                    <w:rPr>
                      <w:rFonts w:eastAsiaTheme="minorEastAsia"/>
                      <w:bCs/>
                      <w:szCs w:val="21"/>
                    </w:rPr>
                  </w:pPr>
                  <w:r>
                    <w:rPr>
                      <w:rFonts w:hint="eastAsia" w:eastAsiaTheme="minorEastAsia"/>
                      <w:bCs/>
                      <w:szCs w:val="21"/>
                    </w:rPr>
                    <w:t>0.0003</w:t>
                  </w:r>
                </w:p>
              </w:tc>
              <w:tc>
                <w:tcPr>
                  <w:tcW w:w="1022" w:type="dxa"/>
                  <w:vAlign w:val="center"/>
                </w:tcPr>
                <w:p>
                  <w:pPr>
                    <w:spacing w:line="0" w:lineRule="atLeast"/>
                    <w:jc w:val="center"/>
                    <w:rPr>
                      <w:rFonts w:eastAsiaTheme="minorEastAsia"/>
                      <w:bCs/>
                      <w:szCs w:val="21"/>
                    </w:rPr>
                  </w:pPr>
                  <w:r>
                    <w:rPr>
                      <w:rFonts w:hint="eastAsia" w:eastAsiaTheme="minorEastAsia"/>
                      <w:bCs/>
                      <w:szCs w:val="21"/>
                    </w:rPr>
                    <w:t>/</w:t>
                  </w:r>
                </w:p>
              </w:tc>
              <w:tc>
                <w:tcPr>
                  <w:tcW w:w="512" w:type="dxa"/>
                  <w:vAlign w:val="center"/>
                </w:tcPr>
                <w:p>
                  <w:pPr>
                    <w:spacing w:line="0" w:lineRule="atLeast"/>
                    <w:jc w:val="center"/>
                    <w:rPr>
                      <w:rFonts w:eastAsiaTheme="minorEastAsia"/>
                      <w:bCs/>
                      <w:szCs w:val="21"/>
                    </w:rPr>
                  </w:pPr>
                  <w:r>
                    <w:rPr>
                      <w:rFonts w:hint="eastAsia" w:eastAsiaTheme="minorEastAsia"/>
                      <w:bCs/>
                      <w:szCs w:val="21"/>
                    </w:rPr>
                    <w:t>/</w:t>
                  </w:r>
                </w:p>
              </w:tc>
              <w:tc>
                <w:tcPr>
                  <w:tcW w:w="385" w:type="dxa"/>
                  <w:vAlign w:val="center"/>
                </w:tcPr>
                <w:p>
                  <w:pPr>
                    <w:spacing w:line="0" w:lineRule="atLeast"/>
                    <w:jc w:val="center"/>
                    <w:rPr>
                      <w:rFonts w:eastAsiaTheme="minorEastAsia"/>
                      <w:bCs/>
                      <w:szCs w:val="21"/>
                    </w:rPr>
                  </w:pPr>
                  <w:r>
                    <w:rPr>
                      <w:rFonts w:hint="eastAsia" w:eastAsiaTheme="minorEastAsia"/>
                      <w:bCs/>
                      <w:szCs w:val="21"/>
                    </w:rPr>
                    <w:t>/</w:t>
                  </w:r>
                </w:p>
              </w:tc>
              <w:tc>
                <w:tcPr>
                  <w:tcW w:w="637" w:type="dxa"/>
                  <w:vAlign w:val="center"/>
                </w:tcPr>
                <w:p>
                  <w:pPr>
                    <w:spacing w:line="0" w:lineRule="atLeast"/>
                    <w:jc w:val="center"/>
                    <w:rPr>
                      <w:rFonts w:eastAsiaTheme="minorEastAsia"/>
                      <w:bCs/>
                      <w:szCs w:val="21"/>
                    </w:rPr>
                  </w:pPr>
                  <w:r>
                    <w:rPr>
                      <w:rFonts w:hint="eastAsia" w:eastAsiaTheme="minorEastAsia"/>
                      <w:bCs/>
                      <w:szCs w:val="21"/>
                    </w:rPr>
                    <w:t>/</w:t>
                  </w:r>
                </w:p>
              </w:tc>
              <w:tc>
                <w:tcPr>
                  <w:tcW w:w="635" w:type="dxa"/>
                  <w:vAlign w:val="center"/>
                </w:tcPr>
                <w:p>
                  <w:pPr>
                    <w:spacing w:line="0" w:lineRule="atLeast"/>
                    <w:jc w:val="center"/>
                    <w:rPr>
                      <w:rFonts w:eastAsiaTheme="minorEastAsia"/>
                      <w:bCs/>
                      <w:szCs w:val="21"/>
                    </w:rPr>
                  </w:pPr>
                  <w:r>
                    <w:rPr>
                      <w:rFonts w:hint="eastAsia" w:eastAsiaTheme="minorEastAsia"/>
                      <w:bCs/>
                      <w:szCs w:val="21"/>
                    </w:rPr>
                    <w:t>/</w:t>
                  </w:r>
                </w:p>
              </w:tc>
              <w:tc>
                <w:tcPr>
                  <w:tcW w:w="635" w:type="dxa"/>
                  <w:vAlign w:val="center"/>
                </w:tcPr>
                <w:p>
                  <w:pPr>
                    <w:spacing w:line="0" w:lineRule="atLeast"/>
                    <w:jc w:val="center"/>
                    <w:rPr>
                      <w:rFonts w:eastAsiaTheme="minorEastAsia"/>
                      <w:bCs/>
                      <w:szCs w:val="21"/>
                    </w:rPr>
                  </w:pPr>
                  <w:r>
                    <w:rPr>
                      <w:rFonts w:hint="eastAsia" w:eastAsiaTheme="minorEastAsia"/>
                      <w:bCs/>
                      <w:szCs w:val="21"/>
                    </w:rPr>
                    <w:t>/</w:t>
                  </w:r>
                </w:p>
              </w:tc>
              <w:tc>
                <w:tcPr>
                  <w:tcW w:w="639" w:type="dxa"/>
                  <w:vAlign w:val="center"/>
                </w:tcPr>
                <w:p>
                  <w:pPr>
                    <w:spacing w:line="0" w:lineRule="atLeast"/>
                    <w:jc w:val="center"/>
                    <w:rPr>
                      <w:rFonts w:eastAsiaTheme="minorEastAsia"/>
                      <w:bCs/>
                      <w:szCs w:val="21"/>
                    </w:rPr>
                  </w:pPr>
                  <w:r>
                    <w:rPr>
                      <w:rFonts w:hint="eastAsia" w:eastAsiaTheme="minorEastAsia"/>
                      <w:bCs/>
                      <w:szCs w:val="21"/>
                    </w:rPr>
                    <w:t>/</w:t>
                  </w:r>
                </w:p>
              </w:tc>
              <w:tc>
                <w:tcPr>
                  <w:tcW w:w="728" w:type="dxa"/>
                  <w:vAlign w:val="center"/>
                </w:tcPr>
                <w:p>
                  <w:pPr>
                    <w:spacing w:line="0" w:lineRule="atLeast"/>
                    <w:jc w:val="center"/>
                    <w:rPr>
                      <w:rFonts w:eastAsiaTheme="minorEastAsia"/>
                      <w:bCs/>
                      <w:szCs w:val="21"/>
                    </w:rPr>
                  </w:pPr>
                  <w:r>
                    <w:rPr>
                      <w:rFonts w:hint="eastAsia" w:eastAsiaTheme="minorEastAsia"/>
                      <w:bCs/>
                      <w:szCs w:val="21"/>
                    </w:rPr>
                    <w:t>0.0003</w:t>
                  </w:r>
                </w:p>
              </w:tc>
            </w:tr>
          </w:tbl>
          <w:p>
            <w:pPr>
              <w:pStyle w:val="49"/>
              <w:spacing w:line="360" w:lineRule="auto"/>
              <w:contextualSpacing/>
              <w:jc w:val="left"/>
              <w:rPr>
                <w:rFonts w:ascii="Times New Roman" w:hAnsi="Times New Roman" w:eastAsia="宋体"/>
                <w:bCs/>
                <w:sz w:val="21"/>
                <w:szCs w:val="21"/>
              </w:rPr>
            </w:pPr>
            <w:r>
              <w:rPr>
                <w:rFonts w:hint="eastAsia" w:ascii="Times New Roman" w:hAnsi="Times New Roman" w:eastAsia="宋体"/>
                <w:sz w:val="21"/>
                <w:szCs w:val="21"/>
              </w:rPr>
              <w:t>可行性分析：根据</w:t>
            </w:r>
            <w:r>
              <w:rPr>
                <w:rFonts w:hint="eastAsia" w:ascii="Times New Roman" w:hAnsi="Times New Roman" w:eastAsia="宋体"/>
                <w:bCs/>
                <w:sz w:val="21"/>
                <w:szCs w:val="21"/>
              </w:rPr>
              <w:t>《排污许可证申请于核发技术规范</w:t>
            </w:r>
            <w:r>
              <w:rPr>
                <w:rFonts w:hint="eastAsia" w:ascii="Times New Roman" w:hAnsi="Times New Roman" w:eastAsia="宋体"/>
                <w:sz w:val="21"/>
                <w:szCs w:val="21"/>
              </w:rPr>
              <w:t>废弃资源加工业</w:t>
            </w:r>
            <w:r>
              <w:rPr>
                <w:rFonts w:hint="eastAsia" w:ascii="Times New Roman" w:hAnsi="Times New Roman" w:eastAsia="宋体"/>
                <w:bCs/>
                <w:sz w:val="21"/>
                <w:szCs w:val="21"/>
              </w:rPr>
              <w:t>》（</w:t>
            </w:r>
            <w:r>
              <w:rPr>
                <w:rFonts w:ascii="Times New Roman" w:hAnsi="Times New Roman" w:eastAsia="宋体"/>
                <w:bCs/>
                <w:sz w:val="21"/>
                <w:szCs w:val="21"/>
              </w:rPr>
              <w:t>HJ1034-2019</w:t>
            </w:r>
            <w:r>
              <w:rPr>
                <w:rFonts w:hint="eastAsia" w:ascii="Times New Roman" w:hAnsi="Times New Roman" w:eastAsia="宋体"/>
                <w:bCs/>
                <w:sz w:val="21"/>
                <w:szCs w:val="21"/>
              </w:rPr>
              <w:t>），废机动车加工拆解，非甲烷总烃治理可行技术为活性炭吸附，颗粒物治理可行技术为布袋除尘。</w:t>
            </w:r>
          </w:p>
          <w:p>
            <w:pPr>
              <w:pStyle w:val="49"/>
              <w:spacing w:line="360" w:lineRule="auto"/>
              <w:contextualSpacing/>
              <w:jc w:val="left"/>
              <w:rPr>
                <w:rFonts w:ascii="Times New Roman" w:hAnsi="Times New Roman" w:eastAsia="宋体"/>
                <w:bCs/>
                <w:sz w:val="21"/>
                <w:szCs w:val="21"/>
              </w:rPr>
            </w:pPr>
            <w:r>
              <w:rPr>
                <w:rFonts w:hint="eastAsia" w:ascii="Times New Roman" w:hAnsi="Times New Roman" w:eastAsia="宋体"/>
                <w:bCs/>
                <w:sz w:val="21"/>
                <w:szCs w:val="21"/>
              </w:rPr>
              <w:t>根据《主要污染物总量减排核算技术指南（2022年修订）》中一次性活性炭吸附，采用集中再生活化，二级组合使用最高能认到75%，本项目使用</w:t>
            </w:r>
            <w:r>
              <w:rPr>
                <w:rFonts w:ascii="Times New Roman" w:hAnsi="Times New Roman" w:eastAsia="宋体"/>
                <w:bCs/>
                <w:sz w:val="21"/>
                <w:szCs w:val="21"/>
              </w:rPr>
              <w:t>二级活性炭吸附装置，故</w:t>
            </w:r>
            <w:r>
              <w:rPr>
                <w:rFonts w:hint="eastAsia" w:ascii="Times New Roman" w:hAnsi="Times New Roman" w:eastAsia="宋体"/>
                <w:bCs/>
                <w:sz w:val="21"/>
                <w:szCs w:val="21"/>
              </w:rPr>
              <w:t>对VOCs的治理效率为75%</w:t>
            </w:r>
          </w:p>
          <w:p>
            <w:pPr>
              <w:pStyle w:val="49"/>
              <w:spacing w:line="360" w:lineRule="auto"/>
              <w:contextualSpacing/>
              <w:rPr>
                <w:rFonts w:ascii="Times New Roman" w:hAnsi="Times New Roman" w:eastAsiaTheme="minorEastAsia"/>
                <w:b/>
              </w:rPr>
            </w:pPr>
            <w:r>
              <w:rPr>
                <w:rFonts w:hint="eastAsia" w:ascii="Times New Roman" w:hAnsiTheme="minorEastAsia" w:eastAsiaTheme="minorEastAsia"/>
                <w:b/>
              </w:rPr>
              <w:t>表</w:t>
            </w:r>
            <w:r>
              <w:rPr>
                <w:rFonts w:ascii="Times New Roman" w:hAnsi="Times New Roman" w:eastAsiaTheme="minorEastAsia"/>
                <w:b/>
              </w:rPr>
              <w:t xml:space="preserve">4-2 </w:t>
            </w:r>
            <w:r>
              <w:rPr>
                <w:rFonts w:hint="eastAsia" w:ascii="Times New Roman" w:hAnsiTheme="minorEastAsia" w:eastAsiaTheme="minorEastAsia"/>
                <w:b/>
              </w:rPr>
              <w:t>废气排放口基本情况一览表</w:t>
            </w:r>
          </w:p>
          <w:tbl>
            <w:tblPr>
              <w:tblStyle w:val="22"/>
              <w:tblW w:w="843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325"/>
              <w:gridCol w:w="848"/>
              <w:gridCol w:w="850"/>
              <w:gridCol w:w="848"/>
              <w:gridCol w:w="991"/>
              <w:gridCol w:w="27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00"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编号</w:t>
                  </w:r>
                </w:p>
              </w:tc>
              <w:tc>
                <w:tcPr>
                  <w:tcW w:w="1325"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排放口名称</w:t>
                  </w:r>
                </w:p>
              </w:tc>
              <w:tc>
                <w:tcPr>
                  <w:tcW w:w="848"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高度</w:t>
                  </w:r>
                  <w:r>
                    <w:rPr>
                      <w:rFonts w:eastAsiaTheme="minorEastAsia"/>
                      <w:szCs w:val="21"/>
                    </w:rPr>
                    <w:t>/m</w:t>
                  </w:r>
                </w:p>
              </w:tc>
              <w:tc>
                <w:tcPr>
                  <w:tcW w:w="850"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内径</w:t>
                  </w:r>
                  <w:r>
                    <w:rPr>
                      <w:rFonts w:eastAsiaTheme="minorEastAsia"/>
                      <w:szCs w:val="21"/>
                    </w:rPr>
                    <w:t>/m</w:t>
                  </w:r>
                </w:p>
              </w:tc>
              <w:tc>
                <w:tcPr>
                  <w:tcW w:w="848"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温度</w:t>
                  </w:r>
                  <w:r>
                    <w:rPr>
                      <w:rFonts w:hint="eastAsia" w:eastAsiaTheme="minorEastAsia"/>
                      <w:szCs w:val="21"/>
                    </w:rPr>
                    <w:t>/℃</w:t>
                  </w:r>
                </w:p>
              </w:tc>
              <w:tc>
                <w:tcPr>
                  <w:tcW w:w="991"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类型</w:t>
                  </w:r>
                </w:p>
              </w:tc>
              <w:tc>
                <w:tcPr>
                  <w:tcW w:w="2769"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00" w:type="dxa"/>
                  <w:vAlign w:val="center"/>
                </w:tcPr>
                <w:p>
                  <w:pPr>
                    <w:autoSpaceDE w:val="0"/>
                    <w:autoSpaceDN w:val="0"/>
                    <w:contextualSpacing/>
                    <w:jc w:val="center"/>
                    <w:rPr>
                      <w:rFonts w:eastAsiaTheme="minorEastAsia"/>
                      <w:szCs w:val="21"/>
                    </w:rPr>
                  </w:pPr>
                  <w:r>
                    <w:rPr>
                      <w:rFonts w:eastAsiaTheme="minorEastAsia"/>
                      <w:szCs w:val="21"/>
                    </w:rPr>
                    <w:t>DA001</w:t>
                  </w:r>
                </w:p>
              </w:tc>
              <w:tc>
                <w:tcPr>
                  <w:tcW w:w="1325"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1#排气筒</w:t>
                  </w:r>
                </w:p>
              </w:tc>
              <w:tc>
                <w:tcPr>
                  <w:tcW w:w="848" w:type="dxa"/>
                  <w:vAlign w:val="center"/>
                </w:tcPr>
                <w:p>
                  <w:pPr>
                    <w:autoSpaceDE w:val="0"/>
                    <w:autoSpaceDN w:val="0"/>
                    <w:contextualSpacing/>
                    <w:jc w:val="center"/>
                    <w:rPr>
                      <w:rFonts w:eastAsiaTheme="minorEastAsia"/>
                      <w:szCs w:val="21"/>
                    </w:rPr>
                  </w:pPr>
                  <w:r>
                    <w:rPr>
                      <w:rFonts w:eastAsiaTheme="minorEastAsia"/>
                      <w:szCs w:val="21"/>
                    </w:rPr>
                    <w:t>15</w:t>
                  </w:r>
                </w:p>
              </w:tc>
              <w:tc>
                <w:tcPr>
                  <w:tcW w:w="850" w:type="dxa"/>
                  <w:vAlign w:val="center"/>
                </w:tcPr>
                <w:p>
                  <w:pPr>
                    <w:autoSpaceDE w:val="0"/>
                    <w:autoSpaceDN w:val="0"/>
                    <w:contextualSpacing/>
                    <w:jc w:val="center"/>
                    <w:rPr>
                      <w:rFonts w:eastAsiaTheme="minorEastAsia"/>
                      <w:szCs w:val="21"/>
                    </w:rPr>
                  </w:pPr>
                  <w:r>
                    <w:rPr>
                      <w:rFonts w:eastAsiaTheme="minorEastAsia"/>
                      <w:szCs w:val="21"/>
                    </w:rPr>
                    <w:t>0.3</w:t>
                  </w:r>
                </w:p>
              </w:tc>
              <w:tc>
                <w:tcPr>
                  <w:tcW w:w="848" w:type="dxa"/>
                  <w:vAlign w:val="center"/>
                </w:tcPr>
                <w:p>
                  <w:pPr>
                    <w:autoSpaceDE w:val="0"/>
                    <w:autoSpaceDN w:val="0"/>
                    <w:contextualSpacing/>
                    <w:jc w:val="center"/>
                    <w:rPr>
                      <w:rFonts w:eastAsiaTheme="minorEastAsia"/>
                      <w:szCs w:val="21"/>
                    </w:rPr>
                  </w:pPr>
                  <w:r>
                    <w:rPr>
                      <w:rFonts w:eastAsiaTheme="minorEastAsia"/>
                      <w:szCs w:val="21"/>
                    </w:rPr>
                    <w:t>20</w:t>
                  </w:r>
                </w:p>
              </w:tc>
              <w:tc>
                <w:tcPr>
                  <w:tcW w:w="991" w:type="dxa"/>
                  <w:vAlign w:val="center"/>
                </w:tcPr>
                <w:p>
                  <w:pPr>
                    <w:autoSpaceDE w:val="0"/>
                    <w:autoSpaceDN w:val="0"/>
                    <w:contextualSpacing/>
                    <w:jc w:val="center"/>
                    <w:rPr>
                      <w:rFonts w:eastAsiaTheme="minorEastAsia"/>
                      <w:szCs w:val="21"/>
                    </w:rPr>
                  </w:pPr>
                  <w:r>
                    <w:rPr>
                      <w:rFonts w:hint="eastAsia" w:eastAsiaTheme="minorEastAsia"/>
                      <w:szCs w:val="21"/>
                    </w:rPr>
                    <w:t>一般排放口</w:t>
                  </w:r>
                </w:p>
              </w:tc>
              <w:tc>
                <w:tcPr>
                  <w:tcW w:w="2769" w:type="dxa"/>
                  <w:vAlign w:val="center"/>
                </w:tcPr>
                <w:p>
                  <w:pPr>
                    <w:autoSpaceDE w:val="0"/>
                    <w:autoSpaceDN w:val="0"/>
                    <w:contextualSpacing/>
                    <w:rPr>
                      <w:rFonts w:eastAsiaTheme="minorEastAsia"/>
                      <w:szCs w:val="21"/>
                    </w:rPr>
                  </w:pPr>
                  <w:r>
                    <w:rPr>
                      <w:rFonts w:hint="eastAsia" w:eastAsiaTheme="minorEastAsia"/>
                      <w:szCs w:val="21"/>
                    </w:rPr>
                    <w:t>经度：133°1′48.98072″</w:t>
                  </w:r>
                </w:p>
                <w:p>
                  <w:pPr>
                    <w:autoSpaceDE w:val="0"/>
                    <w:autoSpaceDN w:val="0"/>
                    <w:contextualSpacing/>
                    <w:rPr>
                      <w:rFonts w:eastAsiaTheme="minorEastAsia"/>
                      <w:szCs w:val="21"/>
                    </w:rPr>
                  </w:pPr>
                  <w:r>
                    <w:rPr>
                      <w:rFonts w:hint="eastAsia" w:eastAsiaTheme="minorEastAsia"/>
                      <w:szCs w:val="21"/>
                    </w:rPr>
                    <w:t>纬度：45°47′19.31456″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00" w:type="dxa"/>
                  <w:vAlign w:val="center"/>
                </w:tcPr>
                <w:p>
                  <w:pPr>
                    <w:autoSpaceDE w:val="0"/>
                    <w:autoSpaceDN w:val="0"/>
                    <w:contextualSpacing/>
                    <w:jc w:val="center"/>
                    <w:rPr>
                      <w:rFonts w:eastAsiaTheme="minorEastAsia"/>
                      <w:szCs w:val="21"/>
                    </w:rPr>
                  </w:pPr>
                  <w:r>
                    <w:rPr>
                      <w:rFonts w:eastAsiaTheme="minorEastAsia"/>
                      <w:szCs w:val="21"/>
                    </w:rPr>
                    <w:t>DA00</w:t>
                  </w:r>
                  <w:r>
                    <w:rPr>
                      <w:rFonts w:hint="eastAsia" w:eastAsiaTheme="minorEastAsia"/>
                      <w:szCs w:val="21"/>
                    </w:rPr>
                    <w:t>2</w:t>
                  </w:r>
                </w:p>
              </w:tc>
              <w:tc>
                <w:tcPr>
                  <w:tcW w:w="1325"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2#排气筒</w:t>
                  </w:r>
                </w:p>
              </w:tc>
              <w:tc>
                <w:tcPr>
                  <w:tcW w:w="848" w:type="dxa"/>
                  <w:vAlign w:val="center"/>
                </w:tcPr>
                <w:p>
                  <w:pPr>
                    <w:autoSpaceDE w:val="0"/>
                    <w:autoSpaceDN w:val="0"/>
                    <w:contextualSpacing/>
                    <w:jc w:val="center"/>
                    <w:rPr>
                      <w:rFonts w:eastAsiaTheme="minorEastAsia"/>
                      <w:szCs w:val="21"/>
                    </w:rPr>
                  </w:pPr>
                  <w:r>
                    <w:rPr>
                      <w:rFonts w:eastAsiaTheme="minorEastAsia"/>
                      <w:szCs w:val="21"/>
                    </w:rPr>
                    <w:t>15</w:t>
                  </w:r>
                </w:p>
              </w:tc>
              <w:tc>
                <w:tcPr>
                  <w:tcW w:w="850" w:type="dxa"/>
                  <w:vAlign w:val="center"/>
                </w:tcPr>
                <w:p>
                  <w:pPr>
                    <w:autoSpaceDE w:val="0"/>
                    <w:autoSpaceDN w:val="0"/>
                    <w:contextualSpacing/>
                    <w:jc w:val="center"/>
                    <w:rPr>
                      <w:rFonts w:eastAsiaTheme="minorEastAsia"/>
                      <w:szCs w:val="21"/>
                    </w:rPr>
                  </w:pPr>
                  <w:r>
                    <w:rPr>
                      <w:rFonts w:eastAsiaTheme="minorEastAsia"/>
                      <w:szCs w:val="21"/>
                    </w:rPr>
                    <w:t>0.3</w:t>
                  </w:r>
                </w:p>
              </w:tc>
              <w:tc>
                <w:tcPr>
                  <w:tcW w:w="848" w:type="dxa"/>
                  <w:vAlign w:val="center"/>
                </w:tcPr>
                <w:p>
                  <w:pPr>
                    <w:autoSpaceDE w:val="0"/>
                    <w:autoSpaceDN w:val="0"/>
                    <w:contextualSpacing/>
                    <w:jc w:val="center"/>
                    <w:rPr>
                      <w:rFonts w:eastAsiaTheme="minorEastAsia"/>
                      <w:szCs w:val="21"/>
                    </w:rPr>
                  </w:pPr>
                  <w:r>
                    <w:rPr>
                      <w:rFonts w:eastAsiaTheme="minorEastAsia"/>
                      <w:szCs w:val="21"/>
                    </w:rPr>
                    <w:t>20</w:t>
                  </w:r>
                </w:p>
              </w:tc>
              <w:tc>
                <w:tcPr>
                  <w:tcW w:w="991" w:type="dxa"/>
                  <w:vAlign w:val="center"/>
                </w:tcPr>
                <w:p>
                  <w:pPr>
                    <w:autoSpaceDE w:val="0"/>
                    <w:autoSpaceDN w:val="0"/>
                    <w:contextualSpacing/>
                    <w:jc w:val="center"/>
                    <w:rPr>
                      <w:rFonts w:eastAsiaTheme="minorEastAsia"/>
                      <w:szCs w:val="21"/>
                    </w:rPr>
                  </w:pPr>
                  <w:r>
                    <w:rPr>
                      <w:rFonts w:hint="eastAsia" w:eastAsiaTheme="minorEastAsia"/>
                      <w:szCs w:val="21"/>
                    </w:rPr>
                    <w:t>一般排放口</w:t>
                  </w:r>
                </w:p>
              </w:tc>
              <w:tc>
                <w:tcPr>
                  <w:tcW w:w="2769" w:type="dxa"/>
                  <w:vAlign w:val="center"/>
                </w:tcPr>
                <w:p>
                  <w:pPr>
                    <w:autoSpaceDE w:val="0"/>
                    <w:autoSpaceDN w:val="0"/>
                    <w:contextualSpacing/>
                    <w:rPr>
                      <w:rFonts w:eastAsiaTheme="minorEastAsia"/>
                      <w:szCs w:val="21"/>
                    </w:rPr>
                  </w:pPr>
                  <w:r>
                    <w:rPr>
                      <w:rFonts w:hint="eastAsia" w:eastAsiaTheme="minorEastAsia"/>
                      <w:szCs w:val="21"/>
                    </w:rPr>
                    <w:t>经度：133°1′48.94209″</w:t>
                  </w:r>
                </w:p>
                <w:p>
                  <w:pPr>
                    <w:autoSpaceDE w:val="0"/>
                    <w:autoSpaceDN w:val="0"/>
                    <w:contextualSpacing/>
                    <w:rPr>
                      <w:rFonts w:eastAsiaTheme="minorEastAsia"/>
                      <w:szCs w:val="21"/>
                    </w:rPr>
                  </w:pPr>
                  <w:r>
                    <w:rPr>
                      <w:rFonts w:hint="eastAsia" w:eastAsiaTheme="minorEastAsia"/>
                      <w:szCs w:val="21"/>
                    </w:rPr>
                    <w:t>纬度：45°47′19.16643″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00" w:type="dxa"/>
                  <w:vAlign w:val="center"/>
                </w:tcPr>
                <w:p>
                  <w:pPr>
                    <w:autoSpaceDE w:val="0"/>
                    <w:autoSpaceDN w:val="0"/>
                    <w:contextualSpacing/>
                    <w:jc w:val="center"/>
                    <w:rPr>
                      <w:rFonts w:eastAsiaTheme="minorEastAsia"/>
                      <w:szCs w:val="21"/>
                    </w:rPr>
                  </w:pPr>
                  <w:r>
                    <w:rPr>
                      <w:rFonts w:eastAsiaTheme="minorEastAsia"/>
                      <w:szCs w:val="21"/>
                    </w:rPr>
                    <w:t>DA00</w:t>
                  </w:r>
                  <w:r>
                    <w:rPr>
                      <w:rFonts w:hint="eastAsia" w:eastAsiaTheme="minorEastAsia"/>
                      <w:szCs w:val="21"/>
                    </w:rPr>
                    <w:t>3</w:t>
                  </w:r>
                </w:p>
              </w:tc>
              <w:tc>
                <w:tcPr>
                  <w:tcW w:w="1325"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3#排气筒</w:t>
                  </w:r>
                </w:p>
              </w:tc>
              <w:tc>
                <w:tcPr>
                  <w:tcW w:w="848" w:type="dxa"/>
                  <w:vAlign w:val="center"/>
                </w:tcPr>
                <w:p>
                  <w:pPr>
                    <w:autoSpaceDE w:val="0"/>
                    <w:autoSpaceDN w:val="0"/>
                    <w:contextualSpacing/>
                    <w:jc w:val="center"/>
                    <w:rPr>
                      <w:rFonts w:eastAsiaTheme="minorEastAsia"/>
                      <w:szCs w:val="21"/>
                    </w:rPr>
                  </w:pPr>
                  <w:r>
                    <w:rPr>
                      <w:rFonts w:eastAsiaTheme="minorEastAsia"/>
                      <w:szCs w:val="21"/>
                    </w:rPr>
                    <w:t>15</w:t>
                  </w:r>
                </w:p>
              </w:tc>
              <w:tc>
                <w:tcPr>
                  <w:tcW w:w="850" w:type="dxa"/>
                  <w:vAlign w:val="center"/>
                </w:tcPr>
                <w:p>
                  <w:pPr>
                    <w:autoSpaceDE w:val="0"/>
                    <w:autoSpaceDN w:val="0"/>
                    <w:contextualSpacing/>
                    <w:jc w:val="center"/>
                    <w:rPr>
                      <w:rFonts w:eastAsiaTheme="minorEastAsia"/>
                      <w:szCs w:val="21"/>
                    </w:rPr>
                  </w:pPr>
                  <w:r>
                    <w:rPr>
                      <w:rFonts w:eastAsiaTheme="minorEastAsia"/>
                      <w:szCs w:val="21"/>
                    </w:rPr>
                    <w:t>0.3</w:t>
                  </w:r>
                </w:p>
              </w:tc>
              <w:tc>
                <w:tcPr>
                  <w:tcW w:w="848" w:type="dxa"/>
                  <w:vAlign w:val="center"/>
                </w:tcPr>
                <w:p>
                  <w:pPr>
                    <w:autoSpaceDE w:val="0"/>
                    <w:autoSpaceDN w:val="0"/>
                    <w:contextualSpacing/>
                    <w:jc w:val="center"/>
                    <w:rPr>
                      <w:rFonts w:eastAsiaTheme="minorEastAsia"/>
                      <w:szCs w:val="21"/>
                    </w:rPr>
                  </w:pPr>
                  <w:r>
                    <w:rPr>
                      <w:rFonts w:eastAsiaTheme="minorEastAsia"/>
                      <w:szCs w:val="21"/>
                    </w:rPr>
                    <w:t>20</w:t>
                  </w:r>
                </w:p>
              </w:tc>
              <w:tc>
                <w:tcPr>
                  <w:tcW w:w="991" w:type="dxa"/>
                  <w:vAlign w:val="center"/>
                </w:tcPr>
                <w:p>
                  <w:pPr>
                    <w:autoSpaceDE w:val="0"/>
                    <w:autoSpaceDN w:val="0"/>
                    <w:contextualSpacing/>
                    <w:jc w:val="center"/>
                    <w:rPr>
                      <w:rFonts w:eastAsiaTheme="minorEastAsia"/>
                      <w:szCs w:val="21"/>
                    </w:rPr>
                  </w:pPr>
                  <w:r>
                    <w:rPr>
                      <w:rFonts w:hint="eastAsia" w:eastAsiaTheme="minorEastAsia"/>
                      <w:szCs w:val="21"/>
                    </w:rPr>
                    <w:t>一般排放口</w:t>
                  </w:r>
                </w:p>
              </w:tc>
              <w:tc>
                <w:tcPr>
                  <w:tcW w:w="2769" w:type="dxa"/>
                  <w:vAlign w:val="center"/>
                </w:tcPr>
                <w:p>
                  <w:pPr>
                    <w:autoSpaceDE w:val="0"/>
                    <w:autoSpaceDN w:val="0"/>
                    <w:contextualSpacing/>
                    <w:rPr>
                      <w:rFonts w:eastAsiaTheme="minorEastAsia"/>
                      <w:szCs w:val="21"/>
                    </w:rPr>
                  </w:pPr>
                  <w:r>
                    <w:rPr>
                      <w:rFonts w:hint="eastAsia" w:eastAsiaTheme="minorEastAsia"/>
                      <w:szCs w:val="21"/>
                    </w:rPr>
                    <w:t>经度：133°1′49.52174″</w:t>
                  </w:r>
                </w:p>
                <w:p>
                  <w:pPr>
                    <w:autoSpaceDE w:val="0"/>
                    <w:autoSpaceDN w:val="0"/>
                    <w:contextualSpacing/>
                    <w:rPr>
                      <w:rFonts w:eastAsiaTheme="minorEastAsia"/>
                      <w:szCs w:val="21"/>
                    </w:rPr>
                  </w:pPr>
                  <w:r>
                    <w:rPr>
                      <w:rFonts w:hint="eastAsia" w:eastAsiaTheme="minorEastAsia"/>
                      <w:szCs w:val="21"/>
                    </w:rPr>
                    <w:t>纬度：45°47′17.28274″</w:t>
                  </w:r>
                </w:p>
              </w:tc>
            </w:tr>
          </w:tbl>
          <w:p>
            <w:pPr>
              <w:spacing w:line="360" w:lineRule="auto"/>
              <w:ind w:firstLine="482" w:firstLineChars="200"/>
              <w:contextualSpacing/>
              <w:rPr>
                <w:rFonts w:eastAsiaTheme="minorEastAsia"/>
                <w:b/>
                <w:bCs/>
                <w:sz w:val="24"/>
              </w:rPr>
            </w:pPr>
            <w:r>
              <w:rPr>
                <w:rFonts w:eastAsiaTheme="minorEastAsia"/>
                <w:b/>
                <w:bCs/>
                <w:sz w:val="24"/>
              </w:rPr>
              <w:t>1</w:t>
            </w:r>
            <w:r>
              <w:rPr>
                <w:rFonts w:hint="eastAsia" w:eastAsiaTheme="minorEastAsia"/>
                <w:b/>
                <w:bCs/>
                <w:sz w:val="24"/>
              </w:rPr>
              <w:t>、大气监测计划</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根据</w:t>
            </w:r>
            <w:r>
              <w:rPr>
                <w:rFonts w:hint="eastAsia" w:eastAsiaTheme="minorEastAsia"/>
                <w:bCs/>
                <w:sz w:val="24"/>
              </w:rPr>
              <w:t xml:space="preserve">《排污许可证申请于核发技术规范 </w:t>
            </w:r>
            <w:r>
              <w:rPr>
                <w:rFonts w:hint="eastAsia" w:eastAsiaTheme="minorEastAsia"/>
                <w:sz w:val="24"/>
              </w:rPr>
              <w:t>废弃资源加工业</w:t>
            </w:r>
            <w:r>
              <w:rPr>
                <w:rFonts w:hint="eastAsia" w:eastAsiaTheme="minorEastAsia"/>
                <w:bCs/>
                <w:sz w:val="24"/>
              </w:rPr>
              <w:t>》（</w:t>
            </w:r>
            <w:r>
              <w:rPr>
                <w:rFonts w:eastAsiaTheme="minorEastAsia"/>
                <w:bCs/>
                <w:sz w:val="24"/>
              </w:rPr>
              <w:t>HJ1034-2019</w:t>
            </w:r>
            <w:r>
              <w:rPr>
                <w:rFonts w:hint="eastAsia" w:eastAsiaTheme="minorEastAsia"/>
                <w:bCs/>
                <w:sz w:val="24"/>
              </w:rPr>
              <w:t>）、</w:t>
            </w:r>
            <w:r>
              <w:rPr>
                <w:rFonts w:hint="eastAsia" w:eastAsiaTheme="minorEastAsia"/>
                <w:sz w:val="24"/>
              </w:rPr>
              <w:t>《排污单位自行监测技术指南总则》（</w:t>
            </w:r>
            <w:r>
              <w:rPr>
                <w:rFonts w:eastAsiaTheme="minorEastAsia"/>
                <w:sz w:val="24"/>
              </w:rPr>
              <w:t>H819-2017</w:t>
            </w:r>
            <w:r>
              <w:rPr>
                <w:rFonts w:hint="eastAsia" w:eastAsiaTheme="minorEastAsia"/>
                <w:sz w:val="24"/>
              </w:rPr>
              <w:t>）</w:t>
            </w:r>
            <w:r>
              <w:rPr>
                <w:rFonts w:hint="eastAsia" w:eastAsiaTheme="minorEastAsia"/>
                <w:sz w:val="24"/>
                <w:szCs w:val="22"/>
              </w:rPr>
              <w:t>，</w:t>
            </w:r>
            <w:r>
              <w:rPr>
                <w:rFonts w:hint="eastAsia" w:eastAsiaTheme="minorEastAsia"/>
                <w:sz w:val="24"/>
              </w:rPr>
              <w:t>制定本项目大气自行监测计划如下，应保存原始监测记录，并公布监测结果。</w:t>
            </w: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r>
              <w:rPr>
                <w:rFonts w:hint="eastAsia" w:eastAsiaTheme="minorEastAsia"/>
                <w:b/>
                <w:sz w:val="24"/>
              </w:rPr>
              <w:t>表</w:t>
            </w:r>
            <w:r>
              <w:rPr>
                <w:rFonts w:eastAsiaTheme="minorEastAsia"/>
                <w:b/>
                <w:sz w:val="24"/>
              </w:rPr>
              <w:t>4-3</w:t>
            </w:r>
            <w:r>
              <w:rPr>
                <w:rFonts w:hint="eastAsia" w:eastAsiaTheme="minorEastAsia"/>
                <w:b/>
                <w:sz w:val="24"/>
              </w:rPr>
              <w:t>废气监测方案</w:t>
            </w:r>
          </w:p>
          <w:tbl>
            <w:tblPr>
              <w:tblStyle w:val="22"/>
              <w:tblW w:w="842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2"/>
              <w:gridCol w:w="1984"/>
              <w:gridCol w:w="1134"/>
              <w:gridCol w:w="37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1552" w:type="dxa"/>
                  <w:vAlign w:val="center"/>
                </w:tcPr>
                <w:p>
                  <w:pPr>
                    <w:contextualSpacing/>
                    <w:jc w:val="center"/>
                    <w:rPr>
                      <w:rFonts w:eastAsiaTheme="minorEastAsia"/>
                      <w:bCs/>
                      <w:szCs w:val="21"/>
                    </w:rPr>
                  </w:pPr>
                  <w:r>
                    <w:rPr>
                      <w:rFonts w:hint="eastAsia" w:eastAsiaTheme="minorEastAsia"/>
                      <w:bCs/>
                      <w:szCs w:val="21"/>
                    </w:rPr>
                    <w:t>监测点位</w:t>
                  </w:r>
                </w:p>
              </w:tc>
              <w:tc>
                <w:tcPr>
                  <w:tcW w:w="1984" w:type="dxa"/>
                  <w:vAlign w:val="center"/>
                </w:tcPr>
                <w:p>
                  <w:pPr>
                    <w:contextualSpacing/>
                    <w:jc w:val="center"/>
                    <w:rPr>
                      <w:rFonts w:eastAsiaTheme="minorEastAsia"/>
                      <w:bCs/>
                      <w:szCs w:val="21"/>
                    </w:rPr>
                  </w:pPr>
                  <w:r>
                    <w:rPr>
                      <w:rFonts w:hint="eastAsia" w:eastAsiaTheme="minorEastAsia"/>
                      <w:bCs/>
                      <w:szCs w:val="21"/>
                    </w:rPr>
                    <w:t>监测指标</w:t>
                  </w:r>
                </w:p>
              </w:tc>
              <w:tc>
                <w:tcPr>
                  <w:tcW w:w="1134" w:type="dxa"/>
                  <w:vAlign w:val="center"/>
                </w:tcPr>
                <w:p>
                  <w:pPr>
                    <w:contextualSpacing/>
                    <w:jc w:val="center"/>
                    <w:rPr>
                      <w:rFonts w:eastAsiaTheme="minorEastAsia"/>
                      <w:bCs/>
                      <w:szCs w:val="21"/>
                    </w:rPr>
                  </w:pPr>
                  <w:r>
                    <w:rPr>
                      <w:rFonts w:hint="eastAsia" w:eastAsiaTheme="minorEastAsia"/>
                      <w:bCs/>
                      <w:szCs w:val="21"/>
                    </w:rPr>
                    <w:t>监测频次</w:t>
                  </w:r>
                </w:p>
              </w:tc>
              <w:tc>
                <w:tcPr>
                  <w:tcW w:w="3750" w:type="dxa"/>
                  <w:vAlign w:val="center"/>
                </w:tcPr>
                <w:p>
                  <w:pPr>
                    <w:contextualSpacing/>
                    <w:jc w:val="center"/>
                    <w:rPr>
                      <w:rFonts w:eastAsiaTheme="minorEastAsia"/>
                      <w:bCs/>
                      <w:szCs w:val="21"/>
                    </w:rPr>
                  </w:pPr>
                  <w:r>
                    <w:rPr>
                      <w:rFonts w:hint="eastAsia" w:eastAsiaTheme="minorEastAsia"/>
                      <w:bCs/>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trPr>
              <w:tc>
                <w:tcPr>
                  <w:tcW w:w="1552"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1#排气筒</w:t>
                  </w:r>
                </w:p>
              </w:tc>
              <w:tc>
                <w:tcPr>
                  <w:tcW w:w="1984" w:type="dxa"/>
                  <w:vAlign w:val="center"/>
                </w:tcPr>
                <w:p>
                  <w:pPr>
                    <w:contextualSpacing/>
                    <w:jc w:val="center"/>
                    <w:rPr>
                      <w:rFonts w:eastAsiaTheme="minorEastAsia"/>
                      <w:bCs/>
                      <w:szCs w:val="21"/>
                    </w:rPr>
                  </w:pPr>
                  <w:r>
                    <w:rPr>
                      <w:rFonts w:hint="eastAsia" w:eastAsiaTheme="minorEastAsia"/>
                      <w:bCs/>
                      <w:szCs w:val="21"/>
                    </w:rPr>
                    <w:t>颗粒物</w:t>
                  </w:r>
                </w:p>
              </w:tc>
              <w:tc>
                <w:tcPr>
                  <w:tcW w:w="1134" w:type="dxa"/>
                  <w:vMerge w:val="restart"/>
                  <w:vAlign w:val="center"/>
                </w:tcPr>
                <w:p>
                  <w:pPr>
                    <w:contextualSpacing/>
                    <w:jc w:val="center"/>
                    <w:rPr>
                      <w:rFonts w:eastAsiaTheme="minorEastAsia"/>
                      <w:bCs/>
                      <w:szCs w:val="21"/>
                    </w:rPr>
                  </w:pPr>
                  <w:r>
                    <w:rPr>
                      <w:rFonts w:eastAsiaTheme="minorEastAsia"/>
                      <w:bCs/>
                      <w:szCs w:val="21"/>
                    </w:rPr>
                    <w:t>1</w:t>
                  </w:r>
                  <w:r>
                    <w:rPr>
                      <w:rFonts w:hint="eastAsia" w:eastAsiaTheme="minorEastAsia"/>
                      <w:bCs/>
                      <w:szCs w:val="21"/>
                    </w:rPr>
                    <w:t>次</w:t>
                  </w:r>
                  <w:r>
                    <w:rPr>
                      <w:rFonts w:eastAsiaTheme="minorEastAsia"/>
                      <w:bCs/>
                      <w:szCs w:val="21"/>
                    </w:rPr>
                    <w:t>/</w:t>
                  </w:r>
                  <w:r>
                    <w:rPr>
                      <w:rFonts w:hint="eastAsia" w:eastAsiaTheme="minorEastAsia"/>
                      <w:bCs/>
                      <w:szCs w:val="21"/>
                    </w:rPr>
                    <w:t>年</w:t>
                  </w:r>
                </w:p>
              </w:tc>
              <w:tc>
                <w:tcPr>
                  <w:tcW w:w="3750" w:type="dxa"/>
                  <w:vMerge w:val="restart"/>
                  <w:vAlign w:val="center"/>
                </w:tcPr>
                <w:p>
                  <w:pPr>
                    <w:contextualSpacing/>
                    <w:jc w:val="center"/>
                    <w:rPr>
                      <w:rFonts w:eastAsiaTheme="minorEastAsia"/>
                      <w:bCs/>
                      <w:szCs w:val="21"/>
                    </w:rPr>
                  </w:pPr>
                  <w:r>
                    <w:rPr>
                      <w:rFonts w:hint="eastAsia" w:eastAsiaTheme="minorEastAsia"/>
                      <w:bCs/>
                      <w:szCs w:val="21"/>
                    </w:rPr>
                    <w:t>《大气污染物综合排放标准》（</w:t>
                  </w:r>
                  <w:r>
                    <w:rPr>
                      <w:rFonts w:eastAsiaTheme="minorEastAsia"/>
                      <w:bCs/>
                      <w:szCs w:val="21"/>
                    </w:rPr>
                    <w:t>GB16297-1996</w:t>
                  </w:r>
                  <w:r>
                    <w:rPr>
                      <w:rFonts w:hint="eastAsia" w:eastAsiaTheme="minorEastAsia"/>
                      <w:bCs/>
                      <w:szCs w:val="21"/>
                    </w:rPr>
                    <w:t>）表</w:t>
                  </w:r>
                  <w:r>
                    <w:rPr>
                      <w:rFonts w:eastAsiaTheme="minorEastAsia"/>
                      <w:bCs/>
                      <w:szCs w:val="21"/>
                    </w:rPr>
                    <w:t>2</w:t>
                  </w:r>
                  <w:r>
                    <w:rPr>
                      <w:rFonts w:hint="eastAsia" w:eastAsiaTheme="minorEastAsia"/>
                      <w:bCs/>
                      <w:szCs w:val="21"/>
                    </w:rPr>
                    <w:t>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trPr>
              <w:tc>
                <w:tcPr>
                  <w:tcW w:w="1552"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2#排气筒、3#排气筒</w:t>
                  </w:r>
                </w:p>
              </w:tc>
              <w:tc>
                <w:tcPr>
                  <w:tcW w:w="1984" w:type="dxa"/>
                  <w:vAlign w:val="center"/>
                </w:tcPr>
                <w:p>
                  <w:pPr>
                    <w:contextualSpacing/>
                    <w:jc w:val="center"/>
                    <w:rPr>
                      <w:rFonts w:eastAsiaTheme="minorEastAsia"/>
                      <w:bCs/>
                      <w:szCs w:val="21"/>
                    </w:rPr>
                  </w:pPr>
                  <w:r>
                    <w:rPr>
                      <w:rFonts w:hint="eastAsia" w:eastAsiaTheme="minorEastAsia"/>
                    </w:rPr>
                    <w:t>非甲烷总烃</w:t>
                  </w:r>
                </w:p>
              </w:tc>
              <w:tc>
                <w:tcPr>
                  <w:tcW w:w="1134" w:type="dxa"/>
                  <w:vMerge w:val="continue"/>
                  <w:vAlign w:val="center"/>
                </w:tcPr>
                <w:p>
                  <w:pPr>
                    <w:contextualSpacing/>
                    <w:jc w:val="center"/>
                    <w:rPr>
                      <w:rFonts w:eastAsiaTheme="minorEastAsia"/>
                      <w:bCs/>
                      <w:szCs w:val="21"/>
                    </w:rPr>
                  </w:pPr>
                </w:p>
              </w:tc>
              <w:tc>
                <w:tcPr>
                  <w:tcW w:w="3750" w:type="dxa"/>
                  <w:vMerge w:val="continue"/>
                  <w:vAlign w:val="center"/>
                </w:tcPr>
                <w:p>
                  <w:pPr>
                    <w:contextualSpacing/>
                    <w:jc w:val="center"/>
                    <w:rPr>
                      <w:rFonts w:eastAsiaTheme="minorEastAsia"/>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trPr>
              <w:tc>
                <w:tcPr>
                  <w:tcW w:w="1552" w:type="dxa"/>
                  <w:vAlign w:val="center"/>
                </w:tcPr>
                <w:p>
                  <w:pPr>
                    <w:contextualSpacing/>
                    <w:jc w:val="center"/>
                    <w:rPr>
                      <w:rFonts w:eastAsiaTheme="minorEastAsia"/>
                      <w:bCs/>
                      <w:szCs w:val="21"/>
                    </w:rPr>
                  </w:pPr>
                  <w:r>
                    <w:rPr>
                      <w:rFonts w:hint="eastAsia" w:eastAsiaTheme="minorEastAsia"/>
                      <w:bCs/>
                      <w:szCs w:val="21"/>
                    </w:rPr>
                    <w:t>厂界</w:t>
                  </w:r>
                </w:p>
              </w:tc>
              <w:tc>
                <w:tcPr>
                  <w:tcW w:w="1984" w:type="dxa"/>
                  <w:vAlign w:val="center"/>
                </w:tcPr>
                <w:p>
                  <w:pPr>
                    <w:contextualSpacing/>
                    <w:jc w:val="center"/>
                    <w:rPr>
                      <w:rFonts w:eastAsiaTheme="minorEastAsia"/>
                      <w:bCs/>
                      <w:szCs w:val="21"/>
                    </w:rPr>
                  </w:pPr>
                  <w:r>
                    <w:rPr>
                      <w:rFonts w:hint="eastAsia" w:eastAsiaTheme="minorEastAsia"/>
                      <w:bCs/>
                      <w:szCs w:val="21"/>
                    </w:rPr>
                    <w:t>颗粒物、</w:t>
                  </w:r>
                  <w:r>
                    <w:rPr>
                      <w:rFonts w:hint="eastAsia" w:eastAsiaTheme="minorEastAsia"/>
                    </w:rPr>
                    <w:t>非甲烷总烃</w:t>
                  </w:r>
                </w:p>
              </w:tc>
              <w:tc>
                <w:tcPr>
                  <w:tcW w:w="1134" w:type="dxa"/>
                  <w:vMerge w:val="continue"/>
                  <w:vAlign w:val="center"/>
                </w:tcPr>
                <w:p>
                  <w:pPr>
                    <w:contextualSpacing/>
                    <w:jc w:val="center"/>
                    <w:rPr>
                      <w:rFonts w:eastAsiaTheme="minorEastAsia"/>
                      <w:bCs/>
                      <w:szCs w:val="21"/>
                    </w:rPr>
                  </w:pPr>
                </w:p>
              </w:tc>
              <w:tc>
                <w:tcPr>
                  <w:tcW w:w="3750" w:type="dxa"/>
                  <w:vAlign w:val="center"/>
                </w:tcPr>
                <w:p>
                  <w:pPr>
                    <w:contextualSpacing/>
                    <w:jc w:val="center"/>
                    <w:rPr>
                      <w:rFonts w:eastAsiaTheme="minorEastAsia"/>
                      <w:bCs/>
                      <w:szCs w:val="21"/>
                    </w:rPr>
                  </w:pPr>
                  <w:r>
                    <w:rPr>
                      <w:rFonts w:hint="eastAsia" w:eastAsiaTheme="minorEastAsia"/>
                      <w:bCs/>
                      <w:szCs w:val="21"/>
                    </w:rPr>
                    <w:t>《大气污染物综合排放标准》（</w:t>
                  </w:r>
                  <w:r>
                    <w:rPr>
                      <w:rFonts w:eastAsiaTheme="minorEastAsia"/>
                      <w:bCs/>
                      <w:szCs w:val="21"/>
                    </w:rPr>
                    <w:t>GB16297-1996</w:t>
                  </w:r>
                  <w:r>
                    <w:rPr>
                      <w:rFonts w:hint="eastAsia" w:eastAsiaTheme="minorEastAsia"/>
                      <w:bCs/>
                      <w:szCs w:val="21"/>
                    </w:rPr>
                    <w:t>）表</w:t>
                  </w:r>
                  <w:r>
                    <w:rPr>
                      <w:rFonts w:eastAsiaTheme="minorEastAsia"/>
                      <w:bCs/>
                      <w:szCs w:val="21"/>
                    </w:rPr>
                    <w:t>2</w:t>
                  </w:r>
                  <w:r>
                    <w:rPr>
                      <w:rFonts w:hint="eastAsia" w:eastAsiaTheme="minorEastAsia"/>
                      <w:bCs/>
                      <w:szCs w:val="21"/>
                    </w:rPr>
                    <w:t>中无组织排放监控浓度限值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1552" w:type="dxa"/>
                  <w:vAlign w:val="center"/>
                </w:tcPr>
                <w:p>
                  <w:pPr>
                    <w:jc w:val="center"/>
                    <w:rPr>
                      <w:rFonts w:eastAsiaTheme="minorEastAsia"/>
                      <w:kern w:val="0"/>
                      <w:szCs w:val="21"/>
                    </w:rPr>
                  </w:pPr>
                  <w:r>
                    <w:rPr>
                      <w:rFonts w:hint="eastAsia" w:eastAsiaTheme="minorEastAsia"/>
                      <w:kern w:val="0"/>
                      <w:szCs w:val="21"/>
                    </w:rPr>
                    <w:t>厂区内厂房外</w:t>
                  </w:r>
                </w:p>
              </w:tc>
              <w:tc>
                <w:tcPr>
                  <w:tcW w:w="1984" w:type="dxa"/>
                  <w:vAlign w:val="center"/>
                </w:tcPr>
                <w:p>
                  <w:pPr>
                    <w:pStyle w:val="76"/>
                    <w:rPr>
                      <w:rFonts w:eastAsiaTheme="minorEastAsia"/>
                    </w:rPr>
                  </w:pPr>
                  <w:r>
                    <w:rPr>
                      <w:rFonts w:hint="eastAsia" w:eastAsiaTheme="minorEastAsia"/>
                    </w:rPr>
                    <w:t>非甲烷总烃</w:t>
                  </w:r>
                </w:p>
              </w:tc>
              <w:tc>
                <w:tcPr>
                  <w:tcW w:w="1134" w:type="dxa"/>
                  <w:vMerge w:val="continue"/>
                  <w:vAlign w:val="center"/>
                </w:tcPr>
                <w:p>
                  <w:pPr>
                    <w:contextualSpacing/>
                    <w:jc w:val="center"/>
                    <w:rPr>
                      <w:rFonts w:eastAsiaTheme="minorEastAsia"/>
                      <w:bCs/>
                      <w:szCs w:val="21"/>
                    </w:rPr>
                  </w:pPr>
                </w:p>
              </w:tc>
              <w:tc>
                <w:tcPr>
                  <w:tcW w:w="3750" w:type="dxa"/>
                  <w:vAlign w:val="center"/>
                </w:tcPr>
                <w:p>
                  <w:pPr>
                    <w:contextualSpacing/>
                    <w:jc w:val="center"/>
                    <w:rPr>
                      <w:rFonts w:eastAsiaTheme="minorEastAsia"/>
                      <w:bCs/>
                      <w:szCs w:val="21"/>
                    </w:rPr>
                  </w:pPr>
                  <w:r>
                    <w:rPr>
                      <w:rFonts w:hint="eastAsia" w:eastAsiaTheme="minorEastAsia"/>
                      <w:szCs w:val="21"/>
                    </w:rPr>
                    <w:t>《挥发性有机物无组织排放控制标准》（</w:t>
                  </w:r>
                  <w:r>
                    <w:rPr>
                      <w:rFonts w:eastAsiaTheme="minorEastAsia"/>
                      <w:szCs w:val="21"/>
                    </w:rPr>
                    <w:t>GB37822-2019</w:t>
                  </w:r>
                  <w:r>
                    <w:rPr>
                      <w:rFonts w:hint="eastAsia" w:eastAsiaTheme="minorEastAsia"/>
                      <w:szCs w:val="21"/>
                    </w:rPr>
                    <w:t>）</w:t>
                  </w:r>
                </w:p>
              </w:tc>
            </w:tr>
          </w:tbl>
          <w:p>
            <w:pPr>
              <w:spacing w:line="360" w:lineRule="auto"/>
              <w:ind w:firstLine="482" w:firstLineChars="200"/>
              <w:contextualSpacing/>
              <w:rPr>
                <w:rFonts w:eastAsiaTheme="minorEastAsia"/>
                <w:b/>
                <w:bCs/>
                <w:sz w:val="24"/>
              </w:rPr>
            </w:pPr>
            <w:r>
              <w:rPr>
                <w:rFonts w:eastAsiaTheme="minorEastAsia"/>
                <w:b/>
                <w:bCs/>
                <w:sz w:val="24"/>
              </w:rPr>
              <w:t>2</w:t>
            </w:r>
            <w:r>
              <w:rPr>
                <w:rFonts w:hint="eastAsia" w:eastAsiaTheme="minorEastAsia"/>
                <w:b/>
                <w:bCs/>
                <w:sz w:val="24"/>
              </w:rPr>
              <w:t>、废气源强</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本项目运营期废气主要为</w:t>
            </w:r>
            <w:r>
              <w:rPr>
                <w:rFonts w:hint="eastAsia" w:eastAsiaTheme="minorEastAsia"/>
                <w:kern w:val="0"/>
                <w:sz w:val="24"/>
              </w:rPr>
              <w:t>油类物质、防冻液等挥发废气、切割废气</w:t>
            </w:r>
            <w:r>
              <w:rPr>
                <w:rFonts w:hint="eastAsia" w:eastAsiaTheme="minorEastAsia"/>
                <w:sz w:val="24"/>
              </w:rPr>
              <w:t>。</w:t>
            </w:r>
          </w:p>
          <w:p>
            <w:pPr>
              <w:widowControl/>
              <w:adjustRightInd w:val="0"/>
              <w:snapToGrid w:val="0"/>
              <w:spacing w:line="360" w:lineRule="auto"/>
              <w:ind w:firstLine="360" w:firstLineChars="150"/>
              <w:rPr>
                <w:rFonts w:eastAsiaTheme="minorEastAsia"/>
                <w:kern w:val="0"/>
                <w:sz w:val="24"/>
              </w:rPr>
            </w:pPr>
            <w:r>
              <w:rPr>
                <w:rFonts w:hint="eastAsia" w:eastAsiaTheme="minorEastAsia"/>
                <w:kern w:val="0"/>
                <w:sz w:val="24"/>
              </w:rPr>
              <w:t>（</w:t>
            </w:r>
            <w:r>
              <w:rPr>
                <w:rFonts w:eastAsiaTheme="minorEastAsia"/>
                <w:kern w:val="0"/>
                <w:sz w:val="24"/>
              </w:rPr>
              <w:t>1</w:t>
            </w:r>
            <w:r>
              <w:rPr>
                <w:rFonts w:hint="eastAsia" w:eastAsiaTheme="minorEastAsia"/>
                <w:kern w:val="0"/>
                <w:sz w:val="24"/>
              </w:rPr>
              <w:t>）油类物质、防冻液等挥发废气</w:t>
            </w:r>
          </w:p>
          <w:p>
            <w:pPr>
              <w:widowControl/>
              <w:adjustRightInd w:val="0"/>
              <w:snapToGrid w:val="0"/>
              <w:spacing w:line="360" w:lineRule="auto"/>
              <w:ind w:firstLine="480" w:firstLineChars="200"/>
              <w:rPr>
                <w:rFonts w:eastAsiaTheme="minorEastAsia"/>
                <w:kern w:val="0"/>
                <w:sz w:val="24"/>
              </w:rPr>
            </w:pPr>
            <w:r>
              <w:rPr>
                <w:rFonts w:hint="eastAsia" w:eastAsiaTheme="minorEastAsia"/>
                <w:kern w:val="0"/>
                <w:sz w:val="24"/>
              </w:rPr>
              <w:t>本项目报废农机在入厂后，首先对农机进行检查，对出现泄漏的总成部件，收集泄漏的液体或封住泄漏处，故泄漏的废油液等量很少。项目废油液等抽取前和抽取后均在密闭容器内封存，可能产生</w:t>
            </w:r>
            <w:r>
              <w:rPr>
                <w:rFonts w:eastAsiaTheme="minorEastAsia"/>
                <w:kern w:val="0"/>
                <w:sz w:val="24"/>
              </w:rPr>
              <w:t>VOCs</w:t>
            </w:r>
            <w:r>
              <w:rPr>
                <w:rFonts w:hint="eastAsia" w:eastAsiaTheme="minorEastAsia"/>
                <w:kern w:val="0"/>
                <w:sz w:val="24"/>
              </w:rPr>
              <w:t>的环节主要为排空油类物质、防冻液等的过程中的挥发。</w:t>
            </w:r>
          </w:p>
          <w:p>
            <w:pPr>
              <w:autoSpaceDE w:val="0"/>
              <w:autoSpaceDN w:val="0"/>
              <w:adjustRightInd w:val="0"/>
              <w:spacing w:line="360" w:lineRule="auto"/>
              <w:ind w:firstLine="480" w:firstLineChars="200"/>
              <w:rPr>
                <w:rFonts w:eastAsiaTheme="minorEastAsia"/>
                <w:kern w:val="0"/>
                <w:sz w:val="24"/>
              </w:rPr>
            </w:pPr>
            <w:r>
              <w:rPr>
                <w:rFonts w:hint="eastAsia" w:eastAsiaTheme="minorEastAsia"/>
                <w:kern w:val="0"/>
                <w:sz w:val="24"/>
              </w:rPr>
              <w:t>根据《环境统计手册》中计算有机物在室温时的挥发速率，估算废油类物质、防冻液等挥发量。具体公式如下：</w:t>
            </w:r>
          </w:p>
          <w:p>
            <w:pPr>
              <w:autoSpaceDE w:val="0"/>
              <w:autoSpaceDN w:val="0"/>
              <w:adjustRightInd w:val="0"/>
              <w:spacing w:line="360" w:lineRule="auto"/>
              <w:ind w:firstLine="480" w:firstLineChars="200"/>
              <w:jc w:val="center"/>
              <w:rPr>
                <w:rFonts w:eastAsiaTheme="minorEastAsia"/>
                <w:kern w:val="0"/>
                <w:sz w:val="24"/>
              </w:rPr>
            </w:pPr>
            <w:r>
              <w:rPr>
                <w:rFonts w:eastAsiaTheme="minorEastAsia"/>
                <w:kern w:val="0"/>
                <w:sz w:val="24"/>
              </w:rPr>
              <w:drawing>
                <wp:inline distT="0" distB="0" distL="0" distR="0">
                  <wp:extent cx="2921635" cy="564515"/>
                  <wp:effectExtent l="19050" t="0" r="0" b="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noChangeArrowheads="1"/>
                          </pic:cNvPicPr>
                        </pic:nvPicPr>
                        <pic:blipFill>
                          <a:blip r:embed="rId15" cstate="print"/>
                          <a:srcRect/>
                          <a:stretch>
                            <a:fillRect/>
                          </a:stretch>
                        </pic:blipFill>
                        <pic:spPr>
                          <a:xfrm>
                            <a:off x="0" y="0"/>
                            <a:ext cx="2919666" cy="564617"/>
                          </a:xfrm>
                          <a:prstGeom prst="rect">
                            <a:avLst/>
                          </a:prstGeom>
                          <a:noFill/>
                          <a:ln w="9525">
                            <a:noFill/>
                            <a:miter lim="800000"/>
                            <a:headEnd/>
                            <a:tailEnd/>
                          </a:ln>
                        </pic:spPr>
                      </pic:pic>
                    </a:graphicData>
                  </a:graphic>
                </wp:inline>
              </w:drawing>
            </w:r>
          </w:p>
          <w:p>
            <w:pPr>
              <w:autoSpaceDE w:val="0"/>
              <w:autoSpaceDN w:val="0"/>
              <w:adjustRightInd w:val="0"/>
              <w:spacing w:line="360" w:lineRule="auto"/>
              <w:ind w:firstLine="480" w:firstLineChars="200"/>
              <w:jc w:val="left"/>
              <w:rPr>
                <w:rFonts w:eastAsiaTheme="minorEastAsia"/>
                <w:kern w:val="0"/>
                <w:sz w:val="24"/>
              </w:rPr>
            </w:pPr>
            <w:r>
              <w:rPr>
                <w:rFonts w:hint="eastAsia" w:eastAsiaTheme="minorEastAsia"/>
                <w:kern w:val="0"/>
                <w:sz w:val="24"/>
              </w:rPr>
              <w:t>式中：</w:t>
            </w:r>
            <w:r>
              <w:rPr>
                <w:rFonts w:eastAsiaTheme="minorEastAsia"/>
                <w:kern w:val="0"/>
                <w:sz w:val="24"/>
              </w:rPr>
              <w:t>Gs——</w:t>
            </w:r>
            <w:r>
              <w:rPr>
                <w:rFonts w:hint="eastAsia" w:eastAsiaTheme="minorEastAsia"/>
                <w:kern w:val="0"/>
                <w:sz w:val="24"/>
              </w:rPr>
              <w:t>有害物质散发量，</w:t>
            </w:r>
            <w:r>
              <w:rPr>
                <w:rFonts w:eastAsiaTheme="minorEastAsia"/>
                <w:kern w:val="0"/>
                <w:sz w:val="24"/>
              </w:rPr>
              <w:t>kg/h</w:t>
            </w:r>
            <w:r>
              <w:rPr>
                <w:rFonts w:hint="eastAsia" w:eastAsiaTheme="minorEastAsia"/>
                <w:kern w:val="0"/>
                <w:sz w:val="24"/>
              </w:rPr>
              <w:t>；</w:t>
            </w:r>
          </w:p>
          <w:p>
            <w:pPr>
              <w:autoSpaceDE w:val="0"/>
              <w:autoSpaceDN w:val="0"/>
              <w:adjustRightInd w:val="0"/>
              <w:spacing w:line="360" w:lineRule="auto"/>
              <w:ind w:firstLine="480" w:firstLineChars="200"/>
              <w:jc w:val="left"/>
              <w:rPr>
                <w:rFonts w:eastAsiaTheme="minorEastAsia"/>
                <w:kern w:val="0"/>
                <w:sz w:val="24"/>
              </w:rPr>
            </w:pPr>
            <w:r>
              <w:rPr>
                <w:rFonts w:eastAsiaTheme="minorEastAsia"/>
                <w:kern w:val="0"/>
                <w:sz w:val="24"/>
              </w:rPr>
              <w:t xml:space="preserve">       u——</w:t>
            </w:r>
            <w:r>
              <w:rPr>
                <w:rFonts w:hint="eastAsia" w:eastAsiaTheme="minorEastAsia"/>
                <w:kern w:val="0"/>
                <w:sz w:val="24"/>
              </w:rPr>
              <w:t>室内风速，</w:t>
            </w:r>
            <w:r>
              <w:rPr>
                <w:rFonts w:eastAsiaTheme="minorEastAsia"/>
                <w:kern w:val="0"/>
                <w:sz w:val="24"/>
              </w:rPr>
              <w:t>m/s</w:t>
            </w:r>
            <w:r>
              <w:rPr>
                <w:rFonts w:hint="eastAsia" w:eastAsiaTheme="minorEastAsia"/>
                <w:kern w:val="0"/>
                <w:sz w:val="24"/>
              </w:rPr>
              <w:t>，取</w:t>
            </w:r>
            <w:r>
              <w:rPr>
                <w:rFonts w:eastAsiaTheme="minorEastAsia"/>
                <w:kern w:val="0"/>
                <w:sz w:val="24"/>
              </w:rPr>
              <w:t>0.1m/s</w:t>
            </w:r>
            <w:r>
              <w:rPr>
                <w:rFonts w:hint="eastAsia" w:eastAsiaTheme="minorEastAsia"/>
                <w:kern w:val="0"/>
                <w:sz w:val="24"/>
              </w:rPr>
              <w:t>；</w:t>
            </w:r>
          </w:p>
          <w:p>
            <w:pPr>
              <w:autoSpaceDE w:val="0"/>
              <w:autoSpaceDN w:val="0"/>
              <w:adjustRightInd w:val="0"/>
              <w:spacing w:line="360" w:lineRule="auto"/>
              <w:ind w:firstLine="480" w:firstLineChars="200"/>
              <w:jc w:val="left"/>
              <w:rPr>
                <w:rFonts w:eastAsiaTheme="minorEastAsia"/>
                <w:kern w:val="0"/>
                <w:sz w:val="24"/>
              </w:rPr>
            </w:pPr>
            <w:r>
              <w:rPr>
                <w:rFonts w:eastAsiaTheme="minorEastAsia"/>
                <w:kern w:val="0"/>
                <w:sz w:val="24"/>
              </w:rPr>
              <w:t xml:space="preserve">       F——</w:t>
            </w:r>
            <w:r>
              <w:rPr>
                <w:rFonts w:hint="eastAsia" w:eastAsiaTheme="minorEastAsia"/>
                <w:kern w:val="0"/>
                <w:sz w:val="24"/>
              </w:rPr>
              <w:t>有害物质的散露面积，</w:t>
            </w:r>
            <w:r>
              <w:rPr>
                <w:rFonts w:eastAsiaTheme="minorEastAsia"/>
                <w:kern w:val="0"/>
                <w:sz w:val="24"/>
              </w:rPr>
              <w:t>m</w:t>
            </w:r>
            <w:r>
              <w:rPr>
                <w:rFonts w:eastAsiaTheme="minorEastAsia"/>
                <w:kern w:val="0"/>
                <w:sz w:val="24"/>
                <w:vertAlign w:val="superscript"/>
              </w:rPr>
              <w:t>2</w:t>
            </w:r>
            <w:r>
              <w:rPr>
                <w:rFonts w:hint="eastAsia" w:eastAsiaTheme="minorEastAsia"/>
                <w:kern w:val="0"/>
                <w:sz w:val="24"/>
              </w:rPr>
              <w:t>，设废油类、防冻液等抽取过程暴露在空气中接触面为直径</w:t>
            </w:r>
            <w:r>
              <w:rPr>
                <w:rFonts w:eastAsiaTheme="minorEastAsia"/>
                <w:kern w:val="0"/>
                <w:sz w:val="24"/>
              </w:rPr>
              <w:t>20cm</w:t>
            </w:r>
            <w:r>
              <w:rPr>
                <w:rFonts w:hint="eastAsia" w:eastAsiaTheme="minorEastAsia"/>
                <w:kern w:val="0"/>
                <w:sz w:val="24"/>
              </w:rPr>
              <w:t>的圆面；</w:t>
            </w:r>
          </w:p>
          <w:p>
            <w:pPr>
              <w:autoSpaceDE w:val="0"/>
              <w:autoSpaceDN w:val="0"/>
              <w:adjustRightInd w:val="0"/>
              <w:spacing w:line="360" w:lineRule="auto"/>
              <w:ind w:firstLine="480" w:firstLineChars="200"/>
              <w:jc w:val="left"/>
              <w:rPr>
                <w:rFonts w:eastAsiaTheme="minorEastAsia"/>
                <w:kern w:val="0"/>
                <w:sz w:val="24"/>
              </w:rPr>
            </w:pPr>
            <w:r>
              <w:rPr>
                <w:rFonts w:eastAsiaTheme="minorEastAsia"/>
                <w:kern w:val="0"/>
                <w:sz w:val="24"/>
              </w:rPr>
              <w:t xml:space="preserve">      M——</w:t>
            </w:r>
            <w:r>
              <w:rPr>
                <w:rFonts w:hint="eastAsia" w:eastAsiaTheme="minorEastAsia"/>
                <w:kern w:val="0"/>
                <w:sz w:val="24"/>
              </w:rPr>
              <w:t>有害物质的分子量；</w:t>
            </w:r>
          </w:p>
          <w:p>
            <w:pPr>
              <w:autoSpaceDE w:val="0"/>
              <w:autoSpaceDN w:val="0"/>
              <w:adjustRightInd w:val="0"/>
              <w:spacing w:line="360" w:lineRule="auto"/>
              <w:ind w:firstLine="480" w:firstLineChars="200"/>
              <w:jc w:val="left"/>
              <w:rPr>
                <w:rFonts w:eastAsiaTheme="minorEastAsia"/>
                <w:kern w:val="0"/>
                <w:sz w:val="24"/>
              </w:rPr>
            </w:pPr>
            <w:r>
              <w:rPr>
                <w:rFonts w:eastAsiaTheme="minorEastAsia"/>
                <w:kern w:val="0"/>
                <w:sz w:val="24"/>
              </w:rPr>
              <w:t xml:space="preserve">      P</w:t>
            </w:r>
            <w:r>
              <w:rPr>
                <w:rFonts w:eastAsiaTheme="minorEastAsia"/>
                <w:kern w:val="0"/>
                <w:sz w:val="24"/>
                <w:vertAlign w:val="subscript"/>
              </w:rPr>
              <w:t>H</w:t>
            </w:r>
            <w:r>
              <w:rPr>
                <w:rFonts w:eastAsiaTheme="minorEastAsia"/>
                <w:kern w:val="0"/>
                <w:sz w:val="24"/>
              </w:rPr>
              <w:t>——</w:t>
            </w:r>
            <w:r>
              <w:rPr>
                <w:rFonts w:hint="eastAsia" w:eastAsiaTheme="minorEastAsia"/>
                <w:kern w:val="0"/>
                <w:sz w:val="24"/>
              </w:rPr>
              <w:t>有害物质在室温时的饱和蒸汽压，毫米汞柱。</w:t>
            </w:r>
          </w:p>
          <w:p>
            <w:pPr>
              <w:autoSpaceDE w:val="0"/>
              <w:autoSpaceDN w:val="0"/>
              <w:adjustRightInd w:val="0"/>
              <w:spacing w:line="360" w:lineRule="auto"/>
              <w:ind w:firstLine="480" w:firstLineChars="200"/>
              <w:jc w:val="left"/>
              <w:rPr>
                <w:rFonts w:eastAsiaTheme="minorEastAsia"/>
                <w:kern w:val="0"/>
                <w:sz w:val="24"/>
              </w:rPr>
            </w:pPr>
            <w:r>
              <w:rPr>
                <w:rFonts w:hint="eastAsia" w:eastAsiaTheme="minorEastAsia"/>
                <w:kern w:val="0"/>
                <w:sz w:val="24"/>
              </w:rPr>
              <w:t>本项目有机废气源强计算结果见表</w:t>
            </w:r>
            <w:r>
              <w:rPr>
                <w:rFonts w:eastAsiaTheme="minorEastAsia"/>
                <w:kern w:val="0"/>
                <w:sz w:val="24"/>
              </w:rPr>
              <w:t>4-4</w:t>
            </w:r>
            <w:r>
              <w:rPr>
                <w:rFonts w:hint="eastAsia" w:eastAsiaTheme="minorEastAsia"/>
                <w:kern w:val="0"/>
                <w:sz w:val="24"/>
              </w:rPr>
              <w:t>。</w:t>
            </w:r>
          </w:p>
          <w:p>
            <w:pPr>
              <w:adjustRightInd w:val="0"/>
              <w:snapToGrid w:val="0"/>
              <w:spacing w:line="360" w:lineRule="auto"/>
              <w:jc w:val="center"/>
              <w:rPr>
                <w:rFonts w:eastAsiaTheme="minorEastAsia"/>
                <w:b/>
                <w:kern w:val="0"/>
                <w:sz w:val="24"/>
                <w:szCs w:val="20"/>
              </w:rPr>
            </w:pPr>
          </w:p>
          <w:p>
            <w:pPr>
              <w:adjustRightInd w:val="0"/>
              <w:snapToGrid w:val="0"/>
              <w:spacing w:line="360" w:lineRule="auto"/>
              <w:jc w:val="center"/>
              <w:rPr>
                <w:rFonts w:eastAsiaTheme="minorEastAsia"/>
                <w:b/>
                <w:kern w:val="0"/>
                <w:sz w:val="24"/>
                <w:szCs w:val="20"/>
              </w:rPr>
            </w:pPr>
          </w:p>
          <w:p>
            <w:pPr>
              <w:adjustRightInd w:val="0"/>
              <w:snapToGrid w:val="0"/>
              <w:spacing w:line="360" w:lineRule="auto"/>
              <w:jc w:val="center"/>
              <w:rPr>
                <w:rFonts w:eastAsiaTheme="minorEastAsia"/>
                <w:b/>
                <w:kern w:val="0"/>
                <w:sz w:val="24"/>
                <w:szCs w:val="20"/>
              </w:rPr>
            </w:pPr>
          </w:p>
          <w:p>
            <w:pPr>
              <w:adjustRightInd w:val="0"/>
              <w:snapToGrid w:val="0"/>
              <w:spacing w:line="360" w:lineRule="auto"/>
              <w:jc w:val="center"/>
              <w:rPr>
                <w:rFonts w:eastAsiaTheme="minorEastAsia"/>
                <w:b/>
                <w:kern w:val="0"/>
                <w:sz w:val="24"/>
                <w:szCs w:val="20"/>
              </w:rPr>
            </w:pPr>
            <w:r>
              <w:rPr>
                <w:rFonts w:hint="eastAsia" w:eastAsiaTheme="minorEastAsia"/>
                <w:b/>
                <w:kern w:val="0"/>
                <w:sz w:val="24"/>
                <w:szCs w:val="20"/>
              </w:rPr>
              <w:t>表</w:t>
            </w:r>
            <w:r>
              <w:rPr>
                <w:rFonts w:eastAsiaTheme="minorEastAsia"/>
                <w:b/>
                <w:kern w:val="0"/>
                <w:sz w:val="24"/>
                <w:szCs w:val="20"/>
              </w:rPr>
              <w:t xml:space="preserve">4-4 </w:t>
            </w:r>
            <w:r>
              <w:rPr>
                <w:rFonts w:hint="eastAsia" w:eastAsiaTheme="minorEastAsia"/>
                <w:b/>
                <w:kern w:val="0"/>
                <w:sz w:val="24"/>
                <w:szCs w:val="20"/>
              </w:rPr>
              <w:t>本项目有机废气挥发量核算一览表</w:t>
            </w:r>
          </w:p>
          <w:tbl>
            <w:tblPr>
              <w:tblStyle w:val="80"/>
              <w:tblW w:w="856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1643"/>
              <w:gridCol w:w="651"/>
              <w:gridCol w:w="1502"/>
              <w:gridCol w:w="1004"/>
              <w:gridCol w:w="1054"/>
              <w:gridCol w:w="1127"/>
              <w:gridCol w:w="11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1" w:hRule="atLeast"/>
                <w:jc w:val="center"/>
              </w:trPr>
              <w:tc>
                <w:tcPr>
                  <w:tcW w:w="461" w:type="dxa"/>
                  <w:vAlign w:val="center"/>
                </w:tcPr>
                <w:p>
                  <w:pPr>
                    <w:autoSpaceDE w:val="0"/>
                    <w:autoSpaceDN w:val="0"/>
                    <w:adjustRightInd w:val="0"/>
                    <w:snapToGrid w:val="0"/>
                    <w:rPr>
                      <w:rFonts w:eastAsiaTheme="minorEastAsia"/>
                      <w:szCs w:val="21"/>
                    </w:rPr>
                  </w:pPr>
                  <w:r>
                    <w:rPr>
                      <w:rFonts w:hint="eastAsia" w:eastAsiaTheme="minorEastAsia"/>
                      <w:szCs w:val="21"/>
                    </w:rPr>
                    <w:t>序号</w:t>
                  </w:r>
                </w:p>
              </w:tc>
              <w:tc>
                <w:tcPr>
                  <w:tcW w:w="1643" w:type="dxa"/>
                  <w:vAlign w:val="center"/>
                </w:tcPr>
                <w:p>
                  <w:pPr>
                    <w:autoSpaceDE w:val="0"/>
                    <w:autoSpaceDN w:val="0"/>
                    <w:adjustRightInd w:val="0"/>
                    <w:snapToGrid w:val="0"/>
                    <w:rPr>
                      <w:rFonts w:eastAsiaTheme="minorEastAsia"/>
                      <w:szCs w:val="21"/>
                    </w:rPr>
                  </w:pPr>
                  <w:r>
                    <w:rPr>
                      <w:rFonts w:hint="eastAsia" w:eastAsiaTheme="minorEastAsia"/>
                      <w:szCs w:val="21"/>
                    </w:rPr>
                    <w:t>来源</w:t>
                  </w:r>
                </w:p>
              </w:tc>
              <w:tc>
                <w:tcPr>
                  <w:tcW w:w="651" w:type="dxa"/>
                  <w:vAlign w:val="center"/>
                </w:tcPr>
                <w:p>
                  <w:pPr>
                    <w:autoSpaceDE w:val="0"/>
                    <w:autoSpaceDN w:val="0"/>
                    <w:adjustRightInd w:val="0"/>
                    <w:snapToGrid w:val="0"/>
                    <w:rPr>
                      <w:rFonts w:eastAsiaTheme="minorEastAsia"/>
                      <w:szCs w:val="21"/>
                    </w:rPr>
                  </w:pPr>
                  <w:r>
                    <w:rPr>
                      <w:rFonts w:hint="eastAsia" w:eastAsiaTheme="minorEastAsia"/>
                      <w:szCs w:val="21"/>
                    </w:rPr>
                    <w:t>废气</w:t>
                  </w:r>
                </w:p>
              </w:tc>
              <w:tc>
                <w:tcPr>
                  <w:tcW w:w="1502" w:type="dxa"/>
                  <w:vAlign w:val="center"/>
                </w:tcPr>
                <w:p>
                  <w:pPr>
                    <w:autoSpaceDE w:val="0"/>
                    <w:autoSpaceDN w:val="0"/>
                    <w:adjustRightInd w:val="0"/>
                    <w:snapToGrid w:val="0"/>
                    <w:rPr>
                      <w:rFonts w:eastAsiaTheme="minorEastAsia"/>
                      <w:szCs w:val="21"/>
                    </w:rPr>
                  </w:pPr>
                  <w:r>
                    <w:rPr>
                      <w:rFonts w:hint="eastAsia" w:eastAsiaTheme="minorEastAsia"/>
                      <w:szCs w:val="21"/>
                    </w:rPr>
                    <w:t>饱和蒸汽压</w:t>
                  </w:r>
                  <w:r>
                    <w:rPr>
                      <w:rFonts w:eastAsiaTheme="minorEastAsia"/>
                      <w:szCs w:val="21"/>
                    </w:rPr>
                    <w:t>P</w:t>
                  </w:r>
                  <w:r>
                    <w:rPr>
                      <w:rFonts w:eastAsiaTheme="minorEastAsia"/>
                      <w:szCs w:val="21"/>
                      <w:vertAlign w:val="subscript"/>
                    </w:rPr>
                    <w:t>H</w:t>
                  </w:r>
                </w:p>
                <w:p>
                  <w:pPr>
                    <w:autoSpaceDE w:val="0"/>
                    <w:autoSpaceDN w:val="0"/>
                    <w:adjustRightInd w:val="0"/>
                    <w:snapToGrid w:val="0"/>
                    <w:rPr>
                      <w:rFonts w:eastAsiaTheme="minorEastAsia"/>
                      <w:szCs w:val="21"/>
                    </w:rPr>
                  </w:pPr>
                  <w:r>
                    <w:rPr>
                      <w:rFonts w:hint="eastAsia" w:eastAsiaTheme="minorEastAsia"/>
                      <w:szCs w:val="21"/>
                    </w:rPr>
                    <w:t>（毫米汞柱）</w:t>
                  </w:r>
                </w:p>
              </w:tc>
              <w:tc>
                <w:tcPr>
                  <w:tcW w:w="1004" w:type="dxa"/>
                  <w:vAlign w:val="center"/>
                </w:tcPr>
                <w:p>
                  <w:pPr>
                    <w:autoSpaceDE w:val="0"/>
                    <w:autoSpaceDN w:val="0"/>
                    <w:adjustRightInd w:val="0"/>
                    <w:snapToGrid w:val="0"/>
                    <w:rPr>
                      <w:rFonts w:eastAsiaTheme="minorEastAsia"/>
                      <w:szCs w:val="21"/>
                    </w:rPr>
                  </w:pPr>
                  <w:r>
                    <w:rPr>
                      <w:rFonts w:hint="eastAsia" w:eastAsiaTheme="minorEastAsia"/>
                      <w:szCs w:val="21"/>
                    </w:rPr>
                    <w:t>分子量</w:t>
                  </w:r>
                  <w:r>
                    <w:rPr>
                      <w:rFonts w:eastAsiaTheme="minorEastAsia"/>
                      <w:szCs w:val="21"/>
                    </w:rPr>
                    <w:t>M</w:t>
                  </w:r>
                </w:p>
              </w:tc>
              <w:tc>
                <w:tcPr>
                  <w:tcW w:w="1054" w:type="dxa"/>
                  <w:vAlign w:val="center"/>
                </w:tcPr>
                <w:p>
                  <w:pPr>
                    <w:autoSpaceDE w:val="0"/>
                    <w:autoSpaceDN w:val="0"/>
                    <w:adjustRightInd w:val="0"/>
                    <w:snapToGrid w:val="0"/>
                    <w:rPr>
                      <w:rFonts w:eastAsiaTheme="minorEastAsia"/>
                      <w:szCs w:val="21"/>
                    </w:rPr>
                  </w:pPr>
                  <w:r>
                    <w:rPr>
                      <w:rFonts w:hint="eastAsia" w:eastAsiaTheme="minorEastAsia"/>
                      <w:szCs w:val="21"/>
                    </w:rPr>
                    <w:t>散露面积</w:t>
                  </w:r>
                  <w:r>
                    <w:rPr>
                      <w:rFonts w:eastAsiaTheme="minorEastAsia"/>
                      <w:szCs w:val="21"/>
                    </w:rPr>
                    <w:t>F</w:t>
                  </w:r>
                </w:p>
                <w:p>
                  <w:pPr>
                    <w:autoSpaceDE w:val="0"/>
                    <w:autoSpaceDN w:val="0"/>
                    <w:adjustRightInd w:val="0"/>
                    <w:snapToGrid w:val="0"/>
                    <w:rPr>
                      <w:rFonts w:eastAsiaTheme="minorEastAsia"/>
                      <w:szCs w:val="21"/>
                    </w:rPr>
                  </w:pPr>
                  <w:r>
                    <w:rPr>
                      <w:rFonts w:hint="eastAsia" w:eastAsiaTheme="minorEastAsia"/>
                      <w:szCs w:val="21"/>
                    </w:rPr>
                    <w:t>（</w:t>
                  </w:r>
                  <w:r>
                    <w:rPr>
                      <w:rFonts w:eastAsiaTheme="minorEastAsia"/>
                      <w:szCs w:val="21"/>
                    </w:rPr>
                    <w:t>m</w:t>
                  </w:r>
                  <w:r>
                    <w:rPr>
                      <w:rFonts w:eastAsiaTheme="minorEastAsia"/>
                      <w:szCs w:val="21"/>
                      <w:vertAlign w:val="superscript"/>
                    </w:rPr>
                    <w:t>2</w:t>
                  </w:r>
                  <w:r>
                    <w:rPr>
                      <w:rFonts w:hint="eastAsia" w:eastAsiaTheme="minorEastAsia"/>
                      <w:szCs w:val="21"/>
                    </w:rPr>
                    <w:t>）</w:t>
                  </w:r>
                </w:p>
              </w:tc>
              <w:tc>
                <w:tcPr>
                  <w:tcW w:w="1127" w:type="dxa"/>
                  <w:vAlign w:val="center"/>
                </w:tcPr>
                <w:p>
                  <w:pPr>
                    <w:autoSpaceDE w:val="0"/>
                    <w:autoSpaceDN w:val="0"/>
                    <w:adjustRightInd w:val="0"/>
                    <w:snapToGrid w:val="0"/>
                    <w:rPr>
                      <w:rFonts w:eastAsiaTheme="minorEastAsia"/>
                      <w:szCs w:val="21"/>
                    </w:rPr>
                  </w:pPr>
                  <w:r>
                    <w:rPr>
                      <w:rFonts w:hint="eastAsia" w:eastAsiaTheme="minorEastAsia"/>
                      <w:szCs w:val="21"/>
                    </w:rPr>
                    <w:t>挥发速率</w:t>
                  </w:r>
                  <w:r>
                    <w:rPr>
                      <w:rFonts w:eastAsiaTheme="minorEastAsia"/>
                      <w:szCs w:val="21"/>
                    </w:rPr>
                    <w:t>Gs</w:t>
                  </w:r>
                </w:p>
                <w:p>
                  <w:pPr>
                    <w:autoSpaceDE w:val="0"/>
                    <w:autoSpaceDN w:val="0"/>
                    <w:adjustRightInd w:val="0"/>
                    <w:snapToGrid w:val="0"/>
                    <w:rPr>
                      <w:rFonts w:eastAsiaTheme="minorEastAsia"/>
                      <w:szCs w:val="21"/>
                    </w:rPr>
                  </w:pPr>
                  <w:r>
                    <w:rPr>
                      <w:rFonts w:hint="eastAsia" w:eastAsiaTheme="minorEastAsia"/>
                      <w:szCs w:val="21"/>
                    </w:rPr>
                    <w:t>（</w:t>
                  </w:r>
                  <w:r>
                    <w:rPr>
                      <w:rFonts w:eastAsiaTheme="minorEastAsia"/>
                      <w:szCs w:val="21"/>
                    </w:rPr>
                    <w:t>kg/h</w:t>
                  </w:r>
                  <w:r>
                    <w:rPr>
                      <w:rFonts w:hint="eastAsia" w:eastAsiaTheme="minorEastAsia"/>
                      <w:szCs w:val="21"/>
                    </w:rPr>
                    <w:t>）</w:t>
                  </w:r>
                </w:p>
              </w:tc>
              <w:tc>
                <w:tcPr>
                  <w:tcW w:w="1127" w:type="dxa"/>
                  <w:vAlign w:val="center"/>
                </w:tcPr>
                <w:p>
                  <w:pPr>
                    <w:autoSpaceDE w:val="0"/>
                    <w:autoSpaceDN w:val="0"/>
                    <w:adjustRightInd w:val="0"/>
                    <w:snapToGrid w:val="0"/>
                    <w:rPr>
                      <w:rFonts w:eastAsiaTheme="minorEastAsia"/>
                      <w:szCs w:val="21"/>
                    </w:rPr>
                  </w:pPr>
                  <w:r>
                    <w:rPr>
                      <w:rFonts w:hint="eastAsia" w:eastAsiaTheme="minorEastAsia"/>
                      <w:szCs w:val="21"/>
                    </w:rPr>
                    <w:t>产生量</w:t>
                  </w:r>
                </w:p>
                <w:p>
                  <w:pPr>
                    <w:autoSpaceDE w:val="0"/>
                    <w:autoSpaceDN w:val="0"/>
                    <w:adjustRightInd w:val="0"/>
                    <w:snapToGrid w:val="0"/>
                    <w:rPr>
                      <w:rFonts w:eastAsiaTheme="minorEastAsia"/>
                      <w:szCs w:val="21"/>
                    </w:rPr>
                  </w:pPr>
                  <w:r>
                    <w:rPr>
                      <w:rFonts w:hint="eastAsia" w:eastAsiaTheme="minorEastAsia"/>
                      <w:szCs w:val="21"/>
                    </w:rPr>
                    <w:t>（</w:t>
                  </w:r>
                  <w:r>
                    <w:rPr>
                      <w:rFonts w:eastAsiaTheme="minorEastAsia"/>
                      <w:szCs w:val="21"/>
                    </w:rPr>
                    <w:t>t/a</w:t>
                  </w:r>
                  <w:r>
                    <w:rPr>
                      <w:rFonts w:hint="eastAsia" w:eastAsiaTheme="minor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5" w:hRule="atLeast"/>
                <w:jc w:val="center"/>
              </w:trPr>
              <w:tc>
                <w:tcPr>
                  <w:tcW w:w="461" w:type="dxa"/>
                  <w:vAlign w:val="center"/>
                </w:tcPr>
                <w:p>
                  <w:pPr>
                    <w:autoSpaceDE w:val="0"/>
                    <w:autoSpaceDN w:val="0"/>
                    <w:adjustRightInd w:val="0"/>
                    <w:snapToGrid w:val="0"/>
                    <w:rPr>
                      <w:rFonts w:eastAsiaTheme="minorEastAsia"/>
                      <w:szCs w:val="21"/>
                    </w:rPr>
                  </w:pPr>
                  <w:r>
                    <w:rPr>
                      <w:rFonts w:eastAsiaTheme="minorEastAsia"/>
                      <w:szCs w:val="21"/>
                    </w:rPr>
                    <w:t>1</w:t>
                  </w:r>
                </w:p>
              </w:tc>
              <w:tc>
                <w:tcPr>
                  <w:tcW w:w="1643" w:type="dxa"/>
                  <w:vAlign w:val="center"/>
                </w:tcPr>
                <w:p>
                  <w:pPr>
                    <w:autoSpaceDE w:val="0"/>
                    <w:autoSpaceDN w:val="0"/>
                    <w:adjustRightInd w:val="0"/>
                    <w:snapToGrid w:val="0"/>
                    <w:rPr>
                      <w:rFonts w:eastAsiaTheme="minorEastAsia"/>
                      <w:szCs w:val="21"/>
                    </w:rPr>
                  </w:pPr>
                  <w:r>
                    <w:rPr>
                      <w:rFonts w:hint="eastAsia" w:eastAsiaTheme="minorEastAsia"/>
                      <w:szCs w:val="21"/>
                    </w:rPr>
                    <w:t>柴油</w:t>
                  </w:r>
                </w:p>
              </w:tc>
              <w:tc>
                <w:tcPr>
                  <w:tcW w:w="651" w:type="dxa"/>
                  <w:vMerge w:val="restart"/>
                  <w:vAlign w:val="center"/>
                </w:tcPr>
                <w:p>
                  <w:pPr>
                    <w:autoSpaceDE w:val="0"/>
                    <w:autoSpaceDN w:val="0"/>
                    <w:adjustRightInd w:val="0"/>
                    <w:snapToGrid w:val="0"/>
                    <w:rPr>
                      <w:rFonts w:eastAsiaTheme="minorEastAsia"/>
                      <w:szCs w:val="21"/>
                    </w:rPr>
                  </w:pPr>
                  <w:r>
                    <w:rPr>
                      <w:rFonts w:hint="eastAsia" w:eastAsiaTheme="minorEastAsia"/>
                      <w:szCs w:val="21"/>
                    </w:rPr>
                    <w:t>非甲烷总烃</w:t>
                  </w:r>
                </w:p>
              </w:tc>
              <w:tc>
                <w:tcPr>
                  <w:tcW w:w="1502" w:type="dxa"/>
                  <w:vAlign w:val="center"/>
                </w:tcPr>
                <w:p>
                  <w:pPr>
                    <w:autoSpaceDE w:val="0"/>
                    <w:autoSpaceDN w:val="0"/>
                    <w:adjustRightInd w:val="0"/>
                    <w:snapToGrid w:val="0"/>
                    <w:rPr>
                      <w:rFonts w:eastAsiaTheme="minorEastAsia"/>
                      <w:szCs w:val="21"/>
                    </w:rPr>
                  </w:pPr>
                  <w:r>
                    <w:rPr>
                      <w:rFonts w:eastAsiaTheme="minorEastAsia"/>
                      <w:szCs w:val="21"/>
                    </w:rPr>
                    <w:t>151.26</w:t>
                  </w:r>
                </w:p>
              </w:tc>
              <w:tc>
                <w:tcPr>
                  <w:tcW w:w="1004" w:type="dxa"/>
                  <w:vAlign w:val="center"/>
                </w:tcPr>
                <w:p>
                  <w:pPr>
                    <w:autoSpaceDE w:val="0"/>
                    <w:autoSpaceDN w:val="0"/>
                    <w:adjustRightInd w:val="0"/>
                    <w:snapToGrid w:val="0"/>
                    <w:rPr>
                      <w:rFonts w:eastAsiaTheme="minorEastAsia"/>
                      <w:szCs w:val="21"/>
                    </w:rPr>
                  </w:pPr>
                  <w:r>
                    <w:rPr>
                      <w:rFonts w:eastAsiaTheme="minorEastAsia"/>
                      <w:szCs w:val="21"/>
                    </w:rPr>
                    <w:t>86</w:t>
                  </w:r>
                </w:p>
              </w:tc>
              <w:tc>
                <w:tcPr>
                  <w:tcW w:w="1054" w:type="dxa"/>
                  <w:vAlign w:val="center"/>
                </w:tcPr>
                <w:p>
                  <w:pPr>
                    <w:autoSpaceDE w:val="0"/>
                    <w:autoSpaceDN w:val="0"/>
                    <w:adjustRightInd w:val="0"/>
                    <w:snapToGrid w:val="0"/>
                    <w:rPr>
                      <w:rFonts w:eastAsiaTheme="minorEastAsia"/>
                      <w:szCs w:val="21"/>
                    </w:rPr>
                  </w:pPr>
                  <w:r>
                    <w:rPr>
                      <w:rFonts w:eastAsiaTheme="minorEastAsia"/>
                      <w:szCs w:val="21"/>
                    </w:rPr>
                    <w:t>0.0314</w:t>
                  </w:r>
                </w:p>
              </w:tc>
              <w:tc>
                <w:tcPr>
                  <w:tcW w:w="1127" w:type="dxa"/>
                  <w:vAlign w:val="center"/>
                </w:tcPr>
                <w:p>
                  <w:pPr>
                    <w:autoSpaceDE w:val="0"/>
                    <w:autoSpaceDN w:val="0"/>
                    <w:adjustRightInd w:val="0"/>
                    <w:snapToGrid w:val="0"/>
                    <w:rPr>
                      <w:rFonts w:eastAsiaTheme="minorEastAsia"/>
                      <w:szCs w:val="21"/>
                    </w:rPr>
                  </w:pPr>
                  <w:r>
                    <w:rPr>
                      <w:rFonts w:eastAsiaTheme="minorEastAsia"/>
                      <w:szCs w:val="21"/>
                    </w:rPr>
                    <w:t>0.255</w:t>
                  </w:r>
                </w:p>
              </w:tc>
              <w:tc>
                <w:tcPr>
                  <w:tcW w:w="1127" w:type="dxa"/>
                  <w:vAlign w:val="center"/>
                </w:tcPr>
                <w:p>
                  <w:pPr>
                    <w:autoSpaceDE w:val="0"/>
                    <w:autoSpaceDN w:val="0"/>
                    <w:adjustRightInd w:val="0"/>
                    <w:snapToGrid w:val="0"/>
                    <w:rPr>
                      <w:rFonts w:eastAsiaTheme="minorEastAsia"/>
                      <w:szCs w:val="21"/>
                    </w:rPr>
                  </w:pPr>
                  <w:r>
                    <w:rPr>
                      <w:rFonts w:eastAsiaTheme="minorEastAsia"/>
                      <w:szCs w:val="21"/>
                    </w:rPr>
                    <w:t>0.00</w:t>
                  </w:r>
                  <w:r>
                    <w:rPr>
                      <w:rFonts w:hint="eastAsia" w:eastAsiaTheme="minorEastAsia"/>
                      <w:szCs w:val="21"/>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5" w:hRule="atLeast"/>
                <w:jc w:val="center"/>
              </w:trPr>
              <w:tc>
                <w:tcPr>
                  <w:tcW w:w="461" w:type="dxa"/>
                  <w:vAlign w:val="center"/>
                </w:tcPr>
                <w:p>
                  <w:pPr>
                    <w:autoSpaceDE w:val="0"/>
                    <w:autoSpaceDN w:val="0"/>
                    <w:adjustRightInd w:val="0"/>
                    <w:snapToGrid w:val="0"/>
                    <w:rPr>
                      <w:rFonts w:eastAsiaTheme="minorEastAsia"/>
                      <w:szCs w:val="21"/>
                    </w:rPr>
                  </w:pPr>
                  <w:r>
                    <w:rPr>
                      <w:rFonts w:eastAsiaTheme="minorEastAsia"/>
                      <w:szCs w:val="21"/>
                    </w:rPr>
                    <w:t>2</w:t>
                  </w:r>
                </w:p>
              </w:tc>
              <w:tc>
                <w:tcPr>
                  <w:tcW w:w="1643" w:type="dxa"/>
                  <w:vAlign w:val="center"/>
                </w:tcPr>
                <w:p>
                  <w:pPr>
                    <w:autoSpaceDE w:val="0"/>
                    <w:autoSpaceDN w:val="0"/>
                    <w:adjustRightInd w:val="0"/>
                    <w:snapToGrid w:val="0"/>
                    <w:rPr>
                      <w:rFonts w:eastAsiaTheme="minorEastAsia"/>
                      <w:szCs w:val="21"/>
                    </w:rPr>
                  </w:pPr>
                  <w:r>
                    <w:rPr>
                      <w:rFonts w:hint="eastAsia" w:eastAsiaTheme="minorEastAsia"/>
                      <w:szCs w:val="21"/>
                    </w:rPr>
                    <w:t>润滑油、变速器机油、差速器油、动力转向油</w:t>
                  </w:r>
                </w:p>
              </w:tc>
              <w:tc>
                <w:tcPr>
                  <w:tcW w:w="651" w:type="dxa"/>
                  <w:vMerge w:val="continue"/>
                  <w:vAlign w:val="center"/>
                </w:tcPr>
                <w:p>
                  <w:pPr>
                    <w:autoSpaceDE w:val="0"/>
                    <w:autoSpaceDN w:val="0"/>
                    <w:adjustRightInd w:val="0"/>
                    <w:snapToGrid w:val="0"/>
                    <w:rPr>
                      <w:rFonts w:eastAsiaTheme="minorEastAsia"/>
                      <w:szCs w:val="21"/>
                    </w:rPr>
                  </w:pPr>
                </w:p>
              </w:tc>
              <w:tc>
                <w:tcPr>
                  <w:tcW w:w="1502" w:type="dxa"/>
                  <w:vAlign w:val="center"/>
                </w:tcPr>
                <w:p>
                  <w:pPr>
                    <w:autoSpaceDE w:val="0"/>
                    <w:autoSpaceDN w:val="0"/>
                    <w:adjustRightInd w:val="0"/>
                    <w:snapToGrid w:val="0"/>
                    <w:rPr>
                      <w:rFonts w:eastAsiaTheme="minorEastAsia"/>
                      <w:szCs w:val="21"/>
                    </w:rPr>
                  </w:pPr>
                  <w:r>
                    <w:rPr>
                      <w:rFonts w:eastAsiaTheme="minorEastAsia"/>
                      <w:szCs w:val="21"/>
                    </w:rPr>
                    <w:t>1.354</w:t>
                  </w:r>
                </w:p>
              </w:tc>
              <w:tc>
                <w:tcPr>
                  <w:tcW w:w="1004" w:type="dxa"/>
                  <w:vAlign w:val="center"/>
                </w:tcPr>
                <w:p>
                  <w:pPr>
                    <w:autoSpaceDE w:val="0"/>
                    <w:autoSpaceDN w:val="0"/>
                    <w:adjustRightInd w:val="0"/>
                    <w:snapToGrid w:val="0"/>
                    <w:rPr>
                      <w:rFonts w:eastAsiaTheme="minorEastAsia"/>
                      <w:szCs w:val="21"/>
                    </w:rPr>
                  </w:pPr>
                  <w:r>
                    <w:rPr>
                      <w:rFonts w:eastAsiaTheme="minorEastAsia"/>
                      <w:szCs w:val="21"/>
                    </w:rPr>
                    <w:t>156</w:t>
                  </w:r>
                </w:p>
              </w:tc>
              <w:tc>
                <w:tcPr>
                  <w:tcW w:w="1054" w:type="dxa"/>
                  <w:vAlign w:val="center"/>
                </w:tcPr>
                <w:p>
                  <w:pPr>
                    <w:autoSpaceDE w:val="0"/>
                    <w:autoSpaceDN w:val="0"/>
                    <w:adjustRightInd w:val="0"/>
                    <w:snapToGrid w:val="0"/>
                    <w:rPr>
                      <w:rFonts w:eastAsiaTheme="minorEastAsia"/>
                      <w:szCs w:val="21"/>
                    </w:rPr>
                  </w:pPr>
                  <w:r>
                    <w:rPr>
                      <w:rFonts w:eastAsiaTheme="minorEastAsia"/>
                      <w:szCs w:val="21"/>
                    </w:rPr>
                    <w:t>0.0314</w:t>
                  </w:r>
                </w:p>
              </w:tc>
              <w:tc>
                <w:tcPr>
                  <w:tcW w:w="1127" w:type="dxa"/>
                  <w:vAlign w:val="center"/>
                </w:tcPr>
                <w:p>
                  <w:pPr>
                    <w:autoSpaceDE w:val="0"/>
                    <w:autoSpaceDN w:val="0"/>
                    <w:adjustRightInd w:val="0"/>
                    <w:snapToGrid w:val="0"/>
                    <w:rPr>
                      <w:rFonts w:eastAsiaTheme="minorEastAsia"/>
                      <w:szCs w:val="21"/>
                    </w:rPr>
                  </w:pPr>
                  <w:r>
                    <w:rPr>
                      <w:rFonts w:eastAsiaTheme="minorEastAsia"/>
                      <w:szCs w:val="21"/>
                    </w:rPr>
                    <w:t>0.003</w:t>
                  </w:r>
                </w:p>
              </w:tc>
              <w:tc>
                <w:tcPr>
                  <w:tcW w:w="1127" w:type="dxa"/>
                  <w:vAlign w:val="center"/>
                </w:tcPr>
                <w:p>
                  <w:pPr>
                    <w:autoSpaceDE w:val="0"/>
                    <w:autoSpaceDN w:val="0"/>
                    <w:adjustRightInd w:val="0"/>
                    <w:snapToGrid w:val="0"/>
                    <w:rPr>
                      <w:rFonts w:eastAsiaTheme="minorEastAsia"/>
                      <w:szCs w:val="21"/>
                    </w:rPr>
                  </w:pPr>
                  <w:r>
                    <w:rPr>
                      <w:rFonts w:eastAsiaTheme="minorEastAsia"/>
                      <w:szCs w:val="21"/>
                    </w:rPr>
                    <w:t>0.000</w:t>
                  </w:r>
                  <w:r>
                    <w:rPr>
                      <w:rFonts w:hint="eastAsia" w:eastAsiaTheme="minorEastAsia"/>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4" w:hRule="atLeast"/>
                <w:jc w:val="center"/>
              </w:trPr>
              <w:tc>
                <w:tcPr>
                  <w:tcW w:w="461" w:type="dxa"/>
                  <w:vAlign w:val="center"/>
                </w:tcPr>
                <w:p>
                  <w:pPr>
                    <w:autoSpaceDE w:val="0"/>
                    <w:autoSpaceDN w:val="0"/>
                    <w:adjustRightInd w:val="0"/>
                    <w:snapToGrid w:val="0"/>
                    <w:rPr>
                      <w:rFonts w:eastAsiaTheme="minorEastAsia"/>
                      <w:szCs w:val="21"/>
                    </w:rPr>
                  </w:pPr>
                  <w:r>
                    <w:rPr>
                      <w:rFonts w:eastAsiaTheme="minorEastAsia"/>
                      <w:szCs w:val="21"/>
                    </w:rPr>
                    <w:t>3</w:t>
                  </w:r>
                </w:p>
              </w:tc>
              <w:tc>
                <w:tcPr>
                  <w:tcW w:w="1643" w:type="dxa"/>
                  <w:vAlign w:val="center"/>
                </w:tcPr>
                <w:p>
                  <w:pPr>
                    <w:autoSpaceDE w:val="0"/>
                    <w:autoSpaceDN w:val="0"/>
                    <w:adjustRightInd w:val="0"/>
                    <w:snapToGrid w:val="0"/>
                    <w:rPr>
                      <w:rFonts w:eastAsiaTheme="minorEastAsia"/>
                      <w:szCs w:val="21"/>
                    </w:rPr>
                  </w:pPr>
                  <w:r>
                    <w:rPr>
                      <w:rFonts w:hint="eastAsia" w:eastAsiaTheme="minorEastAsia"/>
                      <w:szCs w:val="21"/>
                    </w:rPr>
                    <w:t>防冻液</w:t>
                  </w:r>
                </w:p>
              </w:tc>
              <w:tc>
                <w:tcPr>
                  <w:tcW w:w="651" w:type="dxa"/>
                  <w:vMerge w:val="continue"/>
                  <w:vAlign w:val="center"/>
                </w:tcPr>
                <w:p>
                  <w:pPr>
                    <w:autoSpaceDE w:val="0"/>
                    <w:autoSpaceDN w:val="0"/>
                    <w:adjustRightInd w:val="0"/>
                    <w:snapToGrid w:val="0"/>
                    <w:rPr>
                      <w:rFonts w:eastAsiaTheme="minorEastAsia"/>
                      <w:szCs w:val="21"/>
                    </w:rPr>
                  </w:pPr>
                </w:p>
              </w:tc>
              <w:tc>
                <w:tcPr>
                  <w:tcW w:w="1502" w:type="dxa"/>
                  <w:vAlign w:val="center"/>
                </w:tcPr>
                <w:p>
                  <w:pPr>
                    <w:autoSpaceDE w:val="0"/>
                    <w:autoSpaceDN w:val="0"/>
                    <w:adjustRightInd w:val="0"/>
                    <w:snapToGrid w:val="0"/>
                    <w:rPr>
                      <w:rFonts w:eastAsiaTheme="minorEastAsia"/>
                      <w:szCs w:val="21"/>
                    </w:rPr>
                  </w:pPr>
                  <w:r>
                    <w:rPr>
                      <w:rFonts w:eastAsiaTheme="minorEastAsia"/>
                      <w:szCs w:val="21"/>
                    </w:rPr>
                    <w:t>4.353</w:t>
                  </w:r>
                </w:p>
              </w:tc>
              <w:tc>
                <w:tcPr>
                  <w:tcW w:w="1004" w:type="dxa"/>
                  <w:vAlign w:val="center"/>
                </w:tcPr>
                <w:p>
                  <w:pPr>
                    <w:autoSpaceDE w:val="0"/>
                    <w:autoSpaceDN w:val="0"/>
                    <w:adjustRightInd w:val="0"/>
                    <w:snapToGrid w:val="0"/>
                    <w:rPr>
                      <w:rFonts w:eastAsiaTheme="minorEastAsia"/>
                      <w:szCs w:val="21"/>
                    </w:rPr>
                  </w:pPr>
                  <w:r>
                    <w:rPr>
                      <w:rFonts w:eastAsiaTheme="minorEastAsia"/>
                      <w:szCs w:val="21"/>
                    </w:rPr>
                    <w:t>92</w:t>
                  </w:r>
                </w:p>
              </w:tc>
              <w:tc>
                <w:tcPr>
                  <w:tcW w:w="1054" w:type="dxa"/>
                  <w:vAlign w:val="center"/>
                </w:tcPr>
                <w:p>
                  <w:pPr>
                    <w:autoSpaceDE w:val="0"/>
                    <w:autoSpaceDN w:val="0"/>
                    <w:adjustRightInd w:val="0"/>
                    <w:snapToGrid w:val="0"/>
                    <w:rPr>
                      <w:rFonts w:eastAsiaTheme="minorEastAsia"/>
                      <w:szCs w:val="21"/>
                    </w:rPr>
                  </w:pPr>
                  <w:r>
                    <w:rPr>
                      <w:rFonts w:eastAsiaTheme="minorEastAsia"/>
                      <w:szCs w:val="21"/>
                    </w:rPr>
                    <w:t>0.0314</w:t>
                  </w:r>
                </w:p>
              </w:tc>
              <w:tc>
                <w:tcPr>
                  <w:tcW w:w="1127" w:type="dxa"/>
                  <w:vAlign w:val="center"/>
                </w:tcPr>
                <w:p>
                  <w:pPr>
                    <w:autoSpaceDE w:val="0"/>
                    <w:autoSpaceDN w:val="0"/>
                    <w:adjustRightInd w:val="0"/>
                    <w:snapToGrid w:val="0"/>
                    <w:rPr>
                      <w:rFonts w:eastAsiaTheme="minorEastAsia"/>
                      <w:szCs w:val="21"/>
                    </w:rPr>
                  </w:pPr>
                  <w:r>
                    <w:rPr>
                      <w:rFonts w:eastAsiaTheme="minorEastAsia"/>
                      <w:szCs w:val="21"/>
                    </w:rPr>
                    <w:t>0.007</w:t>
                  </w:r>
                </w:p>
              </w:tc>
              <w:tc>
                <w:tcPr>
                  <w:tcW w:w="1127" w:type="dxa"/>
                  <w:vAlign w:val="center"/>
                </w:tcPr>
                <w:p>
                  <w:pPr>
                    <w:autoSpaceDE w:val="0"/>
                    <w:autoSpaceDN w:val="0"/>
                    <w:adjustRightInd w:val="0"/>
                    <w:snapToGrid w:val="0"/>
                    <w:rPr>
                      <w:rFonts w:eastAsiaTheme="minorEastAsia"/>
                      <w:szCs w:val="21"/>
                    </w:rPr>
                  </w:pPr>
                  <w:r>
                    <w:rPr>
                      <w:rFonts w:eastAsiaTheme="minorEastAsia"/>
                      <w:szCs w:val="21"/>
                    </w:rPr>
                    <w:t>0.000</w:t>
                  </w:r>
                  <w:r>
                    <w:rPr>
                      <w:rFonts w:hint="eastAsia" w:eastAsiaTheme="minor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5" w:hRule="atLeast"/>
                <w:jc w:val="center"/>
              </w:trPr>
              <w:tc>
                <w:tcPr>
                  <w:tcW w:w="7442" w:type="dxa"/>
                  <w:gridSpan w:val="7"/>
                  <w:vAlign w:val="center"/>
                </w:tcPr>
                <w:p>
                  <w:pPr>
                    <w:autoSpaceDE w:val="0"/>
                    <w:autoSpaceDN w:val="0"/>
                    <w:adjustRightInd w:val="0"/>
                    <w:snapToGrid w:val="0"/>
                    <w:rPr>
                      <w:rFonts w:eastAsiaTheme="minorEastAsia"/>
                      <w:szCs w:val="21"/>
                    </w:rPr>
                  </w:pPr>
                  <w:r>
                    <w:rPr>
                      <w:rFonts w:hint="eastAsia" w:eastAsiaTheme="minorEastAsia"/>
                      <w:szCs w:val="21"/>
                    </w:rPr>
                    <w:t>合计</w:t>
                  </w:r>
                </w:p>
              </w:tc>
              <w:tc>
                <w:tcPr>
                  <w:tcW w:w="1127" w:type="dxa"/>
                  <w:vAlign w:val="center"/>
                </w:tcPr>
                <w:p>
                  <w:pPr>
                    <w:autoSpaceDE w:val="0"/>
                    <w:autoSpaceDN w:val="0"/>
                    <w:adjustRightInd w:val="0"/>
                    <w:snapToGrid w:val="0"/>
                    <w:rPr>
                      <w:rFonts w:eastAsiaTheme="minorEastAsia"/>
                      <w:szCs w:val="21"/>
                    </w:rPr>
                  </w:pPr>
                  <w:r>
                    <w:rPr>
                      <w:rFonts w:eastAsiaTheme="minorEastAsia"/>
                      <w:szCs w:val="21"/>
                    </w:rPr>
                    <w:t>0.00</w:t>
                  </w:r>
                  <w:r>
                    <w:rPr>
                      <w:rFonts w:hint="eastAsia" w:eastAsiaTheme="minorEastAsia"/>
                      <w:szCs w:val="21"/>
                    </w:rPr>
                    <w:t>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5" w:hRule="atLeast"/>
                <w:jc w:val="center"/>
              </w:trPr>
              <w:tc>
                <w:tcPr>
                  <w:tcW w:w="8569" w:type="dxa"/>
                  <w:gridSpan w:val="8"/>
                  <w:vAlign w:val="center"/>
                </w:tcPr>
                <w:p>
                  <w:pPr>
                    <w:autoSpaceDE w:val="0"/>
                    <w:autoSpaceDN w:val="0"/>
                    <w:adjustRightInd w:val="0"/>
                    <w:snapToGrid w:val="0"/>
                    <w:jc w:val="left"/>
                    <w:rPr>
                      <w:rFonts w:eastAsiaTheme="minorEastAsia"/>
                      <w:szCs w:val="21"/>
                    </w:rPr>
                  </w:pPr>
                  <w:r>
                    <w:rPr>
                      <w:rFonts w:hint="eastAsia" w:eastAsiaTheme="minorEastAsia"/>
                      <w:szCs w:val="21"/>
                    </w:rPr>
                    <w:t>注：</w:t>
                  </w:r>
                  <w:r>
                    <w:rPr>
                      <w:rFonts w:asciiTheme="minorEastAsia" w:hAnsiTheme="minorEastAsia" w:eastAsiaTheme="minorEastAsia"/>
                      <w:szCs w:val="21"/>
                    </w:rPr>
                    <w:t>①</w:t>
                  </w:r>
                  <w:r>
                    <w:rPr>
                      <w:rFonts w:hint="eastAsia" w:eastAsiaTheme="minorEastAsia"/>
                      <w:szCs w:val="21"/>
                    </w:rPr>
                    <w:t>计算饱和蒸汽压</w:t>
                  </w:r>
                  <w:r>
                    <w:rPr>
                      <w:rFonts w:eastAsiaTheme="minorEastAsia"/>
                      <w:szCs w:val="21"/>
                    </w:rPr>
                    <w:t>P</w:t>
                  </w:r>
                  <w:r>
                    <w:rPr>
                      <w:rFonts w:eastAsiaTheme="minorEastAsia"/>
                      <w:szCs w:val="21"/>
                      <w:vertAlign w:val="subscript"/>
                    </w:rPr>
                    <w:t>H</w:t>
                  </w:r>
                  <w:r>
                    <w:rPr>
                      <w:rFonts w:hint="eastAsia" w:eastAsiaTheme="minorEastAsia"/>
                      <w:szCs w:val="21"/>
                    </w:rPr>
                    <w:t>时采用</w:t>
                  </w:r>
                  <w:r>
                    <w:rPr>
                      <w:rFonts w:eastAsiaTheme="minorEastAsia"/>
                      <w:szCs w:val="21"/>
                    </w:rPr>
                    <w:t xml:space="preserve"> Antoine </w:t>
                  </w:r>
                  <w:r>
                    <w:rPr>
                      <w:rFonts w:hint="eastAsia" w:eastAsiaTheme="minorEastAsia"/>
                      <w:szCs w:val="21"/>
                    </w:rPr>
                    <w:t>公式计算，公式为：</w:t>
                  </w:r>
                  <w:r>
                    <w:rPr>
                      <w:rFonts w:eastAsiaTheme="minorEastAsia"/>
                      <w:szCs w:val="21"/>
                    </w:rPr>
                    <w:t>lgP=A-B/</w:t>
                  </w:r>
                  <w:r>
                    <w:rPr>
                      <w:rFonts w:hint="eastAsia" w:eastAsiaTheme="minorEastAsia"/>
                      <w:szCs w:val="21"/>
                    </w:rPr>
                    <w:t>（</w:t>
                  </w:r>
                  <w:r>
                    <w:rPr>
                      <w:rFonts w:eastAsiaTheme="minorEastAsia"/>
                      <w:szCs w:val="21"/>
                    </w:rPr>
                    <w:t>t+C</w:t>
                  </w:r>
                  <w:r>
                    <w:rPr>
                      <w:rFonts w:hint="eastAsia" w:eastAsiaTheme="minorEastAsia"/>
                      <w:szCs w:val="21"/>
                    </w:rPr>
                    <w:t>），式中：</w:t>
                  </w:r>
                  <w:r>
                    <w:rPr>
                      <w:rFonts w:eastAsiaTheme="minorEastAsia"/>
                      <w:szCs w:val="21"/>
                    </w:rPr>
                    <w:t>P—</w:t>
                  </w:r>
                  <w:r>
                    <w:rPr>
                      <w:rFonts w:hint="eastAsia" w:eastAsiaTheme="minorEastAsia"/>
                      <w:szCs w:val="21"/>
                    </w:rPr>
                    <w:t>物质的蒸气压，毫米汞柱；</w:t>
                  </w:r>
                  <w:r>
                    <w:rPr>
                      <w:rFonts w:eastAsiaTheme="minorEastAsia"/>
                      <w:szCs w:val="21"/>
                    </w:rPr>
                    <w:t>t—</w:t>
                  </w:r>
                  <w:r>
                    <w:rPr>
                      <w:rFonts w:hint="eastAsia" w:eastAsiaTheme="minorEastAsia"/>
                      <w:szCs w:val="21"/>
                    </w:rPr>
                    <w:t>温度，℃；</w:t>
                  </w:r>
                  <w:r>
                    <w:rPr>
                      <w:rFonts w:eastAsiaTheme="minorEastAsia"/>
                      <w:szCs w:val="21"/>
                    </w:rPr>
                    <w:t>A</w:t>
                  </w:r>
                  <w:r>
                    <w:rPr>
                      <w:rFonts w:hint="eastAsia" w:eastAsiaTheme="minorEastAsia"/>
                      <w:szCs w:val="21"/>
                    </w:rPr>
                    <w:t>、</w:t>
                  </w:r>
                  <w:r>
                    <w:rPr>
                      <w:rFonts w:eastAsiaTheme="minorEastAsia"/>
                      <w:szCs w:val="21"/>
                    </w:rPr>
                    <w:t>B</w:t>
                  </w:r>
                  <w:r>
                    <w:rPr>
                      <w:rFonts w:hint="eastAsia" w:eastAsiaTheme="minorEastAsia"/>
                      <w:szCs w:val="21"/>
                    </w:rPr>
                    <w:t>、</w:t>
                  </w:r>
                  <w:r>
                    <w:rPr>
                      <w:rFonts w:eastAsiaTheme="minorEastAsia"/>
                      <w:szCs w:val="21"/>
                    </w:rPr>
                    <w:t xml:space="preserve">C </w:t>
                  </w:r>
                  <w:r>
                    <w:rPr>
                      <w:rFonts w:hint="eastAsia" w:eastAsiaTheme="minorEastAsia"/>
                      <w:szCs w:val="21"/>
                    </w:rPr>
                    <w:t>为不同物质在不同温度下的蒸汽压常数。</w:t>
                  </w:r>
                  <w:r>
                    <w:rPr>
                      <w:rFonts w:eastAsiaTheme="minorEastAsia"/>
                      <w:szCs w:val="21"/>
                    </w:rPr>
                    <w:br w:type="textWrapping"/>
                  </w:r>
                  <w:r>
                    <w:rPr>
                      <w:rFonts w:asciiTheme="minorEastAsia" w:hAnsiTheme="minorEastAsia" w:eastAsiaTheme="minorEastAsia"/>
                      <w:szCs w:val="21"/>
                    </w:rPr>
                    <w:t>②</w:t>
                  </w:r>
                  <w:r>
                    <w:rPr>
                      <w:rFonts w:hint="eastAsia" w:eastAsiaTheme="minorEastAsia"/>
                      <w:szCs w:val="21"/>
                    </w:rPr>
                    <w:t>柴油挥发时间为6</w:t>
                  </w:r>
                  <w:r>
                    <w:rPr>
                      <w:rFonts w:eastAsiaTheme="minorEastAsia"/>
                      <w:szCs w:val="21"/>
                    </w:rPr>
                    <w:t>00×3min/60=</w:t>
                  </w:r>
                  <w:r>
                    <w:rPr>
                      <w:rFonts w:hint="eastAsia" w:eastAsiaTheme="minorEastAsia"/>
                      <w:szCs w:val="21"/>
                    </w:rPr>
                    <w:t>3</w:t>
                  </w:r>
                  <w:r>
                    <w:rPr>
                      <w:rFonts w:eastAsiaTheme="minorEastAsia"/>
                      <w:szCs w:val="21"/>
                    </w:rPr>
                    <w:t>0h</w:t>
                  </w:r>
                  <w:r>
                    <w:rPr>
                      <w:rFonts w:hint="eastAsia" w:eastAsiaTheme="minorEastAsia"/>
                      <w:szCs w:val="21"/>
                    </w:rPr>
                    <w:t>；</w:t>
                  </w:r>
                  <w:r>
                    <w:rPr>
                      <w:rFonts w:eastAsiaTheme="minorEastAsia"/>
                      <w:szCs w:val="21"/>
                    </w:rPr>
                    <w:br w:type="textWrapping"/>
                  </w:r>
                  <w:r>
                    <w:rPr>
                      <w:rFonts w:asciiTheme="minorEastAsia" w:hAnsiTheme="minorEastAsia" w:eastAsiaTheme="minorEastAsia"/>
                      <w:szCs w:val="21"/>
                    </w:rPr>
                    <w:t>③</w:t>
                  </w:r>
                  <w:r>
                    <w:rPr>
                      <w:rFonts w:hint="eastAsia" w:eastAsiaTheme="minorEastAsia"/>
                      <w:szCs w:val="21"/>
                    </w:rPr>
                    <w:t>润滑油、变速器机油、差速器油、动力转向油挥发时间为6</w:t>
                  </w:r>
                  <w:r>
                    <w:rPr>
                      <w:rFonts w:eastAsiaTheme="minorEastAsia"/>
                      <w:szCs w:val="21"/>
                    </w:rPr>
                    <w:t>00×10min/60=</w:t>
                  </w:r>
                  <w:r>
                    <w:rPr>
                      <w:rFonts w:hint="eastAsia" w:eastAsiaTheme="minorEastAsia"/>
                      <w:szCs w:val="21"/>
                    </w:rPr>
                    <w:t>60</w:t>
                  </w:r>
                  <w:r>
                    <w:rPr>
                      <w:rFonts w:eastAsiaTheme="minorEastAsia"/>
                      <w:szCs w:val="21"/>
                    </w:rPr>
                    <w:t>h</w:t>
                  </w:r>
                  <w:r>
                    <w:rPr>
                      <w:rFonts w:hint="eastAsia" w:eastAsiaTheme="minorEastAsia"/>
                      <w:szCs w:val="21"/>
                    </w:rPr>
                    <w:t>；</w:t>
                  </w:r>
                  <w:r>
                    <w:rPr>
                      <w:rFonts w:eastAsiaTheme="minorEastAsia"/>
                      <w:szCs w:val="21"/>
                    </w:rPr>
                    <w:br w:type="textWrapping"/>
                  </w:r>
                  <w:r>
                    <w:rPr>
                      <w:rFonts w:asciiTheme="minorEastAsia" w:hAnsiTheme="minorEastAsia" w:eastAsiaTheme="minorEastAsia"/>
                      <w:szCs w:val="21"/>
                    </w:rPr>
                    <w:t>④</w:t>
                  </w:r>
                  <w:r>
                    <w:rPr>
                      <w:rFonts w:hint="eastAsia" w:eastAsiaTheme="minorEastAsia"/>
                      <w:szCs w:val="21"/>
                    </w:rPr>
                    <w:t>防冻液挥发时间为6</w:t>
                  </w:r>
                  <w:r>
                    <w:rPr>
                      <w:rFonts w:eastAsiaTheme="minorEastAsia"/>
                      <w:szCs w:val="21"/>
                    </w:rPr>
                    <w:t>00×2min/60=</w:t>
                  </w:r>
                  <w:r>
                    <w:rPr>
                      <w:rFonts w:hint="eastAsia" w:eastAsiaTheme="minorEastAsia"/>
                      <w:szCs w:val="21"/>
                    </w:rPr>
                    <w:t>20</w:t>
                  </w:r>
                  <w:r>
                    <w:rPr>
                      <w:rFonts w:eastAsiaTheme="minorEastAsia"/>
                      <w:szCs w:val="21"/>
                    </w:rPr>
                    <w:t>h</w:t>
                  </w:r>
                </w:p>
              </w:tc>
            </w:tr>
          </w:tbl>
          <w:p>
            <w:pPr>
              <w:widowControl/>
              <w:adjustRightInd w:val="0"/>
              <w:snapToGrid w:val="0"/>
              <w:spacing w:line="360" w:lineRule="auto"/>
              <w:ind w:firstLine="480" w:firstLineChars="200"/>
              <w:rPr>
                <w:rFonts w:eastAsiaTheme="minorEastAsia"/>
                <w:kern w:val="0"/>
                <w:sz w:val="24"/>
              </w:rPr>
            </w:pPr>
            <w:r>
              <w:rPr>
                <w:rFonts w:hint="eastAsia" w:eastAsiaTheme="minorEastAsia"/>
                <w:sz w:val="24"/>
              </w:rPr>
              <w:t>经计算，本项目非甲烷总烃挥发量约为</w:t>
            </w:r>
            <w:r>
              <w:rPr>
                <w:rFonts w:eastAsiaTheme="minorEastAsia"/>
                <w:sz w:val="24"/>
              </w:rPr>
              <w:t>0.00</w:t>
            </w:r>
            <w:r>
              <w:rPr>
                <w:rFonts w:hint="eastAsia" w:eastAsiaTheme="minorEastAsia"/>
                <w:sz w:val="24"/>
              </w:rPr>
              <w:t>83</w:t>
            </w:r>
            <w:r>
              <w:rPr>
                <w:rFonts w:eastAsiaTheme="minorEastAsia"/>
                <w:sz w:val="24"/>
              </w:rPr>
              <w:t>t/a</w:t>
            </w:r>
            <w:r>
              <w:rPr>
                <w:rFonts w:hint="eastAsia" w:eastAsiaTheme="minorEastAsia"/>
                <w:sz w:val="24"/>
              </w:rPr>
              <w:t>，在油液排空工位设置集气罩，废气集中收集后经二级活性炭吸附装置处理后由</w:t>
            </w:r>
            <w:r>
              <w:rPr>
                <w:rFonts w:eastAsiaTheme="minorEastAsia"/>
                <w:sz w:val="24"/>
              </w:rPr>
              <w:t>15m</w:t>
            </w:r>
            <w:r>
              <w:rPr>
                <w:rFonts w:hint="eastAsia" w:eastAsiaTheme="minorEastAsia"/>
                <w:sz w:val="24"/>
              </w:rPr>
              <w:t>高1#排气筒排放，收集效率</w:t>
            </w:r>
            <w:r>
              <w:rPr>
                <w:rFonts w:eastAsiaTheme="minorEastAsia"/>
                <w:sz w:val="24"/>
              </w:rPr>
              <w:t>90%</w:t>
            </w:r>
            <w:r>
              <w:rPr>
                <w:rFonts w:hint="eastAsia" w:eastAsiaTheme="minorEastAsia"/>
                <w:sz w:val="24"/>
              </w:rPr>
              <w:t>，</w:t>
            </w:r>
            <w:r>
              <w:rPr>
                <w:rFonts w:hint="eastAsia" w:eastAsiaTheme="minorEastAsia"/>
                <w:bCs/>
                <w:sz w:val="24"/>
              </w:rPr>
              <w:t>去除率75</w:t>
            </w:r>
            <w:r>
              <w:rPr>
                <w:rFonts w:eastAsiaTheme="minorEastAsia"/>
                <w:bCs/>
                <w:sz w:val="24"/>
              </w:rPr>
              <w:t>%，</w:t>
            </w:r>
            <w:r>
              <w:rPr>
                <w:rFonts w:hint="eastAsia" w:eastAsiaTheme="minorEastAsia"/>
                <w:sz w:val="24"/>
              </w:rPr>
              <w:t>产生速率</w:t>
            </w:r>
            <w:r>
              <w:rPr>
                <w:rFonts w:eastAsiaTheme="minorEastAsia"/>
                <w:sz w:val="24"/>
              </w:rPr>
              <w:t>0.</w:t>
            </w:r>
            <w:r>
              <w:rPr>
                <w:rFonts w:hint="eastAsia" w:eastAsiaTheme="minorEastAsia"/>
                <w:sz w:val="24"/>
              </w:rPr>
              <w:t>07</w:t>
            </w:r>
            <w:r>
              <w:rPr>
                <w:rFonts w:eastAsiaTheme="minorEastAsia"/>
                <w:sz w:val="24"/>
              </w:rPr>
              <w:t>kg/h</w:t>
            </w:r>
            <w:r>
              <w:rPr>
                <w:rFonts w:hint="eastAsia" w:eastAsiaTheme="minorEastAsia"/>
                <w:sz w:val="24"/>
              </w:rPr>
              <w:t>，产生</w:t>
            </w:r>
            <w:r>
              <w:rPr>
                <w:rFonts w:hint="eastAsia" w:eastAsiaTheme="minorEastAsia"/>
                <w:kern w:val="0"/>
                <w:sz w:val="24"/>
              </w:rPr>
              <w:t>量</w:t>
            </w:r>
            <w:r>
              <w:rPr>
                <w:rFonts w:eastAsiaTheme="minorEastAsia"/>
                <w:kern w:val="0"/>
                <w:sz w:val="24"/>
              </w:rPr>
              <w:t>0.00</w:t>
            </w:r>
            <w:r>
              <w:rPr>
                <w:rFonts w:hint="eastAsia" w:eastAsiaTheme="minorEastAsia"/>
                <w:kern w:val="0"/>
                <w:sz w:val="24"/>
              </w:rPr>
              <w:t>75</w:t>
            </w:r>
            <w:r>
              <w:rPr>
                <w:rFonts w:eastAsiaTheme="minorEastAsia"/>
                <w:kern w:val="0"/>
                <w:sz w:val="24"/>
              </w:rPr>
              <w:t>t/a</w:t>
            </w:r>
            <w:r>
              <w:rPr>
                <w:rFonts w:hint="eastAsia" w:eastAsiaTheme="minorEastAsia"/>
                <w:kern w:val="0"/>
                <w:sz w:val="24"/>
              </w:rPr>
              <w:t>，风机设计风量</w:t>
            </w:r>
            <w:r>
              <w:rPr>
                <w:rFonts w:eastAsiaTheme="minorEastAsia"/>
                <w:kern w:val="0"/>
                <w:sz w:val="24"/>
              </w:rPr>
              <w:t>1000m</w:t>
            </w:r>
            <w:r>
              <w:rPr>
                <w:rFonts w:eastAsiaTheme="minorEastAsia"/>
                <w:kern w:val="0"/>
                <w:sz w:val="24"/>
                <w:vertAlign w:val="superscript"/>
              </w:rPr>
              <w:t>3</w:t>
            </w:r>
            <w:r>
              <w:rPr>
                <w:rFonts w:eastAsiaTheme="minorEastAsia"/>
                <w:kern w:val="0"/>
                <w:sz w:val="24"/>
              </w:rPr>
              <w:t>/h</w:t>
            </w:r>
            <w:r>
              <w:rPr>
                <w:rFonts w:hint="eastAsia" w:eastAsiaTheme="minorEastAsia"/>
                <w:kern w:val="0"/>
                <w:sz w:val="24"/>
              </w:rPr>
              <w:t>，产生浓度70</w:t>
            </w:r>
            <w:r>
              <w:rPr>
                <w:rFonts w:eastAsiaTheme="minorEastAsia"/>
                <w:kern w:val="0"/>
                <w:sz w:val="24"/>
              </w:rPr>
              <w:t>mg/m</w:t>
            </w:r>
            <w:r>
              <w:rPr>
                <w:rFonts w:eastAsiaTheme="minorEastAsia"/>
                <w:kern w:val="0"/>
                <w:sz w:val="24"/>
                <w:vertAlign w:val="superscript"/>
              </w:rPr>
              <w:t>3</w:t>
            </w:r>
            <w:r>
              <w:rPr>
                <w:rFonts w:hint="eastAsia" w:eastAsiaTheme="minorEastAsia"/>
                <w:kern w:val="0"/>
                <w:sz w:val="24"/>
              </w:rPr>
              <w:t>，</w:t>
            </w:r>
            <w:r>
              <w:rPr>
                <w:rFonts w:hint="eastAsia" w:eastAsiaTheme="minorEastAsia"/>
                <w:sz w:val="24"/>
              </w:rPr>
              <w:t>排气筒排放速率</w:t>
            </w:r>
            <w:r>
              <w:rPr>
                <w:rFonts w:eastAsiaTheme="minorEastAsia"/>
                <w:sz w:val="24"/>
              </w:rPr>
              <w:t>0.</w:t>
            </w:r>
            <w:r>
              <w:rPr>
                <w:rFonts w:hint="eastAsia" w:eastAsiaTheme="minorEastAsia"/>
                <w:sz w:val="24"/>
              </w:rPr>
              <w:t>02</w:t>
            </w:r>
            <w:r>
              <w:rPr>
                <w:rFonts w:eastAsiaTheme="minorEastAsia"/>
                <w:sz w:val="24"/>
              </w:rPr>
              <w:t>kg/h</w:t>
            </w:r>
            <w:r>
              <w:rPr>
                <w:rFonts w:hint="eastAsia" w:eastAsiaTheme="minorEastAsia"/>
                <w:sz w:val="24"/>
              </w:rPr>
              <w:t>，</w:t>
            </w:r>
            <w:r>
              <w:rPr>
                <w:rFonts w:hint="eastAsia" w:eastAsiaTheme="minorEastAsia"/>
                <w:kern w:val="0"/>
                <w:sz w:val="24"/>
              </w:rPr>
              <w:t>排放量</w:t>
            </w:r>
            <w:r>
              <w:rPr>
                <w:rFonts w:eastAsiaTheme="minorEastAsia"/>
                <w:kern w:val="0"/>
                <w:sz w:val="24"/>
              </w:rPr>
              <w:t>0.00</w:t>
            </w:r>
            <w:r>
              <w:rPr>
                <w:rFonts w:hint="eastAsia" w:eastAsiaTheme="minorEastAsia"/>
                <w:kern w:val="0"/>
                <w:sz w:val="24"/>
              </w:rPr>
              <w:t>2</w:t>
            </w:r>
            <w:r>
              <w:rPr>
                <w:rFonts w:eastAsiaTheme="minorEastAsia"/>
                <w:kern w:val="0"/>
                <w:sz w:val="24"/>
              </w:rPr>
              <w:t>t/a</w:t>
            </w:r>
            <w:r>
              <w:rPr>
                <w:rFonts w:hint="eastAsia" w:eastAsiaTheme="minorEastAsia"/>
                <w:kern w:val="0"/>
                <w:sz w:val="24"/>
              </w:rPr>
              <w:t>，排放浓度20</w:t>
            </w:r>
            <w:r>
              <w:rPr>
                <w:rFonts w:eastAsiaTheme="minorEastAsia"/>
                <w:kern w:val="0"/>
                <w:sz w:val="24"/>
              </w:rPr>
              <w:t>mg/m</w:t>
            </w:r>
            <w:r>
              <w:rPr>
                <w:rFonts w:eastAsiaTheme="minorEastAsia"/>
                <w:kern w:val="0"/>
                <w:sz w:val="24"/>
                <w:vertAlign w:val="superscript"/>
              </w:rPr>
              <w:t>3</w:t>
            </w:r>
            <w:r>
              <w:rPr>
                <w:rFonts w:hint="eastAsia" w:eastAsiaTheme="minorEastAsia"/>
                <w:kern w:val="0"/>
                <w:sz w:val="24"/>
              </w:rPr>
              <w:t>。</w:t>
            </w:r>
            <w:r>
              <w:rPr>
                <w:rFonts w:eastAsiaTheme="minorEastAsia"/>
                <w:kern w:val="0"/>
                <w:sz w:val="24"/>
              </w:rPr>
              <w:t>10%</w:t>
            </w:r>
            <w:r>
              <w:rPr>
                <w:rFonts w:hint="eastAsia" w:eastAsiaTheme="minorEastAsia"/>
                <w:kern w:val="0"/>
                <w:sz w:val="24"/>
              </w:rPr>
              <w:t>未收集废气以无组织形式排放，排放量</w:t>
            </w:r>
            <w:r>
              <w:rPr>
                <w:rFonts w:eastAsiaTheme="minorEastAsia"/>
                <w:kern w:val="0"/>
                <w:sz w:val="24"/>
              </w:rPr>
              <w:t>0.000</w:t>
            </w:r>
            <w:r>
              <w:rPr>
                <w:rFonts w:hint="eastAsia" w:eastAsiaTheme="minorEastAsia"/>
                <w:kern w:val="0"/>
                <w:sz w:val="24"/>
              </w:rPr>
              <w:t>8</w:t>
            </w:r>
            <w:r>
              <w:rPr>
                <w:rFonts w:eastAsiaTheme="minorEastAsia"/>
                <w:kern w:val="0"/>
                <w:sz w:val="24"/>
              </w:rPr>
              <w:t>t/a</w:t>
            </w:r>
            <w:r>
              <w:rPr>
                <w:rFonts w:hint="eastAsia" w:eastAsiaTheme="minorEastAsia"/>
                <w:kern w:val="0"/>
                <w:sz w:val="24"/>
              </w:rPr>
              <w:t>。</w:t>
            </w:r>
          </w:p>
          <w:p>
            <w:pPr>
              <w:widowControl/>
              <w:adjustRightInd w:val="0"/>
              <w:snapToGrid w:val="0"/>
              <w:spacing w:line="360" w:lineRule="auto"/>
              <w:ind w:firstLine="480" w:firstLineChars="200"/>
              <w:rPr>
                <w:rFonts w:eastAsiaTheme="minorEastAsia"/>
                <w:kern w:val="0"/>
                <w:sz w:val="24"/>
              </w:rPr>
            </w:pPr>
            <w:r>
              <w:rPr>
                <w:rFonts w:hint="eastAsia" w:eastAsiaTheme="minorEastAsia"/>
                <w:kern w:val="0"/>
                <w:sz w:val="24"/>
              </w:rPr>
              <w:t>废油液等抽取后在密闭容器内封存存放于危险废物贮存库，会挥发少量有机废气，本项目采取负压收集方式，废气</w:t>
            </w:r>
            <w:r>
              <w:rPr>
                <w:rFonts w:hint="eastAsia" w:eastAsiaTheme="minorEastAsia"/>
                <w:sz w:val="24"/>
              </w:rPr>
              <w:t>经二级活性炭吸附装置处理后以无组织形式排放。</w:t>
            </w:r>
          </w:p>
          <w:p>
            <w:pPr>
              <w:widowControl/>
              <w:adjustRightInd w:val="0"/>
              <w:snapToGrid w:val="0"/>
              <w:spacing w:line="360" w:lineRule="auto"/>
              <w:ind w:firstLine="480" w:firstLineChars="200"/>
              <w:rPr>
                <w:rFonts w:eastAsiaTheme="minorEastAsia"/>
                <w:kern w:val="0"/>
                <w:sz w:val="24"/>
              </w:rPr>
            </w:pPr>
            <w:r>
              <w:rPr>
                <w:rFonts w:hint="eastAsia" w:eastAsiaTheme="minorEastAsia"/>
                <w:kern w:val="0"/>
                <w:sz w:val="24"/>
              </w:rPr>
              <w:t>（</w:t>
            </w:r>
            <w:r>
              <w:rPr>
                <w:rFonts w:eastAsiaTheme="minorEastAsia"/>
                <w:kern w:val="0"/>
                <w:sz w:val="24"/>
              </w:rPr>
              <w:t>2</w:t>
            </w:r>
            <w:r>
              <w:rPr>
                <w:rFonts w:hint="eastAsia" w:eastAsiaTheme="minorEastAsia"/>
                <w:kern w:val="0"/>
                <w:sz w:val="24"/>
              </w:rPr>
              <w:t>）切割废气</w:t>
            </w:r>
          </w:p>
          <w:p>
            <w:pPr>
              <w:widowControl/>
              <w:adjustRightInd w:val="0"/>
              <w:snapToGrid w:val="0"/>
              <w:spacing w:line="360" w:lineRule="auto"/>
              <w:ind w:firstLine="480" w:firstLineChars="200"/>
              <w:rPr>
                <w:rFonts w:eastAsiaTheme="minorEastAsia"/>
                <w:kern w:val="0"/>
                <w:sz w:val="24"/>
              </w:rPr>
            </w:pPr>
            <w:r>
              <w:rPr>
                <w:rFonts w:hint="eastAsia" w:eastAsiaTheme="minorEastAsia"/>
                <w:kern w:val="0"/>
                <w:sz w:val="24"/>
              </w:rPr>
              <w:t>报废农机在拆解后较大部件需进行切割，</w:t>
            </w:r>
            <w:r>
              <w:rPr>
                <w:rFonts w:hAnsi="宋体"/>
                <w:kern w:val="0"/>
                <w:sz w:val="24"/>
              </w:rPr>
              <w:t>等离子切割是以压缩空气为工作气体，以高温高速的等离子弧为热源、将被切割的金属局部熔化，</w:t>
            </w:r>
            <w:r>
              <w:rPr>
                <w:rFonts w:hint="eastAsia" w:eastAsiaTheme="minorEastAsia"/>
                <w:kern w:val="0"/>
                <w:sz w:val="24"/>
              </w:rPr>
              <w:t>金属离子在空气中随即冷却形成颗粒物。</w:t>
            </w:r>
          </w:p>
          <w:p>
            <w:pPr>
              <w:spacing w:line="360" w:lineRule="auto"/>
              <w:ind w:firstLine="480" w:firstLineChars="200"/>
              <w:contextualSpacing/>
              <w:jc w:val="left"/>
              <w:rPr>
                <w:rFonts w:eastAsiaTheme="minorEastAsia"/>
                <w:kern w:val="0"/>
                <w:sz w:val="24"/>
              </w:rPr>
            </w:pPr>
            <w:r>
              <w:rPr>
                <w:rFonts w:hint="eastAsia" w:eastAsiaTheme="minorEastAsia"/>
                <w:kern w:val="0"/>
                <w:sz w:val="24"/>
              </w:rPr>
              <w:t>参考</w:t>
            </w:r>
            <w:r>
              <w:rPr>
                <w:rFonts w:hint="eastAsia"/>
                <w:sz w:val="24"/>
              </w:rPr>
              <w:t>《排放源统计调查产排污核算方法和系数手册</w:t>
            </w:r>
            <w:r>
              <w:rPr>
                <w:rFonts w:hint="eastAsia" w:eastAsiaTheme="minorEastAsia"/>
                <w:kern w:val="0"/>
                <w:sz w:val="24"/>
              </w:rPr>
              <w:t>》</w:t>
            </w:r>
            <w:r>
              <w:rPr>
                <w:rFonts w:eastAsiaTheme="minorEastAsia"/>
                <w:kern w:val="0"/>
                <w:sz w:val="24"/>
              </w:rPr>
              <w:t>33-37</w:t>
            </w:r>
            <w:r>
              <w:rPr>
                <w:rFonts w:hint="eastAsia" w:eastAsiaTheme="minorEastAsia"/>
                <w:kern w:val="0"/>
                <w:sz w:val="24"/>
              </w:rPr>
              <w:t>，</w:t>
            </w:r>
            <w:r>
              <w:rPr>
                <w:rFonts w:eastAsiaTheme="minorEastAsia"/>
                <w:kern w:val="0"/>
                <w:sz w:val="24"/>
              </w:rPr>
              <w:t>431-434</w:t>
            </w:r>
            <w:r>
              <w:rPr>
                <w:rFonts w:hint="eastAsia" w:eastAsiaTheme="minorEastAsia"/>
                <w:kern w:val="0"/>
                <w:sz w:val="24"/>
              </w:rPr>
              <w:t>机械行业系数手册，采用等离子切割产生的颗粒物</w:t>
            </w:r>
            <w:r>
              <w:rPr>
                <w:rFonts w:eastAsiaTheme="minorEastAsia"/>
                <w:kern w:val="0"/>
                <w:sz w:val="24"/>
              </w:rPr>
              <w:t>1.</w:t>
            </w:r>
            <w:r>
              <w:rPr>
                <w:rFonts w:hint="eastAsia" w:eastAsiaTheme="minorEastAsia"/>
                <w:kern w:val="0"/>
                <w:sz w:val="24"/>
              </w:rPr>
              <w:t>1</w:t>
            </w:r>
            <w:r>
              <w:rPr>
                <w:rFonts w:eastAsiaTheme="minorEastAsia"/>
                <w:kern w:val="0"/>
                <w:sz w:val="24"/>
              </w:rPr>
              <w:t>kg/t-</w:t>
            </w:r>
            <w:r>
              <w:rPr>
                <w:rFonts w:hint="eastAsia" w:eastAsiaTheme="minorEastAsia"/>
                <w:kern w:val="0"/>
                <w:sz w:val="24"/>
              </w:rPr>
              <w:t>原料，本项目需切割量约为10</w:t>
            </w:r>
            <w:r>
              <w:rPr>
                <w:rFonts w:eastAsiaTheme="minorEastAsia"/>
                <w:kern w:val="0"/>
                <w:sz w:val="24"/>
              </w:rPr>
              <w:t>00t/a</w:t>
            </w:r>
            <w:r>
              <w:rPr>
                <w:rFonts w:hint="eastAsia" w:eastAsiaTheme="minorEastAsia"/>
                <w:kern w:val="0"/>
                <w:sz w:val="24"/>
              </w:rPr>
              <w:t>，年切割时间200h，则切割废气中粉尘颗粒物总产生量为1.1</w:t>
            </w:r>
            <w:r>
              <w:rPr>
                <w:rFonts w:eastAsiaTheme="minorEastAsia"/>
                <w:kern w:val="0"/>
                <w:sz w:val="24"/>
              </w:rPr>
              <w:t>t/a</w:t>
            </w:r>
            <w:r>
              <w:rPr>
                <w:rFonts w:hint="eastAsia" w:eastAsiaTheme="minorEastAsia"/>
                <w:kern w:val="0"/>
                <w:sz w:val="24"/>
              </w:rPr>
              <w:t>。在切割工位设置集气罩，颗粒物集中收集后经布袋除尘器处理</w:t>
            </w:r>
            <w:r>
              <w:rPr>
                <w:rFonts w:hint="eastAsia" w:eastAsiaTheme="minorEastAsia"/>
                <w:sz w:val="24"/>
              </w:rPr>
              <w:t>由</w:t>
            </w:r>
            <w:r>
              <w:rPr>
                <w:rFonts w:eastAsiaTheme="minorEastAsia"/>
                <w:sz w:val="24"/>
              </w:rPr>
              <w:t>15m</w:t>
            </w:r>
            <w:r>
              <w:rPr>
                <w:rFonts w:hint="eastAsia" w:eastAsiaTheme="minorEastAsia"/>
                <w:sz w:val="24"/>
              </w:rPr>
              <w:t>高2#排气筒排放，收集效率</w:t>
            </w:r>
            <w:r>
              <w:rPr>
                <w:rFonts w:eastAsiaTheme="minorEastAsia"/>
                <w:sz w:val="24"/>
              </w:rPr>
              <w:t>90%</w:t>
            </w:r>
            <w:r>
              <w:rPr>
                <w:rFonts w:hint="eastAsia" w:eastAsiaTheme="minorEastAsia"/>
                <w:sz w:val="24"/>
              </w:rPr>
              <w:t>，</w:t>
            </w:r>
            <w:r>
              <w:rPr>
                <w:rFonts w:hint="eastAsia" w:eastAsiaTheme="minorEastAsia"/>
                <w:bCs/>
                <w:sz w:val="24"/>
              </w:rPr>
              <w:t>去除率99</w:t>
            </w:r>
            <w:r>
              <w:rPr>
                <w:rFonts w:eastAsiaTheme="minorEastAsia"/>
                <w:bCs/>
                <w:sz w:val="24"/>
              </w:rPr>
              <w:t>%，</w:t>
            </w:r>
            <w:r>
              <w:rPr>
                <w:rFonts w:hint="eastAsia" w:eastAsiaTheme="minorEastAsia"/>
                <w:sz w:val="24"/>
              </w:rPr>
              <w:t>产生速率4.95</w:t>
            </w:r>
            <w:r>
              <w:rPr>
                <w:rFonts w:eastAsiaTheme="minorEastAsia"/>
                <w:sz w:val="24"/>
              </w:rPr>
              <w:t>kg/h</w:t>
            </w:r>
            <w:r>
              <w:rPr>
                <w:rFonts w:hint="eastAsia" w:eastAsiaTheme="minorEastAsia"/>
                <w:sz w:val="24"/>
              </w:rPr>
              <w:t>，产生</w:t>
            </w:r>
            <w:r>
              <w:rPr>
                <w:rFonts w:hint="eastAsia" w:eastAsiaTheme="minorEastAsia"/>
                <w:kern w:val="0"/>
                <w:sz w:val="24"/>
              </w:rPr>
              <w:t>量0.99</w:t>
            </w:r>
            <w:r>
              <w:rPr>
                <w:rFonts w:eastAsiaTheme="minorEastAsia"/>
                <w:kern w:val="0"/>
                <w:sz w:val="24"/>
              </w:rPr>
              <w:t>t/a</w:t>
            </w:r>
            <w:r>
              <w:rPr>
                <w:rFonts w:hint="eastAsia" w:eastAsiaTheme="minorEastAsia"/>
                <w:kern w:val="0"/>
                <w:sz w:val="24"/>
              </w:rPr>
              <w:t>，风机设计风量</w:t>
            </w:r>
            <w:r>
              <w:rPr>
                <w:rFonts w:eastAsiaTheme="minorEastAsia"/>
                <w:kern w:val="0"/>
                <w:sz w:val="24"/>
              </w:rPr>
              <w:t>1</w:t>
            </w:r>
            <w:r>
              <w:rPr>
                <w:rFonts w:hint="eastAsia" w:eastAsiaTheme="minorEastAsia"/>
                <w:kern w:val="0"/>
                <w:sz w:val="24"/>
              </w:rPr>
              <w:t>0</w:t>
            </w:r>
            <w:r>
              <w:rPr>
                <w:rFonts w:eastAsiaTheme="minorEastAsia"/>
                <w:kern w:val="0"/>
                <w:sz w:val="24"/>
              </w:rPr>
              <w:t>000m</w:t>
            </w:r>
            <w:r>
              <w:rPr>
                <w:rFonts w:eastAsiaTheme="minorEastAsia"/>
                <w:kern w:val="0"/>
                <w:sz w:val="24"/>
                <w:vertAlign w:val="superscript"/>
              </w:rPr>
              <w:t>3</w:t>
            </w:r>
            <w:r>
              <w:rPr>
                <w:rFonts w:eastAsiaTheme="minorEastAsia"/>
                <w:kern w:val="0"/>
                <w:sz w:val="24"/>
              </w:rPr>
              <w:t>/h</w:t>
            </w:r>
            <w:r>
              <w:rPr>
                <w:rFonts w:hint="eastAsia" w:eastAsiaTheme="minorEastAsia"/>
                <w:kern w:val="0"/>
                <w:sz w:val="24"/>
              </w:rPr>
              <w:t>，产生浓度495</w:t>
            </w:r>
            <w:r>
              <w:rPr>
                <w:rFonts w:eastAsiaTheme="minorEastAsia"/>
                <w:kern w:val="0"/>
                <w:sz w:val="24"/>
              </w:rPr>
              <w:t>mg/m</w:t>
            </w:r>
            <w:r>
              <w:rPr>
                <w:rFonts w:eastAsiaTheme="minorEastAsia"/>
                <w:kern w:val="0"/>
                <w:sz w:val="24"/>
                <w:vertAlign w:val="superscript"/>
              </w:rPr>
              <w:t>3</w:t>
            </w:r>
            <w:r>
              <w:rPr>
                <w:rFonts w:hint="eastAsia" w:eastAsiaTheme="minorEastAsia"/>
                <w:kern w:val="0"/>
                <w:sz w:val="24"/>
              </w:rPr>
              <w:t>，</w:t>
            </w:r>
            <w:r>
              <w:rPr>
                <w:rFonts w:hint="eastAsia" w:eastAsiaTheme="minorEastAsia"/>
                <w:sz w:val="24"/>
              </w:rPr>
              <w:t>排气筒排放速率</w:t>
            </w:r>
            <w:r>
              <w:rPr>
                <w:rFonts w:eastAsiaTheme="minorEastAsia"/>
                <w:sz w:val="24"/>
              </w:rPr>
              <w:t>0.</w:t>
            </w:r>
            <w:r>
              <w:rPr>
                <w:rFonts w:hint="eastAsia" w:eastAsiaTheme="minorEastAsia"/>
                <w:sz w:val="24"/>
              </w:rPr>
              <w:t>05</w:t>
            </w:r>
            <w:r>
              <w:rPr>
                <w:rFonts w:eastAsiaTheme="minorEastAsia"/>
                <w:sz w:val="24"/>
              </w:rPr>
              <w:t>kg/h</w:t>
            </w:r>
            <w:r>
              <w:rPr>
                <w:rFonts w:hint="eastAsia" w:eastAsiaTheme="minorEastAsia"/>
                <w:sz w:val="24"/>
              </w:rPr>
              <w:t>，</w:t>
            </w:r>
            <w:r>
              <w:rPr>
                <w:rFonts w:hint="eastAsia" w:eastAsiaTheme="minorEastAsia"/>
                <w:kern w:val="0"/>
                <w:sz w:val="24"/>
              </w:rPr>
              <w:t>排放量</w:t>
            </w:r>
            <w:r>
              <w:rPr>
                <w:rFonts w:eastAsiaTheme="minorEastAsia"/>
                <w:kern w:val="0"/>
                <w:sz w:val="24"/>
              </w:rPr>
              <w:t>0.0</w:t>
            </w:r>
            <w:r>
              <w:rPr>
                <w:rFonts w:hint="eastAsia" w:eastAsiaTheme="minorEastAsia"/>
                <w:kern w:val="0"/>
                <w:sz w:val="24"/>
              </w:rPr>
              <w:t>1</w:t>
            </w:r>
            <w:r>
              <w:rPr>
                <w:rFonts w:eastAsiaTheme="minorEastAsia"/>
                <w:kern w:val="0"/>
                <w:sz w:val="24"/>
              </w:rPr>
              <w:t>t/a</w:t>
            </w:r>
            <w:r>
              <w:rPr>
                <w:rFonts w:hint="eastAsia" w:eastAsiaTheme="minorEastAsia"/>
                <w:kern w:val="0"/>
                <w:sz w:val="24"/>
              </w:rPr>
              <w:t>，排放浓度5</w:t>
            </w:r>
            <w:r>
              <w:rPr>
                <w:rFonts w:eastAsiaTheme="minorEastAsia"/>
                <w:kern w:val="0"/>
                <w:sz w:val="24"/>
              </w:rPr>
              <w:t>mg/m</w:t>
            </w:r>
            <w:r>
              <w:rPr>
                <w:rFonts w:eastAsiaTheme="minorEastAsia"/>
                <w:kern w:val="0"/>
                <w:sz w:val="24"/>
                <w:vertAlign w:val="superscript"/>
              </w:rPr>
              <w:t>3</w:t>
            </w:r>
            <w:r>
              <w:rPr>
                <w:rFonts w:hint="eastAsia" w:eastAsiaTheme="minorEastAsia"/>
                <w:kern w:val="0"/>
                <w:sz w:val="24"/>
              </w:rPr>
              <w:t>。</w:t>
            </w:r>
            <w:r>
              <w:rPr>
                <w:rFonts w:eastAsiaTheme="minorEastAsia"/>
                <w:kern w:val="0"/>
                <w:sz w:val="24"/>
              </w:rPr>
              <w:t>10%</w:t>
            </w:r>
            <w:r>
              <w:rPr>
                <w:rFonts w:hint="eastAsia" w:eastAsiaTheme="minorEastAsia"/>
                <w:kern w:val="0"/>
                <w:sz w:val="24"/>
              </w:rPr>
              <w:t>未收集废气以无组织形式排放，排放量</w:t>
            </w:r>
            <w:r>
              <w:rPr>
                <w:rFonts w:eastAsiaTheme="minorEastAsia"/>
                <w:kern w:val="0"/>
                <w:sz w:val="24"/>
              </w:rPr>
              <w:t>0.</w:t>
            </w:r>
            <w:r>
              <w:rPr>
                <w:rFonts w:hint="eastAsia" w:eastAsiaTheme="minorEastAsia"/>
                <w:kern w:val="0"/>
                <w:sz w:val="24"/>
              </w:rPr>
              <w:t>11</w:t>
            </w:r>
            <w:r>
              <w:rPr>
                <w:rFonts w:eastAsiaTheme="minorEastAsia"/>
                <w:kern w:val="0"/>
                <w:sz w:val="24"/>
              </w:rPr>
              <w:t>t/a</w:t>
            </w:r>
            <w:r>
              <w:rPr>
                <w:rFonts w:hint="eastAsia" w:eastAsiaTheme="minorEastAsia"/>
                <w:kern w:val="0"/>
                <w:sz w:val="24"/>
              </w:rPr>
              <w:t>。</w:t>
            </w:r>
          </w:p>
          <w:p>
            <w:pPr>
              <w:pStyle w:val="48"/>
              <w:jc w:val="left"/>
            </w:pPr>
            <w:r>
              <w:rPr>
                <w:rFonts w:hint="eastAsia"/>
              </w:rPr>
              <w:t>（3）危险废物贮存库</w:t>
            </w:r>
          </w:p>
          <w:p>
            <w:pPr>
              <w:pStyle w:val="48"/>
            </w:pPr>
            <w:r>
              <w:rPr>
                <w:rFonts w:hint="eastAsia"/>
              </w:rPr>
              <w:t>本项目危废贮存库内的危险废物主要为废油液、废防冻液、废活性炭等。各种危险废物采用专用容器包装贮存，含有机污染物的危险废物在贮存过程会产生少量挥发性有机废气。</w:t>
            </w:r>
          </w:p>
          <w:p>
            <w:pPr>
              <w:pStyle w:val="48"/>
            </w:pPr>
            <w:r>
              <w:rPr>
                <w:rFonts w:hint="eastAsia"/>
              </w:rPr>
              <w:t>参照《散装液态石油产品损耗》（</w:t>
            </w:r>
            <w:r>
              <w:t>GB/T 11085-1989</w:t>
            </w:r>
            <w:r>
              <w:rPr>
                <w:rFonts w:hint="eastAsia"/>
              </w:rPr>
              <w:t>）中贮存损耗率（汽油</w:t>
            </w:r>
            <w:r>
              <w:t>0.09%</w:t>
            </w:r>
            <w:r>
              <w:rPr>
                <w:rFonts w:hint="eastAsia"/>
              </w:rPr>
              <w:t>，其他油</w:t>
            </w:r>
            <w:r>
              <w:t>0.01%</w:t>
            </w:r>
            <w:r>
              <w:rPr>
                <w:rFonts w:hint="eastAsia"/>
              </w:rPr>
              <w:t>），因此考虑不利情况按损耗率</w:t>
            </w:r>
            <w:r>
              <w:t>0.09%</w:t>
            </w:r>
            <w:r>
              <w:rPr>
                <w:rFonts w:hint="eastAsia"/>
              </w:rPr>
              <w:t>计算，本项目危废贮存库内含有机污染物的危险废物最大贮存量约为3.83</w:t>
            </w:r>
            <w:r>
              <w:t>t</w:t>
            </w:r>
            <w:r>
              <w:rPr>
                <w:rFonts w:hint="eastAsia"/>
              </w:rPr>
              <w:t>。</w:t>
            </w:r>
            <w:r>
              <w:rPr>
                <w:rFonts w:hint="eastAsia" w:eastAsiaTheme="minorEastAsia"/>
              </w:rPr>
              <w:t>危险废物贮存库采取负压收集方式，经二级活性炭吸附装置处理后由15m高3#排气筒排放，收集效率90%，处理效率75%，</w:t>
            </w:r>
            <w:r>
              <w:rPr>
                <w:rFonts w:hint="eastAsia"/>
              </w:rPr>
              <w:t>经计算，</w:t>
            </w:r>
            <w:r>
              <w:rPr>
                <w:rFonts w:hint="eastAsia" w:eastAsiaTheme="minorEastAsia"/>
              </w:rPr>
              <w:t>产生速率0.001</w:t>
            </w:r>
            <w:r>
              <w:rPr>
                <w:rFonts w:eastAsiaTheme="minorEastAsia"/>
              </w:rPr>
              <w:t>kg/h</w:t>
            </w:r>
            <w:r>
              <w:rPr>
                <w:rFonts w:hint="eastAsia" w:eastAsiaTheme="minorEastAsia"/>
              </w:rPr>
              <w:t>，产生</w:t>
            </w:r>
            <w:r>
              <w:rPr>
                <w:rFonts w:hint="eastAsia" w:eastAsiaTheme="minorEastAsia"/>
                <w:kern w:val="0"/>
              </w:rPr>
              <w:t>量0.0027</w:t>
            </w:r>
            <w:r>
              <w:rPr>
                <w:rFonts w:eastAsiaTheme="minorEastAsia"/>
                <w:kern w:val="0"/>
              </w:rPr>
              <w:t>t/a</w:t>
            </w:r>
            <w:r>
              <w:rPr>
                <w:rFonts w:hint="eastAsia" w:eastAsiaTheme="minorEastAsia"/>
                <w:kern w:val="0"/>
              </w:rPr>
              <w:t>，风机设计风量1</w:t>
            </w:r>
            <w:r>
              <w:rPr>
                <w:rFonts w:eastAsiaTheme="minorEastAsia"/>
                <w:kern w:val="0"/>
              </w:rPr>
              <w:t>000m</w:t>
            </w:r>
            <w:r>
              <w:rPr>
                <w:rFonts w:eastAsiaTheme="minorEastAsia"/>
                <w:kern w:val="0"/>
                <w:vertAlign w:val="superscript"/>
              </w:rPr>
              <w:t>3</w:t>
            </w:r>
            <w:r>
              <w:rPr>
                <w:rFonts w:eastAsiaTheme="minorEastAsia"/>
                <w:kern w:val="0"/>
              </w:rPr>
              <w:t>/h</w:t>
            </w:r>
            <w:r>
              <w:rPr>
                <w:rFonts w:hint="eastAsia" w:eastAsiaTheme="minorEastAsia"/>
                <w:kern w:val="0"/>
              </w:rPr>
              <w:t>，产生浓度1.0</w:t>
            </w:r>
            <w:r>
              <w:rPr>
                <w:rFonts w:eastAsiaTheme="minorEastAsia"/>
                <w:kern w:val="0"/>
              </w:rPr>
              <w:t>mg/m</w:t>
            </w:r>
            <w:r>
              <w:rPr>
                <w:rFonts w:eastAsiaTheme="minorEastAsia"/>
                <w:kern w:val="0"/>
                <w:vertAlign w:val="superscript"/>
              </w:rPr>
              <w:t>3</w:t>
            </w:r>
            <w:r>
              <w:rPr>
                <w:rFonts w:hint="eastAsia" w:eastAsiaTheme="minorEastAsia"/>
                <w:kern w:val="0"/>
              </w:rPr>
              <w:t>，</w:t>
            </w:r>
            <w:r>
              <w:rPr>
                <w:rFonts w:hint="eastAsia" w:eastAsiaTheme="minorEastAsia"/>
              </w:rPr>
              <w:t>排气筒排放速率</w:t>
            </w:r>
            <w:r>
              <w:rPr>
                <w:rFonts w:eastAsiaTheme="minorEastAsia"/>
              </w:rPr>
              <w:t>0.</w:t>
            </w:r>
            <w:r>
              <w:rPr>
                <w:rFonts w:hint="eastAsia" w:eastAsiaTheme="minorEastAsia"/>
              </w:rPr>
              <w:t>0003</w:t>
            </w:r>
            <w:r>
              <w:rPr>
                <w:rFonts w:eastAsiaTheme="minorEastAsia"/>
              </w:rPr>
              <w:t>kg/h</w:t>
            </w:r>
            <w:r>
              <w:rPr>
                <w:rFonts w:hint="eastAsia" w:eastAsiaTheme="minorEastAsia"/>
              </w:rPr>
              <w:t>，</w:t>
            </w:r>
            <w:r>
              <w:rPr>
                <w:rFonts w:hint="eastAsia" w:eastAsiaTheme="minorEastAsia"/>
                <w:kern w:val="0"/>
              </w:rPr>
              <w:t>排放量</w:t>
            </w:r>
            <w:r>
              <w:rPr>
                <w:rFonts w:eastAsiaTheme="minorEastAsia"/>
                <w:kern w:val="0"/>
              </w:rPr>
              <w:t>0.0</w:t>
            </w:r>
            <w:r>
              <w:rPr>
                <w:rFonts w:hint="eastAsia" w:eastAsiaTheme="minorEastAsia"/>
                <w:kern w:val="0"/>
              </w:rPr>
              <w:t>007</w:t>
            </w:r>
            <w:r>
              <w:rPr>
                <w:rFonts w:eastAsiaTheme="minorEastAsia"/>
                <w:kern w:val="0"/>
              </w:rPr>
              <w:t>t/a</w:t>
            </w:r>
            <w:r>
              <w:rPr>
                <w:rFonts w:hint="eastAsia" w:eastAsiaTheme="minorEastAsia"/>
                <w:kern w:val="0"/>
              </w:rPr>
              <w:t>，排放浓度0.3</w:t>
            </w:r>
            <w:r>
              <w:rPr>
                <w:rFonts w:eastAsiaTheme="minorEastAsia"/>
                <w:kern w:val="0"/>
              </w:rPr>
              <w:t>mg/m</w:t>
            </w:r>
            <w:r>
              <w:rPr>
                <w:rFonts w:eastAsiaTheme="minorEastAsia"/>
                <w:kern w:val="0"/>
                <w:vertAlign w:val="superscript"/>
              </w:rPr>
              <w:t>3</w:t>
            </w:r>
            <w:r>
              <w:rPr>
                <w:rFonts w:hint="eastAsia" w:eastAsiaTheme="minorEastAsia"/>
                <w:kern w:val="0"/>
              </w:rPr>
              <w:t>。</w:t>
            </w:r>
            <w:r>
              <w:rPr>
                <w:rFonts w:eastAsiaTheme="minorEastAsia"/>
                <w:kern w:val="0"/>
              </w:rPr>
              <w:t>10%</w:t>
            </w:r>
            <w:r>
              <w:rPr>
                <w:rFonts w:hint="eastAsia" w:eastAsiaTheme="minorEastAsia"/>
                <w:kern w:val="0"/>
              </w:rPr>
              <w:t>未收集废气以无组织形式排放，排放量0.0003</w:t>
            </w:r>
            <w:r>
              <w:rPr>
                <w:rFonts w:eastAsiaTheme="minorEastAsia"/>
                <w:kern w:val="0"/>
              </w:rPr>
              <w:t>t/a</w:t>
            </w:r>
            <w:r>
              <w:rPr>
                <w:rFonts w:hint="eastAsia" w:eastAsiaTheme="minorEastAsia"/>
                <w:kern w:val="0"/>
              </w:rPr>
              <w:t>。</w:t>
            </w:r>
          </w:p>
          <w:p>
            <w:pPr>
              <w:pStyle w:val="48"/>
              <w:jc w:val="left"/>
            </w:pPr>
            <w:r>
              <w:rPr>
                <w:rFonts w:hint="eastAsia"/>
              </w:rPr>
              <w:t>（4）本项目非正常工况</w:t>
            </w:r>
          </w:p>
          <w:p>
            <w:pPr>
              <w:pStyle w:val="48"/>
              <w:jc w:val="left"/>
            </w:pPr>
            <w:r>
              <w:rPr>
                <w:rFonts w:hint="eastAsia"/>
              </w:rPr>
              <w:t>当二级活性炭吸附装置出现故障时，不能正常运转，</w:t>
            </w:r>
            <w:r>
              <w:t>处理效率均按</w:t>
            </w:r>
            <w:r>
              <w:rPr>
                <w:rFonts w:hint="eastAsia"/>
              </w:rPr>
              <w:t>50%考虑。</w:t>
            </w:r>
          </w:p>
          <w:p>
            <w:pPr>
              <w:pStyle w:val="48"/>
              <w:rPr>
                <w:bCs/>
              </w:rPr>
            </w:pPr>
            <w:r>
              <w:rPr>
                <w:rFonts w:hint="eastAsia"/>
                <w:bCs/>
              </w:rPr>
              <w:t>参照</w:t>
            </w:r>
            <w:r>
              <w:rPr>
                <w:bCs/>
              </w:rPr>
              <w:t>《污染源源强核算技术指南-火电》，本项目布袋除尘器非正常工况设定情景及计算数据如下：</w:t>
            </w:r>
          </w:p>
          <w:p>
            <w:pPr>
              <w:pStyle w:val="48"/>
              <w:rPr>
                <w:bCs/>
              </w:rPr>
            </w:pPr>
            <w:r>
              <w:rPr>
                <w:bCs/>
              </w:rPr>
              <w:t>当布袋除尘器的滤袋破损期间按下式计算烟尘排放增加量：</w:t>
            </w:r>
          </w:p>
          <w:p>
            <w:pPr>
              <w:pStyle w:val="48"/>
              <w:ind w:firstLine="0" w:firstLineChars="0"/>
              <w:jc w:val="center"/>
            </w:pPr>
            <w:r>
              <w:drawing>
                <wp:inline distT="0" distB="0" distL="0" distR="0">
                  <wp:extent cx="1762125" cy="333375"/>
                  <wp:effectExtent l="19050" t="0" r="9525" b="0"/>
                  <wp:docPr id="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4"/>
                          <pic:cNvPicPr>
                            <a:picLocks noChangeAspect="1" noChangeArrowheads="1"/>
                          </pic:cNvPicPr>
                        </pic:nvPicPr>
                        <pic:blipFill>
                          <a:blip r:embed="rId16"/>
                          <a:srcRect/>
                          <a:stretch>
                            <a:fillRect/>
                          </a:stretch>
                        </pic:blipFill>
                        <pic:spPr>
                          <a:xfrm>
                            <a:off x="0" y="0"/>
                            <a:ext cx="1762125" cy="333375"/>
                          </a:xfrm>
                          <a:prstGeom prst="rect">
                            <a:avLst/>
                          </a:prstGeom>
                          <a:noFill/>
                          <a:ln w="9525">
                            <a:noFill/>
                            <a:miter lim="800000"/>
                            <a:headEnd/>
                            <a:tailEnd/>
                          </a:ln>
                        </pic:spPr>
                      </pic:pic>
                    </a:graphicData>
                  </a:graphic>
                </wp:inline>
              </w:drawing>
            </w:r>
          </w:p>
          <w:p>
            <w:pPr>
              <w:pStyle w:val="48"/>
              <w:contextualSpacing/>
            </w:pPr>
            <w:r>
              <w:rPr>
                <w:rFonts w:hAnsi="宋体"/>
              </w:rPr>
              <w:t>式中：</w:t>
            </w:r>
            <w:r>
              <w:t>ΔM</w:t>
            </w:r>
            <w:r>
              <w:rPr>
                <w:vertAlign w:val="subscript"/>
              </w:rPr>
              <w:t>A</w:t>
            </w:r>
            <w:r>
              <w:t>——</w:t>
            </w:r>
            <w:r>
              <w:rPr>
                <w:rFonts w:hAnsi="宋体"/>
              </w:rPr>
              <w:t>滤袋破损后增加的烟尘排放量，</w:t>
            </w:r>
            <w:r>
              <w:t>g/s</w:t>
            </w:r>
            <w:r>
              <w:rPr>
                <w:rFonts w:hAnsi="宋体"/>
              </w:rPr>
              <w:t>；</w:t>
            </w:r>
          </w:p>
          <w:p>
            <w:pPr>
              <w:pStyle w:val="48"/>
              <w:ind w:firstLine="1200" w:firstLineChars="500"/>
              <w:contextualSpacing/>
            </w:pPr>
            <w:r>
              <w:t>ρd——</w:t>
            </w:r>
            <w:r>
              <w:rPr>
                <w:rFonts w:hAnsi="宋体"/>
              </w:rPr>
              <w:t>原烟气含尘质量浓度，</w:t>
            </w:r>
            <w:r>
              <w:t>g/m</w:t>
            </w:r>
            <w:r>
              <w:rPr>
                <w:vertAlign w:val="superscript"/>
              </w:rPr>
              <w:t>3</w:t>
            </w:r>
            <w:r>
              <w:rPr>
                <w:rFonts w:hint="eastAsia"/>
              </w:rPr>
              <w:t>；</w:t>
            </w:r>
          </w:p>
          <w:p>
            <w:pPr>
              <w:pStyle w:val="48"/>
              <w:ind w:firstLine="1200" w:firstLineChars="500"/>
              <w:contextualSpacing/>
            </w:pPr>
            <w:r>
              <w:t>S——</w:t>
            </w:r>
            <w:r>
              <w:rPr>
                <w:rFonts w:hAnsi="宋体"/>
              </w:rPr>
              <w:t>滤袋破口面积，</w:t>
            </w:r>
            <w:r>
              <w:t>m</w:t>
            </w:r>
            <w:r>
              <w:rPr>
                <w:vertAlign w:val="superscript"/>
              </w:rPr>
              <w:t>2</w:t>
            </w:r>
            <w:r>
              <w:rPr>
                <w:rFonts w:hAnsi="宋体"/>
              </w:rPr>
              <w:t>；取</w:t>
            </w:r>
            <w:r>
              <w:t>0.0</w:t>
            </w:r>
            <w:r>
              <w:rPr>
                <w:rFonts w:hint="eastAsia"/>
              </w:rPr>
              <w:t>1</w:t>
            </w:r>
            <w:r>
              <w:t>m</w:t>
            </w:r>
            <w:r>
              <w:rPr>
                <w:vertAlign w:val="superscript"/>
              </w:rPr>
              <w:t>2</w:t>
            </w:r>
            <w:r>
              <w:rPr>
                <w:rFonts w:hint="eastAsia"/>
              </w:rPr>
              <w:t>；</w:t>
            </w:r>
          </w:p>
          <w:p>
            <w:pPr>
              <w:pStyle w:val="48"/>
              <w:ind w:firstLine="1200" w:firstLineChars="500"/>
              <w:jc w:val="left"/>
              <w:rPr>
                <w:rFonts w:hAnsi="宋体"/>
              </w:rPr>
            </w:pPr>
            <w:r>
              <w:t>v——</w:t>
            </w:r>
            <w:r>
              <w:rPr>
                <w:rFonts w:hAnsi="宋体"/>
              </w:rPr>
              <w:t>滤袋破洞处烟气流速，</w:t>
            </w:r>
            <w:r>
              <w:t>m/s</w:t>
            </w:r>
            <w:r>
              <w:rPr>
                <w:rFonts w:hAnsi="宋体"/>
              </w:rPr>
              <w:t>，取</w:t>
            </w:r>
            <w:r>
              <w:rPr>
                <w:rFonts w:hint="eastAsia"/>
              </w:rPr>
              <w:t>16</w:t>
            </w:r>
            <w:r>
              <w:t>m/s</w:t>
            </w:r>
            <w:r>
              <w:rPr>
                <w:rFonts w:hAnsi="宋体"/>
              </w:rPr>
              <w:t>。</w:t>
            </w:r>
          </w:p>
          <w:p>
            <w:pPr>
              <w:pStyle w:val="48"/>
              <w:ind w:firstLine="482"/>
              <w:jc w:val="center"/>
              <w:rPr>
                <w:b/>
                <w:bCs/>
                <w:kern w:val="0"/>
              </w:rPr>
            </w:pPr>
            <w:r>
              <w:rPr>
                <w:rFonts w:hint="eastAsia"/>
                <w:b/>
                <w:bCs/>
                <w:kern w:val="0"/>
              </w:rPr>
              <w:t>表4-5污染源非正常排放核算表</w:t>
            </w:r>
          </w:p>
          <w:tbl>
            <w:tblPr>
              <w:tblStyle w:val="21"/>
              <w:tblW w:w="843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878"/>
              <w:gridCol w:w="1346"/>
              <w:gridCol w:w="1880"/>
              <w:gridCol w:w="1128"/>
              <w:gridCol w:w="11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jc w:val="center"/>
                    <w:rPr>
                      <w:kern w:val="0"/>
                      <w:szCs w:val="21"/>
                    </w:rPr>
                  </w:pPr>
                  <w:r>
                    <w:rPr>
                      <w:rFonts w:hint="eastAsia"/>
                      <w:kern w:val="0"/>
                      <w:szCs w:val="21"/>
                    </w:rPr>
                    <w:t>污染源</w:t>
                  </w:r>
                </w:p>
              </w:tc>
              <w:tc>
                <w:tcPr>
                  <w:tcW w:w="1878" w:type="dxa"/>
                  <w:vAlign w:val="center"/>
                </w:tcPr>
                <w:p>
                  <w:pPr>
                    <w:jc w:val="center"/>
                    <w:rPr>
                      <w:kern w:val="0"/>
                      <w:szCs w:val="21"/>
                    </w:rPr>
                  </w:pPr>
                  <w:r>
                    <w:rPr>
                      <w:rFonts w:hint="eastAsia"/>
                      <w:kern w:val="0"/>
                      <w:szCs w:val="21"/>
                    </w:rPr>
                    <w:t>非正常排放原因</w:t>
                  </w:r>
                </w:p>
              </w:tc>
              <w:tc>
                <w:tcPr>
                  <w:tcW w:w="1346" w:type="dxa"/>
                  <w:vAlign w:val="center"/>
                </w:tcPr>
                <w:p>
                  <w:pPr>
                    <w:jc w:val="center"/>
                    <w:rPr>
                      <w:kern w:val="0"/>
                      <w:szCs w:val="21"/>
                    </w:rPr>
                  </w:pPr>
                  <w:r>
                    <w:rPr>
                      <w:rFonts w:hint="eastAsia"/>
                      <w:kern w:val="0"/>
                      <w:szCs w:val="21"/>
                    </w:rPr>
                    <w:t>污染物</w:t>
                  </w:r>
                </w:p>
              </w:tc>
              <w:tc>
                <w:tcPr>
                  <w:tcW w:w="1880" w:type="dxa"/>
                  <w:vAlign w:val="center"/>
                </w:tcPr>
                <w:p>
                  <w:pPr>
                    <w:jc w:val="center"/>
                    <w:rPr>
                      <w:kern w:val="0"/>
                      <w:szCs w:val="21"/>
                    </w:rPr>
                  </w:pPr>
                  <w:r>
                    <w:rPr>
                      <w:rFonts w:hint="eastAsia"/>
                      <w:kern w:val="0"/>
                      <w:szCs w:val="21"/>
                    </w:rPr>
                    <w:t>非正常排放速率</w:t>
                  </w:r>
                  <w:r>
                    <w:rPr>
                      <w:kern w:val="0"/>
                      <w:szCs w:val="21"/>
                    </w:rPr>
                    <w:t>/kg/h</w:t>
                  </w:r>
                </w:p>
              </w:tc>
              <w:tc>
                <w:tcPr>
                  <w:tcW w:w="1128" w:type="dxa"/>
                  <w:vAlign w:val="center"/>
                </w:tcPr>
                <w:p>
                  <w:pPr>
                    <w:jc w:val="center"/>
                    <w:rPr>
                      <w:kern w:val="0"/>
                      <w:szCs w:val="21"/>
                    </w:rPr>
                  </w:pPr>
                  <w:r>
                    <w:rPr>
                      <w:rFonts w:hint="eastAsia"/>
                      <w:kern w:val="0"/>
                      <w:szCs w:val="21"/>
                    </w:rPr>
                    <w:t>单次持续时间</w:t>
                  </w:r>
                  <w:r>
                    <w:rPr>
                      <w:kern w:val="0"/>
                      <w:szCs w:val="21"/>
                    </w:rPr>
                    <w:t>/h</w:t>
                  </w:r>
                </w:p>
              </w:tc>
              <w:tc>
                <w:tcPr>
                  <w:tcW w:w="1128" w:type="dxa"/>
                  <w:vAlign w:val="center"/>
                </w:tcPr>
                <w:p>
                  <w:pPr>
                    <w:jc w:val="center"/>
                    <w:rPr>
                      <w:kern w:val="0"/>
                      <w:szCs w:val="21"/>
                    </w:rPr>
                  </w:pPr>
                  <w:r>
                    <w:rPr>
                      <w:rFonts w:hint="eastAsia"/>
                      <w:kern w:val="0"/>
                      <w:szCs w:val="21"/>
                    </w:rPr>
                    <w:t>年发生频次</w:t>
                  </w:r>
                  <w:r>
                    <w:rPr>
                      <w:kern w:val="0"/>
                      <w:szCs w:val="21"/>
                    </w:rPr>
                    <w:t>/</w:t>
                  </w:r>
                  <w:r>
                    <w:rPr>
                      <w:rFonts w:hint="eastAsia"/>
                      <w:kern w:val="0"/>
                      <w:szCs w:val="21"/>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9" w:hRule="atLeast"/>
              </w:trPr>
              <w:tc>
                <w:tcPr>
                  <w:tcW w:w="1071"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1#排气筒</w:t>
                  </w:r>
                </w:p>
              </w:tc>
              <w:tc>
                <w:tcPr>
                  <w:tcW w:w="1878" w:type="dxa"/>
                  <w:vMerge w:val="restart"/>
                  <w:vAlign w:val="center"/>
                </w:tcPr>
                <w:p>
                  <w:pPr>
                    <w:jc w:val="center"/>
                    <w:rPr>
                      <w:kern w:val="0"/>
                      <w:szCs w:val="21"/>
                    </w:rPr>
                  </w:pPr>
                  <w:r>
                    <w:rPr>
                      <w:rFonts w:hint="eastAsia"/>
                      <w:szCs w:val="21"/>
                    </w:rPr>
                    <w:t>环保设备设备不能正常运转时</w:t>
                  </w:r>
                </w:p>
              </w:tc>
              <w:tc>
                <w:tcPr>
                  <w:tcW w:w="1346" w:type="dxa"/>
                  <w:vAlign w:val="center"/>
                </w:tcPr>
                <w:p>
                  <w:pPr>
                    <w:jc w:val="center"/>
                    <w:rPr>
                      <w:kern w:val="0"/>
                      <w:szCs w:val="21"/>
                    </w:rPr>
                  </w:pPr>
                  <w:r>
                    <w:rPr>
                      <w:kern w:val="0"/>
                      <w:szCs w:val="21"/>
                    </w:rPr>
                    <w:t>颗粒物</w:t>
                  </w:r>
                </w:p>
              </w:tc>
              <w:tc>
                <w:tcPr>
                  <w:tcW w:w="1880" w:type="dxa"/>
                  <w:vAlign w:val="center"/>
                </w:tcPr>
                <w:p>
                  <w:pPr>
                    <w:jc w:val="center"/>
                    <w:rPr>
                      <w:kern w:val="0"/>
                      <w:szCs w:val="21"/>
                    </w:rPr>
                  </w:pPr>
                  <w:r>
                    <w:rPr>
                      <w:rFonts w:hint="eastAsia"/>
                      <w:kern w:val="0"/>
                      <w:szCs w:val="21"/>
                    </w:rPr>
                    <w:t>0.44</w:t>
                  </w:r>
                </w:p>
              </w:tc>
              <w:tc>
                <w:tcPr>
                  <w:tcW w:w="1128" w:type="dxa"/>
                  <w:vMerge w:val="restart"/>
                  <w:vAlign w:val="center"/>
                </w:tcPr>
                <w:p>
                  <w:pPr>
                    <w:jc w:val="center"/>
                    <w:rPr>
                      <w:szCs w:val="21"/>
                    </w:rPr>
                  </w:pPr>
                  <w:r>
                    <w:rPr>
                      <w:rFonts w:hint="eastAsia"/>
                      <w:szCs w:val="21"/>
                    </w:rPr>
                    <w:t>＜</w:t>
                  </w:r>
                  <w:r>
                    <w:rPr>
                      <w:szCs w:val="21"/>
                    </w:rPr>
                    <w:t>1</w:t>
                  </w:r>
                </w:p>
              </w:tc>
              <w:tc>
                <w:tcPr>
                  <w:tcW w:w="1128" w:type="dxa"/>
                  <w:vMerge w:val="restart"/>
                  <w:vAlign w:val="center"/>
                </w:tcPr>
                <w:p>
                  <w:pPr>
                    <w:jc w:val="center"/>
                    <w:rPr>
                      <w:szCs w:val="21"/>
                    </w:rPr>
                  </w:pPr>
                  <w:r>
                    <w:rPr>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9" w:hRule="atLeast"/>
              </w:trPr>
              <w:tc>
                <w:tcPr>
                  <w:tcW w:w="1071" w:type="dxa"/>
                  <w:vAlign w:val="center"/>
                </w:tcPr>
                <w:p>
                  <w:pPr>
                    <w:autoSpaceDE w:val="0"/>
                    <w:autoSpaceDN w:val="0"/>
                    <w:contextualSpacing/>
                    <w:jc w:val="center"/>
                    <w:rPr>
                      <w:rFonts w:eastAsiaTheme="minorEastAsia"/>
                      <w:szCs w:val="21"/>
                    </w:rPr>
                  </w:pPr>
                  <w:r>
                    <w:rPr>
                      <w:rFonts w:hint="eastAsia" w:hAnsiTheme="minorEastAsia" w:eastAsiaTheme="minorEastAsia"/>
                      <w:szCs w:val="21"/>
                    </w:rPr>
                    <w:t>2#排气筒</w:t>
                  </w:r>
                </w:p>
              </w:tc>
              <w:tc>
                <w:tcPr>
                  <w:tcW w:w="1878" w:type="dxa"/>
                  <w:vMerge w:val="continue"/>
                  <w:vAlign w:val="center"/>
                </w:tcPr>
                <w:p>
                  <w:pPr>
                    <w:jc w:val="center"/>
                    <w:rPr>
                      <w:szCs w:val="21"/>
                    </w:rPr>
                  </w:pPr>
                </w:p>
              </w:tc>
              <w:tc>
                <w:tcPr>
                  <w:tcW w:w="1346" w:type="dxa"/>
                  <w:vAlign w:val="center"/>
                </w:tcPr>
                <w:p>
                  <w:pPr>
                    <w:jc w:val="center"/>
                    <w:rPr>
                      <w:kern w:val="0"/>
                      <w:szCs w:val="21"/>
                    </w:rPr>
                  </w:pPr>
                  <w:r>
                    <w:rPr>
                      <w:rFonts w:hint="eastAsia"/>
                      <w:kern w:val="0"/>
                      <w:szCs w:val="21"/>
                    </w:rPr>
                    <w:t>非甲烷总烃</w:t>
                  </w:r>
                </w:p>
              </w:tc>
              <w:tc>
                <w:tcPr>
                  <w:tcW w:w="1880" w:type="dxa"/>
                  <w:vAlign w:val="center"/>
                </w:tcPr>
                <w:p>
                  <w:pPr>
                    <w:jc w:val="center"/>
                    <w:rPr>
                      <w:kern w:val="0"/>
                      <w:szCs w:val="21"/>
                    </w:rPr>
                  </w:pPr>
                  <w:r>
                    <w:rPr>
                      <w:rFonts w:hint="eastAsia"/>
                      <w:kern w:val="0"/>
                      <w:szCs w:val="21"/>
                    </w:rPr>
                    <w:t>0.035</w:t>
                  </w:r>
                </w:p>
              </w:tc>
              <w:tc>
                <w:tcPr>
                  <w:tcW w:w="1128" w:type="dxa"/>
                  <w:vMerge w:val="continue"/>
                  <w:vAlign w:val="center"/>
                </w:tcPr>
                <w:p>
                  <w:pPr>
                    <w:jc w:val="center"/>
                    <w:rPr>
                      <w:szCs w:val="21"/>
                    </w:rPr>
                  </w:pPr>
                </w:p>
              </w:tc>
              <w:tc>
                <w:tcPr>
                  <w:tcW w:w="1128" w:type="dxa"/>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9" w:hRule="atLeast"/>
              </w:trPr>
              <w:tc>
                <w:tcPr>
                  <w:tcW w:w="1071" w:type="dxa"/>
                  <w:vAlign w:val="center"/>
                </w:tcPr>
                <w:p>
                  <w:pPr>
                    <w:autoSpaceDE w:val="0"/>
                    <w:autoSpaceDN w:val="0"/>
                    <w:contextualSpacing/>
                    <w:jc w:val="center"/>
                    <w:rPr>
                      <w:rFonts w:hAnsiTheme="minorEastAsia" w:eastAsiaTheme="minorEastAsia"/>
                      <w:szCs w:val="21"/>
                    </w:rPr>
                  </w:pPr>
                  <w:r>
                    <w:rPr>
                      <w:rFonts w:hint="eastAsia" w:hAnsiTheme="minorEastAsia" w:eastAsiaTheme="minorEastAsia"/>
                      <w:szCs w:val="21"/>
                    </w:rPr>
                    <w:t>3#排气筒</w:t>
                  </w:r>
                </w:p>
              </w:tc>
              <w:tc>
                <w:tcPr>
                  <w:tcW w:w="1878" w:type="dxa"/>
                  <w:vMerge w:val="continue"/>
                  <w:vAlign w:val="center"/>
                </w:tcPr>
                <w:p>
                  <w:pPr>
                    <w:jc w:val="center"/>
                    <w:rPr>
                      <w:szCs w:val="21"/>
                    </w:rPr>
                  </w:pPr>
                </w:p>
              </w:tc>
              <w:tc>
                <w:tcPr>
                  <w:tcW w:w="1346" w:type="dxa"/>
                  <w:vAlign w:val="center"/>
                </w:tcPr>
                <w:p>
                  <w:pPr>
                    <w:jc w:val="center"/>
                    <w:rPr>
                      <w:kern w:val="0"/>
                      <w:szCs w:val="21"/>
                    </w:rPr>
                  </w:pPr>
                  <w:r>
                    <w:rPr>
                      <w:rFonts w:hint="eastAsia"/>
                      <w:kern w:val="0"/>
                      <w:szCs w:val="21"/>
                    </w:rPr>
                    <w:t>非甲烷总烃</w:t>
                  </w:r>
                </w:p>
              </w:tc>
              <w:tc>
                <w:tcPr>
                  <w:tcW w:w="1880" w:type="dxa"/>
                  <w:vAlign w:val="center"/>
                </w:tcPr>
                <w:p>
                  <w:pPr>
                    <w:jc w:val="center"/>
                    <w:rPr>
                      <w:kern w:val="0"/>
                      <w:szCs w:val="21"/>
                    </w:rPr>
                  </w:pPr>
                  <w:r>
                    <w:rPr>
                      <w:rFonts w:hint="eastAsia"/>
                      <w:kern w:val="0"/>
                      <w:szCs w:val="21"/>
                    </w:rPr>
                    <w:t>0.0005</w:t>
                  </w:r>
                </w:p>
              </w:tc>
              <w:tc>
                <w:tcPr>
                  <w:tcW w:w="1128" w:type="dxa"/>
                  <w:vMerge w:val="continue"/>
                  <w:vAlign w:val="center"/>
                </w:tcPr>
                <w:p>
                  <w:pPr>
                    <w:jc w:val="center"/>
                    <w:rPr>
                      <w:szCs w:val="21"/>
                    </w:rPr>
                  </w:pPr>
                </w:p>
              </w:tc>
              <w:tc>
                <w:tcPr>
                  <w:tcW w:w="1128" w:type="dxa"/>
                  <w:vMerge w:val="continue"/>
                  <w:vAlign w:val="center"/>
                </w:tcPr>
                <w:p>
                  <w:pPr>
                    <w:jc w:val="center"/>
                    <w:rPr>
                      <w:szCs w:val="21"/>
                    </w:rPr>
                  </w:pPr>
                </w:p>
              </w:tc>
            </w:tr>
          </w:tbl>
          <w:p>
            <w:pPr>
              <w:spacing w:line="360" w:lineRule="auto"/>
              <w:ind w:firstLine="482" w:firstLineChars="200"/>
              <w:contextualSpacing/>
              <w:rPr>
                <w:rFonts w:eastAsiaTheme="minorEastAsia"/>
                <w:b/>
                <w:bCs/>
                <w:sz w:val="24"/>
              </w:rPr>
            </w:pPr>
            <w:r>
              <w:rPr>
                <w:rFonts w:eastAsiaTheme="minorEastAsia"/>
                <w:b/>
                <w:bCs/>
                <w:sz w:val="24"/>
              </w:rPr>
              <w:t>3</w:t>
            </w:r>
            <w:r>
              <w:rPr>
                <w:rFonts w:hint="eastAsia" w:eastAsiaTheme="minorEastAsia"/>
                <w:b/>
                <w:bCs/>
                <w:sz w:val="24"/>
              </w:rPr>
              <w:t>、达标排放分析</w:t>
            </w:r>
          </w:p>
          <w:p>
            <w:pPr>
              <w:spacing w:line="360" w:lineRule="auto"/>
              <w:ind w:firstLine="480" w:firstLineChars="200"/>
              <w:contextualSpacing/>
              <w:jc w:val="left"/>
              <w:rPr>
                <w:rFonts w:eastAsiaTheme="minorEastAsia"/>
                <w:sz w:val="24"/>
              </w:rPr>
            </w:pPr>
            <w:r>
              <w:rPr>
                <w:rFonts w:hint="eastAsia" w:eastAsiaTheme="minorEastAsia"/>
                <w:sz w:val="24"/>
              </w:rPr>
              <w:t>本项目在油液排空工位设置集气罩，废气集中收集后经二级活性炭吸附装置处理后由</w:t>
            </w:r>
            <w:r>
              <w:rPr>
                <w:rFonts w:eastAsiaTheme="minorEastAsia"/>
                <w:sz w:val="24"/>
              </w:rPr>
              <w:t>15m</w:t>
            </w:r>
            <w:r>
              <w:rPr>
                <w:rFonts w:hint="eastAsia" w:eastAsiaTheme="minorEastAsia"/>
                <w:sz w:val="24"/>
              </w:rPr>
              <w:t>高1#排气筒排放，收集效率</w:t>
            </w:r>
            <w:r>
              <w:rPr>
                <w:rFonts w:eastAsiaTheme="minorEastAsia"/>
                <w:sz w:val="24"/>
              </w:rPr>
              <w:t>90%</w:t>
            </w:r>
            <w:r>
              <w:rPr>
                <w:rFonts w:hint="eastAsia" w:eastAsiaTheme="minorEastAsia"/>
                <w:sz w:val="24"/>
              </w:rPr>
              <w:t>，</w:t>
            </w:r>
            <w:r>
              <w:rPr>
                <w:rFonts w:hint="eastAsia" w:eastAsiaTheme="minorEastAsia"/>
                <w:bCs/>
                <w:sz w:val="24"/>
              </w:rPr>
              <w:t>去除率75</w:t>
            </w:r>
            <w:r>
              <w:rPr>
                <w:rFonts w:eastAsiaTheme="minorEastAsia"/>
                <w:bCs/>
                <w:sz w:val="24"/>
              </w:rPr>
              <w:t>%，</w:t>
            </w:r>
            <w:r>
              <w:rPr>
                <w:rFonts w:hint="eastAsia" w:eastAsiaTheme="minorEastAsia"/>
                <w:sz w:val="24"/>
              </w:rPr>
              <w:t>排放速率</w:t>
            </w:r>
            <w:r>
              <w:rPr>
                <w:rFonts w:eastAsiaTheme="minorEastAsia"/>
                <w:sz w:val="24"/>
              </w:rPr>
              <w:t>0.</w:t>
            </w:r>
            <w:r>
              <w:rPr>
                <w:rFonts w:hint="eastAsia" w:eastAsiaTheme="minorEastAsia"/>
                <w:sz w:val="24"/>
              </w:rPr>
              <w:t>02</w:t>
            </w:r>
            <w:r>
              <w:rPr>
                <w:rFonts w:eastAsiaTheme="minorEastAsia"/>
                <w:sz w:val="24"/>
              </w:rPr>
              <w:t>kg/h</w:t>
            </w:r>
            <w:r>
              <w:rPr>
                <w:rFonts w:hint="eastAsia" w:eastAsiaTheme="minorEastAsia"/>
                <w:sz w:val="24"/>
              </w:rPr>
              <w:t>，</w:t>
            </w:r>
            <w:r>
              <w:rPr>
                <w:rFonts w:hint="eastAsia" w:eastAsiaTheme="minorEastAsia"/>
                <w:kern w:val="0"/>
                <w:sz w:val="24"/>
              </w:rPr>
              <w:t>排放浓度20</w:t>
            </w:r>
            <w:r>
              <w:rPr>
                <w:rFonts w:eastAsiaTheme="minorEastAsia"/>
                <w:kern w:val="0"/>
                <w:sz w:val="24"/>
              </w:rPr>
              <w:t>mg/m</w:t>
            </w:r>
            <w:r>
              <w:rPr>
                <w:rFonts w:eastAsiaTheme="minorEastAsia"/>
                <w:kern w:val="0"/>
                <w:sz w:val="24"/>
                <w:vertAlign w:val="superscript"/>
              </w:rPr>
              <w:t>3</w:t>
            </w:r>
            <w:r>
              <w:rPr>
                <w:rFonts w:hint="eastAsia" w:eastAsiaTheme="minorEastAsia"/>
                <w:sz w:val="24"/>
              </w:rPr>
              <w:t>，危险废物贮存库采取负压收集方式，经二级活性炭吸附装置处理后由15m高3#排气筒排放，收集效率90%，处理效率75%，排放速率</w:t>
            </w:r>
            <w:r>
              <w:rPr>
                <w:rFonts w:eastAsiaTheme="minorEastAsia"/>
                <w:sz w:val="24"/>
              </w:rPr>
              <w:t>0.</w:t>
            </w:r>
            <w:r>
              <w:rPr>
                <w:rFonts w:hint="eastAsia" w:eastAsiaTheme="minorEastAsia"/>
                <w:sz w:val="24"/>
              </w:rPr>
              <w:t>0003</w:t>
            </w:r>
            <w:r>
              <w:rPr>
                <w:rFonts w:eastAsiaTheme="minorEastAsia"/>
                <w:sz w:val="24"/>
              </w:rPr>
              <w:t>kg/h</w:t>
            </w:r>
            <w:r>
              <w:rPr>
                <w:rFonts w:hint="eastAsia" w:eastAsiaTheme="minorEastAsia"/>
                <w:sz w:val="24"/>
              </w:rPr>
              <w:t>，排放浓度0.3</w:t>
            </w:r>
            <w:r>
              <w:rPr>
                <w:rFonts w:eastAsiaTheme="minorEastAsia"/>
                <w:sz w:val="24"/>
              </w:rPr>
              <w:t>mg/m</w:t>
            </w:r>
            <w:r>
              <w:rPr>
                <w:rFonts w:eastAsiaTheme="minorEastAsia"/>
                <w:sz w:val="24"/>
                <w:vertAlign w:val="superscript"/>
              </w:rPr>
              <w:t>3</w:t>
            </w:r>
            <w:r>
              <w:rPr>
                <w:rFonts w:hint="eastAsia" w:eastAsiaTheme="minorEastAsia"/>
                <w:sz w:val="24"/>
              </w:rPr>
              <w:t>，满足</w:t>
            </w:r>
            <w:r>
              <w:rPr>
                <w:rFonts w:hint="eastAsia" w:eastAsiaTheme="minorEastAsia"/>
                <w:bCs/>
                <w:sz w:val="24"/>
              </w:rPr>
              <w:t>《大气污染物综合排放标准》（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排放限值</w:t>
            </w:r>
            <w:r>
              <w:rPr>
                <w:rFonts w:hint="eastAsia" w:eastAsiaTheme="minorEastAsia"/>
                <w:sz w:val="24"/>
              </w:rPr>
              <w:t>，</w:t>
            </w:r>
            <w:r>
              <w:rPr>
                <w:rFonts w:hint="eastAsia" w:eastAsiaTheme="minorEastAsia"/>
                <w:kern w:val="0"/>
                <w:sz w:val="24"/>
              </w:rPr>
              <w:t>无组织非甲烷总烃排放量为</w:t>
            </w:r>
            <w:r>
              <w:rPr>
                <w:rFonts w:eastAsiaTheme="minorEastAsia"/>
                <w:kern w:val="0"/>
                <w:sz w:val="24"/>
              </w:rPr>
              <w:t>0.00</w:t>
            </w:r>
            <w:r>
              <w:rPr>
                <w:rFonts w:hint="eastAsia" w:eastAsiaTheme="minorEastAsia"/>
                <w:kern w:val="0"/>
                <w:sz w:val="24"/>
              </w:rPr>
              <w:t>11</w:t>
            </w:r>
            <w:r>
              <w:rPr>
                <w:rFonts w:eastAsiaTheme="minorEastAsia"/>
                <w:kern w:val="0"/>
                <w:sz w:val="24"/>
              </w:rPr>
              <w:t>t/a</w:t>
            </w:r>
            <w:r>
              <w:rPr>
                <w:rFonts w:hint="eastAsia" w:eastAsiaTheme="minorEastAsia"/>
                <w:sz w:val="24"/>
              </w:rPr>
              <w:t>，厂界非甲烷总烃满足</w:t>
            </w:r>
            <w:r>
              <w:rPr>
                <w:rFonts w:hint="eastAsia" w:eastAsiaTheme="minorEastAsia"/>
                <w:bCs/>
                <w:sz w:val="24"/>
              </w:rPr>
              <w:t>《大气污染物综合排放标准》（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中二级排放限值，</w:t>
            </w:r>
            <w:r>
              <w:rPr>
                <w:rFonts w:hint="eastAsia" w:eastAsiaTheme="minorEastAsia"/>
                <w:sz w:val="24"/>
              </w:rPr>
              <w:t>厂区内挥发性有机物无组织排放监控点浓度执行《挥发性有机物无组织排放控制标准》（</w:t>
            </w:r>
            <w:r>
              <w:rPr>
                <w:rFonts w:eastAsiaTheme="minorEastAsia"/>
                <w:sz w:val="24"/>
              </w:rPr>
              <w:t>GB37822-2019</w:t>
            </w:r>
            <w:r>
              <w:rPr>
                <w:rFonts w:hint="eastAsia" w:eastAsiaTheme="minorEastAsia"/>
                <w:sz w:val="24"/>
              </w:rPr>
              <w:t>）中表</w:t>
            </w:r>
            <w:r>
              <w:rPr>
                <w:rFonts w:eastAsiaTheme="minorEastAsia"/>
                <w:sz w:val="24"/>
              </w:rPr>
              <w:t>A.1</w:t>
            </w:r>
            <w:r>
              <w:rPr>
                <w:rFonts w:hint="eastAsia" w:eastAsiaTheme="minorEastAsia"/>
                <w:sz w:val="24"/>
              </w:rPr>
              <w:t>规定的限值。</w:t>
            </w:r>
            <w:r>
              <w:rPr>
                <w:rFonts w:hint="eastAsia" w:eastAsiaTheme="minorEastAsia"/>
                <w:kern w:val="0"/>
                <w:sz w:val="24"/>
              </w:rPr>
              <w:t>在切割工位设置集气罩，颗粒物集中收集后经布袋除尘器处理</w:t>
            </w:r>
            <w:r>
              <w:rPr>
                <w:rFonts w:hint="eastAsia" w:eastAsiaTheme="minorEastAsia"/>
                <w:sz w:val="24"/>
              </w:rPr>
              <w:t>由</w:t>
            </w:r>
            <w:r>
              <w:rPr>
                <w:rFonts w:eastAsiaTheme="minorEastAsia"/>
                <w:sz w:val="24"/>
              </w:rPr>
              <w:t>15m</w:t>
            </w:r>
            <w:r>
              <w:rPr>
                <w:rFonts w:hint="eastAsia" w:eastAsiaTheme="minorEastAsia"/>
                <w:sz w:val="24"/>
              </w:rPr>
              <w:t>高2#排气筒排放，收集效率</w:t>
            </w:r>
            <w:r>
              <w:rPr>
                <w:rFonts w:eastAsiaTheme="minorEastAsia"/>
                <w:sz w:val="24"/>
              </w:rPr>
              <w:t>90%</w:t>
            </w:r>
            <w:r>
              <w:rPr>
                <w:rFonts w:hint="eastAsia" w:eastAsiaTheme="minorEastAsia"/>
                <w:sz w:val="24"/>
              </w:rPr>
              <w:t>，</w:t>
            </w:r>
            <w:r>
              <w:rPr>
                <w:rFonts w:hint="eastAsia" w:eastAsiaTheme="minorEastAsia"/>
                <w:bCs/>
                <w:sz w:val="24"/>
              </w:rPr>
              <w:t>去除率99</w:t>
            </w:r>
            <w:r>
              <w:rPr>
                <w:rFonts w:eastAsiaTheme="minorEastAsia"/>
                <w:bCs/>
                <w:sz w:val="24"/>
              </w:rPr>
              <w:t>%，</w:t>
            </w:r>
            <w:r>
              <w:rPr>
                <w:rFonts w:hint="eastAsia" w:eastAsiaTheme="minorEastAsia"/>
                <w:sz w:val="24"/>
              </w:rPr>
              <w:t>排气筒排放速率</w:t>
            </w:r>
            <w:r>
              <w:rPr>
                <w:rFonts w:eastAsiaTheme="minorEastAsia"/>
                <w:sz w:val="24"/>
              </w:rPr>
              <w:t>0.</w:t>
            </w:r>
            <w:r>
              <w:rPr>
                <w:rFonts w:hint="eastAsia" w:eastAsiaTheme="minorEastAsia"/>
                <w:sz w:val="24"/>
              </w:rPr>
              <w:t>05</w:t>
            </w:r>
            <w:r>
              <w:rPr>
                <w:rFonts w:eastAsiaTheme="minorEastAsia"/>
                <w:sz w:val="24"/>
              </w:rPr>
              <w:t>kg/h</w:t>
            </w:r>
            <w:r>
              <w:rPr>
                <w:rFonts w:hint="eastAsia" w:eastAsiaTheme="minorEastAsia"/>
                <w:sz w:val="24"/>
              </w:rPr>
              <w:t>，</w:t>
            </w:r>
            <w:r>
              <w:rPr>
                <w:rFonts w:hint="eastAsia" w:eastAsiaTheme="minorEastAsia"/>
                <w:kern w:val="0"/>
                <w:sz w:val="24"/>
              </w:rPr>
              <w:t>排放浓度5</w:t>
            </w:r>
            <w:r>
              <w:rPr>
                <w:rFonts w:eastAsiaTheme="minorEastAsia"/>
                <w:kern w:val="0"/>
                <w:sz w:val="24"/>
              </w:rPr>
              <w:t>mg/m</w:t>
            </w:r>
            <w:r>
              <w:rPr>
                <w:rFonts w:eastAsiaTheme="minorEastAsia"/>
                <w:kern w:val="0"/>
                <w:sz w:val="24"/>
                <w:vertAlign w:val="superscript"/>
              </w:rPr>
              <w:t>3</w:t>
            </w:r>
            <w:r>
              <w:rPr>
                <w:rFonts w:hint="eastAsia" w:eastAsiaTheme="minorEastAsia"/>
                <w:kern w:val="0"/>
                <w:sz w:val="24"/>
              </w:rPr>
              <w:t>，</w:t>
            </w:r>
            <w:r>
              <w:rPr>
                <w:rFonts w:hint="eastAsia" w:eastAsiaTheme="minorEastAsia"/>
                <w:sz w:val="24"/>
              </w:rPr>
              <w:t>满足</w:t>
            </w:r>
            <w:r>
              <w:rPr>
                <w:rFonts w:hint="eastAsia" w:eastAsiaTheme="minorEastAsia"/>
                <w:bCs/>
                <w:sz w:val="24"/>
              </w:rPr>
              <w:t>《大气污染物综合排放标准》（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排放限值</w:t>
            </w:r>
            <w:r>
              <w:rPr>
                <w:rFonts w:hint="eastAsia" w:eastAsiaTheme="minorEastAsia"/>
                <w:sz w:val="24"/>
              </w:rPr>
              <w:t>，</w:t>
            </w:r>
            <w:r>
              <w:rPr>
                <w:rFonts w:hint="eastAsia" w:eastAsiaTheme="minorEastAsia"/>
                <w:kern w:val="0"/>
                <w:sz w:val="24"/>
              </w:rPr>
              <w:t>无组织排放量为</w:t>
            </w:r>
            <w:r>
              <w:rPr>
                <w:rFonts w:eastAsiaTheme="minorEastAsia"/>
                <w:kern w:val="0"/>
                <w:sz w:val="24"/>
              </w:rPr>
              <w:t>0.</w:t>
            </w:r>
            <w:r>
              <w:rPr>
                <w:rFonts w:hint="eastAsia" w:eastAsiaTheme="minorEastAsia"/>
                <w:kern w:val="0"/>
                <w:sz w:val="24"/>
              </w:rPr>
              <w:t>11</w:t>
            </w:r>
            <w:r>
              <w:rPr>
                <w:rFonts w:eastAsiaTheme="minorEastAsia"/>
                <w:kern w:val="0"/>
                <w:sz w:val="24"/>
              </w:rPr>
              <w:t>t/a</w:t>
            </w:r>
            <w:r>
              <w:rPr>
                <w:rFonts w:hint="eastAsia" w:eastAsiaTheme="minorEastAsia"/>
                <w:kern w:val="0"/>
                <w:sz w:val="24"/>
              </w:rPr>
              <w:t>。</w:t>
            </w:r>
            <w:r>
              <w:rPr>
                <w:rFonts w:hint="eastAsia" w:eastAsiaTheme="minorEastAsia"/>
                <w:sz w:val="24"/>
              </w:rPr>
              <w:t>厂界颗粒物排放浓度满足《大气污染物综合排放标准》</w:t>
            </w:r>
            <w:r>
              <w:rPr>
                <w:rFonts w:eastAsiaTheme="minorEastAsia"/>
                <w:sz w:val="24"/>
              </w:rPr>
              <w:t>(GB16297-1996)</w:t>
            </w:r>
            <w:r>
              <w:rPr>
                <w:rFonts w:hint="eastAsia" w:eastAsiaTheme="minorEastAsia"/>
                <w:sz w:val="24"/>
              </w:rPr>
              <w:t>中表</w:t>
            </w:r>
            <w:r>
              <w:rPr>
                <w:rFonts w:eastAsiaTheme="minorEastAsia"/>
                <w:sz w:val="24"/>
              </w:rPr>
              <w:t>2</w:t>
            </w:r>
            <w:r>
              <w:rPr>
                <w:rFonts w:hint="eastAsia" w:eastAsiaTheme="minorEastAsia"/>
                <w:sz w:val="24"/>
              </w:rPr>
              <w:t>无组织排放浓度限值。</w:t>
            </w:r>
          </w:p>
          <w:p>
            <w:pPr>
              <w:spacing w:line="360" w:lineRule="auto"/>
              <w:ind w:firstLine="482" w:firstLineChars="200"/>
              <w:contextualSpacing/>
              <w:rPr>
                <w:rFonts w:eastAsiaTheme="minorEastAsia"/>
                <w:b/>
                <w:bCs/>
                <w:sz w:val="24"/>
              </w:rPr>
            </w:pPr>
            <w:r>
              <w:rPr>
                <w:rFonts w:eastAsiaTheme="minorEastAsia"/>
                <w:b/>
                <w:bCs/>
                <w:sz w:val="24"/>
              </w:rPr>
              <w:t>4</w:t>
            </w:r>
            <w:r>
              <w:rPr>
                <w:rFonts w:hint="eastAsia" w:eastAsiaTheme="minorEastAsia"/>
                <w:b/>
                <w:bCs/>
                <w:sz w:val="24"/>
              </w:rPr>
              <w:t>、废气排放环境影响</w:t>
            </w:r>
          </w:p>
          <w:p>
            <w:pPr>
              <w:spacing w:line="360" w:lineRule="auto"/>
              <w:ind w:firstLine="480" w:firstLineChars="200"/>
              <w:contextualSpacing/>
              <w:rPr>
                <w:rFonts w:eastAsiaTheme="minorEastAsia"/>
                <w:bCs/>
                <w:sz w:val="24"/>
              </w:rPr>
            </w:pPr>
            <w:r>
              <w:rPr>
                <w:rFonts w:hint="eastAsia" w:eastAsiaTheme="minorEastAsia"/>
                <w:bCs/>
                <w:sz w:val="24"/>
              </w:rPr>
              <w:t>本项目</w:t>
            </w:r>
            <w:r>
              <w:rPr>
                <w:rFonts w:hint="eastAsia" w:eastAsiaTheme="minorEastAsia"/>
                <w:sz w:val="24"/>
              </w:rPr>
              <w:t>所在区域属于环境空气质量达标区域</w:t>
            </w:r>
            <w:r>
              <w:rPr>
                <w:rFonts w:hint="eastAsia" w:eastAsiaTheme="minorEastAsia"/>
                <w:bCs/>
                <w:sz w:val="24"/>
              </w:rPr>
              <w:t>，</w:t>
            </w:r>
            <w:r>
              <w:rPr>
                <w:rFonts w:eastAsiaTheme="minorEastAsia"/>
                <w:bCs/>
                <w:sz w:val="24"/>
              </w:rPr>
              <w:t>500m</w:t>
            </w:r>
            <w:r>
              <w:rPr>
                <w:rFonts w:hint="eastAsia" w:eastAsiaTheme="minorEastAsia"/>
                <w:bCs/>
                <w:sz w:val="24"/>
              </w:rPr>
              <w:t>范围内</w:t>
            </w:r>
            <w:r>
              <w:rPr>
                <w:rFonts w:hint="eastAsia" w:eastAsiaTheme="minorEastAsia"/>
                <w:sz w:val="24"/>
              </w:rPr>
              <w:t>大气环境保护目标为东风村居民。本项目采取的各项大气污染控制措施能够保证污染物排放指标满足排放标准的要求。</w:t>
            </w:r>
            <w:r>
              <w:rPr>
                <w:rFonts w:hint="eastAsia" w:eastAsiaTheme="minorEastAsia"/>
                <w:bCs/>
                <w:sz w:val="24"/>
              </w:rPr>
              <w:t>项目所在区域气象扩散条件较好，因此废气经大气扩散后对环境响较小。</w:t>
            </w:r>
          </w:p>
          <w:p>
            <w:pPr>
              <w:spacing w:line="360" w:lineRule="auto"/>
              <w:ind w:firstLine="482" w:firstLineChars="200"/>
              <w:contextualSpacing/>
              <w:rPr>
                <w:rFonts w:eastAsiaTheme="minorEastAsia"/>
                <w:b/>
                <w:bCs/>
                <w:sz w:val="24"/>
              </w:rPr>
            </w:pPr>
            <w:r>
              <w:rPr>
                <w:rFonts w:hint="eastAsia" w:eastAsiaTheme="minorEastAsia"/>
                <w:b/>
                <w:bCs/>
                <w:sz w:val="24"/>
              </w:rPr>
              <w:t>（二）废水</w:t>
            </w:r>
          </w:p>
          <w:p>
            <w:pPr>
              <w:spacing w:line="360" w:lineRule="auto"/>
              <w:ind w:firstLine="482" w:firstLineChars="200"/>
              <w:contextualSpacing/>
              <w:rPr>
                <w:rFonts w:eastAsiaTheme="minorEastAsia"/>
                <w:b/>
                <w:sz w:val="24"/>
              </w:rPr>
            </w:pPr>
            <w:r>
              <w:rPr>
                <w:rFonts w:eastAsiaTheme="minorEastAsia"/>
                <w:b/>
                <w:sz w:val="24"/>
              </w:rPr>
              <w:t>1</w:t>
            </w:r>
            <w:r>
              <w:rPr>
                <w:rFonts w:hint="eastAsia" w:eastAsiaTheme="minorEastAsia"/>
                <w:b/>
                <w:sz w:val="24"/>
              </w:rPr>
              <w:t>、废水源强</w:t>
            </w:r>
          </w:p>
          <w:p>
            <w:pPr>
              <w:spacing w:line="360" w:lineRule="auto"/>
              <w:ind w:firstLine="480" w:firstLineChars="200"/>
              <w:contextualSpacing/>
              <w:rPr>
                <w:rFonts w:eastAsiaTheme="minorEastAsia"/>
                <w:sz w:val="24"/>
              </w:rPr>
            </w:pPr>
            <w:r>
              <w:rPr>
                <w:rFonts w:hint="eastAsia" w:eastAsiaTheme="minorEastAsia"/>
                <w:sz w:val="24"/>
              </w:rPr>
              <w:t>（</w:t>
            </w:r>
            <w:r>
              <w:rPr>
                <w:rFonts w:eastAsiaTheme="minorEastAsia"/>
                <w:sz w:val="24"/>
              </w:rPr>
              <w:t>1</w:t>
            </w:r>
            <w:r>
              <w:rPr>
                <w:rFonts w:hint="eastAsia" w:eastAsiaTheme="minorEastAsia"/>
                <w:sz w:val="24"/>
              </w:rPr>
              <w:t>）生活污水</w:t>
            </w:r>
          </w:p>
          <w:p>
            <w:pPr>
              <w:spacing w:line="360" w:lineRule="auto"/>
              <w:ind w:firstLine="480" w:firstLineChars="200"/>
              <w:contextualSpacing/>
              <w:rPr>
                <w:rFonts w:eastAsiaTheme="minorEastAsia"/>
                <w:bCs/>
                <w:sz w:val="24"/>
              </w:rPr>
            </w:pPr>
            <w:r>
              <w:rPr>
                <w:rFonts w:hint="eastAsia" w:eastAsiaTheme="minorEastAsia"/>
                <w:bCs/>
                <w:sz w:val="24"/>
              </w:rPr>
              <w:t>根据《水工业工程设计手册</w:t>
            </w:r>
            <w:r>
              <w:rPr>
                <w:rFonts w:eastAsiaTheme="minorEastAsia"/>
                <w:bCs/>
                <w:sz w:val="24"/>
              </w:rPr>
              <w:t>-</w:t>
            </w:r>
            <w:r>
              <w:rPr>
                <w:rFonts w:hint="eastAsia" w:eastAsiaTheme="minorEastAsia"/>
                <w:bCs/>
                <w:sz w:val="24"/>
              </w:rPr>
              <w:t>建筑和小区给排水》中</w:t>
            </w:r>
            <w:r>
              <w:rPr>
                <w:rFonts w:eastAsiaTheme="minorEastAsia"/>
                <w:bCs/>
                <w:sz w:val="24"/>
              </w:rPr>
              <w:t>“12.2.2</w:t>
            </w:r>
            <w:r>
              <w:rPr>
                <w:rFonts w:hint="eastAsia" w:eastAsiaTheme="minorEastAsia"/>
                <w:bCs/>
                <w:sz w:val="24"/>
              </w:rPr>
              <w:t>污水水量和水质</w:t>
            </w:r>
            <w:r>
              <w:rPr>
                <w:rFonts w:eastAsiaTheme="minorEastAsia"/>
                <w:bCs/>
                <w:sz w:val="24"/>
              </w:rPr>
              <w:t>”</w:t>
            </w:r>
            <w:r>
              <w:rPr>
                <w:rFonts w:hint="eastAsia" w:eastAsiaTheme="minorEastAsia"/>
                <w:bCs/>
                <w:sz w:val="24"/>
              </w:rPr>
              <w:t>中给出的住宅、各类公共建筑污水水质平均浓度，并结合项目特点，本项目生活污水水质参数详见下表。</w:t>
            </w: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spacing w:line="360" w:lineRule="auto"/>
              <w:ind w:firstLine="480" w:firstLineChars="200"/>
              <w:contextualSpacing/>
              <w:rPr>
                <w:rFonts w:eastAsiaTheme="minorEastAsia"/>
                <w:bCs/>
                <w:sz w:val="24"/>
              </w:rPr>
            </w:pPr>
          </w:p>
          <w:p>
            <w:pPr>
              <w:adjustRightInd w:val="0"/>
              <w:snapToGrid w:val="0"/>
              <w:spacing w:line="360" w:lineRule="auto"/>
              <w:jc w:val="center"/>
              <w:rPr>
                <w:rFonts w:eastAsiaTheme="minorEastAsia"/>
                <w:b/>
                <w:kern w:val="0"/>
                <w:sz w:val="24"/>
                <w:szCs w:val="20"/>
              </w:rPr>
            </w:pPr>
            <w:r>
              <w:rPr>
                <w:rFonts w:hint="eastAsia" w:eastAsiaTheme="minorEastAsia"/>
                <w:b/>
                <w:kern w:val="0"/>
                <w:sz w:val="24"/>
                <w:szCs w:val="20"/>
              </w:rPr>
              <w:t>表</w:t>
            </w:r>
            <w:r>
              <w:rPr>
                <w:rFonts w:eastAsiaTheme="minorEastAsia"/>
                <w:b/>
                <w:kern w:val="0"/>
                <w:sz w:val="24"/>
                <w:szCs w:val="20"/>
              </w:rPr>
              <w:t>4-</w:t>
            </w:r>
            <w:r>
              <w:rPr>
                <w:rFonts w:hint="eastAsia" w:eastAsiaTheme="minorEastAsia"/>
                <w:b/>
                <w:kern w:val="0"/>
                <w:sz w:val="24"/>
                <w:szCs w:val="20"/>
              </w:rPr>
              <w:t>6生活污水水质</w:t>
            </w:r>
          </w:p>
          <w:tbl>
            <w:tblPr>
              <w:tblStyle w:val="22"/>
              <w:tblW w:w="83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82"/>
              <w:gridCol w:w="1263"/>
              <w:gridCol w:w="1123"/>
              <w:gridCol w:w="1263"/>
              <w:gridCol w:w="1123"/>
              <w:gridCol w:w="11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2482" w:type="dxa"/>
                  <w:vAlign w:val="center"/>
                </w:tcPr>
                <w:p>
                  <w:pPr>
                    <w:contextualSpacing/>
                    <w:jc w:val="center"/>
                    <w:rPr>
                      <w:rFonts w:eastAsiaTheme="minorEastAsia"/>
                      <w:bCs/>
                    </w:rPr>
                  </w:pPr>
                  <w:r>
                    <w:rPr>
                      <w:rFonts w:hint="eastAsia" w:eastAsiaTheme="minorEastAsia"/>
                      <w:bCs/>
                    </w:rPr>
                    <w:t>项目</w:t>
                  </w:r>
                </w:p>
              </w:tc>
              <w:tc>
                <w:tcPr>
                  <w:tcW w:w="1263" w:type="dxa"/>
                  <w:vAlign w:val="center"/>
                </w:tcPr>
                <w:p>
                  <w:pPr>
                    <w:contextualSpacing/>
                    <w:jc w:val="center"/>
                    <w:rPr>
                      <w:rFonts w:eastAsiaTheme="minorEastAsia"/>
                      <w:bCs/>
                    </w:rPr>
                  </w:pPr>
                  <w:r>
                    <w:rPr>
                      <w:rFonts w:eastAsiaTheme="minorEastAsia"/>
                      <w:bCs/>
                    </w:rPr>
                    <w:t>COD</w:t>
                  </w:r>
                  <w:r>
                    <w:rPr>
                      <w:rFonts w:eastAsiaTheme="minorEastAsia"/>
                      <w:bCs/>
                      <w:vertAlign w:val="subscript"/>
                    </w:rPr>
                    <w:t>cr</w:t>
                  </w:r>
                </w:p>
              </w:tc>
              <w:tc>
                <w:tcPr>
                  <w:tcW w:w="1123" w:type="dxa"/>
                  <w:vAlign w:val="center"/>
                </w:tcPr>
                <w:p>
                  <w:pPr>
                    <w:contextualSpacing/>
                    <w:jc w:val="center"/>
                    <w:rPr>
                      <w:rFonts w:eastAsiaTheme="minorEastAsia"/>
                      <w:bCs/>
                    </w:rPr>
                  </w:pPr>
                  <w:r>
                    <w:rPr>
                      <w:rFonts w:eastAsiaTheme="minorEastAsia"/>
                      <w:bCs/>
                    </w:rPr>
                    <w:t>BOD</w:t>
                  </w:r>
                  <w:r>
                    <w:rPr>
                      <w:rFonts w:eastAsiaTheme="minorEastAsia"/>
                      <w:bCs/>
                      <w:vertAlign w:val="subscript"/>
                    </w:rPr>
                    <w:t>5</w:t>
                  </w:r>
                </w:p>
              </w:tc>
              <w:tc>
                <w:tcPr>
                  <w:tcW w:w="1263" w:type="dxa"/>
                  <w:vAlign w:val="center"/>
                </w:tcPr>
                <w:p>
                  <w:pPr>
                    <w:contextualSpacing/>
                    <w:jc w:val="center"/>
                    <w:rPr>
                      <w:rFonts w:eastAsiaTheme="minorEastAsia"/>
                      <w:bCs/>
                    </w:rPr>
                  </w:pPr>
                  <w:r>
                    <w:rPr>
                      <w:rFonts w:eastAsiaTheme="minorEastAsia"/>
                      <w:bCs/>
                    </w:rPr>
                    <w:t>SS</w:t>
                  </w:r>
                </w:p>
              </w:tc>
              <w:tc>
                <w:tcPr>
                  <w:tcW w:w="1123" w:type="dxa"/>
                  <w:vAlign w:val="center"/>
                </w:tcPr>
                <w:p>
                  <w:pPr>
                    <w:contextualSpacing/>
                    <w:jc w:val="center"/>
                    <w:rPr>
                      <w:rFonts w:eastAsiaTheme="minorEastAsia"/>
                      <w:bCs/>
                    </w:rPr>
                  </w:pPr>
                  <w:r>
                    <w:rPr>
                      <w:rFonts w:hint="eastAsia" w:eastAsiaTheme="minorEastAsia"/>
                      <w:bCs/>
                    </w:rPr>
                    <w:t>氨氮</w:t>
                  </w:r>
                </w:p>
              </w:tc>
              <w:tc>
                <w:tcPr>
                  <w:tcW w:w="1124" w:type="dxa"/>
                  <w:vAlign w:val="center"/>
                </w:tcPr>
                <w:p>
                  <w:pPr>
                    <w:contextualSpacing/>
                    <w:jc w:val="center"/>
                    <w:rPr>
                      <w:rFonts w:eastAsiaTheme="minorEastAsia"/>
                      <w:bCs/>
                    </w:rPr>
                  </w:pPr>
                  <w:r>
                    <w:rPr>
                      <w:rFonts w:eastAsiaTheme="minorEastAsia"/>
                      <w:bCs/>
                    </w:rPr>
                    <w:t>pH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2482" w:type="dxa"/>
                  <w:vAlign w:val="center"/>
                </w:tcPr>
                <w:p>
                  <w:pPr>
                    <w:contextualSpacing/>
                    <w:jc w:val="center"/>
                    <w:rPr>
                      <w:rFonts w:eastAsiaTheme="minorEastAsia"/>
                      <w:bCs/>
                    </w:rPr>
                  </w:pPr>
                  <w:r>
                    <w:rPr>
                      <w:rFonts w:hint="eastAsia" w:eastAsiaTheme="minorEastAsia"/>
                      <w:bCs/>
                    </w:rPr>
                    <w:t>公共建筑（</w:t>
                  </w:r>
                  <w:r>
                    <w:rPr>
                      <w:rFonts w:eastAsiaTheme="minorEastAsia"/>
                      <w:bCs/>
                    </w:rPr>
                    <w:t>mg/L</w:t>
                  </w:r>
                  <w:r>
                    <w:rPr>
                      <w:rFonts w:hint="eastAsia" w:eastAsiaTheme="minorEastAsia"/>
                      <w:bCs/>
                    </w:rPr>
                    <w:t>）</w:t>
                  </w:r>
                </w:p>
              </w:tc>
              <w:tc>
                <w:tcPr>
                  <w:tcW w:w="1263" w:type="dxa"/>
                  <w:vAlign w:val="center"/>
                </w:tcPr>
                <w:p>
                  <w:pPr>
                    <w:contextualSpacing/>
                    <w:jc w:val="center"/>
                    <w:rPr>
                      <w:rFonts w:eastAsiaTheme="minorEastAsia"/>
                      <w:bCs/>
                    </w:rPr>
                  </w:pPr>
                  <w:r>
                    <w:rPr>
                      <w:rFonts w:eastAsiaTheme="minorEastAsia"/>
                      <w:bCs/>
                    </w:rPr>
                    <w:t>350~450</w:t>
                  </w:r>
                </w:p>
              </w:tc>
              <w:tc>
                <w:tcPr>
                  <w:tcW w:w="1123" w:type="dxa"/>
                  <w:vAlign w:val="center"/>
                </w:tcPr>
                <w:p>
                  <w:pPr>
                    <w:contextualSpacing/>
                    <w:jc w:val="center"/>
                    <w:rPr>
                      <w:rFonts w:eastAsiaTheme="minorEastAsia"/>
                      <w:bCs/>
                    </w:rPr>
                  </w:pPr>
                  <w:r>
                    <w:rPr>
                      <w:rFonts w:eastAsiaTheme="minorEastAsia"/>
                      <w:bCs/>
                    </w:rPr>
                    <w:t>180~250</w:t>
                  </w:r>
                </w:p>
              </w:tc>
              <w:tc>
                <w:tcPr>
                  <w:tcW w:w="1263" w:type="dxa"/>
                  <w:vAlign w:val="center"/>
                </w:tcPr>
                <w:p>
                  <w:pPr>
                    <w:contextualSpacing/>
                    <w:jc w:val="center"/>
                    <w:rPr>
                      <w:rFonts w:eastAsiaTheme="minorEastAsia"/>
                      <w:bCs/>
                    </w:rPr>
                  </w:pPr>
                  <w:r>
                    <w:rPr>
                      <w:rFonts w:eastAsiaTheme="minorEastAsia"/>
                      <w:bCs/>
                    </w:rPr>
                    <w:t>200~300</w:t>
                  </w:r>
                </w:p>
              </w:tc>
              <w:tc>
                <w:tcPr>
                  <w:tcW w:w="1123" w:type="dxa"/>
                  <w:vAlign w:val="center"/>
                </w:tcPr>
                <w:p>
                  <w:pPr>
                    <w:contextualSpacing/>
                    <w:jc w:val="center"/>
                    <w:rPr>
                      <w:rFonts w:eastAsiaTheme="minorEastAsia"/>
                      <w:bCs/>
                    </w:rPr>
                  </w:pPr>
                  <w:r>
                    <w:rPr>
                      <w:rFonts w:eastAsiaTheme="minorEastAsia"/>
                      <w:bCs/>
                    </w:rPr>
                    <w:t>35~40</w:t>
                  </w:r>
                </w:p>
              </w:tc>
              <w:tc>
                <w:tcPr>
                  <w:tcW w:w="1124" w:type="dxa"/>
                  <w:vAlign w:val="center"/>
                </w:tcPr>
                <w:p>
                  <w:pPr>
                    <w:contextualSpacing/>
                    <w:jc w:val="center"/>
                    <w:rPr>
                      <w:rFonts w:eastAsiaTheme="minorEastAsia"/>
                      <w:bCs/>
                    </w:rPr>
                  </w:pPr>
                  <w:r>
                    <w:rPr>
                      <w:rFonts w:eastAsiaTheme="minorEastAsia"/>
                      <w:bCs/>
                    </w:rPr>
                    <w:t>6.5~7.5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1" w:hRule="atLeast"/>
                <w:jc w:val="center"/>
              </w:trPr>
              <w:tc>
                <w:tcPr>
                  <w:tcW w:w="2482" w:type="dxa"/>
                  <w:vAlign w:val="center"/>
                </w:tcPr>
                <w:p>
                  <w:pPr>
                    <w:contextualSpacing/>
                    <w:jc w:val="center"/>
                    <w:rPr>
                      <w:rFonts w:eastAsiaTheme="minorEastAsia"/>
                      <w:bCs/>
                    </w:rPr>
                  </w:pPr>
                  <w:r>
                    <w:rPr>
                      <w:rFonts w:hint="eastAsia" w:eastAsiaTheme="minorEastAsia"/>
                      <w:bCs/>
                    </w:rPr>
                    <w:t>本项目生活污水（</w:t>
                  </w:r>
                  <w:r>
                    <w:rPr>
                      <w:rFonts w:eastAsiaTheme="minorEastAsia"/>
                      <w:bCs/>
                    </w:rPr>
                    <w:t>mg/L</w:t>
                  </w:r>
                  <w:r>
                    <w:rPr>
                      <w:rFonts w:hint="eastAsia" w:eastAsiaTheme="minorEastAsia"/>
                      <w:bCs/>
                    </w:rPr>
                    <w:t>）</w:t>
                  </w:r>
                </w:p>
              </w:tc>
              <w:tc>
                <w:tcPr>
                  <w:tcW w:w="1263" w:type="dxa"/>
                  <w:vAlign w:val="center"/>
                </w:tcPr>
                <w:p>
                  <w:pPr>
                    <w:contextualSpacing/>
                    <w:jc w:val="center"/>
                    <w:rPr>
                      <w:rFonts w:eastAsiaTheme="minorEastAsia"/>
                      <w:bCs/>
                    </w:rPr>
                  </w:pPr>
                  <w:r>
                    <w:rPr>
                      <w:rFonts w:eastAsiaTheme="minorEastAsia"/>
                      <w:bCs/>
                    </w:rPr>
                    <w:t>450</w:t>
                  </w:r>
                </w:p>
              </w:tc>
              <w:tc>
                <w:tcPr>
                  <w:tcW w:w="1123" w:type="dxa"/>
                  <w:vAlign w:val="center"/>
                </w:tcPr>
                <w:p>
                  <w:pPr>
                    <w:contextualSpacing/>
                    <w:jc w:val="center"/>
                    <w:rPr>
                      <w:rFonts w:eastAsiaTheme="minorEastAsia"/>
                      <w:bCs/>
                    </w:rPr>
                  </w:pPr>
                  <w:r>
                    <w:rPr>
                      <w:rFonts w:eastAsiaTheme="minorEastAsia"/>
                      <w:bCs/>
                    </w:rPr>
                    <w:t>250</w:t>
                  </w:r>
                </w:p>
              </w:tc>
              <w:tc>
                <w:tcPr>
                  <w:tcW w:w="1263" w:type="dxa"/>
                  <w:vAlign w:val="center"/>
                </w:tcPr>
                <w:p>
                  <w:pPr>
                    <w:contextualSpacing/>
                    <w:jc w:val="center"/>
                    <w:rPr>
                      <w:rFonts w:eastAsiaTheme="minorEastAsia"/>
                      <w:bCs/>
                    </w:rPr>
                  </w:pPr>
                  <w:r>
                    <w:rPr>
                      <w:rFonts w:eastAsiaTheme="minorEastAsia"/>
                      <w:bCs/>
                    </w:rPr>
                    <w:t>300</w:t>
                  </w:r>
                </w:p>
              </w:tc>
              <w:tc>
                <w:tcPr>
                  <w:tcW w:w="1123" w:type="dxa"/>
                  <w:vAlign w:val="center"/>
                </w:tcPr>
                <w:p>
                  <w:pPr>
                    <w:contextualSpacing/>
                    <w:jc w:val="center"/>
                    <w:rPr>
                      <w:rFonts w:eastAsiaTheme="minorEastAsia"/>
                      <w:bCs/>
                    </w:rPr>
                  </w:pPr>
                  <w:r>
                    <w:rPr>
                      <w:rFonts w:eastAsiaTheme="minorEastAsia"/>
                      <w:bCs/>
                    </w:rPr>
                    <w:t>40</w:t>
                  </w:r>
                </w:p>
              </w:tc>
              <w:tc>
                <w:tcPr>
                  <w:tcW w:w="1124" w:type="dxa"/>
                  <w:vAlign w:val="center"/>
                </w:tcPr>
                <w:p>
                  <w:pPr>
                    <w:contextualSpacing/>
                    <w:jc w:val="center"/>
                    <w:rPr>
                      <w:rFonts w:eastAsiaTheme="minorEastAsia"/>
                      <w:bCs/>
                    </w:rPr>
                  </w:pPr>
                  <w:r>
                    <w:rPr>
                      <w:rFonts w:eastAsiaTheme="minorEastAsia"/>
                      <w:bCs/>
                    </w:rPr>
                    <w:t>6.5~7.5</w:t>
                  </w:r>
                </w:p>
              </w:tc>
            </w:tr>
          </w:tbl>
          <w:p>
            <w:pPr>
              <w:pStyle w:val="42"/>
              <w:spacing w:beforeLines="0" w:afterLines="0" w:line="360" w:lineRule="auto"/>
              <w:ind w:firstLine="480"/>
              <w:contextualSpacing/>
              <w:rPr>
                <w:rFonts w:eastAsiaTheme="minorEastAsia"/>
                <w:color w:val="auto"/>
                <w:kern w:val="0"/>
              </w:rPr>
            </w:pPr>
            <w:r>
              <w:rPr>
                <w:rFonts w:hint="eastAsia" w:eastAsiaTheme="minorEastAsia"/>
                <w:color w:val="auto"/>
                <w:kern w:val="0"/>
              </w:rPr>
              <w:t>本项目生活污水产生量为0.51</w:t>
            </w:r>
            <w:r>
              <w:rPr>
                <w:rFonts w:eastAsiaTheme="minorEastAsia"/>
                <w:color w:val="auto"/>
                <w:kern w:val="0"/>
              </w:rPr>
              <w:t>t/d</w:t>
            </w:r>
            <w:r>
              <w:rPr>
                <w:rFonts w:hint="eastAsia" w:eastAsiaTheme="minorEastAsia"/>
                <w:color w:val="auto"/>
                <w:kern w:val="0"/>
              </w:rPr>
              <w:t>，122.9</w:t>
            </w:r>
            <w:r>
              <w:rPr>
                <w:rFonts w:eastAsiaTheme="minorEastAsia"/>
                <w:color w:val="auto"/>
                <w:kern w:val="0"/>
              </w:rPr>
              <w:t>t/a</w:t>
            </w:r>
            <w:r>
              <w:rPr>
                <w:rFonts w:hint="eastAsia" w:eastAsiaTheme="minorEastAsia"/>
                <w:color w:val="auto"/>
              </w:rPr>
              <w:t>，排入防渗旱厕，定期清掏，外运堆肥，不外排</w:t>
            </w:r>
            <w:r>
              <w:rPr>
                <w:rFonts w:hint="eastAsia" w:eastAsiaTheme="minorEastAsia"/>
                <w:color w:val="auto"/>
                <w:kern w:val="0"/>
              </w:rPr>
              <w:t>。</w:t>
            </w:r>
          </w:p>
          <w:p>
            <w:pPr>
              <w:spacing w:line="360" w:lineRule="auto"/>
              <w:ind w:firstLine="480" w:firstLineChars="200"/>
              <w:contextualSpacing/>
              <w:rPr>
                <w:rFonts w:eastAsiaTheme="minorEastAsia"/>
                <w:sz w:val="24"/>
              </w:rPr>
            </w:pPr>
            <w:r>
              <w:rPr>
                <w:rFonts w:hint="eastAsia" w:eastAsiaTheme="minorEastAsia"/>
                <w:sz w:val="24"/>
              </w:rPr>
              <w:t>（</w:t>
            </w:r>
            <w:r>
              <w:rPr>
                <w:rFonts w:eastAsiaTheme="minorEastAsia"/>
                <w:sz w:val="24"/>
              </w:rPr>
              <w:t>2</w:t>
            </w:r>
            <w:r>
              <w:rPr>
                <w:rFonts w:hint="eastAsia" w:eastAsiaTheme="minorEastAsia"/>
                <w:sz w:val="24"/>
              </w:rPr>
              <w:t>）初期雨水</w:t>
            </w:r>
          </w:p>
          <w:p>
            <w:pPr>
              <w:spacing w:line="360" w:lineRule="auto"/>
              <w:ind w:firstLine="480" w:firstLineChars="200"/>
              <w:contextualSpacing/>
              <w:rPr>
                <w:rFonts w:eastAsiaTheme="minorEastAsia"/>
                <w:sz w:val="24"/>
              </w:rPr>
            </w:pPr>
            <w:r>
              <w:rPr>
                <w:rFonts w:hint="eastAsia" w:eastAsiaTheme="minorEastAsia"/>
                <w:sz w:val="24"/>
              </w:rPr>
              <w:t>厂区初期雨水考虑降雨形成地面径流后</w:t>
            </w:r>
            <w:r>
              <w:rPr>
                <w:rFonts w:eastAsiaTheme="minorEastAsia"/>
                <w:sz w:val="24"/>
              </w:rPr>
              <w:t>15min</w:t>
            </w:r>
            <w:r>
              <w:rPr>
                <w:rFonts w:hint="eastAsia" w:eastAsiaTheme="minorEastAsia"/>
                <w:sz w:val="24"/>
              </w:rPr>
              <w:t>内，收集的厂区受污染区域的地面雨水，厂区分为污染区和非污染区，非污染区主要指厂区办公区、产品贮存间等，污染区为停车场（4200</w:t>
            </w:r>
            <w:r>
              <w:rPr>
                <w:rFonts w:eastAsiaTheme="minorEastAsia"/>
                <w:sz w:val="24"/>
              </w:rPr>
              <w:t>m</w:t>
            </w:r>
            <w:r>
              <w:rPr>
                <w:rFonts w:eastAsiaTheme="minorEastAsia"/>
                <w:sz w:val="24"/>
                <w:vertAlign w:val="superscript"/>
              </w:rPr>
              <w:t>2</w:t>
            </w:r>
            <w:r>
              <w:rPr>
                <w:rFonts w:hint="eastAsia" w:eastAsiaTheme="minorEastAsia"/>
                <w:sz w:val="24"/>
              </w:rPr>
              <w:t>）和全封闭式拆解车间（3000</w:t>
            </w:r>
            <w:r>
              <w:rPr>
                <w:rFonts w:eastAsiaTheme="minorEastAsia"/>
                <w:sz w:val="24"/>
              </w:rPr>
              <w:t>m</w:t>
            </w:r>
            <w:r>
              <w:rPr>
                <w:rFonts w:eastAsiaTheme="minorEastAsia"/>
                <w:sz w:val="24"/>
                <w:vertAlign w:val="superscript"/>
              </w:rPr>
              <w:t>2</w:t>
            </w:r>
            <w:r>
              <w:rPr>
                <w:rFonts w:hint="eastAsia" w:eastAsiaTheme="minorEastAsia"/>
                <w:sz w:val="24"/>
              </w:rPr>
              <w:t>），故厂区汇水面积约为7200</w:t>
            </w:r>
            <w:r>
              <w:rPr>
                <w:rFonts w:eastAsiaTheme="minorEastAsia"/>
                <w:sz w:val="24"/>
              </w:rPr>
              <w:t>m</w:t>
            </w:r>
            <w:r>
              <w:rPr>
                <w:rFonts w:eastAsiaTheme="minorEastAsia"/>
                <w:sz w:val="24"/>
                <w:vertAlign w:val="superscript"/>
              </w:rPr>
              <w:t>2</w:t>
            </w:r>
            <w:r>
              <w:rPr>
                <w:rFonts w:hint="eastAsia" w:eastAsiaTheme="minorEastAsia"/>
                <w:bCs/>
                <w:sz w:val="24"/>
              </w:rPr>
              <w:t>。</w:t>
            </w:r>
            <w:r>
              <w:rPr>
                <w:rFonts w:hint="eastAsia" w:eastAsiaTheme="minorEastAsia"/>
                <w:sz w:val="24"/>
              </w:rPr>
              <w:t>降雨初期地面水与气象条件密切相关，具有间歇性、时间间隔的变化大等特点。本环评根据鸡西市地区暴雨强度公式计算初期雨水量。</w:t>
            </w:r>
          </w:p>
          <w:p>
            <w:pPr>
              <w:spacing w:line="360" w:lineRule="auto"/>
              <w:ind w:firstLine="480" w:firstLineChars="200"/>
              <w:contextualSpacing/>
              <w:jc w:val="center"/>
              <w:rPr>
                <w:rFonts w:eastAsiaTheme="minorEastAsia"/>
                <w:sz w:val="24"/>
              </w:rPr>
            </w:pPr>
            <w:r>
              <w:rPr>
                <w:rFonts w:eastAsiaTheme="minorEastAsia"/>
                <w:sz w:val="24"/>
              </w:rPr>
              <w:t>q=2054(1+0.76lgP)/(t+7)</w:t>
            </w:r>
            <w:r>
              <w:rPr>
                <w:rFonts w:eastAsiaTheme="minorEastAsia"/>
                <w:sz w:val="24"/>
                <w:vertAlign w:val="superscript"/>
              </w:rPr>
              <w:t>0.87</w:t>
            </w:r>
          </w:p>
          <w:p>
            <w:pPr>
              <w:spacing w:line="360" w:lineRule="auto"/>
              <w:ind w:firstLine="480" w:firstLineChars="200"/>
              <w:contextualSpacing/>
              <w:rPr>
                <w:rFonts w:eastAsiaTheme="minorEastAsia"/>
                <w:sz w:val="24"/>
              </w:rPr>
            </w:pPr>
            <w:r>
              <w:rPr>
                <w:rFonts w:hint="eastAsia" w:eastAsiaTheme="minorEastAsia"/>
                <w:sz w:val="24"/>
              </w:rPr>
              <w:t>其中：</w:t>
            </w:r>
            <w:r>
              <w:rPr>
                <w:rFonts w:eastAsiaTheme="minorEastAsia"/>
                <w:sz w:val="24"/>
              </w:rPr>
              <w:t>q</w:t>
            </w:r>
            <w:r>
              <w:rPr>
                <w:rFonts w:hint="eastAsia" w:eastAsiaTheme="minorEastAsia"/>
                <w:sz w:val="24"/>
              </w:rPr>
              <w:t>：暴雨强度（</w:t>
            </w:r>
            <w:r>
              <w:rPr>
                <w:rFonts w:eastAsiaTheme="minorEastAsia"/>
                <w:sz w:val="24"/>
              </w:rPr>
              <w:t>L/s·</w:t>
            </w:r>
            <w:r>
              <w:rPr>
                <w:rFonts w:hint="eastAsia" w:eastAsiaTheme="minorEastAsia"/>
                <w:sz w:val="24"/>
              </w:rPr>
              <w:t>万</w:t>
            </w:r>
            <w:r>
              <w:rPr>
                <w:rFonts w:eastAsiaTheme="minorEastAsia"/>
                <w:sz w:val="24"/>
              </w:rPr>
              <w:t>m</w:t>
            </w:r>
            <w:r>
              <w:rPr>
                <w:rFonts w:eastAsiaTheme="minorEastAsia"/>
                <w:sz w:val="24"/>
                <w:vertAlign w:val="superscript"/>
              </w:rPr>
              <w:t>2</w:t>
            </w:r>
            <w:r>
              <w:rPr>
                <w:rFonts w:hint="eastAsia" w:eastAsiaTheme="minorEastAsia"/>
                <w:sz w:val="24"/>
              </w:rPr>
              <w:t>）</w:t>
            </w:r>
          </w:p>
          <w:p>
            <w:pPr>
              <w:spacing w:line="360" w:lineRule="auto"/>
              <w:ind w:firstLine="480" w:firstLineChars="200"/>
              <w:contextualSpacing/>
              <w:rPr>
                <w:rFonts w:eastAsiaTheme="minorEastAsia"/>
                <w:sz w:val="24"/>
              </w:rPr>
            </w:pPr>
            <w:r>
              <w:rPr>
                <w:rFonts w:eastAsiaTheme="minorEastAsia"/>
                <w:sz w:val="24"/>
              </w:rPr>
              <w:t xml:space="preserve">      P</w:t>
            </w:r>
            <w:r>
              <w:rPr>
                <w:rFonts w:hint="eastAsia" w:eastAsiaTheme="minorEastAsia"/>
                <w:sz w:val="24"/>
              </w:rPr>
              <w:t>：重现期，本项目取</w:t>
            </w:r>
            <w:r>
              <w:rPr>
                <w:rFonts w:eastAsiaTheme="minorEastAsia"/>
                <w:sz w:val="24"/>
              </w:rPr>
              <w:t>1</w:t>
            </w:r>
            <w:r>
              <w:rPr>
                <w:rFonts w:hint="eastAsia" w:eastAsiaTheme="minorEastAsia"/>
                <w:sz w:val="24"/>
              </w:rPr>
              <w:t>年</w:t>
            </w:r>
          </w:p>
          <w:p>
            <w:pPr>
              <w:spacing w:line="360" w:lineRule="auto"/>
              <w:ind w:firstLine="480" w:firstLineChars="200"/>
              <w:contextualSpacing/>
              <w:rPr>
                <w:rFonts w:eastAsiaTheme="minorEastAsia"/>
                <w:sz w:val="24"/>
              </w:rPr>
            </w:pPr>
            <w:r>
              <w:rPr>
                <w:rFonts w:eastAsiaTheme="minorEastAsia"/>
                <w:sz w:val="24"/>
              </w:rPr>
              <w:t xml:space="preserve">      t</w:t>
            </w:r>
            <w:r>
              <w:rPr>
                <w:rFonts w:hint="eastAsia" w:eastAsiaTheme="minorEastAsia"/>
                <w:sz w:val="24"/>
              </w:rPr>
              <w:t>：降雨历时（</w:t>
            </w:r>
            <w:r>
              <w:rPr>
                <w:rFonts w:eastAsiaTheme="minorEastAsia"/>
                <w:sz w:val="24"/>
              </w:rPr>
              <w:t>min</w:t>
            </w:r>
            <w:r>
              <w:rPr>
                <w:rFonts w:hint="eastAsia" w:eastAsiaTheme="minorEastAsia"/>
                <w:sz w:val="24"/>
              </w:rPr>
              <w:t>），本项目按</w:t>
            </w:r>
            <w:r>
              <w:rPr>
                <w:rFonts w:eastAsiaTheme="minorEastAsia"/>
                <w:sz w:val="24"/>
              </w:rPr>
              <w:t>15min</w:t>
            </w:r>
            <w:r>
              <w:rPr>
                <w:rFonts w:hint="eastAsia" w:eastAsiaTheme="minorEastAsia"/>
                <w:sz w:val="24"/>
              </w:rPr>
              <w:t>计算。</w:t>
            </w:r>
          </w:p>
          <w:p>
            <w:pPr>
              <w:spacing w:line="360" w:lineRule="auto"/>
              <w:ind w:firstLine="480" w:firstLineChars="200"/>
              <w:contextualSpacing/>
              <w:rPr>
                <w:rFonts w:eastAsiaTheme="minorEastAsia"/>
                <w:sz w:val="24"/>
              </w:rPr>
            </w:pPr>
            <w:r>
              <w:rPr>
                <w:rFonts w:hint="eastAsia" w:eastAsiaTheme="minorEastAsia"/>
                <w:sz w:val="24"/>
              </w:rPr>
              <w:t>根据计算，本项目的暴雨强度为</w:t>
            </w:r>
            <w:r>
              <w:rPr>
                <w:rFonts w:eastAsiaTheme="minorEastAsia"/>
                <w:sz w:val="24"/>
              </w:rPr>
              <w:t>140L/s·</w:t>
            </w:r>
            <w:r>
              <w:rPr>
                <w:rFonts w:hint="eastAsia" w:eastAsiaTheme="minorEastAsia"/>
                <w:sz w:val="24"/>
              </w:rPr>
              <w:t>万</w:t>
            </w:r>
            <w:r>
              <w:rPr>
                <w:rFonts w:eastAsiaTheme="minorEastAsia"/>
                <w:sz w:val="24"/>
              </w:rPr>
              <w:t>m</w:t>
            </w:r>
            <w:r>
              <w:rPr>
                <w:rFonts w:eastAsiaTheme="minorEastAsia"/>
                <w:sz w:val="24"/>
                <w:vertAlign w:val="superscript"/>
              </w:rPr>
              <w:t>2</w:t>
            </w:r>
            <w:r>
              <w:rPr>
                <w:rFonts w:hint="eastAsia" w:eastAsiaTheme="minorEastAsia"/>
                <w:sz w:val="24"/>
              </w:rPr>
              <w:t>。</w:t>
            </w:r>
          </w:p>
          <w:p>
            <w:pPr>
              <w:spacing w:line="360" w:lineRule="auto"/>
              <w:ind w:firstLine="480" w:firstLineChars="200"/>
              <w:contextualSpacing/>
              <w:rPr>
                <w:rFonts w:eastAsiaTheme="minorEastAsia"/>
                <w:sz w:val="24"/>
              </w:rPr>
            </w:pPr>
            <w:r>
              <w:rPr>
                <w:rFonts w:hint="eastAsia" w:eastAsiaTheme="minorEastAsia"/>
                <w:sz w:val="24"/>
              </w:rPr>
              <w:t>故厂区的初期雨水量约为90.7</w:t>
            </w:r>
            <w:r>
              <w:rPr>
                <w:rFonts w:eastAsiaTheme="minorEastAsia"/>
                <w:sz w:val="24"/>
              </w:rPr>
              <w:t>m</w:t>
            </w:r>
            <w:r>
              <w:rPr>
                <w:rFonts w:eastAsiaTheme="minorEastAsia"/>
                <w:sz w:val="24"/>
                <w:vertAlign w:val="superscript"/>
              </w:rPr>
              <w:t>3</w:t>
            </w:r>
            <w:r>
              <w:rPr>
                <w:rFonts w:eastAsiaTheme="minorEastAsia"/>
                <w:sz w:val="24"/>
              </w:rPr>
              <w:t>/</w:t>
            </w:r>
            <w:r>
              <w:rPr>
                <w:rFonts w:hint="eastAsia" w:eastAsiaTheme="minorEastAsia"/>
                <w:sz w:val="24"/>
              </w:rPr>
              <w:t>次，根据虎林市（</w:t>
            </w:r>
            <w:r>
              <w:rPr>
                <w:rFonts w:eastAsiaTheme="minorEastAsia"/>
                <w:sz w:val="24"/>
              </w:rPr>
              <w:t>2000~2020</w:t>
            </w:r>
            <w:r>
              <w:rPr>
                <w:rFonts w:hint="eastAsia" w:eastAsiaTheme="minorEastAsia"/>
                <w:sz w:val="24"/>
              </w:rPr>
              <w:t>年）气象观测站数据，虎林市平均年降雨次数为</w:t>
            </w:r>
            <w:r>
              <w:rPr>
                <w:rFonts w:eastAsiaTheme="minorEastAsia"/>
                <w:sz w:val="24"/>
              </w:rPr>
              <w:t>23</w:t>
            </w:r>
            <w:r>
              <w:rPr>
                <w:rFonts w:hint="eastAsia" w:eastAsiaTheme="minorEastAsia"/>
                <w:sz w:val="24"/>
              </w:rPr>
              <w:t>次，故本项目初期雨水量为2086</w:t>
            </w:r>
            <w:r>
              <w:rPr>
                <w:rFonts w:eastAsiaTheme="minorEastAsia"/>
                <w:sz w:val="24"/>
              </w:rPr>
              <w:t>t/a</w:t>
            </w:r>
            <w:r>
              <w:rPr>
                <w:rFonts w:hint="eastAsia" w:eastAsiaTheme="minorEastAsia"/>
                <w:sz w:val="24"/>
              </w:rPr>
              <w:t>。</w:t>
            </w:r>
          </w:p>
          <w:p>
            <w:pPr>
              <w:spacing w:line="360" w:lineRule="auto"/>
              <w:ind w:firstLine="480" w:firstLineChars="200"/>
              <w:contextualSpacing/>
              <w:rPr>
                <w:rFonts w:eastAsiaTheme="minorEastAsia"/>
                <w:kern w:val="24"/>
                <w:sz w:val="24"/>
              </w:rPr>
            </w:pPr>
            <w:r>
              <w:rPr>
                <w:rFonts w:hint="eastAsia" w:eastAsiaTheme="minorEastAsia"/>
                <w:kern w:val="24"/>
                <w:sz w:val="24"/>
              </w:rPr>
              <w:t>初期雨水浓度类比《安化县</w:t>
            </w:r>
            <w:r>
              <w:rPr>
                <w:rFonts w:hint="eastAsia" w:eastAsiaTheme="minorEastAsia"/>
                <w:kern w:val="24"/>
                <w:sz w:val="24"/>
                <w:lang w:bidi="zh-CN"/>
              </w:rPr>
              <w:t>利达报废汽车回收有限公司报废汽车拆解回收项目竣工环境保护验收监测报告</w:t>
            </w:r>
            <w:r>
              <w:rPr>
                <w:rFonts w:hint="eastAsia" w:eastAsiaTheme="minorEastAsia"/>
                <w:kern w:val="24"/>
                <w:sz w:val="24"/>
              </w:rPr>
              <w:t>》中的数据，该项目拆解规模1000台、储存区面积3900m</w:t>
            </w:r>
            <w:r>
              <w:rPr>
                <w:rFonts w:hint="eastAsia" w:eastAsiaTheme="minorEastAsia"/>
                <w:kern w:val="24"/>
                <w:sz w:val="24"/>
                <w:vertAlign w:val="superscript"/>
              </w:rPr>
              <w:t>2</w:t>
            </w:r>
            <w:r>
              <w:rPr>
                <w:rFonts w:hint="eastAsia" w:eastAsiaTheme="minorEastAsia"/>
                <w:kern w:val="24"/>
                <w:sz w:val="24"/>
              </w:rPr>
              <w:t>，本项目拆解规模600台、储存区面积4200m</w:t>
            </w:r>
            <w:r>
              <w:rPr>
                <w:rFonts w:hint="eastAsia" w:eastAsiaTheme="minorEastAsia"/>
                <w:kern w:val="24"/>
                <w:sz w:val="24"/>
                <w:vertAlign w:val="superscript"/>
              </w:rPr>
              <w:t>2</w:t>
            </w:r>
            <w:r>
              <w:rPr>
                <w:rFonts w:hint="eastAsia" w:eastAsiaTheme="minorEastAsia"/>
                <w:kern w:val="24"/>
                <w:sz w:val="24"/>
              </w:rPr>
              <w:t>，单位面积存储量大于本项目，故类比可行，该项目初期雨水经隔油池处理后排放，</w:t>
            </w:r>
            <w:r>
              <w:rPr>
                <w:rFonts w:eastAsiaTheme="minorEastAsia"/>
                <w:kern w:val="24"/>
                <w:sz w:val="24"/>
              </w:rPr>
              <w:t>pH</w:t>
            </w:r>
            <w:r>
              <w:rPr>
                <w:rFonts w:hint="eastAsia" w:eastAsiaTheme="minorEastAsia"/>
                <w:kern w:val="24"/>
                <w:sz w:val="24"/>
              </w:rPr>
              <w:t>为</w:t>
            </w:r>
            <w:r>
              <w:rPr>
                <w:rFonts w:eastAsiaTheme="minorEastAsia"/>
                <w:kern w:val="24"/>
                <w:sz w:val="24"/>
              </w:rPr>
              <w:t>6.73</w:t>
            </w:r>
            <w:r>
              <w:rPr>
                <w:rFonts w:hint="eastAsia" w:eastAsiaTheme="minorEastAsia"/>
                <w:kern w:val="24"/>
                <w:sz w:val="24"/>
              </w:rPr>
              <w:t>，化学需氧量排放浓度为</w:t>
            </w:r>
            <w:r>
              <w:rPr>
                <w:rFonts w:eastAsiaTheme="minorEastAsia"/>
                <w:kern w:val="24"/>
                <w:sz w:val="24"/>
              </w:rPr>
              <w:t>16mg/L</w:t>
            </w:r>
            <w:r>
              <w:rPr>
                <w:rFonts w:hint="eastAsia" w:eastAsiaTheme="minorEastAsia"/>
                <w:kern w:val="24"/>
                <w:sz w:val="24"/>
              </w:rPr>
              <w:t>、</w:t>
            </w:r>
            <w:r>
              <w:rPr>
                <w:rFonts w:eastAsiaTheme="minorEastAsia"/>
                <w:kern w:val="24"/>
                <w:sz w:val="24"/>
              </w:rPr>
              <w:t>SS</w:t>
            </w:r>
            <w:r>
              <w:rPr>
                <w:rFonts w:hint="eastAsia" w:eastAsiaTheme="minorEastAsia"/>
                <w:kern w:val="24"/>
                <w:sz w:val="24"/>
              </w:rPr>
              <w:t>排放浓度为</w:t>
            </w:r>
            <w:r>
              <w:rPr>
                <w:rFonts w:eastAsiaTheme="minorEastAsia"/>
                <w:kern w:val="24"/>
                <w:sz w:val="24"/>
              </w:rPr>
              <w:t>9mg/L</w:t>
            </w:r>
            <w:r>
              <w:rPr>
                <w:rFonts w:hint="eastAsia" w:eastAsiaTheme="minorEastAsia"/>
                <w:kern w:val="24"/>
                <w:sz w:val="24"/>
              </w:rPr>
              <w:t>、石油类排放浓度为</w:t>
            </w:r>
            <w:r>
              <w:rPr>
                <w:rFonts w:eastAsiaTheme="minorEastAsia"/>
                <w:kern w:val="24"/>
                <w:sz w:val="24"/>
              </w:rPr>
              <w:t>0.17mg/L</w:t>
            </w:r>
            <w:r>
              <w:rPr>
                <w:rFonts w:hint="eastAsia" w:eastAsiaTheme="minorEastAsia"/>
                <w:kern w:val="24"/>
                <w:sz w:val="24"/>
              </w:rPr>
              <w:t>、五日生化需氧量排放浓度为</w:t>
            </w:r>
            <w:r>
              <w:rPr>
                <w:rFonts w:eastAsiaTheme="minorEastAsia"/>
                <w:kern w:val="24"/>
                <w:sz w:val="24"/>
              </w:rPr>
              <w:t>5.3mg/L</w:t>
            </w:r>
            <w:r>
              <w:rPr>
                <w:rFonts w:hint="eastAsia" w:eastAsiaTheme="minorEastAsia"/>
                <w:kern w:val="24"/>
                <w:sz w:val="24"/>
              </w:rPr>
              <w:t>、氨氮排放浓度为</w:t>
            </w:r>
            <w:r>
              <w:rPr>
                <w:rFonts w:eastAsiaTheme="minorEastAsia"/>
                <w:kern w:val="24"/>
                <w:sz w:val="24"/>
              </w:rPr>
              <w:t>0.132mg/L</w:t>
            </w:r>
            <w:r>
              <w:rPr>
                <w:rFonts w:hint="eastAsia" w:eastAsiaTheme="minorEastAsia"/>
                <w:kern w:val="24"/>
                <w:sz w:val="24"/>
              </w:rPr>
              <w:t>。SS去除率为96.9%，石油类去除率为74%，故该项目处理前</w:t>
            </w:r>
            <w:r>
              <w:rPr>
                <w:rFonts w:eastAsiaTheme="minorEastAsia"/>
                <w:kern w:val="24"/>
                <w:sz w:val="24"/>
              </w:rPr>
              <w:t>SS</w:t>
            </w:r>
            <w:r>
              <w:rPr>
                <w:rFonts w:hint="eastAsia" w:eastAsiaTheme="minorEastAsia"/>
                <w:kern w:val="24"/>
                <w:sz w:val="24"/>
              </w:rPr>
              <w:t>产生浓度为290</w:t>
            </w:r>
            <w:r>
              <w:rPr>
                <w:rFonts w:eastAsiaTheme="minorEastAsia"/>
                <w:kern w:val="24"/>
                <w:sz w:val="24"/>
              </w:rPr>
              <w:t>mg/L</w:t>
            </w:r>
            <w:r>
              <w:rPr>
                <w:rFonts w:hint="eastAsia" w:eastAsiaTheme="minorEastAsia"/>
                <w:kern w:val="24"/>
                <w:sz w:val="24"/>
              </w:rPr>
              <w:t>、石油类产生浓度为</w:t>
            </w:r>
            <w:r>
              <w:rPr>
                <w:rFonts w:eastAsiaTheme="minorEastAsia"/>
                <w:kern w:val="24"/>
                <w:sz w:val="24"/>
              </w:rPr>
              <w:t>0.</w:t>
            </w:r>
            <w:r>
              <w:rPr>
                <w:rFonts w:hint="eastAsia" w:eastAsiaTheme="minorEastAsia"/>
                <w:kern w:val="24"/>
                <w:sz w:val="24"/>
              </w:rPr>
              <w:t>65</w:t>
            </w:r>
            <w:r>
              <w:rPr>
                <w:rFonts w:eastAsiaTheme="minorEastAsia"/>
                <w:kern w:val="24"/>
                <w:sz w:val="24"/>
              </w:rPr>
              <w:t>mg/L。</w:t>
            </w:r>
          </w:p>
          <w:p>
            <w:pPr>
              <w:spacing w:line="360" w:lineRule="auto"/>
              <w:ind w:firstLine="480" w:firstLineChars="200"/>
              <w:contextualSpacing/>
              <w:rPr>
                <w:rFonts w:eastAsiaTheme="minorEastAsia"/>
                <w:sz w:val="24"/>
              </w:rPr>
            </w:pPr>
            <w:r>
              <w:rPr>
                <w:rFonts w:hint="eastAsia" w:eastAsiaTheme="minorEastAsia"/>
                <w:sz w:val="24"/>
              </w:rPr>
              <w:t>经类比，本项目初期雨水处理前</w:t>
            </w:r>
            <w:r>
              <w:rPr>
                <w:rFonts w:eastAsiaTheme="minorEastAsia"/>
                <w:kern w:val="24"/>
                <w:sz w:val="24"/>
              </w:rPr>
              <w:t>pH</w:t>
            </w:r>
            <w:r>
              <w:rPr>
                <w:rFonts w:hint="eastAsia" w:eastAsiaTheme="minorEastAsia"/>
                <w:kern w:val="24"/>
                <w:sz w:val="24"/>
              </w:rPr>
              <w:t>产生浓度为</w:t>
            </w:r>
            <w:r>
              <w:rPr>
                <w:rFonts w:eastAsiaTheme="minorEastAsia"/>
                <w:kern w:val="24"/>
                <w:sz w:val="24"/>
              </w:rPr>
              <w:t>6.73</w:t>
            </w:r>
            <w:r>
              <w:rPr>
                <w:rFonts w:hint="eastAsia" w:eastAsiaTheme="minorEastAsia"/>
                <w:kern w:val="24"/>
                <w:sz w:val="24"/>
              </w:rPr>
              <w:t>，化学需氧量产生浓度为</w:t>
            </w:r>
            <w:r>
              <w:rPr>
                <w:rFonts w:eastAsiaTheme="minorEastAsia"/>
                <w:kern w:val="24"/>
                <w:sz w:val="24"/>
              </w:rPr>
              <w:t>16mg/L</w:t>
            </w:r>
            <w:r>
              <w:rPr>
                <w:rFonts w:hint="eastAsia" w:eastAsiaTheme="minorEastAsia"/>
                <w:kern w:val="24"/>
                <w:sz w:val="24"/>
              </w:rPr>
              <w:t>、</w:t>
            </w:r>
            <w:r>
              <w:rPr>
                <w:rFonts w:eastAsiaTheme="minorEastAsia"/>
                <w:kern w:val="24"/>
                <w:sz w:val="24"/>
              </w:rPr>
              <w:t>SS</w:t>
            </w:r>
            <w:r>
              <w:rPr>
                <w:rFonts w:hint="eastAsia" w:eastAsiaTheme="minorEastAsia"/>
                <w:kern w:val="24"/>
                <w:sz w:val="24"/>
              </w:rPr>
              <w:t>产生浓度为290</w:t>
            </w:r>
            <w:r>
              <w:rPr>
                <w:rFonts w:eastAsiaTheme="minorEastAsia"/>
                <w:kern w:val="24"/>
                <w:sz w:val="24"/>
              </w:rPr>
              <w:t>mg/L</w:t>
            </w:r>
            <w:r>
              <w:rPr>
                <w:rFonts w:hint="eastAsia" w:eastAsiaTheme="minorEastAsia"/>
                <w:kern w:val="24"/>
                <w:sz w:val="24"/>
              </w:rPr>
              <w:t>、石油类产生浓度为</w:t>
            </w:r>
            <w:r>
              <w:rPr>
                <w:rFonts w:eastAsiaTheme="minorEastAsia"/>
                <w:kern w:val="24"/>
                <w:sz w:val="24"/>
              </w:rPr>
              <w:t>0.</w:t>
            </w:r>
            <w:r>
              <w:rPr>
                <w:rFonts w:hint="eastAsia" w:eastAsiaTheme="minorEastAsia"/>
                <w:kern w:val="24"/>
                <w:sz w:val="24"/>
              </w:rPr>
              <w:t>65</w:t>
            </w:r>
            <w:r>
              <w:rPr>
                <w:rFonts w:eastAsiaTheme="minorEastAsia"/>
                <w:kern w:val="24"/>
                <w:sz w:val="24"/>
              </w:rPr>
              <w:t>mg/L</w:t>
            </w:r>
            <w:r>
              <w:rPr>
                <w:rFonts w:hint="eastAsia" w:eastAsiaTheme="minorEastAsia"/>
                <w:kern w:val="24"/>
                <w:sz w:val="24"/>
              </w:rPr>
              <w:t>、五日生化需氧量产生浓度为</w:t>
            </w:r>
            <w:r>
              <w:rPr>
                <w:rFonts w:eastAsiaTheme="minorEastAsia"/>
                <w:kern w:val="24"/>
                <w:sz w:val="24"/>
              </w:rPr>
              <w:t>5.3mg/L</w:t>
            </w:r>
            <w:r>
              <w:rPr>
                <w:rFonts w:hint="eastAsia" w:eastAsiaTheme="minorEastAsia"/>
                <w:kern w:val="24"/>
                <w:sz w:val="24"/>
              </w:rPr>
              <w:t>、氨氮产生浓度为</w:t>
            </w:r>
            <w:r>
              <w:rPr>
                <w:rFonts w:eastAsiaTheme="minorEastAsia"/>
                <w:kern w:val="24"/>
                <w:sz w:val="24"/>
              </w:rPr>
              <w:t>0.132mg/L</w:t>
            </w:r>
            <w:r>
              <w:rPr>
                <w:rFonts w:hint="eastAsia" w:eastAsiaTheme="minorEastAsia"/>
                <w:kern w:val="24"/>
                <w:sz w:val="24"/>
              </w:rPr>
              <w:t>，经油水分离器处理后排放，SS去除率为96.9%，石油类去除率为74%，</w:t>
            </w:r>
            <w:r>
              <w:rPr>
                <w:rFonts w:hint="eastAsia" w:eastAsiaTheme="minorEastAsia"/>
                <w:sz w:val="24"/>
              </w:rPr>
              <w:t>处理后</w:t>
            </w:r>
            <w:r>
              <w:rPr>
                <w:rFonts w:eastAsiaTheme="minorEastAsia"/>
                <w:kern w:val="24"/>
                <w:sz w:val="24"/>
              </w:rPr>
              <w:t>pH</w:t>
            </w:r>
            <w:r>
              <w:rPr>
                <w:rFonts w:hint="eastAsia" w:eastAsiaTheme="minorEastAsia"/>
                <w:kern w:val="24"/>
                <w:sz w:val="24"/>
              </w:rPr>
              <w:t>排放浓度为</w:t>
            </w:r>
            <w:r>
              <w:rPr>
                <w:rFonts w:eastAsiaTheme="minorEastAsia"/>
                <w:kern w:val="24"/>
                <w:sz w:val="24"/>
              </w:rPr>
              <w:t>6.73</w:t>
            </w:r>
            <w:r>
              <w:rPr>
                <w:rFonts w:hint="eastAsia" w:eastAsiaTheme="minorEastAsia"/>
                <w:kern w:val="24"/>
                <w:sz w:val="24"/>
              </w:rPr>
              <w:t>，化学需氧量排放浓度为</w:t>
            </w:r>
            <w:r>
              <w:rPr>
                <w:rFonts w:eastAsiaTheme="minorEastAsia"/>
                <w:kern w:val="24"/>
                <w:sz w:val="24"/>
              </w:rPr>
              <w:t>16mg/L</w:t>
            </w:r>
            <w:r>
              <w:rPr>
                <w:rFonts w:hint="eastAsia" w:eastAsiaTheme="minorEastAsia"/>
                <w:kern w:val="24"/>
                <w:sz w:val="24"/>
              </w:rPr>
              <w:t>、</w:t>
            </w:r>
            <w:r>
              <w:rPr>
                <w:rFonts w:eastAsiaTheme="minorEastAsia"/>
                <w:kern w:val="24"/>
                <w:sz w:val="24"/>
              </w:rPr>
              <w:t>SS</w:t>
            </w:r>
            <w:r>
              <w:rPr>
                <w:rFonts w:hint="eastAsia" w:eastAsiaTheme="minorEastAsia"/>
                <w:kern w:val="24"/>
                <w:sz w:val="24"/>
              </w:rPr>
              <w:t>排放浓度为</w:t>
            </w:r>
            <w:r>
              <w:rPr>
                <w:rFonts w:eastAsiaTheme="minorEastAsia"/>
                <w:kern w:val="24"/>
                <w:sz w:val="24"/>
              </w:rPr>
              <w:t>9mg/L</w:t>
            </w:r>
            <w:r>
              <w:rPr>
                <w:rFonts w:hint="eastAsia" w:eastAsiaTheme="minorEastAsia"/>
                <w:kern w:val="24"/>
                <w:sz w:val="24"/>
              </w:rPr>
              <w:t>、石油类排放浓度为</w:t>
            </w:r>
            <w:r>
              <w:rPr>
                <w:rFonts w:eastAsiaTheme="minorEastAsia"/>
                <w:kern w:val="24"/>
                <w:sz w:val="24"/>
              </w:rPr>
              <w:t>0.17mg/L</w:t>
            </w:r>
            <w:r>
              <w:rPr>
                <w:rFonts w:hint="eastAsia" w:eastAsiaTheme="minorEastAsia"/>
                <w:kern w:val="24"/>
                <w:sz w:val="24"/>
              </w:rPr>
              <w:t>、五日生化需氧量排放浓度为</w:t>
            </w:r>
            <w:r>
              <w:rPr>
                <w:rFonts w:eastAsiaTheme="minorEastAsia"/>
                <w:kern w:val="24"/>
                <w:sz w:val="24"/>
              </w:rPr>
              <w:t>5.3mg/L</w:t>
            </w:r>
            <w:r>
              <w:rPr>
                <w:rFonts w:hint="eastAsia" w:eastAsiaTheme="minorEastAsia"/>
                <w:kern w:val="24"/>
                <w:sz w:val="24"/>
              </w:rPr>
              <w:t>、氨氮排放浓度为</w:t>
            </w:r>
            <w:r>
              <w:rPr>
                <w:rFonts w:eastAsiaTheme="minorEastAsia"/>
                <w:kern w:val="24"/>
                <w:sz w:val="24"/>
              </w:rPr>
              <w:t>0.132mg/L</w:t>
            </w:r>
            <w:r>
              <w:rPr>
                <w:rFonts w:hint="eastAsia" w:eastAsiaTheme="minorEastAsia"/>
                <w:kern w:val="24"/>
                <w:sz w:val="24"/>
              </w:rPr>
              <w:t>，</w:t>
            </w:r>
            <w:r>
              <w:rPr>
                <w:rFonts w:hint="eastAsia" w:eastAsiaTheme="minorEastAsia"/>
                <w:bCs/>
                <w:sz w:val="24"/>
              </w:rPr>
              <w:t>本项目采用雨污分流制，</w:t>
            </w:r>
            <w:r>
              <w:rPr>
                <w:rFonts w:hint="eastAsia" w:eastAsiaTheme="minorEastAsia"/>
                <w:sz w:val="24"/>
              </w:rPr>
              <w:t>项目厂区内地面及道路全部硬化，在污染区四周设置环形导流沟，初期雨水进入厂区东侧的</w:t>
            </w:r>
            <w:r>
              <w:rPr>
                <w:rFonts w:hint="eastAsia" w:eastAsiaTheme="minorEastAsia"/>
                <w:bCs/>
                <w:sz w:val="24"/>
              </w:rPr>
              <w:t>20m</w:t>
            </w:r>
            <w:r>
              <w:rPr>
                <w:rFonts w:hint="eastAsia" w:eastAsiaTheme="minorEastAsia"/>
                <w:bCs/>
                <w:sz w:val="24"/>
                <w:vertAlign w:val="superscript"/>
              </w:rPr>
              <w:t>3</w:t>
            </w:r>
            <w:r>
              <w:rPr>
                <w:rFonts w:hint="eastAsia" w:eastAsiaTheme="minorEastAsia"/>
                <w:sz w:val="24"/>
              </w:rPr>
              <w:t>收集池，</w:t>
            </w:r>
            <w:r>
              <w:rPr>
                <w:rFonts w:hint="eastAsia" w:eastAsiaTheme="minorEastAsia"/>
                <w:bCs/>
                <w:sz w:val="24"/>
              </w:rPr>
              <w:t>经油水分离器处理后进入100m</w:t>
            </w:r>
            <w:r>
              <w:rPr>
                <w:rFonts w:hint="eastAsia" w:eastAsiaTheme="minorEastAsia"/>
                <w:bCs/>
                <w:sz w:val="24"/>
                <w:vertAlign w:val="superscript"/>
              </w:rPr>
              <w:t>3</w:t>
            </w:r>
            <w:r>
              <w:rPr>
                <w:rFonts w:hint="eastAsia" w:eastAsiaTheme="minorEastAsia"/>
                <w:bCs/>
                <w:sz w:val="24"/>
              </w:rPr>
              <w:t>暂存池，每收集一次初期雨水后采用罐车拉运至八五六农场污水处理厂，经处理后污水排放浓度达到《城镇污水处理厂污染物排放标准》（</w:t>
            </w:r>
            <w:r>
              <w:rPr>
                <w:rFonts w:eastAsiaTheme="minorEastAsia"/>
                <w:bCs/>
                <w:sz w:val="24"/>
              </w:rPr>
              <w:t>GB18918-2002</w:t>
            </w:r>
            <w:r>
              <w:rPr>
                <w:rFonts w:hint="eastAsia" w:eastAsiaTheme="minorEastAsia"/>
                <w:bCs/>
                <w:sz w:val="24"/>
              </w:rPr>
              <w:t>）一级</w:t>
            </w:r>
            <w:r>
              <w:rPr>
                <w:rFonts w:eastAsiaTheme="minorEastAsia"/>
                <w:bCs/>
                <w:sz w:val="24"/>
              </w:rPr>
              <w:t>A</w:t>
            </w:r>
            <w:r>
              <w:rPr>
                <w:rFonts w:hint="eastAsia" w:eastAsiaTheme="minorEastAsia"/>
                <w:bCs/>
                <w:sz w:val="24"/>
              </w:rPr>
              <w:t>标准后排入穆棱河</w:t>
            </w:r>
            <w:r>
              <w:rPr>
                <w:rFonts w:hint="eastAsia" w:eastAsiaTheme="minorEastAsia"/>
                <w:sz w:val="24"/>
              </w:rPr>
              <w:t>。</w:t>
            </w:r>
          </w:p>
          <w:p>
            <w:pPr>
              <w:pStyle w:val="49"/>
              <w:spacing w:line="360" w:lineRule="auto"/>
              <w:ind w:firstLine="562"/>
              <w:contextualSpacing/>
              <w:rPr>
                <w:rFonts w:ascii="Times New Roman" w:hAnsi="Times New Roman" w:eastAsiaTheme="minorEastAsia"/>
                <w:b/>
              </w:rPr>
            </w:pPr>
            <w:r>
              <w:rPr>
                <w:rFonts w:hint="eastAsia" w:ascii="Times New Roman" w:hAnsi="Times New Roman" w:eastAsiaTheme="minorEastAsia"/>
                <w:b/>
              </w:rPr>
              <w:t>表</w:t>
            </w:r>
            <w:r>
              <w:rPr>
                <w:rFonts w:ascii="Times New Roman" w:hAnsi="Times New Roman" w:eastAsiaTheme="minorEastAsia"/>
                <w:b/>
              </w:rPr>
              <w:t>4-</w:t>
            </w:r>
            <w:r>
              <w:rPr>
                <w:rFonts w:hint="eastAsia" w:ascii="Times New Roman" w:hAnsi="Times New Roman" w:eastAsiaTheme="minorEastAsia"/>
                <w:b/>
              </w:rPr>
              <w:t>7废水污染源源强核算结果及相关参数一览表</w:t>
            </w:r>
          </w:p>
          <w:tbl>
            <w:tblPr>
              <w:tblStyle w:val="22"/>
              <w:tblW w:w="814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425"/>
              <w:gridCol w:w="992"/>
              <w:gridCol w:w="709"/>
              <w:gridCol w:w="769"/>
              <w:gridCol w:w="507"/>
              <w:gridCol w:w="567"/>
              <w:gridCol w:w="863"/>
              <w:gridCol w:w="431"/>
              <w:gridCol w:w="716"/>
              <w:gridCol w:w="715"/>
              <w:gridCol w:w="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 w:hRule="atLeast"/>
                <w:jc w:val="center"/>
              </w:trPr>
              <w:tc>
                <w:tcPr>
                  <w:tcW w:w="701" w:type="dxa"/>
                  <w:vMerge w:val="restart"/>
                  <w:vAlign w:val="center"/>
                </w:tcPr>
                <w:p>
                  <w:pPr>
                    <w:spacing w:line="0" w:lineRule="atLeast"/>
                    <w:contextualSpacing/>
                    <w:jc w:val="center"/>
                    <w:rPr>
                      <w:rFonts w:eastAsiaTheme="minorEastAsia"/>
                      <w:szCs w:val="21"/>
                    </w:rPr>
                  </w:pPr>
                  <w:r>
                    <w:rPr>
                      <w:rFonts w:hint="eastAsia" w:eastAsiaTheme="minorEastAsia"/>
                      <w:szCs w:val="21"/>
                    </w:rPr>
                    <w:t>产污环节</w:t>
                  </w:r>
                </w:p>
              </w:tc>
              <w:tc>
                <w:tcPr>
                  <w:tcW w:w="425" w:type="dxa"/>
                  <w:vMerge w:val="restart"/>
                  <w:vAlign w:val="center"/>
                </w:tcPr>
                <w:p>
                  <w:pPr>
                    <w:spacing w:line="0" w:lineRule="atLeast"/>
                    <w:contextualSpacing/>
                    <w:jc w:val="center"/>
                    <w:rPr>
                      <w:rFonts w:eastAsiaTheme="minorEastAsia"/>
                      <w:szCs w:val="21"/>
                    </w:rPr>
                  </w:pPr>
                  <w:r>
                    <w:rPr>
                      <w:rFonts w:hint="eastAsia" w:eastAsiaTheme="minorEastAsia"/>
                      <w:szCs w:val="21"/>
                    </w:rPr>
                    <w:t>类别</w:t>
                  </w:r>
                </w:p>
              </w:tc>
              <w:tc>
                <w:tcPr>
                  <w:tcW w:w="992" w:type="dxa"/>
                  <w:vMerge w:val="restart"/>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污染物种类</w:t>
                  </w:r>
                </w:p>
              </w:tc>
              <w:tc>
                <w:tcPr>
                  <w:tcW w:w="1478" w:type="dxa"/>
                  <w:gridSpan w:val="2"/>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污染物产生</w:t>
                  </w:r>
                </w:p>
              </w:tc>
              <w:tc>
                <w:tcPr>
                  <w:tcW w:w="1937" w:type="dxa"/>
                  <w:gridSpan w:val="3"/>
                  <w:tcBorders>
                    <w:right w:val="single" w:color="auto" w:sz="2" w:space="0"/>
                  </w:tcBorders>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治理设施</w:t>
                  </w:r>
                </w:p>
              </w:tc>
              <w:tc>
                <w:tcPr>
                  <w:tcW w:w="431" w:type="dxa"/>
                  <w:vMerge w:val="restart"/>
                  <w:tcBorders>
                    <w:left w:val="single" w:color="auto" w:sz="2" w:space="0"/>
                    <w:right w:val="single" w:color="auto" w:sz="2" w:space="0"/>
                  </w:tcBorders>
                  <w:vAlign w:val="center"/>
                </w:tcPr>
                <w:p>
                  <w:pPr>
                    <w:pStyle w:val="49"/>
                    <w:spacing w:line="0" w:lineRule="atLeast"/>
                    <w:contextualSpacing/>
                    <w:rPr>
                      <w:rFonts w:ascii="Times New Roman" w:hAnsi="Times New Roman" w:eastAsiaTheme="minorEastAsia"/>
                      <w:sz w:val="21"/>
                      <w:szCs w:val="21"/>
                    </w:rPr>
                  </w:pPr>
                  <w:r>
                    <w:rPr>
                      <w:rFonts w:hint="eastAsia" w:ascii="Times New Roman" w:hAnsi="Times New Roman" w:eastAsiaTheme="minorEastAsia"/>
                      <w:sz w:val="21"/>
                      <w:szCs w:val="21"/>
                    </w:rPr>
                    <w:t>排排放方式</w:t>
                  </w:r>
                </w:p>
              </w:tc>
              <w:tc>
                <w:tcPr>
                  <w:tcW w:w="2182" w:type="dxa"/>
                  <w:gridSpan w:val="3"/>
                  <w:tcBorders>
                    <w:left w:val="single" w:color="auto" w:sz="2" w:space="0"/>
                  </w:tcBorders>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2" w:hRule="atLeast"/>
                <w:jc w:val="center"/>
              </w:trPr>
              <w:tc>
                <w:tcPr>
                  <w:tcW w:w="701" w:type="dxa"/>
                  <w:vMerge w:val="continue"/>
                  <w:vAlign w:val="center"/>
                </w:tcPr>
                <w:p>
                  <w:pPr>
                    <w:autoSpaceDE w:val="0"/>
                    <w:autoSpaceDN w:val="0"/>
                    <w:spacing w:line="0" w:lineRule="atLeast"/>
                    <w:contextualSpacing/>
                    <w:jc w:val="center"/>
                    <w:rPr>
                      <w:rFonts w:eastAsiaTheme="minorEastAsia"/>
                      <w:szCs w:val="21"/>
                    </w:rPr>
                  </w:pPr>
                </w:p>
              </w:tc>
              <w:tc>
                <w:tcPr>
                  <w:tcW w:w="425" w:type="dxa"/>
                  <w:vMerge w:val="continue"/>
                  <w:vAlign w:val="center"/>
                </w:tcPr>
                <w:p>
                  <w:pPr>
                    <w:autoSpaceDE w:val="0"/>
                    <w:autoSpaceDN w:val="0"/>
                    <w:spacing w:line="0" w:lineRule="atLeast"/>
                    <w:contextualSpacing/>
                    <w:jc w:val="center"/>
                    <w:rPr>
                      <w:rFonts w:eastAsiaTheme="minorEastAsia"/>
                      <w:szCs w:val="21"/>
                    </w:rPr>
                  </w:pPr>
                </w:p>
              </w:tc>
              <w:tc>
                <w:tcPr>
                  <w:tcW w:w="992" w:type="dxa"/>
                  <w:vMerge w:val="continue"/>
                  <w:vAlign w:val="center"/>
                </w:tcPr>
                <w:p>
                  <w:pPr>
                    <w:autoSpaceDE w:val="0"/>
                    <w:autoSpaceDN w:val="0"/>
                    <w:spacing w:line="0" w:lineRule="atLeast"/>
                    <w:contextualSpacing/>
                    <w:jc w:val="center"/>
                    <w:rPr>
                      <w:rFonts w:eastAsiaTheme="minorEastAsia"/>
                      <w:szCs w:val="21"/>
                    </w:rPr>
                  </w:pPr>
                </w:p>
              </w:tc>
              <w:tc>
                <w:tcPr>
                  <w:tcW w:w="709" w:type="dxa"/>
                  <w:vAlign w:val="center"/>
                </w:tcPr>
                <w:p>
                  <w:pPr>
                    <w:pStyle w:val="49"/>
                    <w:spacing w:line="0" w:lineRule="atLeast"/>
                    <w:contextualSpacing/>
                    <w:rPr>
                      <w:rFonts w:ascii="Times New Roman" w:hAnsi="Times New Roman" w:eastAsiaTheme="minorEastAsia"/>
                      <w:sz w:val="21"/>
                      <w:szCs w:val="21"/>
                    </w:rPr>
                  </w:pPr>
                  <w:r>
                    <w:rPr>
                      <w:rFonts w:hint="eastAsia" w:ascii="Times New Roman" w:hAnsi="Times New Roman" w:eastAsiaTheme="minorEastAsia"/>
                      <w:sz w:val="21"/>
                      <w:szCs w:val="21"/>
                    </w:rPr>
                    <w:t>产生浓度</w:t>
                  </w:r>
                  <w:r>
                    <w:rPr>
                      <w:rFonts w:ascii="Times New Roman" w:hAnsi="Times New Roman" w:eastAsiaTheme="minorEastAsia"/>
                      <w:sz w:val="21"/>
                      <w:szCs w:val="21"/>
                    </w:rPr>
                    <w:t>mg/L</w:t>
                  </w:r>
                </w:p>
              </w:tc>
              <w:tc>
                <w:tcPr>
                  <w:tcW w:w="769" w:type="dxa"/>
                  <w:vAlign w:val="center"/>
                </w:tcPr>
                <w:p>
                  <w:pPr>
                    <w:pStyle w:val="49"/>
                    <w:spacing w:line="0" w:lineRule="atLeast"/>
                    <w:contextualSpacing/>
                    <w:rPr>
                      <w:rFonts w:ascii="Times New Roman" w:hAnsi="Times New Roman" w:eastAsiaTheme="minorEastAsia"/>
                      <w:sz w:val="21"/>
                      <w:szCs w:val="21"/>
                    </w:rPr>
                  </w:pPr>
                  <w:r>
                    <w:rPr>
                      <w:rFonts w:hint="eastAsia" w:ascii="Times New Roman" w:hAnsi="Times New Roman" w:eastAsiaTheme="minorEastAsia"/>
                      <w:sz w:val="21"/>
                      <w:szCs w:val="21"/>
                    </w:rPr>
                    <w:t>产生量</w:t>
                  </w:r>
                  <w:r>
                    <w:rPr>
                      <w:rFonts w:ascii="Times New Roman" w:hAnsi="Times New Roman" w:eastAsiaTheme="minorEastAsia"/>
                      <w:sz w:val="21"/>
                      <w:szCs w:val="21"/>
                    </w:rPr>
                    <w:t>t/a</w:t>
                  </w:r>
                </w:p>
              </w:tc>
              <w:tc>
                <w:tcPr>
                  <w:tcW w:w="507" w:type="dxa"/>
                  <w:vAlign w:val="center"/>
                </w:tcPr>
                <w:p>
                  <w:pPr>
                    <w:pStyle w:val="49"/>
                    <w:spacing w:line="0" w:lineRule="atLeast"/>
                    <w:contextualSpacing/>
                    <w:rPr>
                      <w:rFonts w:ascii="Times New Roman" w:hAnsi="Times New Roman" w:eastAsiaTheme="minorEastAsia"/>
                      <w:sz w:val="21"/>
                      <w:szCs w:val="21"/>
                    </w:rPr>
                  </w:pPr>
                  <w:r>
                    <w:rPr>
                      <w:rFonts w:hint="eastAsia" w:ascii="Times New Roman" w:hAnsi="Times New Roman" w:eastAsiaTheme="minorEastAsia"/>
                      <w:sz w:val="21"/>
                      <w:szCs w:val="21"/>
                    </w:rPr>
                    <w:t>工艺</w:t>
                  </w:r>
                </w:p>
              </w:tc>
              <w:tc>
                <w:tcPr>
                  <w:tcW w:w="567" w:type="dxa"/>
                  <w:tcBorders>
                    <w:right w:val="single" w:color="auto" w:sz="2" w:space="0"/>
                  </w:tcBorders>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效率</w:t>
                  </w:r>
                </w:p>
              </w:tc>
              <w:tc>
                <w:tcPr>
                  <w:tcW w:w="863" w:type="dxa"/>
                  <w:tcBorders>
                    <w:left w:val="single" w:color="auto" w:sz="2" w:space="0"/>
                    <w:right w:val="single" w:color="auto" w:sz="2" w:space="0"/>
                  </w:tcBorders>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是否为可行性技术</w:t>
                  </w:r>
                </w:p>
              </w:tc>
              <w:tc>
                <w:tcPr>
                  <w:tcW w:w="431" w:type="dxa"/>
                  <w:vMerge w:val="continue"/>
                  <w:tcBorders>
                    <w:left w:val="single" w:color="auto" w:sz="2" w:space="0"/>
                    <w:bottom w:val="single" w:color="auto" w:sz="2" w:space="0"/>
                    <w:right w:val="single" w:color="auto" w:sz="2" w:space="0"/>
                  </w:tcBorders>
                  <w:vAlign w:val="center"/>
                </w:tcPr>
                <w:p>
                  <w:pPr>
                    <w:pStyle w:val="49"/>
                    <w:spacing w:line="0" w:lineRule="atLeast"/>
                    <w:contextualSpacing/>
                    <w:rPr>
                      <w:rFonts w:ascii="Times New Roman" w:hAnsi="Times New Roman" w:eastAsiaTheme="minorEastAsia"/>
                      <w:sz w:val="21"/>
                      <w:szCs w:val="21"/>
                    </w:rPr>
                  </w:pPr>
                </w:p>
              </w:tc>
              <w:tc>
                <w:tcPr>
                  <w:tcW w:w="716" w:type="dxa"/>
                  <w:tcBorders>
                    <w:left w:val="single" w:color="auto" w:sz="2" w:space="0"/>
                    <w:bottom w:val="single" w:color="auto" w:sz="2" w:space="0"/>
                    <w:right w:val="single" w:color="auto" w:sz="2" w:space="0"/>
                  </w:tcBorders>
                  <w:vAlign w:val="center"/>
                </w:tcPr>
                <w:p>
                  <w:pPr>
                    <w:pStyle w:val="49"/>
                    <w:spacing w:line="0" w:lineRule="atLeast"/>
                    <w:contextualSpacing/>
                    <w:rPr>
                      <w:rFonts w:ascii="Times New Roman" w:hAnsi="Times New Roman" w:eastAsiaTheme="minorEastAsia"/>
                      <w:sz w:val="21"/>
                      <w:szCs w:val="21"/>
                    </w:rPr>
                  </w:pPr>
                  <w:r>
                    <w:rPr>
                      <w:rFonts w:hint="eastAsia" w:ascii="Times New Roman" w:hAnsi="Times New Roman" w:eastAsiaTheme="minorEastAsia"/>
                      <w:sz w:val="21"/>
                      <w:szCs w:val="21"/>
                    </w:rPr>
                    <w:t>废水排放量</w:t>
                  </w:r>
                  <w:r>
                    <w:rPr>
                      <w:rFonts w:ascii="Times New Roman" w:hAnsi="Times New Roman" w:eastAsiaTheme="minorEastAsia"/>
                      <w:sz w:val="21"/>
                      <w:szCs w:val="21"/>
                    </w:rPr>
                    <w:t>t/a</w:t>
                  </w:r>
                </w:p>
              </w:tc>
              <w:tc>
                <w:tcPr>
                  <w:tcW w:w="715" w:type="dxa"/>
                  <w:tcBorders>
                    <w:left w:val="single" w:color="auto" w:sz="2" w:space="0"/>
                  </w:tcBorders>
                  <w:vAlign w:val="center"/>
                </w:tcPr>
                <w:p>
                  <w:pPr>
                    <w:pStyle w:val="49"/>
                    <w:spacing w:line="0" w:lineRule="atLeast"/>
                    <w:contextualSpacing/>
                    <w:rPr>
                      <w:rFonts w:ascii="Times New Roman" w:hAnsi="Times New Roman" w:eastAsiaTheme="minorEastAsia"/>
                      <w:sz w:val="21"/>
                      <w:szCs w:val="21"/>
                    </w:rPr>
                  </w:pPr>
                  <w:r>
                    <w:rPr>
                      <w:rFonts w:hint="eastAsia" w:ascii="Times New Roman" w:hAnsi="Times New Roman" w:eastAsiaTheme="minorEastAsia"/>
                      <w:sz w:val="21"/>
                      <w:szCs w:val="21"/>
                    </w:rPr>
                    <w:t>排放浓度</w:t>
                  </w:r>
                  <w:r>
                    <w:rPr>
                      <w:rFonts w:ascii="Times New Roman" w:hAnsi="Times New Roman" w:eastAsiaTheme="minorEastAsia"/>
                      <w:sz w:val="21"/>
                      <w:szCs w:val="21"/>
                    </w:rPr>
                    <w:t>mg/L</w:t>
                  </w:r>
                </w:p>
              </w:tc>
              <w:tc>
                <w:tcPr>
                  <w:tcW w:w="751" w:type="dxa"/>
                  <w:vAlign w:val="center"/>
                </w:tcPr>
                <w:p>
                  <w:pPr>
                    <w:pStyle w:val="49"/>
                    <w:spacing w:line="0" w:lineRule="atLeast"/>
                    <w:contextualSpacing/>
                    <w:rPr>
                      <w:rFonts w:ascii="Times New Roman" w:hAnsi="Times New Roman" w:eastAsiaTheme="minorEastAsia"/>
                      <w:sz w:val="21"/>
                      <w:szCs w:val="21"/>
                    </w:rPr>
                  </w:pPr>
                  <w:r>
                    <w:rPr>
                      <w:rFonts w:hint="eastAsia" w:ascii="Times New Roman" w:hAnsi="Times New Roman" w:eastAsiaTheme="minorEastAsia"/>
                      <w:sz w:val="21"/>
                      <w:szCs w:val="21"/>
                    </w:rPr>
                    <w:t>排放量</w:t>
                  </w:r>
                </w:p>
                <w:p>
                  <w:pPr>
                    <w:pStyle w:val="49"/>
                    <w:spacing w:line="0" w:lineRule="atLeast"/>
                    <w:contextualSpacing/>
                    <w:rPr>
                      <w:rFonts w:ascii="Times New Roman" w:hAnsi="Times New Roman" w:eastAsiaTheme="minorEastAsia"/>
                      <w:sz w:val="21"/>
                      <w:szCs w:val="21"/>
                    </w:rPr>
                  </w:pPr>
                  <w:r>
                    <w:rPr>
                      <w:rFonts w:ascii="Times New Roman" w:hAnsi="Times New Roman" w:eastAsiaTheme="minorEastAsia"/>
                      <w:sz w:val="21"/>
                      <w:szCs w:val="21"/>
                    </w:rPr>
                    <w:t>t/a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79" w:hRule="atLeast"/>
                <w:jc w:val="center"/>
              </w:trPr>
              <w:tc>
                <w:tcPr>
                  <w:tcW w:w="701" w:type="dxa"/>
                  <w:vMerge w:val="restart"/>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拆解车间、停车场地面</w:t>
                  </w:r>
                </w:p>
              </w:tc>
              <w:tc>
                <w:tcPr>
                  <w:tcW w:w="425" w:type="dxa"/>
                  <w:vMerge w:val="restart"/>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初期雨水</w:t>
                  </w:r>
                </w:p>
              </w:tc>
              <w:tc>
                <w:tcPr>
                  <w:tcW w:w="992" w:type="dxa"/>
                  <w:vAlign w:val="center"/>
                </w:tcPr>
                <w:p>
                  <w:pPr>
                    <w:spacing w:line="0" w:lineRule="atLeast"/>
                    <w:contextualSpacing/>
                    <w:jc w:val="center"/>
                    <w:rPr>
                      <w:rFonts w:eastAsiaTheme="minorEastAsia"/>
                      <w:szCs w:val="21"/>
                    </w:rPr>
                  </w:pPr>
                  <w:r>
                    <w:rPr>
                      <w:rFonts w:hint="eastAsia" w:eastAsiaTheme="minorEastAsia"/>
                      <w:szCs w:val="21"/>
                    </w:rPr>
                    <w:t>化学需氧量</w:t>
                  </w:r>
                </w:p>
              </w:tc>
              <w:tc>
                <w:tcPr>
                  <w:tcW w:w="709" w:type="dxa"/>
                  <w:tcBorders>
                    <w:top w:val="single" w:color="auto" w:sz="2" w:space="0"/>
                  </w:tcBorders>
                  <w:vAlign w:val="center"/>
                </w:tcPr>
                <w:p>
                  <w:pPr>
                    <w:autoSpaceDE w:val="0"/>
                    <w:autoSpaceDN w:val="0"/>
                    <w:spacing w:line="0" w:lineRule="atLeast"/>
                    <w:contextualSpacing/>
                    <w:jc w:val="center"/>
                    <w:rPr>
                      <w:rFonts w:eastAsiaTheme="minorEastAsia"/>
                      <w:szCs w:val="21"/>
                    </w:rPr>
                  </w:pPr>
                  <w:r>
                    <w:rPr>
                      <w:rFonts w:eastAsiaTheme="minorEastAsia"/>
                      <w:szCs w:val="21"/>
                    </w:rPr>
                    <w:t>16</w:t>
                  </w:r>
                </w:p>
              </w:tc>
              <w:tc>
                <w:tcPr>
                  <w:tcW w:w="769" w:type="dxa"/>
                  <w:tcBorders>
                    <w:top w:val="single" w:color="auto" w:sz="2" w:space="0"/>
                  </w:tcBorders>
                  <w:vAlign w:val="center"/>
                </w:tcPr>
                <w:p>
                  <w:pPr>
                    <w:autoSpaceDE w:val="0"/>
                    <w:autoSpaceDN w:val="0"/>
                    <w:spacing w:line="0" w:lineRule="atLeast"/>
                    <w:contextualSpacing/>
                    <w:jc w:val="center"/>
                    <w:rPr>
                      <w:rFonts w:eastAsiaTheme="minorEastAsia"/>
                      <w:szCs w:val="21"/>
                    </w:rPr>
                  </w:pPr>
                  <w:r>
                    <w:rPr>
                      <w:rFonts w:eastAsiaTheme="minorEastAsia"/>
                      <w:szCs w:val="21"/>
                    </w:rPr>
                    <w:t>0.0</w:t>
                  </w:r>
                  <w:r>
                    <w:rPr>
                      <w:rFonts w:hint="eastAsia" w:eastAsiaTheme="minorEastAsia"/>
                      <w:szCs w:val="21"/>
                    </w:rPr>
                    <w:t>3</w:t>
                  </w:r>
                </w:p>
              </w:tc>
              <w:tc>
                <w:tcPr>
                  <w:tcW w:w="507" w:type="dxa"/>
                  <w:vMerge w:val="restart"/>
                  <w:tcBorders>
                    <w:top w:val="single" w:color="auto" w:sz="2" w:space="0"/>
                  </w:tcBorders>
                  <w:vAlign w:val="center"/>
                </w:tcPr>
                <w:p>
                  <w:pPr>
                    <w:pStyle w:val="49"/>
                    <w:spacing w:line="0" w:lineRule="atLeast"/>
                    <w:contextualSpacing/>
                    <w:rPr>
                      <w:rFonts w:ascii="Times New Roman" w:hAnsi="Times New Roman" w:eastAsiaTheme="minorEastAsia"/>
                      <w:sz w:val="21"/>
                      <w:szCs w:val="21"/>
                    </w:rPr>
                  </w:pPr>
                  <w:r>
                    <w:rPr>
                      <w:rFonts w:ascii="Times New Roman" w:hAnsi="Times New Roman" w:eastAsiaTheme="minorEastAsia"/>
                      <w:sz w:val="21"/>
                      <w:szCs w:val="21"/>
                    </w:rPr>
                    <w:t>油水分离器</w:t>
                  </w:r>
                </w:p>
              </w:tc>
              <w:tc>
                <w:tcPr>
                  <w:tcW w:w="567" w:type="dxa"/>
                  <w:vMerge w:val="restart"/>
                  <w:tcBorders>
                    <w:top w:val="single" w:color="auto" w:sz="2" w:space="0"/>
                    <w:right w:val="single" w:color="auto" w:sz="2" w:space="0"/>
                  </w:tcBorders>
                  <w:vAlign w:val="center"/>
                </w:tcPr>
                <w:p>
                  <w:pPr>
                    <w:pStyle w:val="52"/>
                    <w:adjustRightInd/>
                    <w:snapToGrid/>
                    <w:spacing w:line="0" w:lineRule="atLeast"/>
                    <w:ind w:firstLine="0" w:firstLineChars="0"/>
                    <w:contextualSpacing/>
                    <w:jc w:val="center"/>
                    <w:rPr>
                      <w:rFonts w:eastAsiaTheme="minorEastAsia"/>
                      <w:bCs/>
                      <w:sz w:val="21"/>
                      <w:szCs w:val="21"/>
                    </w:rPr>
                  </w:pPr>
                  <w:r>
                    <w:rPr>
                      <w:rFonts w:eastAsiaTheme="minorEastAsia"/>
                      <w:bCs/>
                      <w:sz w:val="21"/>
                      <w:szCs w:val="21"/>
                    </w:rPr>
                    <w:t>/</w:t>
                  </w:r>
                </w:p>
              </w:tc>
              <w:tc>
                <w:tcPr>
                  <w:tcW w:w="863" w:type="dxa"/>
                  <w:vMerge w:val="restart"/>
                  <w:tcBorders>
                    <w:left w:val="single" w:color="auto" w:sz="2" w:space="0"/>
                  </w:tcBorders>
                  <w:vAlign w:val="center"/>
                </w:tcPr>
                <w:p>
                  <w:pPr>
                    <w:spacing w:line="0" w:lineRule="atLeast"/>
                    <w:jc w:val="center"/>
                    <w:rPr>
                      <w:rFonts w:eastAsiaTheme="minorEastAsia"/>
                      <w:szCs w:val="21"/>
                    </w:rPr>
                  </w:pPr>
                  <w:r>
                    <w:rPr>
                      <w:rFonts w:hint="eastAsia" w:eastAsiaTheme="minorEastAsia"/>
                      <w:szCs w:val="21"/>
                    </w:rPr>
                    <w:t>/</w:t>
                  </w:r>
                </w:p>
              </w:tc>
              <w:tc>
                <w:tcPr>
                  <w:tcW w:w="431" w:type="dxa"/>
                  <w:vMerge w:val="restart"/>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间接排放</w:t>
                  </w:r>
                </w:p>
              </w:tc>
              <w:tc>
                <w:tcPr>
                  <w:tcW w:w="716" w:type="dxa"/>
                  <w:vMerge w:val="restart"/>
                  <w:tcBorders>
                    <w:top w:val="single" w:color="auto" w:sz="2" w:space="0"/>
                    <w:right w:val="single" w:color="auto" w:sz="2" w:space="0"/>
                  </w:tcBorders>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2086</w:t>
                  </w:r>
                </w:p>
              </w:tc>
              <w:tc>
                <w:tcPr>
                  <w:tcW w:w="715" w:type="dxa"/>
                  <w:tcBorders>
                    <w:top w:val="single" w:color="auto" w:sz="2" w:space="0"/>
                    <w:left w:val="single" w:color="auto" w:sz="2" w:space="0"/>
                  </w:tcBorders>
                  <w:vAlign w:val="center"/>
                </w:tcPr>
                <w:p>
                  <w:pPr>
                    <w:autoSpaceDE w:val="0"/>
                    <w:autoSpaceDN w:val="0"/>
                    <w:spacing w:line="0" w:lineRule="atLeast"/>
                    <w:contextualSpacing/>
                    <w:jc w:val="center"/>
                    <w:rPr>
                      <w:rFonts w:eastAsiaTheme="minorEastAsia"/>
                      <w:szCs w:val="21"/>
                    </w:rPr>
                  </w:pPr>
                  <w:r>
                    <w:rPr>
                      <w:rFonts w:eastAsiaTheme="minorEastAsia"/>
                      <w:szCs w:val="21"/>
                    </w:rPr>
                    <w:t>16</w:t>
                  </w:r>
                </w:p>
              </w:tc>
              <w:tc>
                <w:tcPr>
                  <w:tcW w:w="751" w:type="dxa"/>
                  <w:tcBorders>
                    <w:top w:val="single" w:color="auto" w:sz="2" w:space="0"/>
                  </w:tcBorders>
                  <w:vAlign w:val="center"/>
                </w:tcPr>
                <w:p>
                  <w:pPr>
                    <w:autoSpaceDE w:val="0"/>
                    <w:autoSpaceDN w:val="0"/>
                    <w:spacing w:line="0" w:lineRule="atLeast"/>
                    <w:contextualSpacing/>
                    <w:jc w:val="center"/>
                    <w:rPr>
                      <w:rFonts w:eastAsiaTheme="minorEastAsia"/>
                      <w:szCs w:val="21"/>
                    </w:rPr>
                  </w:pPr>
                  <w:r>
                    <w:rPr>
                      <w:rFonts w:eastAsiaTheme="minorEastAsia"/>
                      <w:szCs w:val="21"/>
                    </w:rPr>
                    <w:t>0.0</w:t>
                  </w:r>
                  <w:r>
                    <w:rPr>
                      <w:rFonts w:hint="eastAsia" w:eastAsiaTheme="minorEastAsia"/>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 w:hRule="atLeast"/>
                <w:jc w:val="center"/>
              </w:trPr>
              <w:tc>
                <w:tcPr>
                  <w:tcW w:w="701" w:type="dxa"/>
                  <w:vMerge w:val="continue"/>
                  <w:vAlign w:val="center"/>
                </w:tcPr>
                <w:p>
                  <w:pPr>
                    <w:autoSpaceDE w:val="0"/>
                    <w:autoSpaceDN w:val="0"/>
                    <w:spacing w:line="0" w:lineRule="atLeast"/>
                    <w:contextualSpacing/>
                    <w:jc w:val="center"/>
                    <w:rPr>
                      <w:rFonts w:eastAsiaTheme="minorEastAsia"/>
                      <w:szCs w:val="21"/>
                    </w:rPr>
                  </w:pPr>
                </w:p>
              </w:tc>
              <w:tc>
                <w:tcPr>
                  <w:tcW w:w="425" w:type="dxa"/>
                  <w:vMerge w:val="continue"/>
                  <w:vAlign w:val="center"/>
                </w:tcPr>
                <w:p>
                  <w:pPr>
                    <w:autoSpaceDE w:val="0"/>
                    <w:autoSpaceDN w:val="0"/>
                    <w:spacing w:line="0" w:lineRule="atLeast"/>
                    <w:contextualSpacing/>
                    <w:jc w:val="center"/>
                    <w:rPr>
                      <w:rFonts w:eastAsiaTheme="minorEastAsia"/>
                      <w:szCs w:val="21"/>
                    </w:rPr>
                  </w:pPr>
                </w:p>
              </w:tc>
              <w:tc>
                <w:tcPr>
                  <w:tcW w:w="992" w:type="dxa"/>
                  <w:vAlign w:val="center"/>
                </w:tcPr>
                <w:p>
                  <w:pPr>
                    <w:spacing w:line="0" w:lineRule="atLeast"/>
                    <w:contextualSpacing/>
                    <w:jc w:val="center"/>
                    <w:rPr>
                      <w:rFonts w:eastAsiaTheme="minorEastAsia"/>
                      <w:szCs w:val="21"/>
                    </w:rPr>
                  </w:pPr>
                  <w:r>
                    <w:rPr>
                      <w:rFonts w:hint="eastAsia" w:eastAsiaTheme="minorEastAsia"/>
                      <w:szCs w:val="21"/>
                    </w:rPr>
                    <w:t>氨氮</w:t>
                  </w:r>
                </w:p>
              </w:tc>
              <w:tc>
                <w:tcPr>
                  <w:tcW w:w="709" w:type="dxa"/>
                  <w:vAlign w:val="center"/>
                </w:tcPr>
                <w:p>
                  <w:pPr>
                    <w:autoSpaceDE w:val="0"/>
                    <w:autoSpaceDN w:val="0"/>
                    <w:spacing w:line="0" w:lineRule="atLeast"/>
                    <w:contextualSpacing/>
                    <w:jc w:val="center"/>
                    <w:rPr>
                      <w:rFonts w:eastAsiaTheme="minorEastAsia"/>
                      <w:szCs w:val="21"/>
                    </w:rPr>
                  </w:pPr>
                  <w:r>
                    <w:rPr>
                      <w:rFonts w:eastAsiaTheme="minorEastAsia"/>
                      <w:szCs w:val="21"/>
                    </w:rPr>
                    <w:t>0.132</w:t>
                  </w:r>
                </w:p>
              </w:tc>
              <w:tc>
                <w:tcPr>
                  <w:tcW w:w="769" w:type="dxa"/>
                  <w:vAlign w:val="center"/>
                </w:tcPr>
                <w:p>
                  <w:pPr>
                    <w:autoSpaceDE w:val="0"/>
                    <w:autoSpaceDN w:val="0"/>
                    <w:spacing w:line="0" w:lineRule="atLeast"/>
                    <w:contextualSpacing/>
                    <w:jc w:val="center"/>
                    <w:rPr>
                      <w:rFonts w:eastAsiaTheme="minorEastAsia"/>
                      <w:szCs w:val="21"/>
                    </w:rPr>
                  </w:pPr>
                  <w:r>
                    <w:rPr>
                      <w:rFonts w:eastAsiaTheme="minorEastAsia"/>
                      <w:szCs w:val="21"/>
                    </w:rPr>
                    <w:t>0.000</w:t>
                  </w:r>
                  <w:r>
                    <w:rPr>
                      <w:rFonts w:hint="eastAsia" w:eastAsiaTheme="minorEastAsia"/>
                      <w:szCs w:val="21"/>
                    </w:rPr>
                    <w:t>3</w:t>
                  </w:r>
                </w:p>
              </w:tc>
              <w:tc>
                <w:tcPr>
                  <w:tcW w:w="507" w:type="dxa"/>
                  <w:vMerge w:val="continue"/>
                  <w:vAlign w:val="center"/>
                </w:tcPr>
                <w:p>
                  <w:pPr>
                    <w:pStyle w:val="49"/>
                    <w:spacing w:line="0" w:lineRule="atLeast"/>
                    <w:contextualSpacing/>
                    <w:rPr>
                      <w:rFonts w:ascii="Times New Roman" w:hAnsi="Times New Roman" w:eastAsiaTheme="minorEastAsia"/>
                      <w:sz w:val="21"/>
                      <w:szCs w:val="21"/>
                    </w:rPr>
                  </w:pPr>
                </w:p>
              </w:tc>
              <w:tc>
                <w:tcPr>
                  <w:tcW w:w="567" w:type="dxa"/>
                  <w:vMerge w:val="continue"/>
                  <w:tcBorders>
                    <w:right w:val="single" w:color="auto" w:sz="2" w:space="0"/>
                  </w:tcBorders>
                  <w:vAlign w:val="center"/>
                </w:tcPr>
                <w:p>
                  <w:pPr>
                    <w:pStyle w:val="52"/>
                    <w:adjustRightInd/>
                    <w:snapToGrid/>
                    <w:spacing w:line="0" w:lineRule="atLeast"/>
                    <w:ind w:firstLine="0" w:firstLineChars="0"/>
                    <w:contextualSpacing/>
                    <w:jc w:val="center"/>
                    <w:rPr>
                      <w:rFonts w:eastAsiaTheme="minorEastAsia"/>
                      <w:bCs/>
                      <w:sz w:val="21"/>
                      <w:szCs w:val="21"/>
                    </w:rPr>
                  </w:pPr>
                </w:p>
              </w:tc>
              <w:tc>
                <w:tcPr>
                  <w:tcW w:w="863" w:type="dxa"/>
                  <w:vMerge w:val="continue"/>
                  <w:tcBorders>
                    <w:left w:val="single" w:color="auto" w:sz="2" w:space="0"/>
                  </w:tcBorders>
                  <w:vAlign w:val="center"/>
                </w:tcPr>
                <w:p>
                  <w:pPr>
                    <w:spacing w:line="0" w:lineRule="atLeast"/>
                    <w:jc w:val="center"/>
                    <w:rPr>
                      <w:rFonts w:eastAsiaTheme="minorEastAsia"/>
                      <w:szCs w:val="21"/>
                    </w:rPr>
                  </w:pPr>
                </w:p>
              </w:tc>
              <w:tc>
                <w:tcPr>
                  <w:tcW w:w="431" w:type="dxa"/>
                  <w:vMerge w:val="continue"/>
                  <w:vAlign w:val="center"/>
                </w:tcPr>
                <w:p>
                  <w:pPr>
                    <w:autoSpaceDE w:val="0"/>
                    <w:autoSpaceDN w:val="0"/>
                    <w:spacing w:line="0" w:lineRule="atLeast"/>
                    <w:contextualSpacing/>
                    <w:jc w:val="center"/>
                    <w:rPr>
                      <w:rFonts w:eastAsiaTheme="minorEastAsia"/>
                      <w:szCs w:val="21"/>
                    </w:rPr>
                  </w:pPr>
                </w:p>
              </w:tc>
              <w:tc>
                <w:tcPr>
                  <w:tcW w:w="716" w:type="dxa"/>
                  <w:vMerge w:val="continue"/>
                  <w:tcBorders>
                    <w:right w:val="single" w:color="auto" w:sz="2" w:space="0"/>
                  </w:tcBorders>
                  <w:vAlign w:val="center"/>
                </w:tcPr>
                <w:p>
                  <w:pPr>
                    <w:autoSpaceDE w:val="0"/>
                    <w:autoSpaceDN w:val="0"/>
                    <w:spacing w:line="0" w:lineRule="atLeast"/>
                    <w:contextualSpacing/>
                    <w:jc w:val="center"/>
                    <w:rPr>
                      <w:rFonts w:eastAsiaTheme="minorEastAsia"/>
                      <w:szCs w:val="21"/>
                    </w:rPr>
                  </w:pPr>
                </w:p>
              </w:tc>
              <w:tc>
                <w:tcPr>
                  <w:tcW w:w="715" w:type="dxa"/>
                  <w:tcBorders>
                    <w:left w:val="single" w:color="auto" w:sz="2" w:space="0"/>
                  </w:tcBorders>
                  <w:vAlign w:val="center"/>
                </w:tcPr>
                <w:p>
                  <w:pPr>
                    <w:autoSpaceDE w:val="0"/>
                    <w:autoSpaceDN w:val="0"/>
                    <w:spacing w:line="0" w:lineRule="atLeast"/>
                    <w:contextualSpacing/>
                    <w:jc w:val="center"/>
                    <w:rPr>
                      <w:rFonts w:eastAsiaTheme="minorEastAsia"/>
                      <w:szCs w:val="21"/>
                    </w:rPr>
                  </w:pPr>
                  <w:r>
                    <w:rPr>
                      <w:rFonts w:eastAsiaTheme="minorEastAsia"/>
                      <w:szCs w:val="21"/>
                    </w:rPr>
                    <w:t>0.132</w:t>
                  </w:r>
                </w:p>
              </w:tc>
              <w:tc>
                <w:tcPr>
                  <w:tcW w:w="751" w:type="dxa"/>
                  <w:vAlign w:val="center"/>
                </w:tcPr>
                <w:p>
                  <w:pPr>
                    <w:autoSpaceDE w:val="0"/>
                    <w:autoSpaceDN w:val="0"/>
                    <w:spacing w:line="0" w:lineRule="atLeast"/>
                    <w:contextualSpacing/>
                    <w:jc w:val="center"/>
                    <w:rPr>
                      <w:rFonts w:eastAsiaTheme="minorEastAsia"/>
                      <w:szCs w:val="21"/>
                    </w:rPr>
                  </w:pPr>
                  <w:r>
                    <w:rPr>
                      <w:rFonts w:eastAsiaTheme="minorEastAsia"/>
                      <w:szCs w:val="21"/>
                    </w:rPr>
                    <w:t>0.000</w:t>
                  </w:r>
                  <w:r>
                    <w:rPr>
                      <w:rFonts w:hint="eastAsia" w:eastAsiaTheme="minorEastAsia"/>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 w:hRule="atLeast"/>
                <w:jc w:val="center"/>
              </w:trPr>
              <w:tc>
                <w:tcPr>
                  <w:tcW w:w="701" w:type="dxa"/>
                  <w:vMerge w:val="continue"/>
                  <w:vAlign w:val="center"/>
                </w:tcPr>
                <w:p>
                  <w:pPr>
                    <w:autoSpaceDE w:val="0"/>
                    <w:autoSpaceDN w:val="0"/>
                    <w:spacing w:line="0" w:lineRule="atLeast"/>
                    <w:contextualSpacing/>
                    <w:jc w:val="center"/>
                    <w:rPr>
                      <w:rFonts w:eastAsiaTheme="minorEastAsia"/>
                      <w:szCs w:val="21"/>
                    </w:rPr>
                  </w:pPr>
                </w:p>
              </w:tc>
              <w:tc>
                <w:tcPr>
                  <w:tcW w:w="425" w:type="dxa"/>
                  <w:vMerge w:val="continue"/>
                  <w:vAlign w:val="center"/>
                </w:tcPr>
                <w:p>
                  <w:pPr>
                    <w:autoSpaceDE w:val="0"/>
                    <w:autoSpaceDN w:val="0"/>
                    <w:spacing w:line="0" w:lineRule="atLeast"/>
                    <w:contextualSpacing/>
                    <w:jc w:val="center"/>
                    <w:rPr>
                      <w:rFonts w:eastAsiaTheme="minorEastAsia"/>
                      <w:szCs w:val="21"/>
                    </w:rPr>
                  </w:pPr>
                </w:p>
              </w:tc>
              <w:tc>
                <w:tcPr>
                  <w:tcW w:w="992" w:type="dxa"/>
                  <w:vAlign w:val="center"/>
                </w:tcPr>
                <w:p>
                  <w:pPr>
                    <w:spacing w:line="0" w:lineRule="atLeast"/>
                    <w:contextualSpacing/>
                    <w:jc w:val="center"/>
                    <w:rPr>
                      <w:rFonts w:eastAsiaTheme="minorEastAsia"/>
                      <w:szCs w:val="21"/>
                    </w:rPr>
                  </w:pPr>
                  <w:r>
                    <w:rPr>
                      <w:rFonts w:eastAsiaTheme="minorEastAsia"/>
                      <w:szCs w:val="21"/>
                    </w:rPr>
                    <w:t>pH</w:t>
                  </w:r>
                </w:p>
              </w:tc>
              <w:tc>
                <w:tcPr>
                  <w:tcW w:w="709" w:type="dxa"/>
                  <w:vAlign w:val="center"/>
                </w:tcPr>
                <w:p>
                  <w:pPr>
                    <w:autoSpaceDE w:val="0"/>
                    <w:autoSpaceDN w:val="0"/>
                    <w:spacing w:line="0" w:lineRule="atLeast"/>
                    <w:contextualSpacing/>
                    <w:jc w:val="center"/>
                    <w:rPr>
                      <w:rFonts w:eastAsiaTheme="minorEastAsia"/>
                      <w:szCs w:val="21"/>
                    </w:rPr>
                  </w:pPr>
                  <w:r>
                    <w:rPr>
                      <w:rFonts w:eastAsiaTheme="minorEastAsia"/>
                      <w:szCs w:val="21"/>
                    </w:rPr>
                    <w:t>6.73</w:t>
                  </w:r>
                </w:p>
              </w:tc>
              <w:tc>
                <w:tcPr>
                  <w:tcW w:w="769" w:type="dxa"/>
                  <w:vAlign w:val="center"/>
                </w:tcPr>
                <w:p>
                  <w:pPr>
                    <w:autoSpaceDE w:val="0"/>
                    <w:autoSpaceDN w:val="0"/>
                    <w:spacing w:line="0" w:lineRule="atLeast"/>
                    <w:contextualSpacing/>
                    <w:jc w:val="center"/>
                    <w:rPr>
                      <w:rFonts w:eastAsiaTheme="minorEastAsia"/>
                      <w:szCs w:val="21"/>
                    </w:rPr>
                  </w:pPr>
                  <w:r>
                    <w:rPr>
                      <w:rFonts w:eastAsiaTheme="minorEastAsia"/>
                      <w:szCs w:val="21"/>
                    </w:rPr>
                    <w:t>/</w:t>
                  </w:r>
                </w:p>
              </w:tc>
              <w:tc>
                <w:tcPr>
                  <w:tcW w:w="507" w:type="dxa"/>
                  <w:vMerge w:val="continue"/>
                  <w:vAlign w:val="center"/>
                </w:tcPr>
                <w:p>
                  <w:pPr>
                    <w:pStyle w:val="49"/>
                    <w:spacing w:line="0" w:lineRule="atLeast"/>
                    <w:contextualSpacing/>
                    <w:rPr>
                      <w:rFonts w:ascii="Times New Roman" w:hAnsi="Times New Roman" w:eastAsiaTheme="minorEastAsia"/>
                      <w:sz w:val="21"/>
                      <w:szCs w:val="21"/>
                    </w:rPr>
                  </w:pPr>
                </w:p>
              </w:tc>
              <w:tc>
                <w:tcPr>
                  <w:tcW w:w="567" w:type="dxa"/>
                  <w:vMerge w:val="continue"/>
                  <w:tcBorders>
                    <w:right w:val="single" w:color="auto" w:sz="2" w:space="0"/>
                  </w:tcBorders>
                  <w:vAlign w:val="center"/>
                </w:tcPr>
                <w:p>
                  <w:pPr>
                    <w:pStyle w:val="52"/>
                    <w:adjustRightInd/>
                    <w:snapToGrid/>
                    <w:spacing w:line="0" w:lineRule="atLeast"/>
                    <w:ind w:firstLine="0" w:firstLineChars="0"/>
                    <w:contextualSpacing/>
                    <w:jc w:val="center"/>
                    <w:rPr>
                      <w:rFonts w:eastAsiaTheme="minorEastAsia"/>
                      <w:bCs/>
                      <w:sz w:val="21"/>
                      <w:szCs w:val="21"/>
                    </w:rPr>
                  </w:pPr>
                </w:p>
              </w:tc>
              <w:tc>
                <w:tcPr>
                  <w:tcW w:w="863" w:type="dxa"/>
                  <w:vMerge w:val="continue"/>
                  <w:tcBorders>
                    <w:left w:val="single" w:color="auto" w:sz="2" w:space="0"/>
                  </w:tcBorders>
                  <w:vAlign w:val="center"/>
                </w:tcPr>
                <w:p>
                  <w:pPr>
                    <w:spacing w:line="0" w:lineRule="atLeast"/>
                    <w:jc w:val="center"/>
                    <w:rPr>
                      <w:rFonts w:eastAsiaTheme="minorEastAsia"/>
                      <w:szCs w:val="21"/>
                    </w:rPr>
                  </w:pPr>
                </w:p>
              </w:tc>
              <w:tc>
                <w:tcPr>
                  <w:tcW w:w="431" w:type="dxa"/>
                  <w:vMerge w:val="continue"/>
                  <w:vAlign w:val="center"/>
                </w:tcPr>
                <w:p>
                  <w:pPr>
                    <w:autoSpaceDE w:val="0"/>
                    <w:autoSpaceDN w:val="0"/>
                    <w:spacing w:line="0" w:lineRule="atLeast"/>
                    <w:contextualSpacing/>
                    <w:jc w:val="center"/>
                    <w:rPr>
                      <w:rFonts w:eastAsiaTheme="minorEastAsia"/>
                      <w:szCs w:val="21"/>
                    </w:rPr>
                  </w:pPr>
                </w:p>
              </w:tc>
              <w:tc>
                <w:tcPr>
                  <w:tcW w:w="716" w:type="dxa"/>
                  <w:vMerge w:val="continue"/>
                  <w:tcBorders>
                    <w:right w:val="single" w:color="auto" w:sz="2" w:space="0"/>
                  </w:tcBorders>
                  <w:vAlign w:val="center"/>
                </w:tcPr>
                <w:p>
                  <w:pPr>
                    <w:autoSpaceDE w:val="0"/>
                    <w:autoSpaceDN w:val="0"/>
                    <w:spacing w:line="0" w:lineRule="atLeast"/>
                    <w:contextualSpacing/>
                    <w:jc w:val="center"/>
                    <w:rPr>
                      <w:rFonts w:eastAsiaTheme="minorEastAsia"/>
                      <w:szCs w:val="21"/>
                    </w:rPr>
                  </w:pPr>
                </w:p>
              </w:tc>
              <w:tc>
                <w:tcPr>
                  <w:tcW w:w="715" w:type="dxa"/>
                  <w:tcBorders>
                    <w:left w:val="single" w:color="auto" w:sz="2" w:space="0"/>
                  </w:tcBorders>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6.73</w:t>
                  </w:r>
                </w:p>
              </w:tc>
              <w:tc>
                <w:tcPr>
                  <w:tcW w:w="751"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 w:hRule="atLeast"/>
                <w:jc w:val="center"/>
              </w:trPr>
              <w:tc>
                <w:tcPr>
                  <w:tcW w:w="701" w:type="dxa"/>
                  <w:vMerge w:val="continue"/>
                  <w:vAlign w:val="center"/>
                </w:tcPr>
                <w:p>
                  <w:pPr>
                    <w:autoSpaceDE w:val="0"/>
                    <w:autoSpaceDN w:val="0"/>
                    <w:spacing w:line="0" w:lineRule="atLeast"/>
                    <w:contextualSpacing/>
                    <w:jc w:val="center"/>
                    <w:rPr>
                      <w:rFonts w:eastAsiaTheme="minorEastAsia"/>
                      <w:szCs w:val="21"/>
                    </w:rPr>
                  </w:pPr>
                </w:p>
              </w:tc>
              <w:tc>
                <w:tcPr>
                  <w:tcW w:w="425" w:type="dxa"/>
                  <w:vMerge w:val="continue"/>
                  <w:vAlign w:val="center"/>
                </w:tcPr>
                <w:p>
                  <w:pPr>
                    <w:autoSpaceDE w:val="0"/>
                    <w:autoSpaceDN w:val="0"/>
                    <w:spacing w:line="0" w:lineRule="atLeast"/>
                    <w:contextualSpacing/>
                    <w:jc w:val="center"/>
                    <w:rPr>
                      <w:rFonts w:eastAsiaTheme="minorEastAsia"/>
                      <w:szCs w:val="21"/>
                    </w:rPr>
                  </w:pPr>
                </w:p>
              </w:tc>
              <w:tc>
                <w:tcPr>
                  <w:tcW w:w="992" w:type="dxa"/>
                  <w:vAlign w:val="center"/>
                </w:tcPr>
                <w:p>
                  <w:pPr>
                    <w:spacing w:line="0" w:lineRule="atLeast"/>
                    <w:contextualSpacing/>
                    <w:jc w:val="center"/>
                    <w:rPr>
                      <w:rFonts w:eastAsiaTheme="minorEastAsia"/>
                      <w:szCs w:val="21"/>
                    </w:rPr>
                  </w:pPr>
                  <w:r>
                    <w:rPr>
                      <w:rFonts w:eastAsiaTheme="minorEastAsia"/>
                      <w:szCs w:val="21"/>
                    </w:rPr>
                    <w:t>SS</w:t>
                  </w:r>
                </w:p>
              </w:tc>
              <w:tc>
                <w:tcPr>
                  <w:tcW w:w="709"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290</w:t>
                  </w:r>
                </w:p>
              </w:tc>
              <w:tc>
                <w:tcPr>
                  <w:tcW w:w="769"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0.6</w:t>
                  </w:r>
                </w:p>
              </w:tc>
              <w:tc>
                <w:tcPr>
                  <w:tcW w:w="507" w:type="dxa"/>
                  <w:vMerge w:val="continue"/>
                  <w:vAlign w:val="center"/>
                </w:tcPr>
                <w:p>
                  <w:pPr>
                    <w:pStyle w:val="49"/>
                    <w:spacing w:line="0" w:lineRule="atLeast"/>
                    <w:contextualSpacing/>
                    <w:rPr>
                      <w:rFonts w:ascii="Times New Roman" w:hAnsi="Times New Roman" w:eastAsiaTheme="minorEastAsia"/>
                      <w:sz w:val="21"/>
                      <w:szCs w:val="21"/>
                    </w:rPr>
                  </w:pPr>
                </w:p>
              </w:tc>
              <w:tc>
                <w:tcPr>
                  <w:tcW w:w="567" w:type="dxa"/>
                  <w:tcBorders>
                    <w:right w:val="single" w:color="auto" w:sz="2" w:space="0"/>
                  </w:tcBorders>
                  <w:vAlign w:val="center"/>
                </w:tcPr>
                <w:p>
                  <w:pPr>
                    <w:pStyle w:val="52"/>
                    <w:spacing w:line="0" w:lineRule="atLeast"/>
                    <w:ind w:firstLine="0" w:firstLineChars="0"/>
                    <w:contextualSpacing/>
                    <w:jc w:val="center"/>
                    <w:rPr>
                      <w:rFonts w:eastAsiaTheme="minorEastAsia"/>
                      <w:bCs/>
                      <w:sz w:val="21"/>
                      <w:szCs w:val="21"/>
                    </w:rPr>
                  </w:pPr>
                  <w:r>
                    <w:rPr>
                      <w:rFonts w:hint="eastAsia" w:eastAsiaTheme="minorEastAsia"/>
                      <w:bCs/>
                      <w:sz w:val="21"/>
                      <w:szCs w:val="21"/>
                    </w:rPr>
                    <w:t>96.9</w:t>
                  </w:r>
                  <w:r>
                    <w:rPr>
                      <w:rFonts w:eastAsiaTheme="minorEastAsia"/>
                      <w:bCs/>
                      <w:sz w:val="21"/>
                      <w:szCs w:val="21"/>
                    </w:rPr>
                    <w:t>%</w:t>
                  </w:r>
                </w:p>
              </w:tc>
              <w:tc>
                <w:tcPr>
                  <w:tcW w:w="863" w:type="dxa"/>
                  <w:vMerge w:val="restart"/>
                  <w:tcBorders>
                    <w:left w:val="single" w:color="auto" w:sz="2" w:space="0"/>
                  </w:tcBorders>
                  <w:vAlign w:val="center"/>
                </w:tcPr>
                <w:p>
                  <w:pPr>
                    <w:spacing w:line="0" w:lineRule="atLeast"/>
                    <w:jc w:val="center"/>
                    <w:rPr>
                      <w:rFonts w:eastAsiaTheme="minorEastAsia"/>
                      <w:szCs w:val="21"/>
                    </w:rPr>
                  </w:pPr>
                  <w:r>
                    <w:rPr>
                      <w:rFonts w:hint="eastAsia" w:eastAsiaTheme="minorEastAsia"/>
                      <w:szCs w:val="21"/>
                    </w:rPr>
                    <w:t>是</w:t>
                  </w:r>
                </w:p>
              </w:tc>
              <w:tc>
                <w:tcPr>
                  <w:tcW w:w="431" w:type="dxa"/>
                  <w:vMerge w:val="continue"/>
                  <w:vAlign w:val="center"/>
                </w:tcPr>
                <w:p>
                  <w:pPr>
                    <w:autoSpaceDE w:val="0"/>
                    <w:autoSpaceDN w:val="0"/>
                    <w:spacing w:line="0" w:lineRule="atLeast"/>
                    <w:contextualSpacing/>
                    <w:jc w:val="center"/>
                    <w:rPr>
                      <w:rFonts w:eastAsiaTheme="minorEastAsia"/>
                      <w:szCs w:val="21"/>
                    </w:rPr>
                  </w:pPr>
                </w:p>
              </w:tc>
              <w:tc>
                <w:tcPr>
                  <w:tcW w:w="716" w:type="dxa"/>
                  <w:vMerge w:val="continue"/>
                  <w:tcBorders>
                    <w:right w:val="single" w:color="auto" w:sz="2" w:space="0"/>
                  </w:tcBorders>
                  <w:vAlign w:val="center"/>
                </w:tcPr>
                <w:p>
                  <w:pPr>
                    <w:autoSpaceDE w:val="0"/>
                    <w:autoSpaceDN w:val="0"/>
                    <w:spacing w:line="0" w:lineRule="atLeast"/>
                    <w:contextualSpacing/>
                    <w:jc w:val="center"/>
                    <w:rPr>
                      <w:rFonts w:eastAsiaTheme="minorEastAsia"/>
                      <w:szCs w:val="21"/>
                    </w:rPr>
                  </w:pPr>
                </w:p>
              </w:tc>
              <w:tc>
                <w:tcPr>
                  <w:tcW w:w="715" w:type="dxa"/>
                  <w:tcBorders>
                    <w:left w:val="single" w:color="auto" w:sz="2" w:space="0"/>
                  </w:tcBorders>
                  <w:vAlign w:val="center"/>
                </w:tcPr>
                <w:p>
                  <w:pPr>
                    <w:autoSpaceDE w:val="0"/>
                    <w:autoSpaceDN w:val="0"/>
                    <w:spacing w:line="0" w:lineRule="atLeast"/>
                    <w:contextualSpacing/>
                    <w:jc w:val="center"/>
                    <w:rPr>
                      <w:rFonts w:eastAsiaTheme="minorEastAsia"/>
                      <w:szCs w:val="21"/>
                    </w:rPr>
                  </w:pPr>
                  <w:r>
                    <w:rPr>
                      <w:rFonts w:eastAsiaTheme="minorEastAsia"/>
                      <w:szCs w:val="21"/>
                    </w:rPr>
                    <w:t>9</w:t>
                  </w:r>
                </w:p>
              </w:tc>
              <w:tc>
                <w:tcPr>
                  <w:tcW w:w="751"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 w:hRule="atLeast"/>
                <w:jc w:val="center"/>
              </w:trPr>
              <w:tc>
                <w:tcPr>
                  <w:tcW w:w="701" w:type="dxa"/>
                  <w:vMerge w:val="continue"/>
                  <w:vAlign w:val="center"/>
                </w:tcPr>
                <w:p>
                  <w:pPr>
                    <w:autoSpaceDE w:val="0"/>
                    <w:autoSpaceDN w:val="0"/>
                    <w:spacing w:line="0" w:lineRule="atLeast"/>
                    <w:contextualSpacing/>
                    <w:jc w:val="center"/>
                    <w:rPr>
                      <w:rFonts w:eastAsiaTheme="minorEastAsia"/>
                      <w:szCs w:val="21"/>
                    </w:rPr>
                  </w:pPr>
                </w:p>
              </w:tc>
              <w:tc>
                <w:tcPr>
                  <w:tcW w:w="425" w:type="dxa"/>
                  <w:vMerge w:val="continue"/>
                  <w:vAlign w:val="center"/>
                </w:tcPr>
                <w:p>
                  <w:pPr>
                    <w:autoSpaceDE w:val="0"/>
                    <w:autoSpaceDN w:val="0"/>
                    <w:spacing w:line="0" w:lineRule="atLeast"/>
                    <w:contextualSpacing/>
                    <w:jc w:val="center"/>
                    <w:rPr>
                      <w:rFonts w:eastAsiaTheme="minorEastAsia"/>
                      <w:szCs w:val="21"/>
                    </w:rPr>
                  </w:pPr>
                </w:p>
              </w:tc>
              <w:tc>
                <w:tcPr>
                  <w:tcW w:w="992" w:type="dxa"/>
                  <w:vAlign w:val="center"/>
                </w:tcPr>
                <w:p>
                  <w:pPr>
                    <w:spacing w:line="0" w:lineRule="atLeast"/>
                    <w:contextualSpacing/>
                    <w:jc w:val="center"/>
                    <w:rPr>
                      <w:rFonts w:eastAsiaTheme="minorEastAsia"/>
                      <w:szCs w:val="21"/>
                    </w:rPr>
                  </w:pPr>
                  <w:r>
                    <w:rPr>
                      <w:rFonts w:hint="eastAsia" w:eastAsiaTheme="minorEastAsia"/>
                      <w:szCs w:val="21"/>
                    </w:rPr>
                    <w:t>石油类</w:t>
                  </w:r>
                </w:p>
              </w:tc>
              <w:tc>
                <w:tcPr>
                  <w:tcW w:w="709"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0.65</w:t>
                  </w:r>
                </w:p>
              </w:tc>
              <w:tc>
                <w:tcPr>
                  <w:tcW w:w="769"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0.001</w:t>
                  </w:r>
                </w:p>
              </w:tc>
              <w:tc>
                <w:tcPr>
                  <w:tcW w:w="507" w:type="dxa"/>
                  <w:vMerge w:val="continue"/>
                  <w:vAlign w:val="center"/>
                </w:tcPr>
                <w:p>
                  <w:pPr>
                    <w:pStyle w:val="49"/>
                    <w:spacing w:line="0" w:lineRule="atLeast"/>
                    <w:contextualSpacing/>
                    <w:rPr>
                      <w:rFonts w:ascii="Times New Roman" w:hAnsi="Times New Roman" w:eastAsiaTheme="minorEastAsia"/>
                      <w:sz w:val="21"/>
                      <w:szCs w:val="21"/>
                    </w:rPr>
                  </w:pPr>
                </w:p>
              </w:tc>
              <w:tc>
                <w:tcPr>
                  <w:tcW w:w="567" w:type="dxa"/>
                  <w:tcBorders>
                    <w:right w:val="single" w:color="auto" w:sz="2" w:space="0"/>
                  </w:tcBorders>
                  <w:vAlign w:val="center"/>
                </w:tcPr>
                <w:p>
                  <w:pPr>
                    <w:pStyle w:val="52"/>
                    <w:adjustRightInd/>
                    <w:snapToGrid/>
                    <w:spacing w:line="0" w:lineRule="atLeast"/>
                    <w:ind w:firstLine="0" w:firstLineChars="0"/>
                    <w:contextualSpacing/>
                    <w:jc w:val="center"/>
                    <w:rPr>
                      <w:rFonts w:eastAsiaTheme="minorEastAsia"/>
                      <w:bCs/>
                      <w:sz w:val="21"/>
                      <w:szCs w:val="21"/>
                    </w:rPr>
                  </w:pPr>
                  <w:r>
                    <w:rPr>
                      <w:rFonts w:hint="eastAsia" w:eastAsiaTheme="minorEastAsia"/>
                      <w:bCs/>
                      <w:sz w:val="21"/>
                      <w:szCs w:val="21"/>
                    </w:rPr>
                    <w:t>74%</w:t>
                  </w:r>
                </w:p>
              </w:tc>
              <w:tc>
                <w:tcPr>
                  <w:tcW w:w="863" w:type="dxa"/>
                  <w:vMerge w:val="continue"/>
                  <w:tcBorders>
                    <w:left w:val="single" w:color="auto" w:sz="2" w:space="0"/>
                  </w:tcBorders>
                  <w:vAlign w:val="center"/>
                </w:tcPr>
                <w:p>
                  <w:pPr>
                    <w:spacing w:line="0" w:lineRule="atLeast"/>
                    <w:jc w:val="center"/>
                    <w:rPr>
                      <w:rFonts w:eastAsiaTheme="minorEastAsia"/>
                      <w:szCs w:val="21"/>
                    </w:rPr>
                  </w:pPr>
                </w:p>
              </w:tc>
              <w:tc>
                <w:tcPr>
                  <w:tcW w:w="431" w:type="dxa"/>
                  <w:vMerge w:val="continue"/>
                  <w:vAlign w:val="center"/>
                </w:tcPr>
                <w:p>
                  <w:pPr>
                    <w:autoSpaceDE w:val="0"/>
                    <w:autoSpaceDN w:val="0"/>
                    <w:spacing w:line="0" w:lineRule="atLeast"/>
                    <w:contextualSpacing/>
                    <w:jc w:val="center"/>
                    <w:rPr>
                      <w:rFonts w:eastAsiaTheme="minorEastAsia"/>
                      <w:szCs w:val="21"/>
                    </w:rPr>
                  </w:pPr>
                </w:p>
              </w:tc>
              <w:tc>
                <w:tcPr>
                  <w:tcW w:w="716" w:type="dxa"/>
                  <w:vMerge w:val="continue"/>
                  <w:tcBorders>
                    <w:right w:val="single" w:color="auto" w:sz="2" w:space="0"/>
                  </w:tcBorders>
                  <w:vAlign w:val="center"/>
                </w:tcPr>
                <w:p>
                  <w:pPr>
                    <w:autoSpaceDE w:val="0"/>
                    <w:autoSpaceDN w:val="0"/>
                    <w:spacing w:line="0" w:lineRule="atLeast"/>
                    <w:contextualSpacing/>
                    <w:jc w:val="center"/>
                    <w:rPr>
                      <w:rFonts w:eastAsiaTheme="minorEastAsia"/>
                      <w:szCs w:val="21"/>
                    </w:rPr>
                  </w:pPr>
                </w:p>
              </w:tc>
              <w:tc>
                <w:tcPr>
                  <w:tcW w:w="715" w:type="dxa"/>
                  <w:tcBorders>
                    <w:left w:val="single" w:color="auto" w:sz="2" w:space="0"/>
                  </w:tcBorders>
                  <w:vAlign w:val="center"/>
                </w:tcPr>
                <w:p>
                  <w:pPr>
                    <w:autoSpaceDE w:val="0"/>
                    <w:autoSpaceDN w:val="0"/>
                    <w:spacing w:line="0" w:lineRule="atLeast"/>
                    <w:contextualSpacing/>
                    <w:jc w:val="center"/>
                    <w:rPr>
                      <w:rFonts w:eastAsiaTheme="minorEastAsia"/>
                      <w:szCs w:val="21"/>
                    </w:rPr>
                  </w:pPr>
                  <w:r>
                    <w:rPr>
                      <w:rFonts w:eastAsiaTheme="minorEastAsia"/>
                      <w:szCs w:val="21"/>
                    </w:rPr>
                    <w:t>0.17</w:t>
                  </w:r>
                </w:p>
              </w:tc>
              <w:tc>
                <w:tcPr>
                  <w:tcW w:w="751"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0.0004</w:t>
                  </w:r>
                </w:p>
              </w:tc>
            </w:tr>
          </w:tbl>
          <w:p>
            <w:pPr>
              <w:spacing w:line="360" w:lineRule="auto"/>
              <w:contextualSpacing/>
              <w:rPr>
                <w:szCs w:val="21"/>
              </w:rPr>
            </w:pPr>
            <w:r>
              <w:rPr>
                <w:rFonts w:hint="eastAsia"/>
                <w:szCs w:val="21"/>
              </w:rPr>
              <w:t>可行性分析：参照《排放源统计调查产排污核算方法和系数手册》中“07石油和天然气开采行业系数手册”中产污系数表-石油类-末端治理技术名称-过滤分离/上浮分离+化学混凝法确定，治理效率为74%，本项目采取隔油絮凝沉淀法，属于上述末端治理技术，因此可行。根据文献（</w:t>
            </w:r>
            <w:r>
              <w:rPr>
                <w:szCs w:val="21"/>
              </w:rPr>
              <w:t>雷菁花. 油田压裂返排液的絮凝沉淀及高级氧化处理研究[D].西北大学,2019.</w:t>
            </w:r>
            <w:r>
              <w:rPr>
                <w:rFonts w:hint="eastAsia"/>
                <w:szCs w:val="21"/>
              </w:rPr>
              <w:t>），采用絮凝沉降工艺对SS的去除率可达到96.9%</w:t>
            </w:r>
          </w:p>
          <w:p>
            <w:pPr>
              <w:spacing w:line="360" w:lineRule="auto"/>
              <w:ind w:firstLine="482" w:firstLineChars="200"/>
              <w:contextualSpacing/>
              <w:rPr>
                <w:rFonts w:eastAsiaTheme="minorEastAsia"/>
                <w:b/>
                <w:bCs/>
                <w:sz w:val="24"/>
              </w:rPr>
            </w:pPr>
            <w:r>
              <w:rPr>
                <w:rFonts w:eastAsiaTheme="minorEastAsia"/>
                <w:b/>
                <w:bCs/>
                <w:sz w:val="24"/>
              </w:rPr>
              <w:t>2</w:t>
            </w:r>
            <w:r>
              <w:rPr>
                <w:rFonts w:hint="eastAsia" w:eastAsiaTheme="minorEastAsia"/>
                <w:b/>
                <w:bCs/>
                <w:sz w:val="24"/>
              </w:rPr>
              <w:t>、排污口设置及监测计划</w:t>
            </w:r>
          </w:p>
          <w:p>
            <w:pPr>
              <w:spacing w:line="360" w:lineRule="auto"/>
              <w:ind w:firstLine="480" w:firstLineChars="200"/>
              <w:contextualSpacing/>
              <w:rPr>
                <w:rFonts w:eastAsiaTheme="minorEastAsia"/>
                <w:sz w:val="24"/>
                <w:szCs w:val="22"/>
              </w:rPr>
            </w:pPr>
            <w:r>
              <w:rPr>
                <w:rFonts w:hint="eastAsia" w:eastAsiaTheme="minorEastAsia"/>
                <w:sz w:val="24"/>
                <w:szCs w:val="22"/>
              </w:rPr>
              <w:t>根据</w:t>
            </w:r>
            <w:r>
              <w:rPr>
                <w:rFonts w:hint="eastAsia" w:eastAsiaTheme="minorEastAsia"/>
                <w:bCs/>
                <w:sz w:val="24"/>
                <w:szCs w:val="22"/>
              </w:rPr>
              <w:t>《排污许可证申请于核发技术规范</w:t>
            </w:r>
            <w:r>
              <w:rPr>
                <w:rFonts w:hint="eastAsia" w:eastAsiaTheme="minorEastAsia"/>
                <w:sz w:val="24"/>
                <w:szCs w:val="22"/>
              </w:rPr>
              <w:t>废弃资源加工业</w:t>
            </w:r>
            <w:r>
              <w:rPr>
                <w:rFonts w:hint="eastAsia" w:eastAsiaTheme="minorEastAsia"/>
                <w:bCs/>
                <w:sz w:val="24"/>
                <w:szCs w:val="22"/>
              </w:rPr>
              <w:t>》（</w:t>
            </w:r>
            <w:r>
              <w:rPr>
                <w:rFonts w:eastAsiaTheme="minorEastAsia"/>
                <w:bCs/>
                <w:sz w:val="24"/>
                <w:szCs w:val="22"/>
              </w:rPr>
              <w:t>HJ1034-2019</w:t>
            </w:r>
            <w:r>
              <w:rPr>
                <w:rFonts w:hint="eastAsia" w:eastAsiaTheme="minorEastAsia"/>
                <w:bCs/>
                <w:sz w:val="24"/>
                <w:szCs w:val="22"/>
              </w:rPr>
              <w:t>）、</w:t>
            </w:r>
            <w:r>
              <w:rPr>
                <w:rFonts w:hint="eastAsia" w:eastAsiaTheme="minorEastAsia"/>
                <w:sz w:val="24"/>
              </w:rPr>
              <w:t>《排污单位自行监测技术指南总则》（</w:t>
            </w:r>
            <w:r>
              <w:rPr>
                <w:rFonts w:eastAsiaTheme="minorEastAsia"/>
                <w:sz w:val="24"/>
              </w:rPr>
              <w:t>H819-2017</w:t>
            </w:r>
            <w:r>
              <w:rPr>
                <w:rFonts w:hint="eastAsia" w:eastAsiaTheme="minorEastAsia"/>
                <w:sz w:val="24"/>
              </w:rPr>
              <w:t>）</w:t>
            </w:r>
            <w:r>
              <w:rPr>
                <w:rFonts w:hint="eastAsia" w:eastAsiaTheme="minorEastAsia"/>
                <w:sz w:val="24"/>
                <w:szCs w:val="22"/>
              </w:rPr>
              <w:t>，</w:t>
            </w:r>
            <w:r>
              <w:rPr>
                <w:rFonts w:hint="eastAsia" w:eastAsiaTheme="minorEastAsia"/>
                <w:sz w:val="24"/>
              </w:rPr>
              <w:t>制定本项目水污染物自行监测计划如下，应保存原始监测记录，并公布监测结果</w:t>
            </w:r>
            <w:r>
              <w:rPr>
                <w:rFonts w:hint="eastAsia" w:eastAsiaTheme="minorEastAsia"/>
                <w:sz w:val="24"/>
                <w:szCs w:val="22"/>
              </w:rPr>
              <w:t>。</w:t>
            </w:r>
          </w:p>
          <w:p>
            <w:pPr>
              <w:spacing w:line="360" w:lineRule="auto"/>
              <w:ind w:firstLine="480" w:firstLineChars="200"/>
              <w:contextualSpacing/>
              <w:rPr>
                <w:rFonts w:eastAsiaTheme="minorEastAsia"/>
                <w:sz w:val="24"/>
                <w:szCs w:val="22"/>
              </w:rPr>
            </w:pPr>
          </w:p>
          <w:p>
            <w:pPr>
              <w:spacing w:line="360" w:lineRule="auto"/>
              <w:contextualSpacing/>
              <w:jc w:val="center"/>
              <w:rPr>
                <w:rFonts w:eastAsiaTheme="minorEastAsia"/>
                <w:b/>
                <w:sz w:val="24"/>
                <w:szCs w:val="22"/>
              </w:rPr>
            </w:pPr>
            <w:r>
              <w:rPr>
                <w:rFonts w:hint="eastAsia" w:eastAsiaTheme="minorEastAsia"/>
                <w:b/>
                <w:sz w:val="24"/>
                <w:szCs w:val="22"/>
              </w:rPr>
              <w:t>表</w:t>
            </w:r>
            <w:r>
              <w:rPr>
                <w:rFonts w:eastAsiaTheme="minorEastAsia"/>
                <w:b/>
                <w:sz w:val="24"/>
                <w:szCs w:val="22"/>
              </w:rPr>
              <w:t>4-</w:t>
            </w:r>
            <w:r>
              <w:rPr>
                <w:rFonts w:hint="eastAsia" w:eastAsiaTheme="minorEastAsia"/>
                <w:b/>
                <w:sz w:val="24"/>
                <w:szCs w:val="22"/>
              </w:rPr>
              <w:t>8项目排污口设置及水污染物监测计划</w:t>
            </w:r>
          </w:p>
          <w:tbl>
            <w:tblPr>
              <w:tblStyle w:val="22"/>
              <w:tblW w:w="844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3"/>
              <w:gridCol w:w="818"/>
              <w:gridCol w:w="1357"/>
              <w:gridCol w:w="1085"/>
              <w:gridCol w:w="709"/>
              <w:gridCol w:w="992"/>
              <w:gridCol w:w="851"/>
              <w:gridCol w:w="1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2" w:hRule="atLeast"/>
              </w:trPr>
              <w:tc>
                <w:tcPr>
                  <w:tcW w:w="843" w:type="dxa"/>
                  <w:vMerge w:val="restart"/>
                  <w:vAlign w:val="center"/>
                </w:tcPr>
                <w:p>
                  <w:pPr>
                    <w:contextualSpacing/>
                    <w:jc w:val="center"/>
                    <w:rPr>
                      <w:rFonts w:eastAsiaTheme="minorEastAsia"/>
                      <w:szCs w:val="21"/>
                    </w:rPr>
                  </w:pPr>
                  <w:r>
                    <w:rPr>
                      <w:rFonts w:hint="eastAsia" w:eastAsiaTheme="minorEastAsia"/>
                      <w:szCs w:val="21"/>
                    </w:rPr>
                    <w:t>排放口编号及名称</w:t>
                  </w:r>
                </w:p>
              </w:tc>
              <w:tc>
                <w:tcPr>
                  <w:tcW w:w="818" w:type="dxa"/>
                  <w:vMerge w:val="restart"/>
                  <w:vAlign w:val="center"/>
                </w:tcPr>
                <w:p>
                  <w:pPr>
                    <w:contextualSpacing/>
                    <w:jc w:val="center"/>
                    <w:rPr>
                      <w:rFonts w:eastAsiaTheme="minorEastAsia"/>
                      <w:szCs w:val="21"/>
                    </w:rPr>
                  </w:pPr>
                  <w:r>
                    <w:rPr>
                      <w:rFonts w:hint="eastAsia" w:eastAsiaTheme="minorEastAsia"/>
                      <w:szCs w:val="21"/>
                    </w:rPr>
                    <w:t>排放方向</w:t>
                  </w:r>
                </w:p>
              </w:tc>
              <w:tc>
                <w:tcPr>
                  <w:tcW w:w="1357" w:type="dxa"/>
                  <w:vMerge w:val="restart"/>
                  <w:vAlign w:val="center"/>
                </w:tcPr>
                <w:p>
                  <w:pPr>
                    <w:contextualSpacing/>
                    <w:jc w:val="center"/>
                    <w:rPr>
                      <w:rFonts w:eastAsiaTheme="minorEastAsia"/>
                      <w:szCs w:val="21"/>
                    </w:rPr>
                  </w:pPr>
                  <w:r>
                    <w:rPr>
                      <w:rFonts w:hint="eastAsia" w:eastAsiaTheme="minorEastAsia"/>
                      <w:szCs w:val="21"/>
                    </w:rPr>
                    <w:t>排放规律</w:t>
                  </w:r>
                </w:p>
              </w:tc>
              <w:tc>
                <w:tcPr>
                  <w:tcW w:w="1794" w:type="dxa"/>
                  <w:gridSpan w:val="2"/>
                  <w:vAlign w:val="center"/>
                </w:tcPr>
                <w:p>
                  <w:pPr>
                    <w:contextualSpacing/>
                    <w:jc w:val="center"/>
                    <w:rPr>
                      <w:rFonts w:eastAsiaTheme="minorEastAsia"/>
                      <w:szCs w:val="21"/>
                    </w:rPr>
                  </w:pPr>
                  <w:r>
                    <w:rPr>
                      <w:rFonts w:hint="eastAsia" w:eastAsiaTheme="minorEastAsia"/>
                      <w:szCs w:val="21"/>
                    </w:rPr>
                    <w:t>排放口情况</w:t>
                  </w:r>
                </w:p>
              </w:tc>
              <w:tc>
                <w:tcPr>
                  <w:tcW w:w="3636" w:type="dxa"/>
                  <w:gridSpan w:val="3"/>
                  <w:vAlign w:val="center"/>
                </w:tcPr>
                <w:p>
                  <w:pPr>
                    <w:contextualSpacing/>
                    <w:jc w:val="center"/>
                    <w:rPr>
                      <w:rFonts w:eastAsiaTheme="minorEastAsia"/>
                      <w:szCs w:val="21"/>
                    </w:rPr>
                  </w:pPr>
                  <w:r>
                    <w:rPr>
                      <w:rFonts w:hint="eastAsia" w:eastAsiaTheme="minorEastAsia"/>
                      <w:szCs w:val="21"/>
                    </w:rPr>
                    <w:t>监测要求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26" w:hRule="atLeast"/>
              </w:trPr>
              <w:tc>
                <w:tcPr>
                  <w:tcW w:w="843" w:type="dxa"/>
                  <w:vMerge w:val="continue"/>
                  <w:vAlign w:val="center"/>
                </w:tcPr>
                <w:p>
                  <w:pPr>
                    <w:contextualSpacing/>
                    <w:jc w:val="center"/>
                    <w:rPr>
                      <w:rFonts w:eastAsiaTheme="minorEastAsia"/>
                      <w:szCs w:val="21"/>
                    </w:rPr>
                  </w:pPr>
                </w:p>
              </w:tc>
              <w:tc>
                <w:tcPr>
                  <w:tcW w:w="818" w:type="dxa"/>
                  <w:vMerge w:val="continue"/>
                  <w:vAlign w:val="center"/>
                </w:tcPr>
                <w:p>
                  <w:pPr>
                    <w:contextualSpacing/>
                    <w:jc w:val="center"/>
                    <w:rPr>
                      <w:rFonts w:eastAsiaTheme="minorEastAsia"/>
                      <w:szCs w:val="21"/>
                    </w:rPr>
                  </w:pPr>
                </w:p>
              </w:tc>
              <w:tc>
                <w:tcPr>
                  <w:tcW w:w="1357" w:type="dxa"/>
                  <w:vMerge w:val="continue"/>
                  <w:vAlign w:val="center"/>
                </w:tcPr>
                <w:p>
                  <w:pPr>
                    <w:contextualSpacing/>
                    <w:jc w:val="center"/>
                    <w:rPr>
                      <w:rFonts w:eastAsiaTheme="minorEastAsia"/>
                      <w:szCs w:val="21"/>
                    </w:rPr>
                  </w:pPr>
                </w:p>
              </w:tc>
              <w:tc>
                <w:tcPr>
                  <w:tcW w:w="1085" w:type="dxa"/>
                  <w:vAlign w:val="center"/>
                </w:tcPr>
                <w:p>
                  <w:pPr>
                    <w:contextualSpacing/>
                    <w:jc w:val="center"/>
                    <w:rPr>
                      <w:rFonts w:eastAsiaTheme="minorEastAsia"/>
                      <w:szCs w:val="21"/>
                    </w:rPr>
                  </w:pPr>
                  <w:r>
                    <w:rPr>
                      <w:rFonts w:hint="eastAsia" w:eastAsiaTheme="minorEastAsia"/>
                      <w:szCs w:val="21"/>
                    </w:rPr>
                    <w:t>坐标</w:t>
                  </w:r>
                </w:p>
              </w:tc>
              <w:tc>
                <w:tcPr>
                  <w:tcW w:w="709" w:type="dxa"/>
                  <w:vAlign w:val="center"/>
                </w:tcPr>
                <w:p>
                  <w:pPr>
                    <w:contextualSpacing/>
                    <w:jc w:val="center"/>
                    <w:rPr>
                      <w:rFonts w:eastAsiaTheme="minorEastAsia"/>
                      <w:szCs w:val="21"/>
                    </w:rPr>
                  </w:pPr>
                  <w:r>
                    <w:rPr>
                      <w:rFonts w:hint="eastAsia" w:eastAsiaTheme="minorEastAsia"/>
                      <w:szCs w:val="21"/>
                    </w:rPr>
                    <w:t>类型</w:t>
                  </w:r>
                </w:p>
              </w:tc>
              <w:tc>
                <w:tcPr>
                  <w:tcW w:w="992" w:type="dxa"/>
                  <w:vAlign w:val="center"/>
                </w:tcPr>
                <w:p>
                  <w:pPr>
                    <w:contextualSpacing/>
                    <w:jc w:val="center"/>
                    <w:rPr>
                      <w:rFonts w:eastAsiaTheme="minorEastAsia"/>
                      <w:szCs w:val="21"/>
                    </w:rPr>
                  </w:pPr>
                  <w:r>
                    <w:rPr>
                      <w:rFonts w:hint="eastAsia" w:eastAsiaTheme="minorEastAsia"/>
                      <w:szCs w:val="21"/>
                    </w:rPr>
                    <w:t>监测点位</w:t>
                  </w:r>
                </w:p>
              </w:tc>
              <w:tc>
                <w:tcPr>
                  <w:tcW w:w="851" w:type="dxa"/>
                  <w:vAlign w:val="center"/>
                </w:tcPr>
                <w:p>
                  <w:pPr>
                    <w:contextualSpacing/>
                    <w:jc w:val="center"/>
                    <w:rPr>
                      <w:rFonts w:eastAsiaTheme="minorEastAsia"/>
                      <w:szCs w:val="21"/>
                    </w:rPr>
                  </w:pPr>
                  <w:r>
                    <w:rPr>
                      <w:rFonts w:hint="eastAsia" w:eastAsiaTheme="minorEastAsia"/>
                      <w:szCs w:val="21"/>
                    </w:rPr>
                    <w:t>监测因子</w:t>
                  </w:r>
                </w:p>
              </w:tc>
              <w:tc>
                <w:tcPr>
                  <w:tcW w:w="1793" w:type="dxa"/>
                  <w:vAlign w:val="center"/>
                </w:tcPr>
                <w:p>
                  <w:pPr>
                    <w:contextualSpacing/>
                    <w:jc w:val="center"/>
                    <w:rPr>
                      <w:rFonts w:eastAsiaTheme="minorEastAsia"/>
                      <w:szCs w:val="21"/>
                    </w:rPr>
                  </w:pPr>
                  <w:r>
                    <w:rPr>
                      <w:rFonts w:hint="eastAsia" w:eastAsiaTheme="minorEastAsia"/>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4" w:hRule="atLeast"/>
              </w:trPr>
              <w:tc>
                <w:tcPr>
                  <w:tcW w:w="843" w:type="dxa"/>
                  <w:vMerge w:val="restart"/>
                  <w:vAlign w:val="center"/>
                </w:tcPr>
                <w:p>
                  <w:pPr>
                    <w:contextualSpacing/>
                    <w:jc w:val="center"/>
                    <w:rPr>
                      <w:rFonts w:eastAsiaTheme="minorEastAsia"/>
                      <w:szCs w:val="21"/>
                    </w:rPr>
                  </w:pPr>
                  <w:r>
                    <w:rPr>
                      <w:rFonts w:hint="eastAsia" w:eastAsiaTheme="minorEastAsia"/>
                      <w:szCs w:val="21"/>
                    </w:rPr>
                    <w:t>雨水排放口DW</w:t>
                  </w:r>
                  <w:r>
                    <w:rPr>
                      <w:rFonts w:eastAsiaTheme="minorEastAsia"/>
                      <w:szCs w:val="21"/>
                    </w:rPr>
                    <w:t>001</w:t>
                  </w:r>
                </w:p>
              </w:tc>
              <w:tc>
                <w:tcPr>
                  <w:tcW w:w="818" w:type="dxa"/>
                  <w:vMerge w:val="restart"/>
                  <w:vAlign w:val="center"/>
                </w:tcPr>
                <w:p>
                  <w:pPr>
                    <w:contextualSpacing/>
                    <w:jc w:val="center"/>
                    <w:rPr>
                      <w:rFonts w:eastAsiaTheme="minorEastAsia"/>
                      <w:szCs w:val="21"/>
                    </w:rPr>
                  </w:pPr>
                  <w:r>
                    <w:rPr>
                      <w:rFonts w:hint="eastAsia"/>
                      <w:szCs w:val="21"/>
                    </w:rPr>
                    <w:t>八五六农场污水处理厂</w:t>
                  </w:r>
                </w:p>
              </w:tc>
              <w:tc>
                <w:tcPr>
                  <w:tcW w:w="1357" w:type="dxa"/>
                  <w:vMerge w:val="restart"/>
                  <w:vAlign w:val="center"/>
                </w:tcPr>
                <w:p>
                  <w:pPr>
                    <w:contextualSpacing/>
                    <w:jc w:val="center"/>
                    <w:rPr>
                      <w:rFonts w:eastAsiaTheme="minorEastAsia"/>
                      <w:szCs w:val="21"/>
                    </w:rPr>
                  </w:pPr>
                  <w:r>
                    <w:rPr>
                      <w:rFonts w:hint="eastAsia" w:eastAsiaTheme="minorEastAsia"/>
                      <w:szCs w:val="21"/>
                    </w:rPr>
                    <w:t>间断排放，排放期间流量不稳定且无规律，但不属于冲击型排放</w:t>
                  </w:r>
                </w:p>
              </w:tc>
              <w:tc>
                <w:tcPr>
                  <w:tcW w:w="1085" w:type="dxa"/>
                  <w:vMerge w:val="restart"/>
                  <w:vAlign w:val="center"/>
                </w:tcPr>
                <w:p>
                  <w:pPr>
                    <w:contextualSpacing/>
                    <w:jc w:val="center"/>
                    <w:rPr>
                      <w:rFonts w:eastAsiaTheme="minorEastAsia"/>
                      <w:szCs w:val="21"/>
                    </w:rPr>
                  </w:pPr>
                  <w:r>
                    <w:rPr>
                      <w:rFonts w:eastAsiaTheme="minorEastAsia"/>
                      <w:szCs w:val="21"/>
                    </w:rPr>
                    <w:t>E133.00093889</w:t>
                  </w:r>
                </w:p>
                <w:p>
                  <w:pPr>
                    <w:contextualSpacing/>
                    <w:jc w:val="center"/>
                    <w:rPr>
                      <w:rFonts w:eastAsiaTheme="minorEastAsia"/>
                      <w:szCs w:val="21"/>
                    </w:rPr>
                  </w:pPr>
                  <w:r>
                    <w:rPr>
                      <w:rFonts w:eastAsiaTheme="minorEastAsia"/>
                      <w:szCs w:val="21"/>
                    </w:rPr>
                    <w:t>N45.7652103</w:t>
                  </w:r>
                </w:p>
              </w:tc>
              <w:tc>
                <w:tcPr>
                  <w:tcW w:w="709" w:type="dxa"/>
                  <w:vMerge w:val="restart"/>
                  <w:vAlign w:val="center"/>
                </w:tcPr>
                <w:p>
                  <w:pPr>
                    <w:contextualSpacing/>
                    <w:jc w:val="center"/>
                    <w:rPr>
                      <w:rFonts w:eastAsiaTheme="minorEastAsia"/>
                      <w:szCs w:val="21"/>
                    </w:rPr>
                  </w:pPr>
                  <w:r>
                    <w:rPr>
                      <w:rFonts w:hint="eastAsia" w:eastAsiaTheme="minorEastAsia"/>
                      <w:szCs w:val="21"/>
                    </w:rPr>
                    <w:t>一般排放口</w:t>
                  </w:r>
                </w:p>
              </w:tc>
              <w:tc>
                <w:tcPr>
                  <w:tcW w:w="992" w:type="dxa"/>
                  <w:vMerge w:val="restart"/>
                  <w:vAlign w:val="center"/>
                </w:tcPr>
                <w:p>
                  <w:pPr>
                    <w:contextualSpacing/>
                    <w:jc w:val="center"/>
                    <w:rPr>
                      <w:rFonts w:eastAsiaTheme="minorEastAsia"/>
                      <w:szCs w:val="21"/>
                    </w:rPr>
                  </w:pPr>
                  <w:r>
                    <w:rPr>
                      <w:rFonts w:hint="eastAsia" w:eastAsiaTheme="minorEastAsia"/>
                      <w:szCs w:val="21"/>
                    </w:rPr>
                    <w:t>雨水排放口</w:t>
                  </w:r>
                </w:p>
              </w:tc>
              <w:tc>
                <w:tcPr>
                  <w:tcW w:w="851" w:type="dxa"/>
                  <w:vAlign w:val="center"/>
                </w:tcPr>
                <w:p>
                  <w:pPr>
                    <w:jc w:val="center"/>
                    <w:rPr>
                      <w:rFonts w:eastAsiaTheme="minorEastAsia"/>
                      <w:szCs w:val="21"/>
                    </w:rPr>
                  </w:pPr>
                  <w:r>
                    <w:rPr>
                      <w:rFonts w:eastAsiaTheme="minorEastAsia"/>
                      <w:szCs w:val="21"/>
                    </w:rPr>
                    <w:t>COD</w:t>
                  </w:r>
                </w:p>
              </w:tc>
              <w:tc>
                <w:tcPr>
                  <w:tcW w:w="1793" w:type="dxa"/>
                  <w:vMerge w:val="restart"/>
                  <w:vAlign w:val="center"/>
                </w:tcPr>
                <w:p>
                  <w:pPr>
                    <w:jc w:val="center"/>
                    <w:rPr>
                      <w:rFonts w:eastAsiaTheme="minorEastAsia"/>
                      <w:szCs w:val="21"/>
                    </w:rPr>
                  </w:pPr>
                  <w:r>
                    <w:rPr>
                      <w:rFonts w:hint="eastAsia" w:eastAsiaTheme="minorEastAsia"/>
                      <w:szCs w:val="21"/>
                    </w:rPr>
                    <w:t>有流动水排放时开展监测，排放期间按日监测。如监测一年无异常情况，每季度第一次有流动水排放时开展按日监测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 w:hRule="atLeast"/>
              </w:trPr>
              <w:tc>
                <w:tcPr>
                  <w:tcW w:w="843" w:type="dxa"/>
                  <w:vMerge w:val="continue"/>
                  <w:vAlign w:val="center"/>
                </w:tcPr>
                <w:p>
                  <w:pPr>
                    <w:contextualSpacing/>
                    <w:jc w:val="center"/>
                    <w:rPr>
                      <w:rFonts w:eastAsiaTheme="minorEastAsia"/>
                      <w:szCs w:val="21"/>
                    </w:rPr>
                  </w:pPr>
                </w:p>
              </w:tc>
              <w:tc>
                <w:tcPr>
                  <w:tcW w:w="818" w:type="dxa"/>
                  <w:vMerge w:val="continue"/>
                  <w:vAlign w:val="center"/>
                </w:tcPr>
                <w:p>
                  <w:pPr>
                    <w:contextualSpacing/>
                    <w:jc w:val="center"/>
                    <w:rPr>
                      <w:rFonts w:eastAsiaTheme="minorEastAsia"/>
                      <w:szCs w:val="21"/>
                    </w:rPr>
                  </w:pPr>
                </w:p>
              </w:tc>
              <w:tc>
                <w:tcPr>
                  <w:tcW w:w="1357" w:type="dxa"/>
                  <w:vMerge w:val="continue"/>
                  <w:vAlign w:val="center"/>
                </w:tcPr>
                <w:p>
                  <w:pPr>
                    <w:contextualSpacing/>
                    <w:jc w:val="center"/>
                    <w:rPr>
                      <w:rFonts w:eastAsiaTheme="minorEastAsia"/>
                      <w:szCs w:val="21"/>
                    </w:rPr>
                  </w:pPr>
                </w:p>
              </w:tc>
              <w:tc>
                <w:tcPr>
                  <w:tcW w:w="1085" w:type="dxa"/>
                  <w:vMerge w:val="continue"/>
                  <w:vAlign w:val="center"/>
                </w:tcPr>
                <w:p>
                  <w:pPr>
                    <w:contextualSpacing/>
                    <w:jc w:val="center"/>
                    <w:rPr>
                      <w:rFonts w:eastAsiaTheme="minorEastAsia"/>
                      <w:szCs w:val="21"/>
                    </w:rPr>
                  </w:pPr>
                </w:p>
              </w:tc>
              <w:tc>
                <w:tcPr>
                  <w:tcW w:w="709" w:type="dxa"/>
                  <w:vMerge w:val="continue"/>
                  <w:vAlign w:val="center"/>
                </w:tcPr>
                <w:p>
                  <w:pPr>
                    <w:contextualSpacing/>
                    <w:jc w:val="center"/>
                    <w:rPr>
                      <w:rFonts w:eastAsiaTheme="minorEastAsia"/>
                      <w:szCs w:val="21"/>
                    </w:rPr>
                  </w:pPr>
                </w:p>
              </w:tc>
              <w:tc>
                <w:tcPr>
                  <w:tcW w:w="992" w:type="dxa"/>
                  <w:vMerge w:val="continue"/>
                  <w:vAlign w:val="center"/>
                </w:tcPr>
                <w:p>
                  <w:pPr>
                    <w:contextualSpacing/>
                    <w:jc w:val="center"/>
                    <w:rPr>
                      <w:rFonts w:eastAsiaTheme="minorEastAsia"/>
                      <w:szCs w:val="21"/>
                    </w:rPr>
                  </w:pPr>
                </w:p>
              </w:tc>
              <w:tc>
                <w:tcPr>
                  <w:tcW w:w="851" w:type="dxa"/>
                  <w:vAlign w:val="center"/>
                </w:tcPr>
                <w:p>
                  <w:pPr>
                    <w:jc w:val="center"/>
                    <w:rPr>
                      <w:rFonts w:eastAsiaTheme="minorEastAsia"/>
                      <w:szCs w:val="21"/>
                    </w:rPr>
                  </w:pPr>
                  <w:r>
                    <w:rPr>
                      <w:rFonts w:hint="eastAsia" w:eastAsiaTheme="minorEastAsia"/>
                      <w:szCs w:val="21"/>
                    </w:rPr>
                    <w:t>氨氮</w:t>
                  </w:r>
                </w:p>
              </w:tc>
              <w:tc>
                <w:tcPr>
                  <w:tcW w:w="1793" w:type="dxa"/>
                  <w:vMerge w:val="continue"/>
                  <w:vAlign w:val="center"/>
                </w:tcPr>
                <w:p>
                  <w:pPr>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trPr>
              <w:tc>
                <w:tcPr>
                  <w:tcW w:w="843" w:type="dxa"/>
                  <w:vMerge w:val="continue"/>
                  <w:vAlign w:val="center"/>
                </w:tcPr>
                <w:p>
                  <w:pPr>
                    <w:contextualSpacing/>
                    <w:jc w:val="center"/>
                    <w:rPr>
                      <w:rFonts w:eastAsiaTheme="minorEastAsia"/>
                      <w:szCs w:val="21"/>
                    </w:rPr>
                  </w:pPr>
                </w:p>
              </w:tc>
              <w:tc>
                <w:tcPr>
                  <w:tcW w:w="818" w:type="dxa"/>
                  <w:vMerge w:val="continue"/>
                  <w:vAlign w:val="center"/>
                </w:tcPr>
                <w:p>
                  <w:pPr>
                    <w:contextualSpacing/>
                    <w:jc w:val="center"/>
                    <w:rPr>
                      <w:rFonts w:eastAsiaTheme="minorEastAsia"/>
                      <w:szCs w:val="21"/>
                    </w:rPr>
                  </w:pPr>
                </w:p>
              </w:tc>
              <w:tc>
                <w:tcPr>
                  <w:tcW w:w="1357" w:type="dxa"/>
                  <w:vMerge w:val="continue"/>
                  <w:vAlign w:val="center"/>
                </w:tcPr>
                <w:p>
                  <w:pPr>
                    <w:contextualSpacing/>
                    <w:jc w:val="center"/>
                    <w:rPr>
                      <w:rFonts w:eastAsiaTheme="minorEastAsia"/>
                      <w:szCs w:val="21"/>
                    </w:rPr>
                  </w:pPr>
                </w:p>
              </w:tc>
              <w:tc>
                <w:tcPr>
                  <w:tcW w:w="1085" w:type="dxa"/>
                  <w:vMerge w:val="continue"/>
                  <w:vAlign w:val="center"/>
                </w:tcPr>
                <w:p>
                  <w:pPr>
                    <w:contextualSpacing/>
                    <w:jc w:val="center"/>
                    <w:rPr>
                      <w:rFonts w:eastAsiaTheme="minorEastAsia"/>
                      <w:szCs w:val="21"/>
                    </w:rPr>
                  </w:pPr>
                </w:p>
              </w:tc>
              <w:tc>
                <w:tcPr>
                  <w:tcW w:w="709" w:type="dxa"/>
                  <w:vMerge w:val="continue"/>
                  <w:vAlign w:val="center"/>
                </w:tcPr>
                <w:p>
                  <w:pPr>
                    <w:contextualSpacing/>
                    <w:jc w:val="center"/>
                    <w:rPr>
                      <w:rFonts w:eastAsiaTheme="minorEastAsia"/>
                      <w:szCs w:val="21"/>
                    </w:rPr>
                  </w:pPr>
                </w:p>
              </w:tc>
              <w:tc>
                <w:tcPr>
                  <w:tcW w:w="992" w:type="dxa"/>
                  <w:vMerge w:val="continue"/>
                  <w:vAlign w:val="center"/>
                </w:tcPr>
                <w:p>
                  <w:pPr>
                    <w:contextualSpacing/>
                    <w:jc w:val="center"/>
                    <w:rPr>
                      <w:rFonts w:eastAsiaTheme="minorEastAsia"/>
                      <w:szCs w:val="21"/>
                    </w:rPr>
                  </w:pPr>
                </w:p>
              </w:tc>
              <w:tc>
                <w:tcPr>
                  <w:tcW w:w="851" w:type="dxa"/>
                  <w:vAlign w:val="center"/>
                </w:tcPr>
                <w:p>
                  <w:pPr>
                    <w:jc w:val="center"/>
                    <w:rPr>
                      <w:rFonts w:eastAsiaTheme="minorEastAsia"/>
                      <w:szCs w:val="21"/>
                    </w:rPr>
                  </w:pPr>
                  <w:r>
                    <w:rPr>
                      <w:rFonts w:eastAsiaTheme="minorEastAsia"/>
                      <w:szCs w:val="21"/>
                    </w:rPr>
                    <w:t>pH</w:t>
                  </w:r>
                </w:p>
              </w:tc>
              <w:tc>
                <w:tcPr>
                  <w:tcW w:w="1793" w:type="dxa"/>
                  <w:vMerge w:val="continue"/>
                  <w:vAlign w:val="center"/>
                </w:tcPr>
                <w:p>
                  <w:pPr>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rPr>
              <w:tc>
                <w:tcPr>
                  <w:tcW w:w="843" w:type="dxa"/>
                  <w:vMerge w:val="continue"/>
                  <w:vAlign w:val="center"/>
                </w:tcPr>
                <w:p>
                  <w:pPr>
                    <w:contextualSpacing/>
                    <w:jc w:val="center"/>
                    <w:rPr>
                      <w:rFonts w:eastAsiaTheme="minorEastAsia"/>
                      <w:szCs w:val="21"/>
                    </w:rPr>
                  </w:pPr>
                </w:p>
              </w:tc>
              <w:tc>
                <w:tcPr>
                  <w:tcW w:w="818" w:type="dxa"/>
                  <w:vMerge w:val="continue"/>
                  <w:vAlign w:val="center"/>
                </w:tcPr>
                <w:p>
                  <w:pPr>
                    <w:contextualSpacing/>
                    <w:jc w:val="center"/>
                    <w:rPr>
                      <w:rFonts w:eastAsiaTheme="minorEastAsia"/>
                      <w:szCs w:val="21"/>
                    </w:rPr>
                  </w:pPr>
                </w:p>
              </w:tc>
              <w:tc>
                <w:tcPr>
                  <w:tcW w:w="1357" w:type="dxa"/>
                  <w:vMerge w:val="continue"/>
                  <w:vAlign w:val="center"/>
                </w:tcPr>
                <w:p>
                  <w:pPr>
                    <w:contextualSpacing/>
                    <w:jc w:val="center"/>
                    <w:rPr>
                      <w:rFonts w:eastAsiaTheme="minorEastAsia"/>
                      <w:szCs w:val="21"/>
                    </w:rPr>
                  </w:pPr>
                </w:p>
              </w:tc>
              <w:tc>
                <w:tcPr>
                  <w:tcW w:w="1085" w:type="dxa"/>
                  <w:vMerge w:val="continue"/>
                  <w:vAlign w:val="center"/>
                </w:tcPr>
                <w:p>
                  <w:pPr>
                    <w:contextualSpacing/>
                    <w:jc w:val="center"/>
                    <w:rPr>
                      <w:rFonts w:eastAsiaTheme="minorEastAsia"/>
                      <w:szCs w:val="21"/>
                    </w:rPr>
                  </w:pPr>
                </w:p>
              </w:tc>
              <w:tc>
                <w:tcPr>
                  <w:tcW w:w="709" w:type="dxa"/>
                  <w:vMerge w:val="continue"/>
                  <w:vAlign w:val="center"/>
                </w:tcPr>
                <w:p>
                  <w:pPr>
                    <w:contextualSpacing/>
                    <w:jc w:val="center"/>
                    <w:rPr>
                      <w:rFonts w:eastAsiaTheme="minorEastAsia"/>
                      <w:szCs w:val="21"/>
                    </w:rPr>
                  </w:pPr>
                </w:p>
              </w:tc>
              <w:tc>
                <w:tcPr>
                  <w:tcW w:w="992" w:type="dxa"/>
                  <w:vMerge w:val="continue"/>
                  <w:vAlign w:val="center"/>
                </w:tcPr>
                <w:p>
                  <w:pPr>
                    <w:contextualSpacing/>
                    <w:jc w:val="center"/>
                    <w:rPr>
                      <w:rFonts w:eastAsiaTheme="minorEastAsia"/>
                      <w:szCs w:val="21"/>
                    </w:rPr>
                  </w:pPr>
                </w:p>
              </w:tc>
              <w:tc>
                <w:tcPr>
                  <w:tcW w:w="851" w:type="dxa"/>
                  <w:vAlign w:val="center"/>
                </w:tcPr>
                <w:p>
                  <w:pPr>
                    <w:jc w:val="center"/>
                    <w:rPr>
                      <w:rFonts w:eastAsiaTheme="minorEastAsia"/>
                      <w:szCs w:val="21"/>
                    </w:rPr>
                  </w:pPr>
                  <w:r>
                    <w:rPr>
                      <w:rFonts w:eastAsiaTheme="minorEastAsia"/>
                      <w:szCs w:val="21"/>
                    </w:rPr>
                    <w:t>SS</w:t>
                  </w:r>
                </w:p>
              </w:tc>
              <w:tc>
                <w:tcPr>
                  <w:tcW w:w="1793" w:type="dxa"/>
                  <w:vMerge w:val="continue"/>
                  <w:vAlign w:val="center"/>
                </w:tcPr>
                <w:p>
                  <w:pPr>
                    <w:contextualSpacing/>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rPr>
              <w:tc>
                <w:tcPr>
                  <w:tcW w:w="843" w:type="dxa"/>
                  <w:vMerge w:val="continue"/>
                  <w:vAlign w:val="center"/>
                </w:tcPr>
                <w:p>
                  <w:pPr>
                    <w:contextualSpacing/>
                    <w:jc w:val="center"/>
                    <w:rPr>
                      <w:rFonts w:eastAsiaTheme="minorEastAsia"/>
                      <w:szCs w:val="21"/>
                    </w:rPr>
                  </w:pPr>
                </w:p>
              </w:tc>
              <w:tc>
                <w:tcPr>
                  <w:tcW w:w="818" w:type="dxa"/>
                  <w:vMerge w:val="continue"/>
                  <w:vAlign w:val="center"/>
                </w:tcPr>
                <w:p>
                  <w:pPr>
                    <w:contextualSpacing/>
                    <w:jc w:val="center"/>
                    <w:rPr>
                      <w:rFonts w:eastAsiaTheme="minorEastAsia"/>
                      <w:szCs w:val="21"/>
                    </w:rPr>
                  </w:pPr>
                </w:p>
              </w:tc>
              <w:tc>
                <w:tcPr>
                  <w:tcW w:w="1357" w:type="dxa"/>
                  <w:vMerge w:val="continue"/>
                  <w:vAlign w:val="center"/>
                </w:tcPr>
                <w:p>
                  <w:pPr>
                    <w:contextualSpacing/>
                    <w:jc w:val="center"/>
                    <w:rPr>
                      <w:rFonts w:eastAsiaTheme="minorEastAsia"/>
                      <w:szCs w:val="21"/>
                    </w:rPr>
                  </w:pPr>
                </w:p>
              </w:tc>
              <w:tc>
                <w:tcPr>
                  <w:tcW w:w="1085" w:type="dxa"/>
                  <w:vMerge w:val="continue"/>
                  <w:vAlign w:val="center"/>
                </w:tcPr>
                <w:p>
                  <w:pPr>
                    <w:contextualSpacing/>
                    <w:jc w:val="center"/>
                    <w:rPr>
                      <w:rFonts w:eastAsiaTheme="minorEastAsia"/>
                      <w:szCs w:val="21"/>
                    </w:rPr>
                  </w:pPr>
                </w:p>
              </w:tc>
              <w:tc>
                <w:tcPr>
                  <w:tcW w:w="709" w:type="dxa"/>
                  <w:vMerge w:val="continue"/>
                  <w:vAlign w:val="center"/>
                </w:tcPr>
                <w:p>
                  <w:pPr>
                    <w:contextualSpacing/>
                    <w:jc w:val="center"/>
                    <w:rPr>
                      <w:rFonts w:eastAsiaTheme="minorEastAsia"/>
                      <w:szCs w:val="21"/>
                    </w:rPr>
                  </w:pPr>
                </w:p>
              </w:tc>
              <w:tc>
                <w:tcPr>
                  <w:tcW w:w="992" w:type="dxa"/>
                  <w:vMerge w:val="continue"/>
                  <w:vAlign w:val="center"/>
                </w:tcPr>
                <w:p>
                  <w:pPr>
                    <w:contextualSpacing/>
                    <w:jc w:val="center"/>
                    <w:rPr>
                      <w:rFonts w:eastAsiaTheme="minorEastAsia"/>
                      <w:szCs w:val="21"/>
                    </w:rPr>
                  </w:pPr>
                </w:p>
              </w:tc>
              <w:tc>
                <w:tcPr>
                  <w:tcW w:w="851" w:type="dxa"/>
                  <w:vAlign w:val="center"/>
                </w:tcPr>
                <w:p>
                  <w:pPr>
                    <w:jc w:val="center"/>
                    <w:rPr>
                      <w:rFonts w:eastAsiaTheme="minorEastAsia"/>
                      <w:szCs w:val="21"/>
                    </w:rPr>
                  </w:pPr>
                  <w:r>
                    <w:rPr>
                      <w:rFonts w:hint="eastAsia" w:eastAsiaTheme="minorEastAsia"/>
                      <w:szCs w:val="21"/>
                    </w:rPr>
                    <w:t>石油类</w:t>
                  </w:r>
                </w:p>
              </w:tc>
              <w:tc>
                <w:tcPr>
                  <w:tcW w:w="1793" w:type="dxa"/>
                  <w:vMerge w:val="continue"/>
                  <w:vAlign w:val="center"/>
                </w:tcPr>
                <w:p>
                  <w:pPr>
                    <w:contextualSpacing/>
                    <w:jc w:val="center"/>
                    <w:rPr>
                      <w:rFonts w:eastAsiaTheme="minorEastAsia"/>
                      <w:szCs w:val="21"/>
                    </w:rPr>
                  </w:pPr>
                </w:p>
              </w:tc>
            </w:tr>
          </w:tbl>
          <w:p>
            <w:pPr>
              <w:spacing w:line="360" w:lineRule="auto"/>
              <w:ind w:firstLine="482" w:firstLineChars="200"/>
              <w:contextualSpacing/>
              <w:rPr>
                <w:rFonts w:eastAsiaTheme="minorEastAsia"/>
                <w:b/>
                <w:bCs/>
                <w:sz w:val="24"/>
              </w:rPr>
            </w:pPr>
            <w:r>
              <w:rPr>
                <w:rFonts w:eastAsiaTheme="minorEastAsia"/>
                <w:b/>
                <w:bCs/>
                <w:sz w:val="24"/>
              </w:rPr>
              <w:t>3</w:t>
            </w:r>
            <w:r>
              <w:rPr>
                <w:rFonts w:hint="eastAsia" w:eastAsiaTheme="minorEastAsia"/>
                <w:b/>
                <w:bCs/>
                <w:sz w:val="24"/>
              </w:rPr>
              <w:t>、达标排放分析</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本项目初期雨水排放量为2086</w:t>
            </w:r>
            <w:r>
              <w:rPr>
                <w:rFonts w:eastAsiaTheme="minorEastAsia"/>
                <w:sz w:val="24"/>
              </w:rPr>
              <w:t>t/a</w:t>
            </w:r>
            <w:r>
              <w:rPr>
                <w:rFonts w:hint="eastAsia" w:eastAsiaTheme="minorEastAsia"/>
                <w:sz w:val="24"/>
              </w:rPr>
              <w:t>，</w:t>
            </w:r>
            <w:r>
              <w:rPr>
                <w:rFonts w:eastAsiaTheme="minorEastAsia"/>
                <w:sz w:val="24"/>
              </w:rPr>
              <w:t>COD</w:t>
            </w:r>
            <w:r>
              <w:rPr>
                <w:rFonts w:hint="eastAsia" w:eastAsiaTheme="minorEastAsia"/>
                <w:sz w:val="24"/>
              </w:rPr>
              <w:t>排放浓度为</w:t>
            </w:r>
            <w:r>
              <w:rPr>
                <w:rFonts w:eastAsiaTheme="minorEastAsia"/>
                <w:sz w:val="24"/>
              </w:rPr>
              <w:t>16mg/L</w:t>
            </w:r>
            <w:r>
              <w:rPr>
                <w:rFonts w:hint="eastAsia" w:eastAsiaTheme="minorEastAsia"/>
                <w:sz w:val="24"/>
              </w:rPr>
              <w:t>，氨氮排放浓度为</w:t>
            </w:r>
            <w:r>
              <w:rPr>
                <w:rFonts w:eastAsiaTheme="minorEastAsia"/>
                <w:sz w:val="24"/>
              </w:rPr>
              <w:t>0.132mg/L</w:t>
            </w:r>
            <w:r>
              <w:rPr>
                <w:rFonts w:hint="eastAsia" w:eastAsiaTheme="minorEastAsia"/>
                <w:sz w:val="24"/>
              </w:rPr>
              <w:t>，</w:t>
            </w:r>
            <w:r>
              <w:rPr>
                <w:rFonts w:eastAsiaTheme="minorEastAsia"/>
                <w:sz w:val="24"/>
              </w:rPr>
              <w:t>SS</w:t>
            </w:r>
            <w:r>
              <w:rPr>
                <w:rFonts w:hint="eastAsia" w:eastAsiaTheme="minorEastAsia"/>
                <w:sz w:val="24"/>
              </w:rPr>
              <w:t>排放浓度为</w:t>
            </w:r>
            <w:r>
              <w:rPr>
                <w:rFonts w:eastAsiaTheme="minorEastAsia"/>
                <w:sz w:val="24"/>
              </w:rPr>
              <w:t>9mg/L</w:t>
            </w:r>
            <w:r>
              <w:rPr>
                <w:rFonts w:hint="eastAsia" w:eastAsiaTheme="minorEastAsia"/>
                <w:sz w:val="24"/>
              </w:rPr>
              <w:t>，石油类排放浓度为</w:t>
            </w:r>
            <w:r>
              <w:rPr>
                <w:rFonts w:eastAsiaTheme="minorEastAsia"/>
                <w:sz w:val="24"/>
              </w:rPr>
              <w:t>0.17mg/L</w:t>
            </w:r>
            <w:r>
              <w:rPr>
                <w:rFonts w:hint="eastAsia" w:eastAsiaTheme="minorEastAsia"/>
                <w:sz w:val="24"/>
              </w:rPr>
              <w:t>，</w:t>
            </w:r>
            <w:r>
              <w:rPr>
                <w:rFonts w:eastAsiaTheme="minorEastAsia"/>
                <w:sz w:val="24"/>
              </w:rPr>
              <w:t>pH</w:t>
            </w:r>
            <w:r>
              <w:rPr>
                <w:rFonts w:hint="eastAsia" w:eastAsiaTheme="minorEastAsia"/>
                <w:sz w:val="24"/>
              </w:rPr>
              <w:t>为</w:t>
            </w:r>
            <w:r>
              <w:rPr>
                <w:rFonts w:eastAsiaTheme="minorEastAsia"/>
                <w:sz w:val="24"/>
              </w:rPr>
              <w:t>6.73mg/L</w:t>
            </w:r>
            <w:r>
              <w:rPr>
                <w:rFonts w:hint="eastAsia" w:eastAsiaTheme="minorEastAsia"/>
                <w:kern w:val="0"/>
                <w:sz w:val="24"/>
              </w:rPr>
              <w:t>，</w:t>
            </w:r>
            <w:r>
              <w:rPr>
                <w:rFonts w:hint="eastAsia" w:eastAsiaTheme="minorEastAsia"/>
                <w:sz w:val="24"/>
              </w:rPr>
              <w:t>各类污染物浓度满足《污水综合排放标准》（</w:t>
            </w:r>
            <w:r>
              <w:rPr>
                <w:rFonts w:eastAsiaTheme="minorEastAsia"/>
                <w:sz w:val="24"/>
              </w:rPr>
              <w:t>GB8978-1996</w:t>
            </w:r>
            <w:r>
              <w:rPr>
                <w:rFonts w:hint="eastAsia" w:eastAsiaTheme="minorEastAsia"/>
                <w:sz w:val="24"/>
              </w:rPr>
              <w:t>）表</w:t>
            </w:r>
            <w:r>
              <w:rPr>
                <w:rFonts w:eastAsiaTheme="minorEastAsia"/>
                <w:sz w:val="24"/>
              </w:rPr>
              <w:t>4</w:t>
            </w:r>
            <w:r>
              <w:rPr>
                <w:rFonts w:hint="eastAsia" w:eastAsiaTheme="minorEastAsia"/>
                <w:sz w:val="24"/>
              </w:rPr>
              <w:t>中三级标准。</w:t>
            </w:r>
            <w:r>
              <w:rPr>
                <w:rFonts w:hint="eastAsia" w:eastAsiaTheme="minorEastAsia"/>
                <w:bCs/>
                <w:sz w:val="24"/>
              </w:rPr>
              <w:t>本项目采用雨污分流制，</w:t>
            </w:r>
            <w:r>
              <w:rPr>
                <w:rFonts w:hint="eastAsia" w:eastAsiaTheme="minorEastAsia"/>
                <w:sz w:val="24"/>
              </w:rPr>
              <w:t>项目厂区内地面及道路全部硬化，在污染区四周设置环形导流沟，初期雨水进入厂区东侧的</w:t>
            </w:r>
            <w:r>
              <w:rPr>
                <w:rFonts w:hint="eastAsia" w:eastAsiaTheme="minorEastAsia"/>
                <w:bCs/>
                <w:sz w:val="24"/>
              </w:rPr>
              <w:t>20m</w:t>
            </w:r>
            <w:r>
              <w:rPr>
                <w:rFonts w:hint="eastAsia" w:eastAsiaTheme="minorEastAsia"/>
                <w:bCs/>
                <w:sz w:val="24"/>
                <w:vertAlign w:val="superscript"/>
              </w:rPr>
              <w:t>3</w:t>
            </w:r>
            <w:r>
              <w:rPr>
                <w:rFonts w:hint="eastAsia" w:eastAsiaTheme="minorEastAsia"/>
                <w:sz w:val="24"/>
              </w:rPr>
              <w:t>收集池，</w:t>
            </w:r>
            <w:r>
              <w:rPr>
                <w:rFonts w:hint="eastAsia" w:eastAsiaTheme="minorEastAsia"/>
                <w:bCs/>
                <w:sz w:val="24"/>
              </w:rPr>
              <w:t>经油水分离器处理后进入100m</w:t>
            </w:r>
            <w:r>
              <w:rPr>
                <w:rFonts w:hint="eastAsia" w:eastAsiaTheme="minorEastAsia"/>
                <w:bCs/>
                <w:sz w:val="24"/>
                <w:vertAlign w:val="superscript"/>
              </w:rPr>
              <w:t>3</w:t>
            </w:r>
            <w:r>
              <w:rPr>
                <w:rFonts w:hint="eastAsia" w:eastAsiaTheme="minorEastAsia"/>
                <w:bCs/>
                <w:sz w:val="24"/>
              </w:rPr>
              <w:t>暂存池，每收集一次初期雨水后采用罐车拉运至八五六农场污水处理厂，经处理后污水排放浓度达到《城镇污水处理厂污染物排放标准》（</w:t>
            </w:r>
            <w:r>
              <w:rPr>
                <w:rFonts w:eastAsiaTheme="minorEastAsia"/>
                <w:bCs/>
                <w:sz w:val="24"/>
              </w:rPr>
              <w:t>GB18918-2002</w:t>
            </w:r>
            <w:r>
              <w:rPr>
                <w:rFonts w:hint="eastAsia" w:eastAsiaTheme="minorEastAsia"/>
                <w:bCs/>
                <w:sz w:val="24"/>
              </w:rPr>
              <w:t>）一级</w:t>
            </w:r>
            <w:r>
              <w:rPr>
                <w:rFonts w:eastAsiaTheme="minorEastAsia"/>
                <w:bCs/>
                <w:sz w:val="24"/>
              </w:rPr>
              <w:t>A</w:t>
            </w:r>
            <w:r>
              <w:rPr>
                <w:rFonts w:hint="eastAsia" w:eastAsiaTheme="minorEastAsia"/>
                <w:bCs/>
                <w:sz w:val="24"/>
              </w:rPr>
              <w:t>标准后排入穆棱河。</w:t>
            </w:r>
          </w:p>
          <w:p>
            <w:pPr>
              <w:spacing w:line="360" w:lineRule="auto"/>
              <w:ind w:firstLine="482" w:firstLineChars="200"/>
              <w:contextualSpacing/>
              <w:rPr>
                <w:rFonts w:eastAsiaTheme="minorEastAsia"/>
                <w:b/>
                <w:bCs/>
                <w:sz w:val="24"/>
              </w:rPr>
            </w:pPr>
            <w:r>
              <w:rPr>
                <w:rFonts w:eastAsiaTheme="minorEastAsia"/>
                <w:b/>
                <w:bCs/>
                <w:sz w:val="24"/>
              </w:rPr>
              <w:t>4</w:t>
            </w:r>
            <w:r>
              <w:rPr>
                <w:rFonts w:hint="eastAsia" w:eastAsiaTheme="minorEastAsia"/>
                <w:b/>
                <w:bCs/>
                <w:sz w:val="24"/>
              </w:rPr>
              <w:t>、依托可行性分析</w:t>
            </w:r>
          </w:p>
          <w:p>
            <w:pPr>
              <w:autoSpaceDE w:val="0"/>
              <w:autoSpaceDN w:val="0"/>
              <w:spacing w:line="360" w:lineRule="auto"/>
              <w:ind w:firstLine="480" w:firstLineChars="200"/>
              <w:contextualSpacing/>
              <w:rPr>
                <w:rFonts w:eastAsiaTheme="minorEastAsia"/>
                <w:bCs/>
                <w:sz w:val="24"/>
              </w:rPr>
            </w:pPr>
            <w:r>
              <w:rPr>
                <w:rFonts w:hint="eastAsia" w:eastAsiaTheme="minorEastAsia"/>
                <w:bCs/>
                <w:sz w:val="24"/>
              </w:rPr>
              <w:t>八五六农场污水处理厂日处理污水能力为1500</w:t>
            </w:r>
            <w:r>
              <w:rPr>
                <w:rFonts w:eastAsiaTheme="minorEastAsia"/>
                <w:bCs/>
                <w:sz w:val="24"/>
              </w:rPr>
              <w:t>m</w:t>
            </w:r>
            <w:r>
              <w:rPr>
                <w:rFonts w:eastAsiaTheme="minorEastAsia"/>
                <w:bCs/>
                <w:sz w:val="24"/>
                <w:vertAlign w:val="superscript"/>
              </w:rPr>
              <w:t xml:space="preserve">3 </w:t>
            </w:r>
            <w:r>
              <w:rPr>
                <w:rFonts w:eastAsiaTheme="minorEastAsia"/>
                <w:bCs/>
                <w:sz w:val="24"/>
              </w:rPr>
              <w:t>/d</w:t>
            </w:r>
            <w:r>
              <w:rPr>
                <w:rFonts w:hint="eastAsia" w:eastAsiaTheme="minorEastAsia"/>
                <w:bCs/>
                <w:sz w:val="24"/>
              </w:rPr>
              <w:t>，现处理量为1200</w:t>
            </w:r>
            <w:r>
              <w:rPr>
                <w:rFonts w:eastAsiaTheme="minorEastAsia"/>
                <w:bCs/>
                <w:sz w:val="24"/>
              </w:rPr>
              <w:t>m</w:t>
            </w:r>
            <w:r>
              <w:rPr>
                <w:rFonts w:eastAsiaTheme="minorEastAsia"/>
                <w:bCs/>
                <w:sz w:val="24"/>
                <w:vertAlign w:val="superscript"/>
              </w:rPr>
              <w:t>3</w:t>
            </w:r>
            <w:r>
              <w:rPr>
                <w:rFonts w:eastAsiaTheme="minorEastAsia"/>
                <w:bCs/>
                <w:sz w:val="24"/>
              </w:rPr>
              <w:t>/d</w:t>
            </w:r>
            <w:r>
              <w:rPr>
                <w:rFonts w:hint="eastAsia" w:eastAsiaTheme="minorEastAsia"/>
                <w:bCs/>
                <w:sz w:val="24"/>
              </w:rPr>
              <w:t>。污水处理工艺采用</w:t>
            </w:r>
            <w:r>
              <w:rPr>
                <w:rFonts w:eastAsiaTheme="minorEastAsia"/>
                <w:bCs/>
                <w:sz w:val="24"/>
              </w:rPr>
              <w:t>“</w:t>
            </w:r>
            <w:r>
              <w:rPr>
                <w:rFonts w:hint="eastAsia" w:eastAsiaTheme="minorEastAsia"/>
                <w:bCs/>
                <w:sz w:val="24"/>
              </w:rPr>
              <w:t>预处理</w:t>
            </w:r>
            <w:r>
              <w:rPr>
                <w:rFonts w:eastAsiaTheme="minorEastAsia"/>
                <w:bCs/>
                <w:sz w:val="24"/>
              </w:rPr>
              <w:t>+ AO</w:t>
            </w:r>
            <w:r>
              <w:rPr>
                <w:rFonts w:hint="eastAsia" w:eastAsiaTheme="minorEastAsia"/>
                <w:bCs/>
                <w:sz w:val="24"/>
              </w:rPr>
              <w:t>生化池</w:t>
            </w:r>
            <w:r>
              <w:rPr>
                <w:rFonts w:eastAsiaTheme="minorEastAsia"/>
                <w:bCs/>
                <w:sz w:val="24"/>
              </w:rPr>
              <w:t xml:space="preserve"> +</w:t>
            </w:r>
            <w:r>
              <w:rPr>
                <w:rFonts w:hint="eastAsia" w:eastAsiaTheme="minorEastAsia"/>
                <w:bCs/>
                <w:sz w:val="24"/>
              </w:rPr>
              <w:t>二沉池+三沉池</w:t>
            </w:r>
            <w:r>
              <w:rPr>
                <w:rFonts w:eastAsiaTheme="minorEastAsia"/>
                <w:bCs/>
                <w:sz w:val="24"/>
              </w:rPr>
              <w:t>+高密度沉淀池+</w:t>
            </w:r>
            <w:r>
              <w:rPr>
                <w:rFonts w:hint="eastAsia" w:eastAsiaTheme="minorEastAsia"/>
                <w:bCs/>
                <w:sz w:val="24"/>
              </w:rPr>
              <w:t>连续流沙过滤</w:t>
            </w:r>
            <w:r>
              <w:rPr>
                <w:rFonts w:eastAsiaTheme="minorEastAsia"/>
                <w:bCs/>
                <w:sz w:val="24"/>
              </w:rPr>
              <w:t>+</w:t>
            </w:r>
            <w:r>
              <w:rPr>
                <w:rFonts w:hint="eastAsia" w:eastAsiaTheme="minorEastAsia"/>
                <w:bCs/>
                <w:sz w:val="24"/>
              </w:rPr>
              <w:t>紫外线消毒</w:t>
            </w:r>
            <w:r>
              <w:rPr>
                <w:rFonts w:eastAsiaTheme="minorEastAsia"/>
                <w:bCs/>
                <w:sz w:val="24"/>
              </w:rPr>
              <w:t>”</w:t>
            </w:r>
            <w:r>
              <w:rPr>
                <w:rFonts w:hint="eastAsia" w:eastAsiaTheme="minorEastAsia"/>
                <w:bCs/>
                <w:sz w:val="24"/>
              </w:rPr>
              <w:t>，进水水质为COD≤400mg/L、</w:t>
            </w:r>
            <w:r>
              <w:rPr>
                <w:rFonts w:eastAsiaTheme="minorEastAsia"/>
                <w:bCs/>
                <w:sz w:val="24"/>
              </w:rPr>
              <w:t>BOD</w:t>
            </w:r>
            <w:r>
              <w:rPr>
                <w:rFonts w:eastAsiaTheme="minorEastAsia"/>
                <w:bCs/>
                <w:sz w:val="24"/>
                <w:vertAlign w:val="subscript"/>
              </w:rPr>
              <w:t>5</w:t>
            </w:r>
            <w:r>
              <w:rPr>
                <w:rFonts w:hint="eastAsia" w:eastAsiaTheme="minorEastAsia"/>
                <w:bCs/>
                <w:sz w:val="24"/>
              </w:rPr>
              <w:t>≤200mg/L、SS≤300mg/L、</w:t>
            </w:r>
            <w:r>
              <w:rPr>
                <w:rFonts w:eastAsiaTheme="minorEastAsia"/>
                <w:bCs/>
                <w:sz w:val="24"/>
              </w:rPr>
              <w:t>NH</w:t>
            </w:r>
            <w:r>
              <w:rPr>
                <w:rFonts w:eastAsiaTheme="minorEastAsia"/>
                <w:bCs/>
                <w:sz w:val="24"/>
                <w:vertAlign w:val="subscript"/>
              </w:rPr>
              <w:t>3</w:t>
            </w:r>
            <w:r>
              <w:rPr>
                <w:rFonts w:hint="eastAsia" w:eastAsiaTheme="minorEastAsia"/>
                <w:bCs/>
                <w:sz w:val="24"/>
              </w:rPr>
              <w:t>-N≤25mg/L、石油类≤30mg/L，出水水质达到《城镇污水处理厂污染物排放标准》（</w:t>
            </w:r>
            <w:r>
              <w:rPr>
                <w:rFonts w:eastAsiaTheme="minorEastAsia"/>
                <w:bCs/>
                <w:sz w:val="24"/>
              </w:rPr>
              <w:t>GB18918-2002</w:t>
            </w:r>
            <w:r>
              <w:rPr>
                <w:rFonts w:hint="eastAsia" w:eastAsiaTheme="minorEastAsia"/>
                <w:bCs/>
                <w:sz w:val="24"/>
              </w:rPr>
              <w:t>）一级</w:t>
            </w:r>
            <w:r>
              <w:rPr>
                <w:rFonts w:eastAsiaTheme="minorEastAsia"/>
                <w:bCs/>
                <w:sz w:val="24"/>
              </w:rPr>
              <w:t>A</w:t>
            </w:r>
            <w:r>
              <w:rPr>
                <w:rFonts w:hint="eastAsia" w:eastAsiaTheme="minorEastAsia"/>
                <w:bCs/>
                <w:sz w:val="24"/>
              </w:rPr>
              <w:t>标准后排入穆棱河。</w:t>
            </w:r>
          </w:p>
          <w:p>
            <w:pPr>
              <w:spacing w:line="360" w:lineRule="auto"/>
              <w:ind w:firstLine="480" w:firstLineChars="200"/>
              <w:contextualSpacing/>
              <w:rPr>
                <w:rFonts w:eastAsiaTheme="minorEastAsia"/>
                <w:b/>
                <w:bCs/>
                <w:sz w:val="24"/>
              </w:rPr>
            </w:pPr>
            <w:r>
              <w:rPr>
                <w:rFonts w:hint="eastAsia" w:eastAsiaTheme="minorEastAsia"/>
                <w:sz w:val="24"/>
              </w:rPr>
              <w:t>本项目废水中各污染物排放浓度均可以满足其入水水质标准，因此依托该污水厂处理本项目外排废水可行。</w:t>
            </w:r>
          </w:p>
          <w:p>
            <w:pPr>
              <w:spacing w:line="360" w:lineRule="auto"/>
              <w:ind w:firstLine="482" w:firstLineChars="200"/>
              <w:contextualSpacing/>
              <w:rPr>
                <w:rFonts w:eastAsiaTheme="minorEastAsia"/>
                <w:b/>
                <w:bCs/>
                <w:sz w:val="24"/>
              </w:rPr>
            </w:pPr>
            <w:r>
              <w:rPr>
                <w:rFonts w:hint="eastAsia" w:eastAsiaTheme="minorEastAsia"/>
                <w:b/>
                <w:bCs/>
                <w:sz w:val="24"/>
              </w:rPr>
              <w:t>（三）噪声</w:t>
            </w:r>
          </w:p>
          <w:p>
            <w:pPr>
              <w:spacing w:line="360" w:lineRule="auto"/>
              <w:ind w:firstLine="482" w:firstLineChars="200"/>
              <w:contextualSpacing/>
              <w:rPr>
                <w:rFonts w:eastAsiaTheme="minorEastAsia"/>
                <w:b/>
                <w:bCs/>
                <w:sz w:val="24"/>
              </w:rPr>
            </w:pPr>
            <w:r>
              <w:rPr>
                <w:rFonts w:eastAsiaTheme="minorEastAsia"/>
                <w:b/>
                <w:bCs/>
                <w:sz w:val="24"/>
              </w:rPr>
              <w:t>1</w:t>
            </w:r>
            <w:r>
              <w:rPr>
                <w:rFonts w:hint="eastAsia" w:eastAsiaTheme="minorEastAsia"/>
                <w:b/>
                <w:bCs/>
                <w:sz w:val="24"/>
              </w:rPr>
              <w:t>、噪声源强</w:t>
            </w:r>
          </w:p>
          <w:p>
            <w:pPr>
              <w:pStyle w:val="42"/>
              <w:spacing w:beforeLines="0" w:afterLines="0" w:line="360" w:lineRule="auto"/>
              <w:ind w:firstLine="480"/>
              <w:rPr>
                <w:rFonts w:eastAsiaTheme="minorEastAsia"/>
                <w:color w:val="auto"/>
              </w:rPr>
            </w:pPr>
            <w:r>
              <w:rPr>
                <w:rFonts w:hint="eastAsia" w:eastAsiaTheme="minorEastAsia"/>
                <w:color w:val="auto"/>
              </w:rPr>
              <w:t>该项目的</w:t>
            </w:r>
            <w:r>
              <w:rPr>
                <w:rFonts w:hint="eastAsia" w:eastAsiaTheme="minorEastAsia"/>
                <w:bCs/>
                <w:color w:val="auto"/>
              </w:rPr>
              <w:t>主要噪声来自于</w:t>
            </w:r>
            <w:r>
              <w:rPr>
                <w:rFonts w:hint="eastAsia" w:eastAsiaTheme="minorEastAsia"/>
                <w:color w:val="auto"/>
              </w:rPr>
              <w:t>手电钻、</w:t>
            </w:r>
            <w:r>
              <w:rPr>
                <w:rFonts w:hint="eastAsia" w:hAnsi="宋体"/>
                <w:color w:val="auto"/>
                <w:szCs w:val="21"/>
              </w:rPr>
              <w:t>等离子</w:t>
            </w:r>
            <w:r>
              <w:rPr>
                <w:rFonts w:hint="eastAsia" w:eastAsiaTheme="minorEastAsia"/>
                <w:color w:val="auto"/>
              </w:rPr>
              <w:t>切割机、</w:t>
            </w:r>
            <w:r>
              <w:rPr>
                <w:rFonts w:hint="eastAsia" w:eastAsiaTheme="minorEastAsia"/>
                <w:color w:val="auto"/>
                <w:kern w:val="0"/>
              </w:rPr>
              <w:t>充电机等</w:t>
            </w:r>
            <w:r>
              <w:rPr>
                <w:rFonts w:hint="eastAsia" w:eastAsiaTheme="minorEastAsia"/>
                <w:color w:val="auto"/>
              </w:rPr>
              <w:t>运行时产生噪声。设备噪声在</w:t>
            </w:r>
            <w:r>
              <w:rPr>
                <w:rFonts w:eastAsiaTheme="minorEastAsia"/>
                <w:color w:val="auto"/>
              </w:rPr>
              <w:t>75~90dB(A)</w:t>
            </w:r>
            <w:r>
              <w:rPr>
                <w:rFonts w:hint="eastAsia" w:eastAsiaTheme="minorEastAsia"/>
                <w:color w:val="auto"/>
              </w:rPr>
              <w:t>左右。本项目设备产生的噪声源强见下表。</w:t>
            </w:r>
          </w:p>
          <w:p>
            <w:pPr>
              <w:pStyle w:val="48"/>
              <w:ind w:firstLine="0" w:firstLineChars="0"/>
              <w:contextualSpacing/>
              <w:jc w:val="center"/>
              <w:rPr>
                <w:rFonts w:eastAsiaTheme="minorEastAsia"/>
                <w:b/>
              </w:rPr>
            </w:pPr>
            <w:r>
              <w:rPr>
                <w:rFonts w:hint="eastAsia" w:eastAsiaTheme="minorEastAsia"/>
                <w:b/>
              </w:rPr>
              <w:t>表</w:t>
            </w:r>
            <w:r>
              <w:rPr>
                <w:rFonts w:eastAsiaTheme="minorEastAsia"/>
                <w:b/>
              </w:rPr>
              <w:t>4-</w:t>
            </w:r>
            <w:r>
              <w:rPr>
                <w:rFonts w:hint="eastAsia" w:eastAsiaTheme="minorEastAsia"/>
                <w:b/>
              </w:rPr>
              <w:t>9</w:t>
            </w:r>
            <w:r>
              <w:rPr>
                <w:rFonts w:eastAsiaTheme="minorEastAsia"/>
                <w:b/>
              </w:rPr>
              <w:t>主要噪声源强单位：dB(A)</w:t>
            </w:r>
          </w:p>
          <w:tbl>
            <w:tblPr>
              <w:tblStyle w:val="21"/>
              <w:tblW w:w="843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833"/>
              <w:gridCol w:w="671"/>
              <w:gridCol w:w="683"/>
              <w:gridCol w:w="821"/>
              <w:gridCol w:w="1368"/>
              <w:gridCol w:w="870"/>
              <w:gridCol w:w="707"/>
              <w:gridCol w:w="850"/>
              <w:gridCol w:w="7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jc w:val="center"/>
              </w:trPr>
              <w:tc>
                <w:tcPr>
                  <w:tcW w:w="925" w:type="dxa"/>
                  <w:vMerge w:val="restart"/>
                  <w:vAlign w:val="center"/>
                </w:tcPr>
                <w:p>
                  <w:pPr>
                    <w:spacing w:line="0" w:lineRule="atLeast"/>
                    <w:jc w:val="center"/>
                    <w:rPr>
                      <w:szCs w:val="21"/>
                    </w:rPr>
                  </w:pPr>
                  <w:r>
                    <w:rPr>
                      <w:rFonts w:hAnsi="宋体"/>
                      <w:szCs w:val="21"/>
                    </w:rPr>
                    <w:t>工序</w:t>
                  </w:r>
                  <w:r>
                    <w:rPr>
                      <w:szCs w:val="21"/>
                    </w:rPr>
                    <w:t>/</w:t>
                  </w:r>
                  <w:r>
                    <w:rPr>
                      <w:rFonts w:hAnsi="宋体"/>
                      <w:szCs w:val="21"/>
                    </w:rPr>
                    <w:t>生产线</w:t>
                  </w:r>
                </w:p>
              </w:tc>
              <w:tc>
                <w:tcPr>
                  <w:tcW w:w="833" w:type="dxa"/>
                  <w:vMerge w:val="restart"/>
                  <w:vAlign w:val="center"/>
                </w:tcPr>
                <w:p>
                  <w:pPr>
                    <w:spacing w:line="0" w:lineRule="atLeast"/>
                    <w:jc w:val="center"/>
                    <w:rPr>
                      <w:szCs w:val="21"/>
                    </w:rPr>
                  </w:pPr>
                  <w:r>
                    <w:rPr>
                      <w:rFonts w:hAnsi="宋体"/>
                      <w:szCs w:val="21"/>
                    </w:rPr>
                    <w:t>噪声源</w:t>
                  </w:r>
                </w:p>
              </w:tc>
              <w:tc>
                <w:tcPr>
                  <w:tcW w:w="671" w:type="dxa"/>
                  <w:vMerge w:val="restart"/>
                  <w:vAlign w:val="center"/>
                </w:tcPr>
                <w:p>
                  <w:pPr>
                    <w:spacing w:line="0" w:lineRule="atLeast"/>
                    <w:jc w:val="center"/>
                    <w:rPr>
                      <w:szCs w:val="21"/>
                    </w:rPr>
                  </w:pPr>
                  <w:r>
                    <w:rPr>
                      <w:rFonts w:hAnsi="宋体"/>
                      <w:szCs w:val="21"/>
                    </w:rPr>
                    <w:t>声源类型</w:t>
                  </w:r>
                </w:p>
              </w:tc>
              <w:tc>
                <w:tcPr>
                  <w:tcW w:w="1504" w:type="dxa"/>
                  <w:gridSpan w:val="2"/>
                  <w:vAlign w:val="center"/>
                </w:tcPr>
                <w:p>
                  <w:pPr>
                    <w:spacing w:line="0" w:lineRule="atLeast"/>
                    <w:jc w:val="center"/>
                    <w:rPr>
                      <w:szCs w:val="21"/>
                    </w:rPr>
                  </w:pPr>
                  <w:r>
                    <w:rPr>
                      <w:rFonts w:hAnsi="宋体"/>
                      <w:szCs w:val="21"/>
                    </w:rPr>
                    <w:t>噪声源强</w:t>
                  </w:r>
                </w:p>
              </w:tc>
              <w:tc>
                <w:tcPr>
                  <w:tcW w:w="2238" w:type="dxa"/>
                  <w:gridSpan w:val="2"/>
                  <w:vAlign w:val="center"/>
                </w:tcPr>
                <w:p>
                  <w:pPr>
                    <w:spacing w:line="0" w:lineRule="atLeast"/>
                    <w:jc w:val="center"/>
                    <w:rPr>
                      <w:szCs w:val="21"/>
                    </w:rPr>
                  </w:pPr>
                  <w:r>
                    <w:rPr>
                      <w:rFonts w:hAnsi="宋体"/>
                      <w:szCs w:val="21"/>
                    </w:rPr>
                    <w:t>降噪措施</w:t>
                  </w:r>
                </w:p>
              </w:tc>
              <w:tc>
                <w:tcPr>
                  <w:tcW w:w="1557" w:type="dxa"/>
                  <w:gridSpan w:val="2"/>
                  <w:vAlign w:val="center"/>
                </w:tcPr>
                <w:p>
                  <w:pPr>
                    <w:spacing w:line="0" w:lineRule="atLeast"/>
                    <w:jc w:val="center"/>
                    <w:rPr>
                      <w:szCs w:val="21"/>
                    </w:rPr>
                  </w:pPr>
                  <w:r>
                    <w:rPr>
                      <w:rFonts w:hAnsi="宋体"/>
                      <w:szCs w:val="21"/>
                    </w:rPr>
                    <w:t>噪声排放值</w:t>
                  </w:r>
                </w:p>
              </w:tc>
              <w:tc>
                <w:tcPr>
                  <w:tcW w:w="703" w:type="dxa"/>
                  <w:vMerge w:val="restart"/>
                  <w:vAlign w:val="center"/>
                </w:tcPr>
                <w:p>
                  <w:pPr>
                    <w:spacing w:line="0" w:lineRule="atLeast"/>
                    <w:jc w:val="center"/>
                    <w:rPr>
                      <w:szCs w:val="21"/>
                    </w:rPr>
                  </w:pPr>
                  <w:r>
                    <w:rPr>
                      <w:rFonts w:hAnsi="宋体"/>
                      <w:szCs w:val="21"/>
                    </w:rPr>
                    <w:t>工作时间</w:t>
                  </w:r>
                  <w:r>
                    <w:rPr>
                      <w:szCs w:val="21"/>
                    </w:rPr>
                    <w:t xml:space="preserve"> 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925" w:type="dxa"/>
                  <w:vMerge w:val="continue"/>
                  <w:vAlign w:val="center"/>
                </w:tcPr>
                <w:p>
                  <w:pPr>
                    <w:spacing w:line="0" w:lineRule="atLeast"/>
                    <w:jc w:val="center"/>
                    <w:rPr>
                      <w:szCs w:val="21"/>
                    </w:rPr>
                  </w:pPr>
                </w:p>
              </w:tc>
              <w:tc>
                <w:tcPr>
                  <w:tcW w:w="833" w:type="dxa"/>
                  <w:vMerge w:val="continue"/>
                  <w:vAlign w:val="center"/>
                </w:tcPr>
                <w:p>
                  <w:pPr>
                    <w:spacing w:line="0" w:lineRule="atLeast"/>
                    <w:jc w:val="center"/>
                    <w:rPr>
                      <w:szCs w:val="21"/>
                    </w:rPr>
                  </w:pPr>
                </w:p>
              </w:tc>
              <w:tc>
                <w:tcPr>
                  <w:tcW w:w="671" w:type="dxa"/>
                  <w:vMerge w:val="continue"/>
                  <w:vAlign w:val="center"/>
                </w:tcPr>
                <w:p>
                  <w:pPr>
                    <w:spacing w:line="0" w:lineRule="atLeast"/>
                    <w:jc w:val="center"/>
                    <w:rPr>
                      <w:szCs w:val="21"/>
                    </w:rPr>
                  </w:pPr>
                </w:p>
              </w:tc>
              <w:tc>
                <w:tcPr>
                  <w:tcW w:w="683" w:type="dxa"/>
                  <w:vAlign w:val="center"/>
                </w:tcPr>
                <w:p>
                  <w:pPr>
                    <w:spacing w:line="0" w:lineRule="atLeast"/>
                    <w:jc w:val="center"/>
                    <w:rPr>
                      <w:szCs w:val="21"/>
                    </w:rPr>
                  </w:pPr>
                  <w:r>
                    <w:rPr>
                      <w:rFonts w:hAnsi="宋体"/>
                      <w:szCs w:val="21"/>
                    </w:rPr>
                    <w:t>核算方法</w:t>
                  </w:r>
                </w:p>
              </w:tc>
              <w:tc>
                <w:tcPr>
                  <w:tcW w:w="821" w:type="dxa"/>
                  <w:tcBorders>
                    <w:bottom w:val="single" w:color="auto" w:sz="4" w:space="0"/>
                  </w:tcBorders>
                  <w:vAlign w:val="center"/>
                </w:tcPr>
                <w:p>
                  <w:pPr>
                    <w:spacing w:line="0" w:lineRule="atLeast"/>
                    <w:jc w:val="center"/>
                    <w:rPr>
                      <w:szCs w:val="21"/>
                    </w:rPr>
                  </w:pPr>
                  <w:r>
                    <w:rPr>
                      <w:rFonts w:hAnsi="宋体"/>
                      <w:szCs w:val="21"/>
                    </w:rPr>
                    <w:t>噪声值</w:t>
                  </w:r>
                </w:p>
                <w:p>
                  <w:pPr>
                    <w:spacing w:line="0" w:lineRule="atLeast"/>
                    <w:jc w:val="center"/>
                    <w:rPr>
                      <w:szCs w:val="21"/>
                    </w:rPr>
                  </w:pPr>
                  <w:r>
                    <w:rPr>
                      <w:szCs w:val="21"/>
                    </w:rPr>
                    <w:t>dB(A)</w:t>
                  </w:r>
                </w:p>
              </w:tc>
              <w:tc>
                <w:tcPr>
                  <w:tcW w:w="1368" w:type="dxa"/>
                  <w:tcBorders>
                    <w:bottom w:val="single" w:color="auto" w:sz="4" w:space="0"/>
                  </w:tcBorders>
                  <w:vAlign w:val="center"/>
                </w:tcPr>
                <w:p>
                  <w:pPr>
                    <w:spacing w:line="0" w:lineRule="atLeast"/>
                    <w:jc w:val="center"/>
                    <w:rPr>
                      <w:szCs w:val="21"/>
                    </w:rPr>
                  </w:pPr>
                  <w:r>
                    <w:rPr>
                      <w:rFonts w:hAnsi="宋体"/>
                      <w:szCs w:val="21"/>
                    </w:rPr>
                    <w:t>工艺</w:t>
                  </w:r>
                </w:p>
              </w:tc>
              <w:tc>
                <w:tcPr>
                  <w:tcW w:w="870" w:type="dxa"/>
                  <w:tcBorders>
                    <w:bottom w:val="single" w:color="auto" w:sz="4" w:space="0"/>
                  </w:tcBorders>
                  <w:vAlign w:val="center"/>
                </w:tcPr>
                <w:p>
                  <w:pPr>
                    <w:spacing w:line="0" w:lineRule="atLeast"/>
                    <w:jc w:val="center"/>
                    <w:rPr>
                      <w:szCs w:val="21"/>
                    </w:rPr>
                  </w:pPr>
                  <w:r>
                    <w:rPr>
                      <w:rFonts w:hAnsi="宋体"/>
                      <w:szCs w:val="21"/>
                    </w:rPr>
                    <w:t>降噪效果</w:t>
                  </w:r>
                </w:p>
              </w:tc>
              <w:tc>
                <w:tcPr>
                  <w:tcW w:w="707" w:type="dxa"/>
                  <w:tcBorders>
                    <w:bottom w:val="single" w:color="auto" w:sz="4" w:space="0"/>
                  </w:tcBorders>
                  <w:vAlign w:val="center"/>
                </w:tcPr>
                <w:p>
                  <w:pPr>
                    <w:spacing w:line="0" w:lineRule="atLeast"/>
                    <w:jc w:val="center"/>
                    <w:rPr>
                      <w:szCs w:val="21"/>
                    </w:rPr>
                  </w:pPr>
                  <w:r>
                    <w:rPr>
                      <w:rFonts w:hAnsi="宋体"/>
                      <w:szCs w:val="21"/>
                    </w:rPr>
                    <w:t>核算方法</w:t>
                  </w:r>
                </w:p>
              </w:tc>
              <w:tc>
                <w:tcPr>
                  <w:tcW w:w="850" w:type="dxa"/>
                  <w:vAlign w:val="center"/>
                </w:tcPr>
                <w:p>
                  <w:pPr>
                    <w:spacing w:line="0" w:lineRule="atLeast"/>
                    <w:jc w:val="center"/>
                    <w:rPr>
                      <w:szCs w:val="21"/>
                    </w:rPr>
                  </w:pPr>
                  <w:r>
                    <w:rPr>
                      <w:rFonts w:hAnsi="宋体"/>
                      <w:szCs w:val="21"/>
                    </w:rPr>
                    <w:t>噪声值</w:t>
                  </w:r>
                  <w:r>
                    <w:rPr>
                      <w:szCs w:val="21"/>
                    </w:rPr>
                    <w:t>dB(A)</w:t>
                  </w:r>
                </w:p>
              </w:tc>
              <w:tc>
                <w:tcPr>
                  <w:tcW w:w="703" w:type="dxa"/>
                  <w:vMerge w:val="continue"/>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925" w:type="dxa"/>
                  <w:vMerge w:val="restart"/>
                  <w:shd w:val="clear" w:color="auto" w:fill="auto"/>
                  <w:vAlign w:val="center"/>
                </w:tcPr>
                <w:p>
                  <w:pPr>
                    <w:spacing w:line="0" w:lineRule="atLeast"/>
                    <w:contextualSpacing/>
                    <w:jc w:val="center"/>
                    <w:rPr>
                      <w:szCs w:val="21"/>
                    </w:rPr>
                  </w:pPr>
                  <w:r>
                    <w:rPr>
                      <w:szCs w:val="21"/>
                    </w:rPr>
                    <w:t>农机拆解</w:t>
                  </w:r>
                </w:p>
              </w:tc>
              <w:tc>
                <w:tcPr>
                  <w:tcW w:w="833" w:type="dxa"/>
                  <w:shd w:val="clear" w:color="auto" w:fill="auto"/>
                  <w:vAlign w:val="center"/>
                </w:tcPr>
                <w:p>
                  <w:pPr>
                    <w:pStyle w:val="76"/>
                    <w:rPr>
                      <w:rFonts w:eastAsiaTheme="minorEastAsia"/>
                      <w:shd w:val="clear" w:color="auto" w:fill="FFFFFF"/>
                    </w:rPr>
                  </w:pPr>
                  <w:r>
                    <w:rPr>
                      <w:rFonts w:hint="eastAsia" w:eastAsiaTheme="minorEastAsia"/>
                    </w:rPr>
                    <w:t>等离子切割机</w:t>
                  </w:r>
                </w:p>
              </w:tc>
              <w:tc>
                <w:tcPr>
                  <w:tcW w:w="671" w:type="dxa"/>
                  <w:vMerge w:val="restart"/>
                  <w:shd w:val="clear" w:color="auto" w:fill="auto"/>
                  <w:vAlign w:val="center"/>
                </w:tcPr>
                <w:p>
                  <w:pPr>
                    <w:spacing w:line="0" w:lineRule="atLeast"/>
                    <w:jc w:val="center"/>
                    <w:rPr>
                      <w:szCs w:val="21"/>
                    </w:rPr>
                  </w:pPr>
                  <w:r>
                    <w:rPr>
                      <w:rFonts w:hAnsi="宋体"/>
                      <w:szCs w:val="21"/>
                    </w:rPr>
                    <w:t>频发</w:t>
                  </w:r>
                </w:p>
              </w:tc>
              <w:tc>
                <w:tcPr>
                  <w:tcW w:w="683" w:type="dxa"/>
                  <w:vMerge w:val="restart"/>
                  <w:shd w:val="clear" w:color="auto" w:fill="FFFFFF"/>
                  <w:vAlign w:val="center"/>
                </w:tcPr>
                <w:p>
                  <w:pPr>
                    <w:shd w:val="clear" w:color="auto" w:fill="FFFFFF"/>
                    <w:spacing w:line="0" w:lineRule="atLeast"/>
                    <w:jc w:val="center"/>
                    <w:rPr>
                      <w:szCs w:val="21"/>
                    </w:rPr>
                  </w:pPr>
                  <w:r>
                    <w:rPr>
                      <w:rFonts w:hAnsi="宋体"/>
                      <w:szCs w:val="21"/>
                    </w:rPr>
                    <w:t>类比法</w:t>
                  </w:r>
                </w:p>
              </w:tc>
              <w:tc>
                <w:tcPr>
                  <w:tcW w:w="821" w:type="dxa"/>
                  <w:shd w:val="clear" w:color="auto" w:fill="FFFFFF"/>
                  <w:vAlign w:val="center"/>
                </w:tcPr>
                <w:p>
                  <w:pPr>
                    <w:contextualSpacing/>
                    <w:jc w:val="center"/>
                    <w:rPr>
                      <w:rFonts w:eastAsiaTheme="minorEastAsia"/>
                      <w:szCs w:val="21"/>
                    </w:rPr>
                  </w:pPr>
                  <w:r>
                    <w:rPr>
                      <w:rFonts w:eastAsiaTheme="minorEastAsia"/>
                      <w:szCs w:val="21"/>
                    </w:rPr>
                    <w:t>85</w:t>
                  </w:r>
                </w:p>
              </w:tc>
              <w:tc>
                <w:tcPr>
                  <w:tcW w:w="1368" w:type="dxa"/>
                  <w:vMerge w:val="restart"/>
                  <w:vAlign w:val="center"/>
                </w:tcPr>
                <w:p>
                  <w:pPr>
                    <w:spacing w:line="0" w:lineRule="atLeast"/>
                    <w:jc w:val="center"/>
                    <w:rPr>
                      <w:spacing w:val="-6"/>
                      <w:szCs w:val="21"/>
                    </w:rPr>
                  </w:pPr>
                  <w:r>
                    <w:rPr>
                      <w:rFonts w:hint="eastAsia" w:eastAsiaTheme="minorEastAsia"/>
                      <w:szCs w:val="21"/>
                    </w:rPr>
                    <w:t>厂房隔声、</w:t>
                  </w:r>
                  <w:r>
                    <w:rPr>
                      <w:snapToGrid w:val="0"/>
                      <w:kern w:val="0"/>
                      <w:szCs w:val="21"/>
                    </w:rPr>
                    <w:t>合理布局</w:t>
                  </w:r>
                  <w:r>
                    <w:rPr>
                      <w:rFonts w:hint="eastAsia"/>
                      <w:snapToGrid w:val="0"/>
                      <w:kern w:val="0"/>
                      <w:szCs w:val="21"/>
                    </w:rPr>
                    <w:t>、</w:t>
                  </w:r>
                  <w:r>
                    <w:rPr>
                      <w:rFonts w:hint="eastAsia" w:eastAsiaTheme="minorEastAsia"/>
                      <w:szCs w:val="21"/>
                    </w:rPr>
                    <w:t>夜间不生产</w:t>
                  </w:r>
                </w:p>
              </w:tc>
              <w:tc>
                <w:tcPr>
                  <w:tcW w:w="870" w:type="dxa"/>
                  <w:vMerge w:val="restart"/>
                  <w:vAlign w:val="center"/>
                </w:tcPr>
                <w:p>
                  <w:pPr>
                    <w:spacing w:line="0" w:lineRule="atLeast"/>
                    <w:jc w:val="center"/>
                    <w:rPr>
                      <w:szCs w:val="21"/>
                    </w:rPr>
                  </w:pPr>
                  <w:r>
                    <w:rPr>
                      <w:rFonts w:hint="eastAsia"/>
                      <w:szCs w:val="21"/>
                    </w:rPr>
                    <w:t>20</w:t>
                  </w:r>
                </w:p>
              </w:tc>
              <w:tc>
                <w:tcPr>
                  <w:tcW w:w="707" w:type="dxa"/>
                  <w:vMerge w:val="restart"/>
                  <w:vAlign w:val="center"/>
                </w:tcPr>
                <w:p>
                  <w:pPr>
                    <w:spacing w:line="0" w:lineRule="atLeast"/>
                    <w:jc w:val="center"/>
                    <w:rPr>
                      <w:szCs w:val="21"/>
                    </w:rPr>
                  </w:pPr>
                  <w:r>
                    <w:rPr>
                      <w:rFonts w:hAnsi="宋体"/>
                      <w:szCs w:val="21"/>
                    </w:rPr>
                    <w:t>类比法</w:t>
                  </w:r>
                </w:p>
              </w:tc>
              <w:tc>
                <w:tcPr>
                  <w:tcW w:w="850" w:type="dxa"/>
                  <w:vAlign w:val="center"/>
                </w:tcPr>
                <w:p>
                  <w:pPr>
                    <w:spacing w:line="0" w:lineRule="atLeast"/>
                    <w:jc w:val="center"/>
                    <w:rPr>
                      <w:szCs w:val="21"/>
                    </w:rPr>
                  </w:pPr>
                  <w:r>
                    <w:rPr>
                      <w:rFonts w:hint="eastAsia"/>
                      <w:szCs w:val="21"/>
                    </w:rPr>
                    <w:t>65</w:t>
                  </w:r>
                </w:p>
              </w:tc>
              <w:tc>
                <w:tcPr>
                  <w:tcW w:w="703" w:type="dxa"/>
                  <w:vMerge w:val="restart"/>
                  <w:shd w:val="clear" w:color="auto" w:fill="auto"/>
                  <w:vAlign w:val="center"/>
                </w:tcPr>
                <w:p>
                  <w:pPr>
                    <w:spacing w:line="0" w:lineRule="atLeast"/>
                    <w:jc w:val="center"/>
                    <w:rPr>
                      <w:szCs w:val="21"/>
                    </w:rPr>
                  </w:pPr>
                  <w:r>
                    <w:rPr>
                      <w:rFonts w:hint="eastAsia"/>
                      <w:szCs w:val="21"/>
                    </w:rPr>
                    <w:t>1920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925" w:type="dxa"/>
                  <w:vMerge w:val="continue"/>
                  <w:shd w:val="clear" w:color="auto" w:fill="auto"/>
                  <w:vAlign w:val="center"/>
                </w:tcPr>
                <w:p>
                  <w:pPr>
                    <w:spacing w:line="0" w:lineRule="atLeast"/>
                    <w:contextualSpacing/>
                    <w:jc w:val="center"/>
                    <w:rPr>
                      <w:szCs w:val="21"/>
                    </w:rPr>
                  </w:pPr>
                </w:p>
              </w:tc>
              <w:tc>
                <w:tcPr>
                  <w:tcW w:w="833" w:type="dxa"/>
                  <w:shd w:val="clear" w:color="auto" w:fill="auto"/>
                  <w:vAlign w:val="center"/>
                </w:tcPr>
                <w:p>
                  <w:pPr>
                    <w:pStyle w:val="76"/>
                    <w:rPr>
                      <w:rFonts w:eastAsiaTheme="minorEastAsia"/>
                    </w:rPr>
                  </w:pPr>
                  <w:r>
                    <w:rPr>
                      <w:rFonts w:hint="eastAsia" w:eastAsiaTheme="minorEastAsia"/>
                    </w:rPr>
                    <w:t>手电钻</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tcBorders>
                    <w:bottom w:val="single" w:color="auto" w:sz="4" w:space="0"/>
                  </w:tcBorders>
                  <w:shd w:val="clear" w:color="auto" w:fill="FFFFFF"/>
                  <w:vAlign w:val="center"/>
                </w:tcPr>
                <w:p>
                  <w:pPr>
                    <w:contextualSpacing/>
                    <w:jc w:val="center"/>
                    <w:rPr>
                      <w:rFonts w:eastAsiaTheme="minorEastAsia"/>
                      <w:szCs w:val="21"/>
                    </w:rPr>
                  </w:pPr>
                  <w:r>
                    <w:rPr>
                      <w:rFonts w:eastAsiaTheme="minorEastAsia"/>
                      <w:szCs w:val="21"/>
                    </w:rPr>
                    <w:t>90</w:t>
                  </w:r>
                </w:p>
              </w:tc>
              <w:tc>
                <w:tcPr>
                  <w:tcW w:w="1368" w:type="dxa"/>
                  <w:vMerge w:val="continue"/>
                  <w:vAlign w:val="center"/>
                </w:tcPr>
                <w:p>
                  <w:pPr>
                    <w:spacing w:line="0" w:lineRule="atLeast"/>
                    <w:jc w:val="center"/>
                    <w:rPr>
                      <w:spacing w:val="-6"/>
                      <w:szCs w:val="21"/>
                    </w:rPr>
                  </w:pPr>
                </w:p>
              </w:tc>
              <w:tc>
                <w:tcPr>
                  <w:tcW w:w="870" w:type="dxa"/>
                  <w:vMerge w:val="continue"/>
                  <w:vAlign w:val="center"/>
                </w:tcPr>
                <w:p>
                  <w:pPr>
                    <w:spacing w:line="0" w:lineRule="atLeast"/>
                    <w:jc w:val="center"/>
                    <w:rPr>
                      <w:szCs w:val="21"/>
                    </w:rPr>
                  </w:pPr>
                </w:p>
              </w:tc>
              <w:tc>
                <w:tcPr>
                  <w:tcW w:w="707" w:type="dxa"/>
                  <w:vMerge w:val="continue"/>
                  <w:vAlign w:val="center"/>
                </w:tcPr>
                <w:p>
                  <w:pPr>
                    <w:spacing w:line="0" w:lineRule="atLeast"/>
                    <w:jc w:val="center"/>
                    <w:rPr>
                      <w:szCs w:val="21"/>
                    </w:rPr>
                  </w:pPr>
                </w:p>
              </w:tc>
              <w:tc>
                <w:tcPr>
                  <w:tcW w:w="850" w:type="dxa"/>
                  <w:vAlign w:val="center"/>
                </w:tcPr>
                <w:p>
                  <w:pPr>
                    <w:spacing w:line="0" w:lineRule="atLeast"/>
                    <w:jc w:val="center"/>
                    <w:rPr>
                      <w:szCs w:val="21"/>
                    </w:rPr>
                  </w:pPr>
                  <w:r>
                    <w:rPr>
                      <w:rFonts w:hint="eastAsia"/>
                      <w:szCs w:val="21"/>
                    </w:rPr>
                    <w:t>70</w:t>
                  </w:r>
                </w:p>
              </w:tc>
              <w:tc>
                <w:tcPr>
                  <w:tcW w:w="703" w:type="dxa"/>
                  <w:vMerge w:val="continue"/>
                  <w:shd w:val="clear" w:color="auto" w:fill="auto"/>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925" w:type="dxa"/>
                  <w:vMerge w:val="continue"/>
                  <w:shd w:val="clear" w:color="auto" w:fill="auto"/>
                  <w:vAlign w:val="center"/>
                </w:tcPr>
                <w:p>
                  <w:pPr>
                    <w:spacing w:line="0" w:lineRule="atLeast"/>
                    <w:contextualSpacing/>
                    <w:jc w:val="center"/>
                    <w:rPr>
                      <w:szCs w:val="21"/>
                    </w:rPr>
                  </w:pPr>
                </w:p>
              </w:tc>
              <w:tc>
                <w:tcPr>
                  <w:tcW w:w="833" w:type="dxa"/>
                  <w:shd w:val="clear" w:color="auto" w:fill="auto"/>
                  <w:vAlign w:val="center"/>
                </w:tcPr>
                <w:p>
                  <w:pPr>
                    <w:pStyle w:val="76"/>
                    <w:rPr>
                      <w:rFonts w:eastAsiaTheme="minorEastAsia"/>
                    </w:rPr>
                  </w:pPr>
                  <w:r>
                    <w:rPr>
                      <w:rFonts w:hint="eastAsia" w:eastAsiaTheme="minorEastAsia"/>
                    </w:rPr>
                    <w:t>千斤顶</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tcBorders>
                    <w:bottom w:val="single" w:color="auto" w:sz="4" w:space="0"/>
                  </w:tcBorders>
                  <w:shd w:val="clear" w:color="auto" w:fill="FFFFFF"/>
                  <w:vAlign w:val="center"/>
                </w:tcPr>
                <w:p>
                  <w:pPr>
                    <w:contextualSpacing/>
                    <w:jc w:val="center"/>
                    <w:rPr>
                      <w:rFonts w:eastAsiaTheme="minorEastAsia"/>
                      <w:szCs w:val="21"/>
                    </w:rPr>
                  </w:pPr>
                  <w:r>
                    <w:rPr>
                      <w:rFonts w:hint="eastAsia" w:eastAsiaTheme="minorEastAsia"/>
                      <w:szCs w:val="21"/>
                    </w:rPr>
                    <w:t>75</w:t>
                  </w:r>
                </w:p>
              </w:tc>
              <w:tc>
                <w:tcPr>
                  <w:tcW w:w="1368" w:type="dxa"/>
                  <w:vMerge w:val="continue"/>
                  <w:vAlign w:val="center"/>
                </w:tcPr>
                <w:p>
                  <w:pPr>
                    <w:spacing w:line="0" w:lineRule="atLeast"/>
                    <w:jc w:val="center"/>
                    <w:rPr>
                      <w:spacing w:val="-6"/>
                      <w:szCs w:val="21"/>
                    </w:rPr>
                  </w:pPr>
                </w:p>
              </w:tc>
              <w:tc>
                <w:tcPr>
                  <w:tcW w:w="870" w:type="dxa"/>
                  <w:vMerge w:val="continue"/>
                  <w:vAlign w:val="center"/>
                </w:tcPr>
                <w:p>
                  <w:pPr>
                    <w:spacing w:line="0" w:lineRule="atLeast"/>
                    <w:jc w:val="center"/>
                    <w:rPr>
                      <w:szCs w:val="21"/>
                    </w:rPr>
                  </w:pPr>
                </w:p>
              </w:tc>
              <w:tc>
                <w:tcPr>
                  <w:tcW w:w="707" w:type="dxa"/>
                  <w:vMerge w:val="continue"/>
                  <w:vAlign w:val="center"/>
                </w:tcPr>
                <w:p>
                  <w:pPr>
                    <w:spacing w:line="0" w:lineRule="atLeast"/>
                    <w:jc w:val="center"/>
                    <w:rPr>
                      <w:szCs w:val="21"/>
                    </w:rPr>
                  </w:pPr>
                </w:p>
              </w:tc>
              <w:tc>
                <w:tcPr>
                  <w:tcW w:w="850" w:type="dxa"/>
                  <w:vAlign w:val="center"/>
                </w:tcPr>
                <w:p>
                  <w:pPr>
                    <w:spacing w:line="0" w:lineRule="atLeast"/>
                    <w:jc w:val="center"/>
                    <w:rPr>
                      <w:szCs w:val="21"/>
                    </w:rPr>
                  </w:pPr>
                  <w:r>
                    <w:rPr>
                      <w:rFonts w:hint="eastAsia"/>
                      <w:szCs w:val="21"/>
                    </w:rPr>
                    <w:t>55</w:t>
                  </w:r>
                </w:p>
              </w:tc>
              <w:tc>
                <w:tcPr>
                  <w:tcW w:w="703" w:type="dxa"/>
                  <w:vMerge w:val="continue"/>
                  <w:shd w:val="clear" w:color="auto" w:fill="auto"/>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925" w:type="dxa"/>
                  <w:vMerge w:val="continue"/>
                  <w:shd w:val="clear" w:color="auto" w:fill="auto"/>
                  <w:vAlign w:val="center"/>
                </w:tcPr>
                <w:p>
                  <w:pPr>
                    <w:spacing w:line="0" w:lineRule="atLeast"/>
                    <w:contextualSpacing/>
                    <w:jc w:val="center"/>
                    <w:rPr>
                      <w:szCs w:val="21"/>
                    </w:rPr>
                  </w:pPr>
                </w:p>
              </w:tc>
              <w:tc>
                <w:tcPr>
                  <w:tcW w:w="833" w:type="dxa"/>
                  <w:shd w:val="clear" w:color="auto" w:fill="auto"/>
                  <w:vAlign w:val="center"/>
                </w:tcPr>
                <w:p>
                  <w:pPr>
                    <w:pStyle w:val="76"/>
                    <w:rPr>
                      <w:rFonts w:eastAsiaTheme="minorEastAsia"/>
                    </w:rPr>
                  </w:pPr>
                  <w:r>
                    <w:rPr>
                      <w:rFonts w:hint="eastAsia" w:eastAsiaTheme="minorEastAsia"/>
                    </w:rPr>
                    <w:t>通用扳手</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tcBorders>
                    <w:bottom w:val="single" w:color="auto" w:sz="4" w:space="0"/>
                  </w:tcBorders>
                  <w:shd w:val="clear" w:color="auto" w:fill="FFFFFF"/>
                  <w:vAlign w:val="center"/>
                </w:tcPr>
                <w:p>
                  <w:pPr>
                    <w:contextualSpacing/>
                    <w:jc w:val="center"/>
                    <w:rPr>
                      <w:rFonts w:eastAsiaTheme="minorEastAsia"/>
                      <w:szCs w:val="21"/>
                    </w:rPr>
                  </w:pPr>
                  <w:r>
                    <w:rPr>
                      <w:rFonts w:hint="eastAsia" w:eastAsiaTheme="minorEastAsia"/>
                      <w:szCs w:val="21"/>
                    </w:rPr>
                    <w:t>75</w:t>
                  </w:r>
                </w:p>
              </w:tc>
              <w:tc>
                <w:tcPr>
                  <w:tcW w:w="1368" w:type="dxa"/>
                  <w:vMerge w:val="continue"/>
                  <w:vAlign w:val="center"/>
                </w:tcPr>
                <w:p>
                  <w:pPr>
                    <w:spacing w:line="0" w:lineRule="atLeast"/>
                    <w:jc w:val="center"/>
                    <w:rPr>
                      <w:spacing w:val="-6"/>
                      <w:szCs w:val="21"/>
                    </w:rPr>
                  </w:pPr>
                </w:p>
              </w:tc>
              <w:tc>
                <w:tcPr>
                  <w:tcW w:w="870" w:type="dxa"/>
                  <w:vMerge w:val="continue"/>
                  <w:vAlign w:val="center"/>
                </w:tcPr>
                <w:p>
                  <w:pPr>
                    <w:spacing w:line="0" w:lineRule="atLeast"/>
                    <w:jc w:val="center"/>
                    <w:rPr>
                      <w:szCs w:val="21"/>
                    </w:rPr>
                  </w:pPr>
                </w:p>
              </w:tc>
              <w:tc>
                <w:tcPr>
                  <w:tcW w:w="707" w:type="dxa"/>
                  <w:vMerge w:val="continue"/>
                  <w:vAlign w:val="center"/>
                </w:tcPr>
                <w:p>
                  <w:pPr>
                    <w:spacing w:line="0" w:lineRule="atLeast"/>
                    <w:jc w:val="center"/>
                    <w:rPr>
                      <w:szCs w:val="21"/>
                    </w:rPr>
                  </w:pPr>
                </w:p>
              </w:tc>
              <w:tc>
                <w:tcPr>
                  <w:tcW w:w="850" w:type="dxa"/>
                  <w:vAlign w:val="center"/>
                </w:tcPr>
                <w:p>
                  <w:pPr>
                    <w:spacing w:line="0" w:lineRule="atLeast"/>
                    <w:jc w:val="center"/>
                    <w:rPr>
                      <w:szCs w:val="21"/>
                    </w:rPr>
                  </w:pPr>
                  <w:r>
                    <w:rPr>
                      <w:rFonts w:hint="eastAsia"/>
                      <w:szCs w:val="21"/>
                    </w:rPr>
                    <w:t>55</w:t>
                  </w:r>
                </w:p>
              </w:tc>
              <w:tc>
                <w:tcPr>
                  <w:tcW w:w="703" w:type="dxa"/>
                  <w:vMerge w:val="continue"/>
                  <w:shd w:val="clear" w:color="auto" w:fill="auto"/>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925" w:type="dxa"/>
                  <w:vMerge w:val="continue"/>
                  <w:shd w:val="clear" w:color="auto" w:fill="auto"/>
                  <w:vAlign w:val="center"/>
                </w:tcPr>
                <w:p>
                  <w:pPr>
                    <w:spacing w:line="0" w:lineRule="atLeast"/>
                    <w:contextualSpacing/>
                    <w:jc w:val="center"/>
                    <w:rPr>
                      <w:szCs w:val="21"/>
                    </w:rPr>
                  </w:pPr>
                </w:p>
              </w:tc>
              <w:tc>
                <w:tcPr>
                  <w:tcW w:w="833" w:type="dxa"/>
                  <w:shd w:val="clear" w:color="auto" w:fill="auto"/>
                  <w:vAlign w:val="center"/>
                </w:tcPr>
                <w:p>
                  <w:pPr>
                    <w:pStyle w:val="76"/>
                    <w:rPr>
                      <w:rFonts w:eastAsiaTheme="minorEastAsia"/>
                    </w:rPr>
                  </w:pPr>
                  <w:r>
                    <w:rPr>
                      <w:rFonts w:hint="eastAsia" w:eastAsiaTheme="minorEastAsia"/>
                    </w:rPr>
                    <w:t>钳工工具</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tcBorders>
                    <w:bottom w:val="single" w:color="auto" w:sz="4" w:space="0"/>
                  </w:tcBorders>
                  <w:shd w:val="clear" w:color="auto" w:fill="FFFFFF"/>
                  <w:vAlign w:val="center"/>
                </w:tcPr>
                <w:p>
                  <w:pPr>
                    <w:contextualSpacing/>
                    <w:jc w:val="center"/>
                    <w:rPr>
                      <w:rFonts w:eastAsiaTheme="minorEastAsia"/>
                      <w:szCs w:val="21"/>
                    </w:rPr>
                  </w:pPr>
                  <w:r>
                    <w:rPr>
                      <w:rFonts w:hint="eastAsia" w:eastAsiaTheme="minorEastAsia"/>
                      <w:szCs w:val="21"/>
                    </w:rPr>
                    <w:t>75</w:t>
                  </w:r>
                </w:p>
              </w:tc>
              <w:tc>
                <w:tcPr>
                  <w:tcW w:w="1368" w:type="dxa"/>
                  <w:vMerge w:val="continue"/>
                  <w:vAlign w:val="center"/>
                </w:tcPr>
                <w:p>
                  <w:pPr>
                    <w:spacing w:line="0" w:lineRule="atLeast"/>
                    <w:jc w:val="center"/>
                    <w:rPr>
                      <w:spacing w:val="-6"/>
                      <w:szCs w:val="21"/>
                    </w:rPr>
                  </w:pPr>
                </w:p>
              </w:tc>
              <w:tc>
                <w:tcPr>
                  <w:tcW w:w="870" w:type="dxa"/>
                  <w:vMerge w:val="continue"/>
                  <w:vAlign w:val="center"/>
                </w:tcPr>
                <w:p>
                  <w:pPr>
                    <w:spacing w:line="0" w:lineRule="atLeast"/>
                    <w:jc w:val="center"/>
                    <w:rPr>
                      <w:szCs w:val="21"/>
                    </w:rPr>
                  </w:pPr>
                </w:p>
              </w:tc>
              <w:tc>
                <w:tcPr>
                  <w:tcW w:w="707" w:type="dxa"/>
                  <w:vMerge w:val="continue"/>
                  <w:vAlign w:val="center"/>
                </w:tcPr>
                <w:p>
                  <w:pPr>
                    <w:spacing w:line="0" w:lineRule="atLeast"/>
                    <w:jc w:val="center"/>
                    <w:rPr>
                      <w:szCs w:val="21"/>
                    </w:rPr>
                  </w:pPr>
                </w:p>
              </w:tc>
              <w:tc>
                <w:tcPr>
                  <w:tcW w:w="850" w:type="dxa"/>
                  <w:vAlign w:val="center"/>
                </w:tcPr>
                <w:p>
                  <w:pPr>
                    <w:spacing w:line="0" w:lineRule="atLeast"/>
                    <w:jc w:val="center"/>
                    <w:rPr>
                      <w:szCs w:val="21"/>
                    </w:rPr>
                  </w:pPr>
                  <w:r>
                    <w:rPr>
                      <w:rFonts w:hint="eastAsia"/>
                      <w:szCs w:val="21"/>
                    </w:rPr>
                    <w:t>55</w:t>
                  </w:r>
                </w:p>
              </w:tc>
              <w:tc>
                <w:tcPr>
                  <w:tcW w:w="703" w:type="dxa"/>
                  <w:vMerge w:val="continue"/>
                  <w:shd w:val="clear" w:color="auto" w:fill="auto"/>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925" w:type="dxa"/>
                  <w:vMerge w:val="continue"/>
                  <w:shd w:val="clear" w:color="auto" w:fill="auto"/>
                  <w:vAlign w:val="center"/>
                </w:tcPr>
                <w:p>
                  <w:pPr>
                    <w:spacing w:line="0" w:lineRule="atLeast"/>
                    <w:contextualSpacing/>
                    <w:jc w:val="center"/>
                    <w:rPr>
                      <w:szCs w:val="21"/>
                    </w:rPr>
                  </w:pPr>
                </w:p>
              </w:tc>
              <w:tc>
                <w:tcPr>
                  <w:tcW w:w="833" w:type="dxa"/>
                  <w:shd w:val="clear" w:color="auto" w:fill="auto"/>
                  <w:vAlign w:val="center"/>
                </w:tcPr>
                <w:p>
                  <w:pPr>
                    <w:pStyle w:val="76"/>
                    <w:rPr>
                      <w:rFonts w:eastAsiaTheme="minorEastAsia"/>
                      <w:shd w:val="clear" w:color="auto" w:fill="FFFFFF"/>
                    </w:rPr>
                  </w:pPr>
                  <w:r>
                    <w:rPr>
                      <w:rFonts w:hint="eastAsia" w:eastAsiaTheme="minorEastAsia"/>
                      <w:kern w:val="0"/>
                    </w:rPr>
                    <w:t>充电机</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tcBorders>
                    <w:top w:val="single" w:color="auto" w:sz="4" w:space="0"/>
                  </w:tcBorders>
                  <w:shd w:val="clear" w:color="auto" w:fill="FFFFFF"/>
                  <w:vAlign w:val="center"/>
                </w:tcPr>
                <w:p>
                  <w:pPr>
                    <w:contextualSpacing/>
                    <w:jc w:val="center"/>
                    <w:rPr>
                      <w:rFonts w:eastAsiaTheme="minorEastAsia"/>
                      <w:szCs w:val="21"/>
                    </w:rPr>
                  </w:pPr>
                  <w:r>
                    <w:rPr>
                      <w:rFonts w:eastAsiaTheme="minorEastAsia"/>
                      <w:szCs w:val="21"/>
                    </w:rPr>
                    <w:t>80</w:t>
                  </w:r>
                </w:p>
              </w:tc>
              <w:tc>
                <w:tcPr>
                  <w:tcW w:w="1368" w:type="dxa"/>
                  <w:vMerge w:val="restart"/>
                  <w:vAlign w:val="center"/>
                </w:tcPr>
                <w:p>
                  <w:pPr>
                    <w:spacing w:line="0" w:lineRule="atLeast"/>
                    <w:jc w:val="center"/>
                    <w:rPr>
                      <w:spacing w:val="-6"/>
                      <w:szCs w:val="21"/>
                    </w:rPr>
                  </w:pPr>
                  <w:r>
                    <w:rPr>
                      <w:rFonts w:hint="eastAsia" w:eastAsiaTheme="minorEastAsia"/>
                      <w:szCs w:val="21"/>
                    </w:rPr>
                    <w:t>厂房隔声、加装减振装置</w:t>
                  </w:r>
                  <w:r>
                    <w:rPr>
                      <w:rFonts w:hint="eastAsia"/>
                      <w:snapToGrid w:val="0"/>
                      <w:kern w:val="0"/>
                      <w:szCs w:val="21"/>
                    </w:rPr>
                    <w:t>、</w:t>
                  </w:r>
                  <w:r>
                    <w:rPr>
                      <w:rFonts w:hint="eastAsia" w:eastAsiaTheme="minorEastAsia"/>
                      <w:szCs w:val="21"/>
                    </w:rPr>
                    <w:t>夜间不生产</w:t>
                  </w:r>
                </w:p>
              </w:tc>
              <w:tc>
                <w:tcPr>
                  <w:tcW w:w="870" w:type="dxa"/>
                  <w:vMerge w:val="restart"/>
                  <w:vAlign w:val="center"/>
                </w:tcPr>
                <w:p>
                  <w:pPr>
                    <w:spacing w:line="0" w:lineRule="atLeast"/>
                    <w:jc w:val="center"/>
                    <w:rPr>
                      <w:szCs w:val="21"/>
                    </w:rPr>
                  </w:pPr>
                  <w:r>
                    <w:rPr>
                      <w:rFonts w:hint="eastAsia"/>
                      <w:szCs w:val="21"/>
                    </w:rPr>
                    <w:t>20</w:t>
                  </w:r>
                </w:p>
              </w:tc>
              <w:tc>
                <w:tcPr>
                  <w:tcW w:w="707" w:type="dxa"/>
                  <w:vMerge w:val="continue"/>
                  <w:vAlign w:val="center"/>
                </w:tcPr>
                <w:p>
                  <w:pPr>
                    <w:spacing w:line="0" w:lineRule="atLeast"/>
                    <w:jc w:val="center"/>
                    <w:rPr>
                      <w:szCs w:val="21"/>
                    </w:rPr>
                  </w:pPr>
                </w:p>
              </w:tc>
              <w:tc>
                <w:tcPr>
                  <w:tcW w:w="850" w:type="dxa"/>
                  <w:vAlign w:val="center"/>
                </w:tcPr>
                <w:p>
                  <w:pPr>
                    <w:spacing w:line="0" w:lineRule="atLeast"/>
                    <w:contextualSpacing/>
                    <w:jc w:val="center"/>
                    <w:rPr>
                      <w:szCs w:val="21"/>
                    </w:rPr>
                  </w:pPr>
                  <w:r>
                    <w:rPr>
                      <w:rFonts w:hint="eastAsia"/>
                      <w:szCs w:val="21"/>
                    </w:rPr>
                    <w:t>60</w:t>
                  </w:r>
                </w:p>
              </w:tc>
              <w:tc>
                <w:tcPr>
                  <w:tcW w:w="703" w:type="dxa"/>
                  <w:vMerge w:val="continue"/>
                  <w:shd w:val="clear" w:color="auto" w:fill="auto"/>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925" w:type="dxa"/>
                  <w:vMerge w:val="continue"/>
                  <w:shd w:val="clear" w:color="auto" w:fill="auto"/>
                  <w:vAlign w:val="center"/>
                </w:tcPr>
                <w:p>
                  <w:pPr>
                    <w:spacing w:line="0" w:lineRule="atLeast"/>
                    <w:jc w:val="center"/>
                    <w:rPr>
                      <w:szCs w:val="21"/>
                    </w:rPr>
                  </w:pPr>
                </w:p>
              </w:tc>
              <w:tc>
                <w:tcPr>
                  <w:tcW w:w="833" w:type="dxa"/>
                  <w:shd w:val="clear" w:color="auto" w:fill="auto"/>
                  <w:vAlign w:val="center"/>
                </w:tcPr>
                <w:p>
                  <w:pPr>
                    <w:pStyle w:val="76"/>
                    <w:rPr>
                      <w:rFonts w:eastAsiaTheme="minorEastAsia"/>
                    </w:rPr>
                  </w:pPr>
                  <w:r>
                    <w:rPr>
                      <w:rFonts w:hint="eastAsia" w:eastAsiaTheme="minorEastAsia"/>
                      <w:kern w:val="0"/>
                    </w:rPr>
                    <w:t>压力机</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shd w:val="clear" w:color="auto" w:fill="FFFFFF"/>
                  <w:vAlign w:val="center"/>
                </w:tcPr>
                <w:p>
                  <w:pPr>
                    <w:contextualSpacing/>
                    <w:jc w:val="center"/>
                    <w:rPr>
                      <w:rFonts w:eastAsiaTheme="minorEastAsia"/>
                      <w:szCs w:val="21"/>
                    </w:rPr>
                  </w:pPr>
                  <w:r>
                    <w:rPr>
                      <w:rFonts w:eastAsiaTheme="minorEastAsia"/>
                      <w:szCs w:val="21"/>
                    </w:rPr>
                    <w:t>75</w:t>
                  </w:r>
                </w:p>
              </w:tc>
              <w:tc>
                <w:tcPr>
                  <w:tcW w:w="1368" w:type="dxa"/>
                  <w:vMerge w:val="continue"/>
                  <w:vAlign w:val="center"/>
                </w:tcPr>
                <w:p>
                  <w:pPr>
                    <w:spacing w:line="0" w:lineRule="atLeast"/>
                    <w:jc w:val="center"/>
                    <w:rPr>
                      <w:spacing w:val="-6"/>
                      <w:szCs w:val="21"/>
                    </w:rPr>
                  </w:pPr>
                </w:p>
              </w:tc>
              <w:tc>
                <w:tcPr>
                  <w:tcW w:w="870" w:type="dxa"/>
                  <w:vMerge w:val="continue"/>
                  <w:vAlign w:val="center"/>
                </w:tcPr>
                <w:p>
                  <w:pPr>
                    <w:spacing w:line="0" w:lineRule="atLeast"/>
                    <w:jc w:val="center"/>
                    <w:rPr>
                      <w:szCs w:val="21"/>
                    </w:rPr>
                  </w:pPr>
                </w:p>
              </w:tc>
              <w:tc>
                <w:tcPr>
                  <w:tcW w:w="707" w:type="dxa"/>
                  <w:vMerge w:val="continue"/>
                  <w:vAlign w:val="center"/>
                </w:tcPr>
                <w:p>
                  <w:pPr>
                    <w:spacing w:line="0" w:lineRule="atLeast"/>
                    <w:jc w:val="center"/>
                    <w:rPr>
                      <w:szCs w:val="21"/>
                    </w:rPr>
                  </w:pPr>
                </w:p>
              </w:tc>
              <w:tc>
                <w:tcPr>
                  <w:tcW w:w="850" w:type="dxa"/>
                  <w:vAlign w:val="center"/>
                </w:tcPr>
                <w:p>
                  <w:pPr>
                    <w:spacing w:line="0" w:lineRule="atLeast"/>
                    <w:contextualSpacing/>
                    <w:jc w:val="center"/>
                    <w:rPr>
                      <w:szCs w:val="21"/>
                    </w:rPr>
                  </w:pPr>
                  <w:r>
                    <w:rPr>
                      <w:rFonts w:hint="eastAsia"/>
                      <w:szCs w:val="21"/>
                    </w:rPr>
                    <w:t>55</w:t>
                  </w:r>
                </w:p>
              </w:tc>
              <w:tc>
                <w:tcPr>
                  <w:tcW w:w="703" w:type="dxa"/>
                  <w:vMerge w:val="continue"/>
                  <w:shd w:val="clear" w:color="auto" w:fill="auto"/>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925" w:type="dxa"/>
                  <w:vMerge w:val="continue"/>
                  <w:shd w:val="clear" w:color="auto" w:fill="auto"/>
                  <w:vAlign w:val="center"/>
                </w:tcPr>
                <w:p>
                  <w:pPr>
                    <w:spacing w:line="0" w:lineRule="atLeast"/>
                    <w:jc w:val="center"/>
                    <w:rPr>
                      <w:szCs w:val="21"/>
                    </w:rPr>
                  </w:pPr>
                </w:p>
              </w:tc>
              <w:tc>
                <w:tcPr>
                  <w:tcW w:w="833" w:type="dxa"/>
                  <w:shd w:val="clear" w:color="auto" w:fill="auto"/>
                  <w:vAlign w:val="center"/>
                </w:tcPr>
                <w:p>
                  <w:pPr>
                    <w:pStyle w:val="76"/>
                    <w:rPr>
                      <w:rFonts w:eastAsiaTheme="minorEastAsia"/>
                    </w:rPr>
                  </w:pPr>
                  <w:r>
                    <w:rPr>
                      <w:rFonts w:hint="eastAsia" w:eastAsiaTheme="minorEastAsia"/>
                    </w:rPr>
                    <w:t>叉车</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shd w:val="clear" w:color="auto" w:fill="FFFFFF"/>
                  <w:vAlign w:val="center"/>
                </w:tcPr>
                <w:p>
                  <w:pPr>
                    <w:contextualSpacing/>
                    <w:jc w:val="center"/>
                    <w:rPr>
                      <w:rFonts w:eastAsiaTheme="minorEastAsia"/>
                      <w:szCs w:val="21"/>
                    </w:rPr>
                  </w:pPr>
                  <w:r>
                    <w:rPr>
                      <w:rFonts w:eastAsiaTheme="minorEastAsia"/>
                      <w:szCs w:val="21"/>
                    </w:rPr>
                    <w:t>80</w:t>
                  </w:r>
                </w:p>
              </w:tc>
              <w:tc>
                <w:tcPr>
                  <w:tcW w:w="1368" w:type="dxa"/>
                  <w:vAlign w:val="center"/>
                </w:tcPr>
                <w:p>
                  <w:pPr>
                    <w:spacing w:line="0" w:lineRule="atLeast"/>
                    <w:jc w:val="center"/>
                    <w:rPr>
                      <w:spacing w:val="-6"/>
                      <w:szCs w:val="21"/>
                    </w:rPr>
                  </w:pPr>
                  <w:r>
                    <w:rPr>
                      <w:rFonts w:hint="eastAsia" w:eastAsiaTheme="minorEastAsia"/>
                      <w:szCs w:val="21"/>
                    </w:rPr>
                    <w:t>夜间不生产</w:t>
                  </w:r>
                </w:p>
              </w:tc>
              <w:tc>
                <w:tcPr>
                  <w:tcW w:w="870" w:type="dxa"/>
                  <w:vAlign w:val="center"/>
                </w:tcPr>
                <w:p>
                  <w:pPr>
                    <w:spacing w:line="0" w:lineRule="atLeast"/>
                    <w:jc w:val="center"/>
                    <w:rPr>
                      <w:szCs w:val="21"/>
                    </w:rPr>
                  </w:pPr>
                  <w:r>
                    <w:rPr>
                      <w:rFonts w:hint="eastAsia"/>
                      <w:szCs w:val="21"/>
                    </w:rPr>
                    <w:t>0</w:t>
                  </w:r>
                </w:p>
              </w:tc>
              <w:tc>
                <w:tcPr>
                  <w:tcW w:w="707" w:type="dxa"/>
                  <w:vMerge w:val="continue"/>
                  <w:vAlign w:val="center"/>
                </w:tcPr>
                <w:p>
                  <w:pPr>
                    <w:spacing w:line="0" w:lineRule="atLeast"/>
                    <w:jc w:val="center"/>
                    <w:rPr>
                      <w:szCs w:val="21"/>
                    </w:rPr>
                  </w:pPr>
                </w:p>
              </w:tc>
              <w:tc>
                <w:tcPr>
                  <w:tcW w:w="850" w:type="dxa"/>
                  <w:vAlign w:val="center"/>
                </w:tcPr>
                <w:p>
                  <w:pPr>
                    <w:spacing w:line="0" w:lineRule="atLeast"/>
                    <w:contextualSpacing/>
                    <w:jc w:val="center"/>
                    <w:rPr>
                      <w:szCs w:val="21"/>
                    </w:rPr>
                  </w:pPr>
                  <w:r>
                    <w:rPr>
                      <w:rFonts w:hint="eastAsia"/>
                      <w:szCs w:val="21"/>
                    </w:rPr>
                    <w:t>80</w:t>
                  </w:r>
                </w:p>
              </w:tc>
              <w:tc>
                <w:tcPr>
                  <w:tcW w:w="703" w:type="dxa"/>
                  <w:vMerge w:val="continue"/>
                  <w:shd w:val="clear" w:color="auto" w:fill="auto"/>
                  <w:vAlign w:val="center"/>
                </w:tcPr>
                <w:p>
                  <w:pPr>
                    <w:spacing w:line="0" w:lineRule="atLeas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925" w:type="dxa"/>
                  <w:shd w:val="clear" w:color="auto" w:fill="auto"/>
                  <w:vAlign w:val="center"/>
                </w:tcPr>
                <w:p>
                  <w:pPr>
                    <w:spacing w:line="0" w:lineRule="atLeast"/>
                    <w:jc w:val="center"/>
                    <w:rPr>
                      <w:szCs w:val="21"/>
                    </w:rPr>
                  </w:pPr>
                  <w:r>
                    <w:rPr>
                      <w:szCs w:val="21"/>
                    </w:rPr>
                    <w:t>废气治理</w:t>
                  </w:r>
                </w:p>
              </w:tc>
              <w:tc>
                <w:tcPr>
                  <w:tcW w:w="833" w:type="dxa"/>
                  <w:shd w:val="clear" w:color="auto" w:fill="auto"/>
                  <w:vAlign w:val="center"/>
                </w:tcPr>
                <w:p>
                  <w:pPr>
                    <w:pStyle w:val="76"/>
                    <w:rPr>
                      <w:rFonts w:eastAsiaTheme="minorEastAsia"/>
                      <w:kern w:val="0"/>
                    </w:rPr>
                  </w:pPr>
                  <w:r>
                    <w:rPr>
                      <w:rFonts w:hint="eastAsia" w:eastAsiaTheme="minorEastAsia"/>
                      <w:kern w:val="0"/>
                    </w:rPr>
                    <w:t>风机</w:t>
                  </w:r>
                </w:p>
              </w:tc>
              <w:tc>
                <w:tcPr>
                  <w:tcW w:w="671" w:type="dxa"/>
                  <w:vMerge w:val="continue"/>
                  <w:shd w:val="clear" w:color="auto" w:fill="auto"/>
                  <w:vAlign w:val="center"/>
                </w:tcPr>
                <w:p>
                  <w:pPr>
                    <w:spacing w:line="0" w:lineRule="atLeast"/>
                    <w:jc w:val="center"/>
                    <w:rPr>
                      <w:szCs w:val="21"/>
                    </w:rPr>
                  </w:pPr>
                </w:p>
              </w:tc>
              <w:tc>
                <w:tcPr>
                  <w:tcW w:w="683" w:type="dxa"/>
                  <w:vMerge w:val="continue"/>
                  <w:shd w:val="clear" w:color="auto" w:fill="FFFFFF"/>
                  <w:vAlign w:val="center"/>
                </w:tcPr>
                <w:p>
                  <w:pPr>
                    <w:shd w:val="clear" w:color="auto" w:fill="FFFFFF"/>
                    <w:spacing w:line="0" w:lineRule="atLeast"/>
                    <w:jc w:val="center"/>
                    <w:rPr>
                      <w:szCs w:val="21"/>
                    </w:rPr>
                  </w:pPr>
                </w:p>
              </w:tc>
              <w:tc>
                <w:tcPr>
                  <w:tcW w:w="821" w:type="dxa"/>
                  <w:shd w:val="clear" w:color="auto" w:fill="FFFFFF"/>
                  <w:vAlign w:val="center"/>
                </w:tcPr>
                <w:p>
                  <w:pPr>
                    <w:spacing w:line="0" w:lineRule="atLeast"/>
                    <w:contextualSpacing/>
                    <w:jc w:val="center"/>
                    <w:rPr>
                      <w:szCs w:val="21"/>
                    </w:rPr>
                  </w:pPr>
                  <w:r>
                    <w:rPr>
                      <w:rFonts w:hint="eastAsia"/>
                      <w:szCs w:val="21"/>
                    </w:rPr>
                    <w:t>80</w:t>
                  </w:r>
                </w:p>
              </w:tc>
              <w:tc>
                <w:tcPr>
                  <w:tcW w:w="1368" w:type="dxa"/>
                  <w:vAlign w:val="center"/>
                </w:tcPr>
                <w:p>
                  <w:pPr>
                    <w:spacing w:line="0" w:lineRule="atLeast"/>
                    <w:jc w:val="center"/>
                    <w:rPr>
                      <w:spacing w:val="-6"/>
                      <w:szCs w:val="21"/>
                    </w:rPr>
                  </w:pPr>
                  <w:r>
                    <w:rPr>
                      <w:rFonts w:hint="eastAsia" w:eastAsiaTheme="minorEastAsia"/>
                      <w:szCs w:val="21"/>
                    </w:rPr>
                    <w:t>加装减振装置、夜间不生产</w:t>
                  </w:r>
                </w:p>
              </w:tc>
              <w:tc>
                <w:tcPr>
                  <w:tcW w:w="870" w:type="dxa"/>
                  <w:vAlign w:val="center"/>
                </w:tcPr>
                <w:p>
                  <w:pPr>
                    <w:spacing w:line="0" w:lineRule="atLeast"/>
                    <w:jc w:val="center"/>
                    <w:rPr>
                      <w:szCs w:val="21"/>
                    </w:rPr>
                  </w:pPr>
                  <w:r>
                    <w:rPr>
                      <w:rFonts w:hint="eastAsia"/>
                      <w:szCs w:val="21"/>
                    </w:rPr>
                    <w:t>20</w:t>
                  </w:r>
                </w:p>
              </w:tc>
              <w:tc>
                <w:tcPr>
                  <w:tcW w:w="707" w:type="dxa"/>
                  <w:vMerge w:val="continue"/>
                  <w:vAlign w:val="center"/>
                </w:tcPr>
                <w:p>
                  <w:pPr>
                    <w:spacing w:line="0" w:lineRule="atLeast"/>
                    <w:jc w:val="center"/>
                    <w:rPr>
                      <w:szCs w:val="21"/>
                    </w:rPr>
                  </w:pPr>
                </w:p>
              </w:tc>
              <w:tc>
                <w:tcPr>
                  <w:tcW w:w="850" w:type="dxa"/>
                  <w:vAlign w:val="center"/>
                </w:tcPr>
                <w:p>
                  <w:pPr>
                    <w:spacing w:line="0" w:lineRule="atLeast"/>
                    <w:contextualSpacing/>
                    <w:jc w:val="center"/>
                    <w:rPr>
                      <w:szCs w:val="21"/>
                    </w:rPr>
                  </w:pPr>
                  <w:r>
                    <w:rPr>
                      <w:rFonts w:hint="eastAsia"/>
                      <w:szCs w:val="21"/>
                    </w:rPr>
                    <w:t>60</w:t>
                  </w:r>
                </w:p>
              </w:tc>
              <w:tc>
                <w:tcPr>
                  <w:tcW w:w="703" w:type="dxa"/>
                  <w:vMerge w:val="continue"/>
                  <w:shd w:val="clear" w:color="auto" w:fill="auto"/>
                  <w:vAlign w:val="center"/>
                </w:tcPr>
                <w:p>
                  <w:pPr>
                    <w:spacing w:line="0" w:lineRule="atLeast"/>
                    <w:jc w:val="center"/>
                    <w:rPr>
                      <w:szCs w:val="21"/>
                    </w:rPr>
                  </w:pPr>
                </w:p>
              </w:tc>
            </w:tr>
          </w:tbl>
          <w:p>
            <w:pPr>
              <w:spacing w:line="360" w:lineRule="auto"/>
              <w:ind w:firstLine="482" w:firstLineChars="200"/>
              <w:contextualSpacing/>
              <w:rPr>
                <w:rFonts w:eastAsiaTheme="minorEastAsia"/>
                <w:b/>
                <w:bCs/>
                <w:sz w:val="24"/>
              </w:rPr>
            </w:pPr>
            <w:r>
              <w:rPr>
                <w:rFonts w:eastAsiaTheme="minorEastAsia"/>
                <w:b/>
                <w:bCs/>
                <w:sz w:val="24"/>
              </w:rPr>
              <w:t>2</w:t>
            </w:r>
            <w:r>
              <w:rPr>
                <w:rFonts w:hint="eastAsia" w:eastAsiaTheme="minorEastAsia"/>
                <w:b/>
                <w:bCs/>
                <w:sz w:val="24"/>
              </w:rPr>
              <w:t>、监测计划</w:t>
            </w:r>
          </w:p>
          <w:p>
            <w:pPr>
              <w:spacing w:line="360" w:lineRule="auto"/>
              <w:ind w:firstLine="480" w:firstLineChars="200"/>
              <w:contextualSpacing/>
              <w:rPr>
                <w:rFonts w:eastAsiaTheme="minorEastAsia"/>
                <w:sz w:val="24"/>
              </w:rPr>
            </w:pPr>
            <w:r>
              <w:rPr>
                <w:rFonts w:hint="eastAsia" w:eastAsiaTheme="minorEastAsia"/>
                <w:sz w:val="24"/>
              </w:rPr>
              <w:t>根据《排污许可证申请与核发技术规范 废弃资源加工工业》 （</w:t>
            </w:r>
            <w:r>
              <w:rPr>
                <w:rFonts w:eastAsiaTheme="minorEastAsia"/>
                <w:sz w:val="24"/>
              </w:rPr>
              <w:t>HJ1034-2019</w:t>
            </w:r>
            <w:r>
              <w:rPr>
                <w:rFonts w:hint="eastAsia" w:eastAsiaTheme="minorEastAsia"/>
                <w:sz w:val="24"/>
              </w:rPr>
              <w:t>）、《排污单位自行监测技术指南总则》（</w:t>
            </w:r>
            <w:r>
              <w:rPr>
                <w:rFonts w:eastAsiaTheme="minorEastAsia"/>
                <w:sz w:val="24"/>
              </w:rPr>
              <w:t>H819-2017</w:t>
            </w:r>
            <w:r>
              <w:rPr>
                <w:rFonts w:hint="eastAsia" w:eastAsiaTheme="minorEastAsia"/>
                <w:sz w:val="24"/>
              </w:rPr>
              <w:t>），制定本项目噪声自行监测计划如下，应保存原始监测记录，并公布监测结果。</w:t>
            </w:r>
          </w:p>
          <w:p>
            <w:pPr>
              <w:spacing w:line="360" w:lineRule="auto"/>
              <w:contextualSpacing/>
              <w:jc w:val="center"/>
              <w:rPr>
                <w:rFonts w:eastAsiaTheme="minorEastAsia"/>
                <w:b/>
                <w:sz w:val="24"/>
              </w:rPr>
            </w:pPr>
            <w:r>
              <w:rPr>
                <w:rFonts w:hint="eastAsia" w:eastAsiaTheme="minorEastAsia"/>
                <w:b/>
                <w:sz w:val="24"/>
              </w:rPr>
              <w:t>表</w:t>
            </w:r>
            <w:r>
              <w:rPr>
                <w:rFonts w:eastAsiaTheme="minorEastAsia"/>
                <w:b/>
                <w:sz w:val="24"/>
              </w:rPr>
              <w:t>4-</w:t>
            </w:r>
            <w:r>
              <w:rPr>
                <w:rFonts w:hint="eastAsia" w:eastAsiaTheme="minorEastAsia"/>
                <w:b/>
                <w:sz w:val="24"/>
              </w:rPr>
              <w:t>10项目噪声监测计划表</w:t>
            </w:r>
          </w:p>
          <w:tbl>
            <w:tblPr>
              <w:tblStyle w:val="22"/>
              <w:tblW w:w="881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8"/>
              <w:gridCol w:w="1701"/>
              <w:gridCol w:w="2410"/>
              <w:gridCol w:w="3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28" w:type="dxa"/>
                  <w:vAlign w:val="center"/>
                </w:tcPr>
                <w:p>
                  <w:pPr>
                    <w:contextualSpacing/>
                    <w:jc w:val="center"/>
                    <w:rPr>
                      <w:rFonts w:eastAsiaTheme="minorEastAsia"/>
                      <w:kern w:val="0"/>
                      <w:szCs w:val="21"/>
                    </w:rPr>
                  </w:pPr>
                  <w:r>
                    <w:rPr>
                      <w:rFonts w:hint="eastAsia" w:eastAsiaTheme="minorEastAsia"/>
                      <w:kern w:val="0"/>
                      <w:szCs w:val="21"/>
                    </w:rPr>
                    <w:t>类别</w:t>
                  </w:r>
                </w:p>
              </w:tc>
              <w:tc>
                <w:tcPr>
                  <w:tcW w:w="1701" w:type="dxa"/>
                  <w:vAlign w:val="center"/>
                </w:tcPr>
                <w:p>
                  <w:pPr>
                    <w:contextualSpacing/>
                    <w:jc w:val="center"/>
                    <w:rPr>
                      <w:rFonts w:eastAsiaTheme="minorEastAsia"/>
                      <w:kern w:val="0"/>
                      <w:szCs w:val="21"/>
                    </w:rPr>
                  </w:pPr>
                  <w:r>
                    <w:rPr>
                      <w:rFonts w:hint="eastAsia" w:eastAsiaTheme="minorEastAsia"/>
                      <w:kern w:val="0"/>
                      <w:szCs w:val="21"/>
                    </w:rPr>
                    <w:t>监测点位</w:t>
                  </w:r>
                </w:p>
              </w:tc>
              <w:tc>
                <w:tcPr>
                  <w:tcW w:w="2410" w:type="dxa"/>
                  <w:vAlign w:val="center"/>
                </w:tcPr>
                <w:p>
                  <w:pPr>
                    <w:contextualSpacing/>
                    <w:jc w:val="center"/>
                    <w:rPr>
                      <w:rFonts w:eastAsiaTheme="minorEastAsia"/>
                      <w:kern w:val="0"/>
                      <w:szCs w:val="21"/>
                    </w:rPr>
                  </w:pPr>
                  <w:r>
                    <w:rPr>
                      <w:rFonts w:hint="eastAsia" w:eastAsiaTheme="minorEastAsia"/>
                      <w:kern w:val="0"/>
                      <w:szCs w:val="21"/>
                    </w:rPr>
                    <w:t>监测项目</w:t>
                  </w:r>
                </w:p>
              </w:tc>
              <w:tc>
                <w:tcPr>
                  <w:tcW w:w="3078" w:type="dxa"/>
                  <w:vAlign w:val="center"/>
                </w:tcPr>
                <w:p>
                  <w:pPr>
                    <w:contextualSpacing/>
                    <w:jc w:val="center"/>
                    <w:rPr>
                      <w:rFonts w:eastAsiaTheme="minorEastAsia"/>
                      <w:kern w:val="0"/>
                      <w:szCs w:val="21"/>
                    </w:rPr>
                  </w:pPr>
                  <w:r>
                    <w:rPr>
                      <w:rFonts w:hint="eastAsia" w:eastAsiaTheme="minorEastAsia"/>
                      <w:kern w:val="0"/>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28" w:type="dxa"/>
                  <w:vAlign w:val="center"/>
                </w:tcPr>
                <w:p>
                  <w:pPr>
                    <w:contextualSpacing/>
                    <w:jc w:val="center"/>
                    <w:rPr>
                      <w:rFonts w:eastAsiaTheme="minorEastAsia"/>
                      <w:kern w:val="0"/>
                      <w:szCs w:val="21"/>
                    </w:rPr>
                  </w:pPr>
                  <w:r>
                    <w:rPr>
                      <w:rFonts w:hint="eastAsia" w:eastAsiaTheme="minorEastAsia"/>
                      <w:kern w:val="0"/>
                      <w:szCs w:val="21"/>
                    </w:rPr>
                    <w:t>厂界噪声</w:t>
                  </w:r>
                </w:p>
              </w:tc>
              <w:tc>
                <w:tcPr>
                  <w:tcW w:w="1701" w:type="dxa"/>
                  <w:vAlign w:val="center"/>
                </w:tcPr>
                <w:p>
                  <w:pPr>
                    <w:contextualSpacing/>
                    <w:jc w:val="center"/>
                    <w:rPr>
                      <w:rFonts w:eastAsiaTheme="minorEastAsia"/>
                      <w:kern w:val="0"/>
                      <w:szCs w:val="21"/>
                    </w:rPr>
                  </w:pPr>
                  <w:r>
                    <w:rPr>
                      <w:rFonts w:hint="eastAsia" w:eastAsiaTheme="minorEastAsia"/>
                      <w:kern w:val="0"/>
                      <w:szCs w:val="21"/>
                    </w:rPr>
                    <w:t>厂界四周</w:t>
                  </w:r>
                </w:p>
              </w:tc>
              <w:tc>
                <w:tcPr>
                  <w:tcW w:w="2410" w:type="dxa"/>
                  <w:vAlign w:val="center"/>
                </w:tcPr>
                <w:p>
                  <w:pPr>
                    <w:contextualSpacing/>
                    <w:jc w:val="center"/>
                    <w:rPr>
                      <w:rFonts w:eastAsiaTheme="minorEastAsia"/>
                      <w:kern w:val="0"/>
                      <w:szCs w:val="21"/>
                    </w:rPr>
                  </w:pPr>
                  <w:r>
                    <w:rPr>
                      <w:rFonts w:hint="eastAsia" w:eastAsiaTheme="minorEastAsia"/>
                      <w:kern w:val="0"/>
                      <w:szCs w:val="21"/>
                    </w:rPr>
                    <w:t>等效连续</w:t>
                  </w:r>
                  <w:r>
                    <w:rPr>
                      <w:rFonts w:eastAsiaTheme="minorEastAsia"/>
                      <w:kern w:val="0"/>
                      <w:szCs w:val="21"/>
                    </w:rPr>
                    <w:t>A</w:t>
                  </w:r>
                  <w:r>
                    <w:rPr>
                      <w:rFonts w:hint="eastAsia" w:eastAsiaTheme="minorEastAsia"/>
                      <w:kern w:val="0"/>
                      <w:szCs w:val="21"/>
                    </w:rPr>
                    <w:t>声级</w:t>
                  </w:r>
                </w:p>
              </w:tc>
              <w:tc>
                <w:tcPr>
                  <w:tcW w:w="3078" w:type="dxa"/>
                  <w:vAlign w:val="center"/>
                </w:tcPr>
                <w:p>
                  <w:pPr>
                    <w:contextualSpacing/>
                    <w:jc w:val="center"/>
                    <w:rPr>
                      <w:rFonts w:eastAsiaTheme="minorEastAsia"/>
                      <w:kern w:val="0"/>
                      <w:szCs w:val="21"/>
                    </w:rPr>
                  </w:pPr>
                  <w:r>
                    <w:rPr>
                      <w:rFonts w:eastAsiaTheme="minorEastAsia"/>
                      <w:kern w:val="0"/>
                      <w:szCs w:val="21"/>
                    </w:rPr>
                    <w:t>1</w:t>
                  </w:r>
                  <w:r>
                    <w:rPr>
                      <w:rFonts w:hint="eastAsia" w:eastAsiaTheme="minorEastAsia"/>
                      <w:kern w:val="0"/>
                      <w:szCs w:val="21"/>
                    </w:rPr>
                    <w:t>次</w:t>
                  </w:r>
                  <w:r>
                    <w:rPr>
                      <w:rFonts w:eastAsiaTheme="minorEastAsia"/>
                      <w:kern w:val="0"/>
                      <w:szCs w:val="21"/>
                    </w:rPr>
                    <w:t>/</w:t>
                  </w:r>
                  <w:r>
                    <w:rPr>
                      <w:rFonts w:hint="eastAsia" w:eastAsiaTheme="minorEastAsia"/>
                      <w:kern w:val="0"/>
                      <w:szCs w:val="21"/>
                    </w:rPr>
                    <w:t>季度</w:t>
                  </w:r>
                </w:p>
              </w:tc>
            </w:tr>
          </w:tbl>
          <w:p>
            <w:pPr>
              <w:spacing w:line="360" w:lineRule="auto"/>
              <w:ind w:firstLine="482" w:firstLineChars="200"/>
              <w:contextualSpacing/>
              <w:rPr>
                <w:rFonts w:eastAsiaTheme="minorEastAsia"/>
                <w:b/>
                <w:bCs/>
                <w:sz w:val="24"/>
              </w:rPr>
            </w:pPr>
            <w:r>
              <w:rPr>
                <w:rFonts w:eastAsiaTheme="minorEastAsia"/>
                <w:b/>
                <w:bCs/>
                <w:sz w:val="24"/>
              </w:rPr>
              <w:t>3</w:t>
            </w:r>
            <w:r>
              <w:rPr>
                <w:rFonts w:hint="eastAsia" w:eastAsiaTheme="minorEastAsia"/>
                <w:b/>
                <w:bCs/>
                <w:sz w:val="24"/>
              </w:rPr>
              <w:t>、噪声影响分析</w:t>
            </w:r>
          </w:p>
          <w:p>
            <w:pPr>
              <w:pStyle w:val="42"/>
              <w:spacing w:beforeLines="0" w:afterLines="0" w:line="360" w:lineRule="auto"/>
              <w:ind w:firstLine="480"/>
              <w:rPr>
                <w:rFonts w:eastAsiaTheme="minorEastAsia"/>
                <w:color w:val="auto"/>
              </w:rPr>
            </w:pPr>
            <w:r>
              <w:rPr>
                <w:rFonts w:hint="eastAsia" w:eastAsiaTheme="minorEastAsia"/>
                <w:color w:val="auto"/>
              </w:rPr>
              <w:t>（</w:t>
            </w:r>
            <w:r>
              <w:rPr>
                <w:rFonts w:eastAsiaTheme="minorEastAsia"/>
                <w:color w:val="auto"/>
              </w:rPr>
              <w:t>1</w:t>
            </w:r>
            <w:r>
              <w:rPr>
                <w:rFonts w:hint="eastAsia" w:eastAsiaTheme="minorEastAsia"/>
                <w:color w:val="auto"/>
              </w:rPr>
              <w:t>）厂区噪声</w:t>
            </w:r>
          </w:p>
          <w:p>
            <w:pPr>
              <w:pStyle w:val="85"/>
              <w:spacing w:line="360" w:lineRule="auto"/>
              <w:ind w:left="1319" w:leftChars="228" w:hanging="840" w:hangingChars="350"/>
              <w:textAlignment w:val="center"/>
              <w:rPr>
                <w:position w:val="-28"/>
                <w:sz w:val="24"/>
                <w:szCs w:val="24"/>
              </w:rPr>
            </w:pPr>
            <w:r>
              <w:rPr>
                <w:rFonts w:hint="eastAsia" w:ascii="宋体" w:hAnsi="宋体" w:cs="宋体"/>
                <w:sz w:val="24"/>
                <w:szCs w:val="24"/>
              </w:rPr>
              <w:t>①</w:t>
            </w:r>
            <w:r>
              <w:rPr>
                <w:sz w:val="24"/>
                <w:szCs w:val="24"/>
              </w:rPr>
              <w:t>某一室内声源靠近围护结构处产生的倍频带声压级</w:t>
            </w:r>
          </w:p>
          <w:p>
            <w:pPr>
              <w:pStyle w:val="85"/>
              <w:adjustRightInd w:val="0"/>
              <w:snapToGrid w:val="0"/>
              <w:spacing w:line="360" w:lineRule="auto"/>
              <w:ind w:left="1320" w:hanging="1320" w:hangingChars="550"/>
              <w:jc w:val="center"/>
              <w:textAlignment w:val="center"/>
              <w:rPr>
                <w:sz w:val="24"/>
                <w:szCs w:val="24"/>
              </w:rPr>
            </w:pPr>
            <w:r>
              <w:rPr>
                <w:position w:val="-28"/>
                <w:sz w:val="24"/>
                <w:szCs w:val="24"/>
              </w:rPr>
              <w:object>
                <v:shape id="_x0000_i1025" o:spt="75" type="#_x0000_t75" style="height:42.1pt;width:168.3pt;" o:ole="t" filled="f" o:preferrelative="t" stroked="f" coordsize="21600,21600">
                  <v:path/>
                  <v:fill on="f" focussize="0,0"/>
                  <v:stroke on="f" joinstyle="miter"/>
                  <v:imagedata r:id="rId18" o:title=""/>
                  <o:lock v:ext="edit" aspectratio="t"/>
                  <w10:wrap type="none"/>
                  <w10:anchorlock/>
                </v:shape>
                <o:OLEObject Type="Embed" ProgID="Equation.3" ShapeID="_x0000_i1025" DrawAspect="Content" ObjectID="_1468075725" r:id="rId17">
                  <o:LockedField>false</o:LockedField>
                </o:OLEObject>
              </w:object>
            </w:r>
          </w:p>
          <w:p>
            <w:pPr>
              <w:pStyle w:val="85"/>
              <w:adjustRightInd w:val="0"/>
              <w:snapToGrid w:val="0"/>
              <w:spacing w:line="360" w:lineRule="auto"/>
              <w:ind w:left="1320" w:hanging="1320" w:hangingChars="550"/>
              <w:textAlignment w:val="center"/>
              <w:rPr>
                <w:sz w:val="24"/>
                <w:szCs w:val="24"/>
              </w:rPr>
            </w:pPr>
            <w:r>
              <w:rPr>
                <w:sz w:val="24"/>
                <w:szCs w:val="24"/>
              </w:rPr>
              <w:t>式中</w:t>
            </w:r>
            <w:r>
              <w:rPr>
                <w:rFonts w:hint="eastAsia"/>
                <w:sz w:val="24"/>
                <w:szCs w:val="24"/>
              </w:rPr>
              <w:t>：L</w:t>
            </w:r>
            <w:r>
              <w:rPr>
                <w:rFonts w:hint="eastAsia"/>
                <w:sz w:val="24"/>
                <w:szCs w:val="24"/>
                <w:vertAlign w:val="subscript"/>
              </w:rPr>
              <w:t>p1</w:t>
            </w:r>
            <w:r>
              <w:rPr>
                <w:rFonts w:hint="eastAsia"/>
                <w:sz w:val="24"/>
                <w:szCs w:val="24"/>
              </w:rPr>
              <w:t>—靠近开口处（窗户）室内某倍频带的声压级或A声级，dB；</w:t>
            </w:r>
          </w:p>
          <w:p>
            <w:pPr>
              <w:pStyle w:val="85"/>
              <w:adjustRightInd w:val="0"/>
              <w:snapToGrid w:val="0"/>
              <w:spacing w:line="360" w:lineRule="auto"/>
              <w:ind w:firstLine="679" w:firstLineChars="283"/>
              <w:textAlignment w:val="center"/>
              <w:rPr>
                <w:sz w:val="24"/>
                <w:szCs w:val="24"/>
              </w:rPr>
            </w:pPr>
            <w:r>
              <w:rPr>
                <w:rFonts w:hint="eastAsia"/>
                <w:sz w:val="24"/>
                <w:szCs w:val="24"/>
              </w:rPr>
              <w:t>L</w:t>
            </w:r>
            <w:r>
              <w:rPr>
                <w:rFonts w:hint="eastAsia"/>
                <w:sz w:val="24"/>
                <w:szCs w:val="24"/>
                <w:vertAlign w:val="subscript"/>
              </w:rPr>
              <w:t>w</w:t>
            </w:r>
            <w:r>
              <w:rPr>
                <w:rFonts w:hint="eastAsia"/>
                <w:sz w:val="24"/>
                <w:szCs w:val="24"/>
              </w:rPr>
              <w:t>—点声源声功率级（A计权或倍频带），dB；</w:t>
            </w:r>
          </w:p>
          <w:p>
            <w:pPr>
              <w:pStyle w:val="85"/>
              <w:adjustRightInd w:val="0"/>
              <w:snapToGrid w:val="0"/>
              <w:spacing w:line="360" w:lineRule="auto"/>
              <w:ind w:firstLine="720" w:firstLineChars="300"/>
              <w:textAlignment w:val="center"/>
              <w:rPr>
                <w:sz w:val="24"/>
                <w:szCs w:val="24"/>
              </w:rPr>
            </w:pPr>
            <w:r>
              <w:rPr>
                <w:sz w:val="24"/>
                <w:szCs w:val="24"/>
              </w:rPr>
              <w:t>Q—指向性因数，通常对无指向性声源，当声源放在房间中心时，</w:t>
            </w:r>
            <w:r>
              <w:rPr>
                <w:i/>
                <w:sz w:val="24"/>
                <w:szCs w:val="24"/>
              </w:rPr>
              <w:t>Q</w:t>
            </w:r>
            <w:r>
              <w:rPr>
                <w:sz w:val="24"/>
                <w:szCs w:val="24"/>
              </w:rPr>
              <w:t>=1，当放在一面墙的中心时，</w:t>
            </w:r>
            <w:r>
              <w:rPr>
                <w:i/>
                <w:sz w:val="24"/>
                <w:szCs w:val="24"/>
              </w:rPr>
              <w:t>Q</w:t>
            </w:r>
            <w:r>
              <w:rPr>
                <w:sz w:val="24"/>
                <w:szCs w:val="24"/>
              </w:rPr>
              <w:t>=2；当放在两面墙夹角处时，</w:t>
            </w:r>
            <w:r>
              <w:rPr>
                <w:i/>
                <w:sz w:val="24"/>
                <w:szCs w:val="24"/>
              </w:rPr>
              <w:t>Q</w:t>
            </w:r>
            <w:r>
              <w:rPr>
                <w:sz w:val="24"/>
                <w:szCs w:val="24"/>
              </w:rPr>
              <w:t>=4，当放在三面墙夹角处时，</w:t>
            </w:r>
            <w:r>
              <w:rPr>
                <w:i/>
                <w:sz w:val="24"/>
                <w:szCs w:val="24"/>
              </w:rPr>
              <w:t>Q</w:t>
            </w:r>
            <w:r>
              <w:rPr>
                <w:sz w:val="24"/>
                <w:szCs w:val="24"/>
              </w:rPr>
              <w:t>=8</w:t>
            </w:r>
            <w:r>
              <w:rPr>
                <w:rFonts w:hint="eastAsia"/>
                <w:sz w:val="24"/>
                <w:szCs w:val="24"/>
              </w:rPr>
              <w:t>；</w:t>
            </w:r>
          </w:p>
          <w:p>
            <w:pPr>
              <w:pStyle w:val="85"/>
              <w:adjustRightInd w:val="0"/>
              <w:snapToGrid w:val="0"/>
              <w:spacing w:line="360" w:lineRule="auto"/>
              <w:ind w:left="598" w:leftChars="285" w:firstLine="120" w:firstLineChars="50"/>
              <w:textAlignment w:val="center"/>
              <w:rPr>
                <w:sz w:val="24"/>
                <w:szCs w:val="24"/>
              </w:rPr>
            </w:pPr>
            <w:r>
              <w:rPr>
                <w:i/>
                <w:sz w:val="24"/>
                <w:szCs w:val="24"/>
              </w:rPr>
              <w:t>R</w:t>
            </w:r>
            <w:r>
              <w:rPr>
                <w:sz w:val="24"/>
                <w:szCs w:val="24"/>
              </w:rPr>
              <w:t>—房间常数，</w:t>
            </w:r>
            <w:r>
              <w:rPr>
                <w:i/>
                <w:sz w:val="24"/>
                <w:szCs w:val="24"/>
              </w:rPr>
              <w:t>R</w:t>
            </w:r>
            <w:r>
              <w:rPr>
                <w:sz w:val="24"/>
                <w:szCs w:val="24"/>
              </w:rPr>
              <w:t>=</w:t>
            </w:r>
            <w:r>
              <w:rPr>
                <w:i/>
                <w:sz w:val="24"/>
                <w:szCs w:val="24"/>
              </w:rPr>
              <w:t>S</w:t>
            </w:r>
            <w:r>
              <w:rPr>
                <w:sz w:val="24"/>
                <w:szCs w:val="24"/>
              </w:rPr>
              <w:t>α/(1−α)，</w:t>
            </w:r>
            <w:r>
              <w:rPr>
                <w:i/>
                <w:sz w:val="24"/>
                <w:szCs w:val="24"/>
              </w:rPr>
              <w:t>S</w:t>
            </w:r>
            <w:r>
              <w:rPr>
                <w:sz w:val="24"/>
                <w:szCs w:val="24"/>
              </w:rPr>
              <w:t>为房间内表面面积，m</w:t>
            </w:r>
            <w:r>
              <w:rPr>
                <w:sz w:val="24"/>
                <w:szCs w:val="24"/>
                <w:vertAlign w:val="superscript"/>
              </w:rPr>
              <w:t>2</w:t>
            </w:r>
            <w:r>
              <w:rPr>
                <w:sz w:val="24"/>
                <w:szCs w:val="24"/>
              </w:rPr>
              <w:t>，α为平均吸声系数；</w:t>
            </w:r>
          </w:p>
          <w:p>
            <w:pPr>
              <w:pStyle w:val="85"/>
              <w:adjustRightInd w:val="0"/>
              <w:snapToGrid w:val="0"/>
              <w:spacing w:line="360" w:lineRule="auto"/>
              <w:ind w:left="598" w:leftChars="285" w:firstLine="240" w:firstLineChars="100"/>
              <w:textAlignment w:val="center"/>
              <w:rPr>
                <w:sz w:val="24"/>
                <w:szCs w:val="24"/>
              </w:rPr>
            </w:pPr>
            <w:r>
              <w:rPr>
                <w:i/>
                <w:sz w:val="24"/>
                <w:szCs w:val="24"/>
              </w:rPr>
              <w:t>r</w:t>
            </w:r>
            <w:r>
              <w:rPr>
                <w:sz w:val="24"/>
                <w:szCs w:val="24"/>
              </w:rPr>
              <w:t>—声源到靠近围护结构某点处的距离，m。</w:t>
            </w:r>
          </w:p>
          <w:p>
            <w:pPr>
              <w:pStyle w:val="85"/>
              <w:spacing w:line="360" w:lineRule="auto"/>
              <w:ind w:firstLine="480" w:firstLineChars="200"/>
              <w:textAlignment w:val="center"/>
              <w:rPr>
                <w:sz w:val="24"/>
                <w:szCs w:val="24"/>
              </w:rPr>
            </w:pPr>
            <w:r>
              <w:rPr>
                <w:rFonts w:hint="eastAsia"/>
                <w:sz w:val="24"/>
                <w:szCs w:val="24"/>
              </w:rPr>
              <w:t>②</w:t>
            </w:r>
            <w:r>
              <w:rPr>
                <w:sz w:val="24"/>
                <w:szCs w:val="24"/>
              </w:rPr>
              <w:t>所有室内声源在围护结构处产生的</w:t>
            </w:r>
            <w:r>
              <w:rPr>
                <w:i/>
                <w:sz w:val="24"/>
                <w:szCs w:val="24"/>
              </w:rPr>
              <w:t>i</w:t>
            </w:r>
            <w:r>
              <w:rPr>
                <w:sz w:val="24"/>
                <w:szCs w:val="24"/>
              </w:rPr>
              <w:t>倍频带叠加声压级：</w:t>
            </w:r>
          </w:p>
          <w:p>
            <w:pPr>
              <w:pStyle w:val="85"/>
              <w:adjustRightInd w:val="0"/>
              <w:snapToGrid w:val="0"/>
              <w:spacing w:line="360" w:lineRule="auto"/>
              <w:ind w:firstLine="198"/>
              <w:jc w:val="center"/>
              <w:textAlignment w:val="center"/>
              <w:rPr>
                <w:sz w:val="24"/>
                <w:szCs w:val="24"/>
              </w:rPr>
            </w:pPr>
            <w:r>
              <w:rPr>
                <w:position w:val="-34"/>
                <w:sz w:val="24"/>
                <w:szCs w:val="24"/>
              </w:rPr>
              <w:object>
                <v:shape id="_x0000_i1026" o:spt="75" type="#_x0000_t75" style="height:43pt;width:142.15pt;" o:ole="t" filled="f" o:preferrelative="t" stroked="f" coordsize="21600,21600">
                  <v:path/>
                  <v:fill on="f" focussize="0,0"/>
                  <v:stroke on="f" joinstyle="miter"/>
                  <v:imagedata r:id="rId20" o:title=""/>
                  <o:lock v:ext="edit" aspectratio="t"/>
                  <w10:wrap type="none"/>
                  <w10:anchorlock/>
                </v:shape>
                <o:OLEObject Type="Embed" ProgID="Equation.3" ShapeID="_x0000_i1026" DrawAspect="Content" ObjectID="_1468075726" r:id="rId19">
                  <o:LockedField>false</o:LockedField>
                </o:OLEObject>
              </w:object>
            </w:r>
          </w:p>
          <w:p>
            <w:pPr>
              <w:pStyle w:val="85"/>
              <w:adjustRightInd w:val="0"/>
              <w:snapToGrid w:val="0"/>
              <w:spacing w:line="360" w:lineRule="auto"/>
              <w:ind w:left="1920" w:hanging="1920" w:hangingChars="800"/>
              <w:textAlignment w:val="center"/>
              <w:rPr>
                <w:sz w:val="24"/>
                <w:szCs w:val="24"/>
              </w:rPr>
            </w:pPr>
            <w:r>
              <w:rPr>
                <w:sz w:val="24"/>
                <w:szCs w:val="24"/>
              </w:rPr>
              <w:t>式中</w:t>
            </w:r>
            <w:r>
              <w:rPr>
                <w:rFonts w:hint="eastAsia"/>
                <w:sz w:val="24"/>
                <w:szCs w:val="24"/>
              </w:rPr>
              <w:t>：</w:t>
            </w:r>
            <w:r>
              <w:rPr>
                <w:i/>
                <w:sz w:val="24"/>
                <w:szCs w:val="24"/>
              </w:rPr>
              <w:t>L</w:t>
            </w:r>
            <w:r>
              <w:rPr>
                <w:sz w:val="24"/>
                <w:szCs w:val="24"/>
                <w:vertAlign w:val="subscript"/>
              </w:rPr>
              <w:t>p1i</w:t>
            </w:r>
            <w:r>
              <w:rPr>
                <w:sz w:val="24"/>
                <w:szCs w:val="24"/>
              </w:rPr>
              <w:t>(</w:t>
            </w:r>
            <w:r>
              <w:rPr>
                <w:i/>
                <w:sz w:val="24"/>
                <w:szCs w:val="24"/>
              </w:rPr>
              <w:t>T</w:t>
            </w:r>
            <w:r>
              <w:rPr>
                <w:sz w:val="24"/>
                <w:szCs w:val="24"/>
              </w:rPr>
              <w:t>)—靠近围护结构处室内</w:t>
            </w:r>
            <w:r>
              <w:rPr>
                <w:i/>
                <w:iCs/>
                <w:sz w:val="24"/>
                <w:szCs w:val="24"/>
              </w:rPr>
              <w:t>N</w:t>
            </w:r>
            <w:r>
              <w:rPr>
                <w:sz w:val="24"/>
                <w:szCs w:val="24"/>
              </w:rPr>
              <w:t>个声源</w:t>
            </w:r>
            <w:r>
              <w:rPr>
                <w:i/>
                <w:iCs/>
                <w:sz w:val="24"/>
                <w:szCs w:val="24"/>
              </w:rPr>
              <w:t>i</w:t>
            </w:r>
            <w:r>
              <w:rPr>
                <w:sz w:val="24"/>
                <w:szCs w:val="24"/>
              </w:rPr>
              <w:t>倍频带的叠加声压级，dB；</w:t>
            </w:r>
          </w:p>
          <w:p>
            <w:pPr>
              <w:pStyle w:val="85"/>
              <w:adjustRightInd w:val="0"/>
              <w:snapToGrid w:val="0"/>
              <w:spacing w:line="360" w:lineRule="auto"/>
              <w:ind w:firstLine="677" w:firstLineChars="282"/>
              <w:textAlignment w:val="center"/>
              <w:rPr>
                <w:sz w:val="24"/>
                <w:szCs w:val="24"/>
              </w:rPr>
            </w:pPr>
            <w:r>
              <w:rPr>
                <w:iCs/>
                <w:sz w:val="24"/>
                <w:szCs w:val="24"/>
              </w:rPr>
              <w:t>L</w:t>
            </w:r>
            <w:r>
              <w:rPr>
                <w:iCs/>
                <w:sz w:val="24"/>
                <w:szCs w:val="24"/>
                <w:vertAlign w:val="subscript"/>
              </w:rPr>
              <w:t>p</w:t>
            </w:r>
            <w:r>
              <w:rPr>
                <w:sz w:val="24"/>
                <w:szCs w:val="24"/>
                <w:vertAlign w:val="subscript"/>
              </w:rPr>
              <w:t>1</w:t>
            </w:r>
            <w:r>
              <w:rPr>
                <w:iCs/>
                <w:sz w:val="24"/>
                <w:szCs w:val="24"/>
                <w:vertAlign w:val="subscript"/>
              </w:rPr>
              <w:t>ij</w:t>
            </w:r>
            <w:r>
              <w:rPr>
                <w:sz w:val="24"/>
                <w:szCs w:val="24"/>
              </w:rPr>
              <w:t>—室内</w:t>
            </w:r>
            <w:r>
              <w:rPr>
                <w:iCs/>
                <w:sz w:val="24"/>
                <w:szCs w:val="24"/>
              </w:rPr>
              <w:t>j</w:t>
            </w:r>
            <w:r>
              <w:rPr>
                <w:sz w:val="24"/>
                <w:szCs w:val="24"/>
              </w:rPr>
              <w:t>声源</w:t>
            </w:r>
            <w:r>
              <w:rPr>
                <w:iCs/>
                <w:sz w:val="24"/>
                <w:szCs w:val="24"/>
              </w:rPr>
              <w:t>i</w:t>
            </w:r>
            <w:r>
              <w:rPr>
                <w:sz w:val="24"/>
                <w:szCs w:val="24"/>
              </w:rPr>
              <w:t>倍频带的声压级，dB；</w:t>
            </w:r>
          </w:p>
          <w:p>
            <w:pPr>
              <w:pStyle w:val="85"/>
              <w:adjustRightInd w:val="0"/>
              <w:snapToGrid w:val="0"/>
              <w:spacing w:line="360" w:lineRule="auto"/>
              <w:ind w:firstLine="679" w:firstLineChars="283"/>
              <w:textAlignment w:val="center"/>
              <w:rPr>
                <w:sz w:val="24"/>
                <w:szCs w:val="24"/>
              </w:rPr>
            </w:pPr>
            <w:r>
              <w:rPr>
                <w:iCs/>
                <w:sz w:val="24"/>
                <w:szCs w:val="24"/>
              </w:rPr>
              <w:t>N</w:t>
            </w:r>
            <w:r>
              <w:rPr>
                <w:sz w:val="24"/>
                <w:szCs w:val="24"/>
              </w:rPr>
              <w:t>—室内声源总数。</w:t>
            </w:r>
          </w:p>
          <w:p>
            <w:pPr>
              <w:pStyle w:val="85"/>
              <w:adjustRightInd w:val="0"/>
              <w:snapToGrid w:val="0"/>
              <w:spacing w:line="360" w:lineRule="auto"/>
              <w:ind w:firstLine="480" w:firstLineChars="200"/>
              <w:textAlignment w:val="center"/>
              <w:rPr>
                <w:sz w:val="24"/>
                <w:szCs w:val="24"/>
              </w:rPr>
            </w:pPr>
            <w:r>
              <w:rPr>
                <w:rFonts w:hint="eastAsia" w:ascii="宋体" w:hAnsi="宋体" w:cs="宋体"/>
                <w:sz w:val="24"/>
              </w:rPr>
              <w:t>③</w:t>
            </w:r>
            <w:r>
              <w:rPr>
                <w:sz w:val="24"/>
                <w:szCs w:val="24"/>
              </w:rPr>
              <w:t>无指向性点声源几何发散衰减的基本公式是：</w:t>
            </w:r>
          </w:p>
          <w:p>
            <w:pPr>
              <w:pStyle w:val="85"/>
              <w:adjustRightInd w:val="0"/>
              <w:snapToGrid w:val="0"/>
              <w:spacing w:line="360" w:lineRule="auto"/>
              <w:ind w:firstLine="198"/>
              <w:jc w:val="center"/>
              <w:textAlignment w:val="center"/>
              <w:rPr>
                <w:sz w:val="24"/>
                <w:szCs w:val="24"/>
              </w:rPr>
            </w:pPr>
            <w:r>
              <w:rPr>
                <w:position w:val="-30"/>
                <w:sz w:val="24"/>
                <w:szCs w:val="24"/>
              </w:rPr>
              <w:object>
                <v:shape id="_x0000_i1027" o:spt="75" type="#_x0000_t75" style="height:39.25pt;width:129.05pt;" o:ole="t" filled="f" o:preferrelative="t" stroked="f" coordsize="21600,21600">
                  <v:path/>
                  <v:fill on="f" focussize="0,0"/>
                  <v:stroke on="f" joinstyle="miter"/>
                  <v:imagedata r:id="rId22" o:title=""/>
                  <o:lock v:ext="edit" aspectratio="t"/>
                  <w10:wrap type="none"/>
                  <w10:anchorlock/>
                </v:shape>
                <o:OLEObject Type="Embed" ProgID="Equation.3" ShapeID="_x0000_i1027" DrawAspect="Content" ObjectID="_1468075727" r:id="rId21">
                  <o:LockedField>false</o:LockedField>
                </o:OLEObject>
              </w:object>
            </w:r>
          </w:p>
          <w:p>
            <w:pPr>
              <w:spacing w:line="360" w:lineRule="auto"/>
              <w:ind w:firstLine="480"/>
              <w:textAlignment w:val="center"/>
              <w:rPr>
                <w:sz w:val="24"/>
              </w:rPr>
            </w:pPr>
            <w:r>
              <w:rPr>
                <w:sz w:val="24"/>
              </w:rPr>
              <w:t>式中</w:t>
            </w:r>
            <w:r>
              <w:rPr>
                <w:rFonts w:hint="eastAsia"/>
                <w:sz w:val="24"/>
              </w:rPr>
              <w:t>：</w:t>
            </w:r>
            <w:r>
              <w:rPr>
                <w:i/>
                <w:sz w:val="24"/>
              </w:rPr>
              <w:t>L</w:t>
            </w:r>
            <w:r>
              <w:rPr>
                <w:sz w:val="24"/>
                <w:vertAlign w:val="subscript"/>
              </w:rPr>
              <w:t>p</w:t>
            </w:r>
            <w:r>
              <w:rPr>
                <w:sz w:val="24"/>
              </w:rPr>
              <w:t>(</w:t>
            </w:r>
            <w:r>
              <w:rPr>
                <w:i/>
                <w:sz w:val="24"/>
              </w:rPr>
              <w:t>r</w:t>
            </w:r>
            <w:r>
              <w:rPr>
                <w:sz w:val="24"/>
              </w:rPr>
              <w:t>)</w:t>
            </w:r>
            <w:r>
              <w:rPr>
                <w:rFonts w:hint="eastAsia"/>
                <w:sz w:val="24"/>
              </w:rPr>
              <w:t>—预测点处声压级，</w:t>
            </w:r>
            <w:r>
              <w:rPr>
                <w:sz w:val="24"/>
              </w:rPr>
              <w:t>dB</w:t>
            </w:r>
            <w:r>
              <w:rPr>
                <w:rFonts w:hint="eastAsia"/>
                <w:sz w:val="24"/>
              </w:rPr>
              <w:t>；</w:t>
            </w:r>
          </w:p>
          <w:p>
            <w:pPr>
              <w:spacing w:line="360" w:lineRule="auto"/>
              <w:ind w:firstLine="1188" w:firstLineChars="495"/>
              <w:textAlignment w:val="center"/>
              <w:rPr>
                <w:sz w:val="24"/>
              </w:rPr>
            </w:pPr>
            <w:r>
              <w:rPr>
                <w:i/>
                <w:sz w:val="24"/>
              </w:rPr>
              <w:t>L</w:t>
            </w:r>
            <w:r>
              <w:rPr>
                <w:sz w:val="24"/>
                <w:vertAlign w:val="subscript"/>
              </w:rPr>
              <w:t>p</w:t>
            </w:r>
            <w:r>
              <w:rPr>
                <w:sz w:val="24"/>
              </w:rPr>
              <w:t>(</w:t>
            </w:r>
            <w:r>
              <w:rPr>
                <w:i/>
                <w:sz w:val="24"/>
              </w:rPr>
              <w:t>r</w:t>
            </w:r>
            <w:r>
              <w:rPr>
                <w:i/>
                <w:sz w:val="24"/>
                <w:vertAlign w:val="subscript"/>
              </w:rPr>
              <w:t>0</w:t>
            </w:r>
            <w:r>
              <w:rPr>
                <w:sz w:val="24"/>
              </w:rPr>
              <w:t>)—</w:t>
            </w:r>
            <w:r>
              <w:rPr>
                <w:rFonts w:hint="eastAsia"/>
                <w:sz w:val="24"/>
              </w:rPr>
              <w:t>参考位置</w:t>
            </w:r>
            <w:r>
              <w:rPr>
                <w:i/>
                <w:sz w:val="24"/>
              </w:rPr>
              <w:t>r</w:t>
            </w:r>
            <w:r>
              <w:rPr>
                <w:sz w:val="24"/>
                <w:vertAlign w:val="subscript"/>
              </w:rPr>
              <w:t>0</w:t>
            </w:r>
            <w:r>
              <w:rPr>
                <w:sz w:val="24"/>
              </w:rPr>
              <w:t>处的</w:t>
            </w:r>
            <w:r>
              <w:rPr>
                <w:rFonts w:hint="eastAsia"/>
                <w:sz w:val="24"/>
              </w:rPr>
              <w:t>声压级</w:t>
            </w:r>
            <w:r>
              <w:rPr>
                <w:sz w:val="24"/>
              </w:rPr>
              <w:t>，dB；</w:t>
            </w:r>
          </w:p>
          <w:p>
            <w:pPr>
              <w:pStyle w:val="85"/>
              <w:spacing w:line="360" w:lineRule="auto"/>
              <w:ind w:firstLine="1157" w:firstLineChars="482"/>
              <w:textAlignment w:val="center"/>
              <w:rPr>
                <w:sz w:val="24"/>
                <w:szCs w:val="24"/>
              </w:rPr>
            </w:pPr>
            <w:r>
              <w:rPr>
                <w:i/>
                <w:sz w:val="24"/>
                <w:szCs w:val="24"/>
              </w:rPr>
              <w:t>r</w:t>
            </w:r>
            <w:r>
              <w:rPr>
                <w:rFonts w:hint="eastAsia"/>
                <w:sz w:val="24"/>
                <w:szCs w:val="24"/>
              </w:rPr>
              <w:t>—预测点距声源的距离；</w:t>
            </w:r>
          </w:p>
          <w:p>
            <w:pPr>
              <w:pStyle w:val="85"/>
              <w:spacing w:line="360" w:lineRule="auto"/>
              <w:ind w:firstLine="1157" w:firstLineChars="482"/>
              <w:textAlignment w:val="center"/>
              <w:rPr>
                <w:sz w:val="24"/>
                <w:szCs w:val="24"/>
              </w:rPr>
            </w:pPr>
            <w:r>
              <w:rPr>
                <w:i/>
                <w:sz w:val="24"/>
                <w:szCs w:val="24"/>
              </w:rPr>
              <w:t>r</w:t>
            </w:r>
            <w:r>
              <w:rPr>
                <w:sz w:val="24"/>
                <w:szCs w:val="24"/>
                <w:vertAlign w:val="subscript"/>
              </w:rPr>
              <w:t>0</w:t>
            </w:r>
            <w:r>
              <w:rPr>
                <w:sz w:val="24"/>
                <w:szCs w:val="24"/>
              </w:rPr>
              <w:t>—</w:t>
            </w:r>
            <w:r>
              <w:rPr>
                <w:rFonts w:hint="eastAsia"/>
                <w:sz w:val="24"/>
                <w:szCs w:val="24"/>
              </w:rPr>
              <w:t>参考位置</w:t>
            </w:r>
            <w:r>
              <w:rPr>
                <w:sz w:val="24"/>
                <w:szCs w:val="24"/>
              </w:rPr>
              <w:t>距声源的距离，m。</w:t>
            </w:r>
          </w:p>
          <w:p>
            <w:pPr>
              <w:pStyle w:val="86"/>
              <w:autoSpaceDE w:val="0"/>
              <w:autoSpaceDN w:val="0"/>
              <w:adjustRightInd/>
              <w:spacing w:line="360" w:lineRule="auto"/>
              <w:ind w:firstLine="480" w:firstLineChars="200"/>
              <w:jc w:val="both"/>
              <w:textAlignment w:val="center"/>
              <w:rPr>
                <w:rFonts w:ascii="Times New Roman"/>
                <w:szCs w:val="24"/>
              </w:rPr>
            </w:pPr>
            <w:r>
              <w:rPr>
                <w:rFonts w:hint="eastAsia" w:ascii="Times New Roman"/>
              </w:rPr>
              <w:t>④</w:t>
            </w:r>
            <w:r>
              <w:rPr>
                <w:rFonts w:ascii="Times New Roman"/>
                <w:szCs w:val="24"/>
              </w:rPr>
              <w:t>建设项目声源在预测点产生的等效声级贡献值(</w:t>
            </w:r>
            <w:r>
              <w:rPr>
                <w:rFonts w:ascii="Times New Roman"/>
                <w:i/>
                <w:szCs w:val="24"/>
              </w:rPr>
              <w:t>L</w:t>
            </w:r>
            <w:r>
              <w:rPr>
                <w:rFonts w:ascii="Times New Roman"/>
                <w:szCs w:val="24"/>
                <w:vertAlign w:val="subscript"/>
              </w:rPr>
              <w:t>eqg</w:t>
            </w:r>
            <w:r>
              <w:rPr>
                <w:rFonts w:ascii="Times New Roman"/>
                <w:szCs w:val="24"/>
              </w:rPr>
              <w:t>)计算公式：</w:t>
            </w:r>
          </w:p>
          <w:p>
            <w:pPr>
              <w:pStyle w:val="86"/>
              <w:autoSpaceDE w:val="0"/>
              <w:autoSpaceDN w:val="0"/>
              <w:snapToGrid w:val="0"/>
              <w:spacing w:line="360" w:lineRule="auto"/>
              <w:ind w:firstLine="198"/>
              <w:jc w:val="center"/>
              <w:textAlignment w:val="center"/>
              <w:rPr>
                <w:rFonts w:ascii="Times New Roman"/>
                <w:szCs w:val="24"/>
              </w:rPr>
            </w:pPr>
            <w:r>
              <w:rPr>
                <w:rFonts w:ascii="Times New Roman"/>
                <w:position w:val="-30"/>
                <w:szCs w:val="24"/>
              </w:rPr>
              <w:object>
                <v:shape id="_x0000_i1028" o:spt="75" type="#_x0000_t75" style="height:40.2pt;width:142.15pt;" o:ole="t" filled="f" o:preferrelative="t" stroked="f" coordsize="21600,21600">
                  <v:path/>
                  <v:fill on="f" focussize="0,0"/>
                  <v:stroke on="f" joinstyle="miter"/>
                  <v:imagedata r:id="rId24" o:title=""/>
                  <o:lock v:ext="edit" aspectratio="t"/>
                  <w10:wrap type="none"/>
                  <w10:anchorlock/>
                </v:shape>
                <o:OLEObject Type="Embed" ProgID="Equation.3" ShapeID="_x0000_i1028" DrawAspect="Content" ObjectID="_1468075728" r:id="rId23">
                  <o:LockedField>false</o:LockedField>
                </o:OLEObject>
              </w:object>
            </w:r>
          </w:p>
          <w:p>
            <w:pPr>
              <w:pStyle w:val="86"/>
              <w:autoSpaceDE w:val="0"/>
              <w:autoSpaceDN w:val="0"/>
              <w:snapToGrid w:val="0"/>
              <w:spacing w:line="360" w:lineRule="auto"/>
              <w:ind w:firstLine="200"/>
              <w:jc w:val="both"/>
              <w:textAlignment w:val="center"/>
              <w:rPr>
                <w:rFonts w:ascii="Times New Roman"/>
                <w:szCs w:val="24"/>
              </w:rPr>
            </w:pPr>
            <w:r>
              <w:rPr>
                <w:rFonts w:ascii="Times New Roman"/>
                <w:szCs w:val="24"/>
              </w:rPr>
              <w:t>式中</w:t>
            </w:r>
            <w:r>
              <w:rPr>
                <w:rFonts w:hint="eastAsia" w:ascii="Times New Roman"/>
                <w:szCs w:val="24"/>
              </w:rPr>
              <w:t>：</w:t>
            </w:r>
            <w:r>
              <w:rPr>
                <w:rFonts w:ascii="Times New Roman"/>
                <w:i/>
                <w:szCs w:val="24"/>
              </w:rPr>
              <w:t>L</w:t>
            </w:r>
            <w:r>
              <w:rPr>
                <w:rFonts w:ascii="Times New Roman"/>
                <w:szCs w:val="24"/>
                <w:vertAlign w:val="subscript"/>
              </w:rPr>
              <w:t>eqg</w:t>
            </w:r>
            <w:r>
              <w:rPr>
                <w:rFonts w:ascii="Times New Roman"/>
                <w:szCs w:val="24"/>
              </w:rPr>
              <w:t>—建设项目声源在预测点的等效声级贡献值，dB(A)；</w:t>
            </w:r>
          </w:p>
          <w:p>
            <w:pPr>
              <w:pStyle w:val="86"/>
              <w:autoSpaceDE w:val="0"/>
              <w:autoSpaceDN w:val="0"/>
              <w:snapToGrid w:val="0"/>
              <w:spacing w:line="360" w:lineRule="auto"/>
              <w:ind w:firstLine="821" w:firstLineChars="342"/>
              <w:jc w:val="both"/>
              <w:textAlignment w:val="center"/>
              <w:rPr>
                <w:rFonts w:ascii="Times New Roman"/>
                <w:szCs w:val="24"/>
              </w:rPr>
            </w:pPr>
            <w:r>
              <w:rPr>
                <w:rFonts w:ascii="Times New Roman"/>
                <w:i/>
                <w:szCs w:val="24"/>
              </w:rPr>
              <w:t>L</w:t>
            </w:r>
            <w:r>
              <w:rPr>
                <w:rFonts w:ascii="Times New Roman"/>
                <w:szCs w:val="24"/>
                <w:vertAlign w:val="subscript"/>
              </w:rPr>
              <w:t>Ai</w:t>
            </w:r>
            <w:r>
              <w:rPr>
                <w:rFonts w:ascii="Times New Roman"/>
                <w:szCs w:val="24"/>
              </w:rPr>
              <w:t>—</w:t>
            </w:r>
            <w:r>
              <w:rPr>
                <w:rFonts w:ascii="Times New Roman"/>
                <w:i/>
                <w:szCs w:val="24"/>
              </w:rPr>
              <w:t>i</w:t>
            </w:r>
            <w:r>
              <w:rPr>
                <w:rFonts w:ascii="Times New Roman"/>
                <w:szCs w:val="24"/>
              </w:rPr>
              <w:t>声源在预测点产生的A声级，dB(A)；</w:t>
            </w:r>
          </w:p>
          <w:p>
            <w:pPr>
              <w:pStyle w:val="86"/>
              <w:autoSpaceDE w:val="0"/>
              <w:autoSpaceDN w:val="0"/>
              <w:snapToGrid w:val="0"/>
              <w:spacing w:line="360" w:lineRule="auto"/>
              <w:ind w:firstLine="840" w:firstLineChars="350"/>
              <w:jc w:val="both"/>
              <w:textAlignment w:val="center"/>
              <w:rPr>
                <w:rFonts w:ascii="Times New Roman"/>
                <w:szCs w:val="24"/>
              </w:rPr>
            </w:pPr>
            <w:r>
              <w:rPr>
                <w:rFonts w:ascii="Times New Roman"/>
                <w:i/>
                <w:szCs w:val="24"/>
              </w:rPr>
              <w:t>T</w:t>
            </w:r>
            <w:r>
              <w:rPr>
                <w:rFonts w:ascii="Times New Roman"/>
                <w:szCs w:val="24"/>
              </w:rPr>
              <w:t>—预测计算的时间段，s；</w:t>
            </w:r>
          </w:p>
          <w:p>
            <w:pPr>
              <w:pStyle w:val="85"/>
              <w:adjustRightInd w:val="0"/>
              <w:snapToGrid w:val="0"/>
              <w:spacing w:line="360" w:lineRule="auto"/>
              <w:ind w:firstLine="840" w:firstLineChars="350"/>
              <w:textAlignment w:val="center"/>
              <w:rPr>
                <w:sz w:val="24"/>
                <w:szCs w:val="24"/>
              </w:rPr>
            </w:pPr>
            <w:r>
              <w:rPr>
                <w:i/>
                <w:sz w:val="24"/>
                <w:szCs w:val="24"/>
              </w:rPr>
              <w:t>t</w:t>
            </w:r>
            <w:r>
              <w:rPr>
                <w:sz w:val="24"/>
                <w:szCs w:val="24"/>
                <w:vertAlign w:val="subscript"/>
              </w:rPr>
              <w:t>i</w:t>
            </w:r>
            <w:r>
              <w:rPr>
                <w:sz w:val="24"/>
                <w:szCs w:val="24"/>
              </w:rPr>
              <w:t>—</w:t>
            </w:r>
            <w:r>
              <w:rPr>
                <w:i/>
                <w:sz w:val="24"/>
                <w:szCs w:val="24"/>
              </w:rPr>
              <w:t>i</w:t>
            </w:r>
            <w:r>
              <w:rPr>
                <w:sz w:val="24"/>
                <w:szCs w:val="24"/>
              </w:rPr>
              <w:t>声源在T时段内的运行时间，s。</w:t>
            </w:r>
          </w:p>
          <w:p>
            <w:pPr>
              <w:pStyle w:val="86"/>
              <w:autoSpaceDE w:val="0"/>
              <w:autoSpaceDN w:val="0"/>
              <w:adjustRightInd/>
              <w:snapToGrid w:val="0"/>
              <w:spacing w:line="360" w:lineRule="auto"/>
              <w:jc w:val="both"/>
              <w:textAlignment w:val="center"/>
              <w:rPr>
                <w:rFonts w:ascii="Times New Roman"/>
                <w:szCs w:val="24"/>
              </w:rPr>
            </w:pPr>
            <w:r>
              <w:rPr>
                <w:rFonts w:ascii="Times New Roman"/>
                <w:szCs w:val="24"/>
              </w:rPr>
              <w:t>预测点的预测等效声级(L</w:t>
            </w:r>
            <w:r>
              <w:rPr>
                <w:rFonts w:ascii="Times New Roman"/>
                <w:szCs w:val="24"/>
                <w:vertAlign w:val="subscript"/>
              </w:rPr>
              <w:t>eq</w:t>
            </w:r>
            <w:r>
              <w:rPr>
                <w:rFonts w:ascii="Times New Roman"/>
                <w:szCs w:val="24"/>
              </w:rPr>
              <w:t>)计算公式：</w:t>
            </w:r>
          </w:p>
          <w:p>
            <w:pPr>
              <w:autoSpaceDE w:val="0"/>
              <w:autoSpaceDN w:val="0"/>
              <w:spacing w:line="360" w:lineRule="auto"/>
              <w:ind w:firstLine="480"/>
              <w:jc w:val="center"/>
              <w:textAlignment w:val="center"/>
              <w:rPr>
                <w:sz w:val="24"/>
              </w:rPr>
            </w:pPr>
            <w:r>
              <w:rPr>
                <w:position w:val="-10"/>
                <w:sz w:val="24"/>
              </w:rPr>
              <w:object>
                <v:shape id="_x0000_i1029" o:spt="75" type="#_x0000_t75" style="height:24.3pt;width:184.2pt;" o:ole="t" filled="f" o:preferrelative="t" stroked="f" coordsize="21600,21600">
                  <v:path/>
                  <v:fill on="f" focussize="0,0"/>
                  <v:stroke on="f" joinstyle="miter"/>
                  <v:imagedata r:id="rId26" o:title=""/>
                  <o:lock v:ext="edit" aspectratio="t"/>
                  <w10:wrap type="none"/>
                  <w10:anchorlock/>
                </v:shape>
                <o:OLEObject Type="Embed" ProgID="Equation.3" ShapeID="_x0000_i1029" DrawAspect="Content" ObjectID="_1468075729" r:id="rId25">
                  <o:LockedField>false</o:LockedField>
                </o:OLEObject>
              </w:object>
            </w:r>
          </w:p>
          <w:p>
            <w:pPr>
              <w:pStyle w:val="86"/>
              <w:autoSpaceDE w:val="0"/>
              <w:autoSpaceDN w:val="0"/>
              <w:adjustRightInd/>
              <w:spacing w:line="360" w:lineRule="auto"/>
              <w:ind w:left="1680" w:hanging="1680" w:hangingChars="700"/>
              <w:jc w:val="both"/>
              <w:textAlignment w:val="center"/>
              <w:rPr>
                <w:rFonts w:ascii="Times New Roman"/>
                <w:szCs w:val="24"/>
              </w:rPr>
            </w:pPr>
            <w:r>
              <w:rPr>
                <w:rFonts w:ascii="Times New Roman"/>
                <w:szCs w:val="24"/>
              </w:rPr>
              <w:t>式中</w:t>
            </w:r>
            <w:r>
              <w:rPr>
                <w:rFonts w:hint="eastAsia" w:ascii="Times New Roman"/>
                <w:szCs w:val="24"/>
              </w:rPr>
              <w:t>：</w:t>
            </w:r>
            <w:r>
              <w:rPr>
                <w:rFonts w:ascii="Times New Roman"/>
                <w:i/>
                <w:szCs w:val="24"/>
              </w:rPr>
              <w:t>L</w:t>
            </w:r>
            <w:r>
              <w:rPr>
                <w:rFonts w:ascii="Times New Roman"/>
                <w:szCs w:val="24"/>
                <w:vertAlign w:val="subscript"/>
              </w:rPr>
              <w:t>eqg</w:t>
            </w:r>
            <w:r>
              <w:rPr>
                <w:rFonts w:ascii="Times New Roman"/>
                <w:szCs w:val="24"/>
              </w:rPr>
              <w:t>—建设项目声源在预测点的等效声级贡献值，dB(A)；</w:t>
            </w:r>
          </w:p>
          <w:p>
            <w:pPr>
              <w:pStyle w:val="48"/>
              <w:ind w:firstLine="600" w:firstLineChars="250"/>
            </w:pPr>
            <w:r>
              <w:t>L</w:t>
            </w:r>
            <w:r>
              <w:rPr>
                <w:vertAlign w:val="subscript"/>
              </w:rPr>
              <w:t>eqb</w:t>
            </w:r>
            <w:r>
              <w:t>—预测点的背景值，dB(A)。</w:t>
            </w:r>
          </w:p>
          <w:p>
            <w:pPr>
              <w:spacing w:line="360" w:lineRule="auto"/>
              <w:ind w:firstLine="480" w:firstLineChars="200"/>
              <w:rPr>
                <w:sz w:val="24"/>
              </w:rPr>
            </w:pPr>
            <w:r>
              <w:rPr>
                <w:rFonts w:hint="eastAsia"/>
                <w:sz w:val="24"/>
              </w:rPr>
              <w:t>⑤</w:t>
            </w:r>
            <w:r>
              <w:rPr>
                <w:sz w:val="24"/>
              </w:rPr>
              <w:t>户外声传播衰减计算</w:t>
            </w:r>
          </w:p>
          <w:p>
            <w:pPr>
              <w:spacing w:line="360" w:lineRule="auto"/>
              <w:ind w:firstLine="480" w:firstLineChars="200"/>
              <w:rPr>
                <w:sz w:val="24"/>
              </w:rPr>
            </w:pPr>
            <w:r>
              <w:rPr>
                <w:sz w:val="24"/>
              </w:rPr>
              <w:t>户外声传播衰减包括几何发散（A</w:t>
            </w:r>
            <w:r>
              <w:rPr>
                <w:sz w:val="24"/>
                <w:vertAlign w:val="subscript"/>
              </w:rPr>
              <w:t>div</w:t>
            </w:r>
            <w:r>
              <w:rPr>
                <w:sz w:val="24"/>
              </w:rPr>
              <w:t>）、大气吸收（A</w:t>
            </w:r>
            <w:r>
              <w:rPr>
                <w:sz w:val="24"/>
                <w:vertAlign w:val="subscript"/>
              </w:rPr>
              <w:t>atm</w:t>
            </w:r>
            <w:r>
              <w:rPr>
                <w:sz w:val="24"/>
              </w:rPr>
              <w:t>）、地面效应（A</w:t>
            </w:r>
            <w:r>
              <w:rPr>
                <w:sz w:val="24"/>
                <w:vertAlign w:val="subscript"/>
              </w:rPr>
              <w:t>gr</w:t>
            </w:r>
            <w:r>
              <w:rPr>
                <w:sz w:val="24"/>
              </w:rPr>
              <w:t>）、屏障屏蔽（A</w:t>
            </w:r>
            <w:r>
              <w:rPr>
                <w:sz w:val="24"/>
                <w:vertAlign w:val="subscript"/>
              </w:rPr>
              <w:t>bar</w:t>
            </w:r>
            <w:r>
              <w:rPr>
                <w:sz w:val="24"/>
              </w:rPr>
              <w:t>）、其他多方面效应（A</w:t>
            </w:r>
            <w:r>
              <w:rPr>
                <w:sz w:val="24"/>
                <w:vertAlign w:val="subscript"/>
              </w:rPr>
              <w:t>misc</w:t>
            </w:r>
            <w:r>
              <w:rPr>
                <w:sz w:val="24"/>
              </w:rPr>
              <w:t>）引起的衰减。</w:t>
            </w:r>
          </w:p>
          <w:p>
            <w:pPr>
              <w:spacing w:line="360" w:lineRule="auto"/>
              <w:ind w:firstLine="480" w:firstLineChars="200"/>
              <w:rPr>
                <w:sz w:val="24"/>
              </w:rPr>
            </w:pPr>
            <w:r>
              <w:rPr>
                <w:sz w:val="24"/>
              </w:rPr>
              <w:t>距声源点r处的A声级按下式计算：</w:t>
            </w:r>
          </w:p>
          <w:p>
            <w:pPr>
              <w:spacing w:line="360" w:lineRule="auto"/>
              <w:jc w:val="center"/>
              <w:rPr>
                <w:sz w:val="24"/>
              </w:rPr>
            </w:pPr>
            <w:r>
              <w:rPr>
                <w:sz w:val="24"/>
              </w:rPr>
              <w:drawing>
                <wp:inline distT="0" distB="0" distL="0" distR="0">
                  <wp:extent cx="3933825" cy="333375"/>
                  <wp:effectExtent l="19050" t="0" r="9525" b="0"/>
                  <wp:docPr id="8" name="图片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144"/>
                          <pic:cNvPicPr>
                            <a:picLocks noChangeAspect="1" noChangeArrowheads="1"/>
                          </pic:cNvPicPr>
                        </pic:nvPicPr>
                        <pic:blipFill>
                          <a:blip r:embed="rId27"/>
                          <a:srcRect/>
                          <a:stretch>
                            <a:fillRect/>
                          </a:stretch>
                        </pic:blipFill>
                        <pic:spPr>
                          <a:xfrm>
                            <a:off x="0" y="0"/>
                            <a:ext cx="3933825" cy="333375"/>
                          </a:xfrm>
                          <a:prstGeom prst="rect">
                            <a:avLst/>
                          </a:prstGeom>
                          <a:noFill/>
                          <a:ln w="9525">
                            <a:noFill/>
                            <a:miter lim="800000"/>
                            <a:headEnd/>
                            <a:tailEnd/>
                          </a:ln>
                        </pic:spPr>
                      </pic:pic>
                    </a:graphicData>
                  </a:graphic>
                </wp:inline>
              </w:drawing>
            </w:r>
          </w:p>
          <w:p>
            <w:pPr>
              <w:spacing w:line="360" w:lineRule="auto"/>
              <w:ind w:firstLine="480" w:firstLineChars="200"/>
              <w:rPr>
                <w:sz w:val="24"/>
              </w:rPr>
            </w:pPr>
            <w:r>
              <w:rPr>
                <w:sz w:val="24"/>
              </w:rPr>
              <w:t>在预测中考虑反射引起的修正、屏障引起的衰减、双绕射、室内声源等效室外声源等影响和计算方法。</w:t>
            </w:r>
          </w:p>
          <w:p>
            <w:pPr>
              <w:spacing w:line="360" w:lineRule="auto"/>
              <w:jc w:val="center"/>
              <w:rPr>
                <w:rFonts w:eastAsiaTheme="minorEastAsia"/>
                <w:b/>
                <w:sz w:val="24"/>
              </w:rPr>
            </w:pPr>
            <w:r>
              <w:rPr>
                <w:rFonts w:hint="eastAsia" w:eastAsiaTheme="minorEastAsia"/>
                <w:b/>
                <w:sz w:val="24"/>
              </w:rPr>
              <w:t>表</w:t>
            </w:r>
            <w:r>
              <w:rPr>
                <w:rFonts w:eastAsiaTheme="minorEastAsia"/>
                <w:b/>
                <w:sz w:val="24"/>
              </w:rPr>
              <w:t>4-1</w:t>
            </w:r>
            <w:r>
              <w:rPr>
                <w:rFonts w:hint="eastAsia" w:eastAsiaTheme="minorEastAsia"/>
                <w:b/>
                <w:sz w:val="24"/>
              </w:rPr>
              <w:t>1噪声预测结果</w:t>
            </w:r>
            <w:r>
              <w:rPr>
                <w:rFonts w:hint="eastAsia" w:eastAsiaTheme="minorEastAsia"/>
                <w:sz w:val="24"/>
              </w:rPr>
              <w:t>单位：</w:t>
            </w:r>
            <w:r>
              <w:rPr>
                <w:rFonts w:eastAsiaTheme="minorEastAsia"/>
                <w:sz w:val="24"/>
              </w:rPr>
              <w:t>dB</w:t>
            </w:r>
            <w:r>
              <w:rPr>
                <w:rFonts w:hint="eastAsia" w:eastAsiaTheme="minorEastAsia"/>
                <w:sz w:val="24"/>
              </w:rPr>
              <w:t>（</w:t>
            </w:r>
            <w:r>
              <w:rPr>
                <w:rFonts w:eastAsiaTheme="minorEastAsia"/>
                <w:sz w:val="24"/>
              </w:rPr>
              <w:t>A</w:t>
            </w:r>
            <w:r>
              <w:rPr>
                <w:rFonts w:hint="eastAsia" w:eastAsiaTheme="minorEastAsia"/>
                <w:sz w:val="24"/>
              </w:rPr>
              <w:t>）</w:t>
            </w:r>
          </w:p>
          <w:tbl>
            <w:tblPr>
              <w:tblStyle w:val="21"/>
              <w:tblW w:w="808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26"/>
              <w:gridCol w:w="927"/>
              <w:gridCol w:w="1029"/>
              <w:gridCol w:w="1304"/>
              <w:gridCol w:w="1302"/>
              <w:gridCol w:w="13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6" w:hRule="atLeast"/>
                <w:jc w:val="center"/>
              </w:trPr>
              <w:tc>
                <w:tcPr>
                  <w:tcW w:w="2226"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预测点</w:t>
                  </w:r>
                </w:p>
              </w:tc>
              <w:tc>
                <w:tcPr>
                  <w:tcW w:w="927"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时段</w:t>
                  </w:r>
                </w:p>
              </w:tc>
              <w:tc>
                <w:tcPr>
                  <w:tcW w:w="1029"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贡献值</w:t>
                  </w:r>
                </w:p>
              </w:tc>
              <w:tc>
                <w:tcPr>
                  <w:tcW w:w="1304" w:type="dxa"/>
                  <w:tcBorders>
                    <w:tl2br w:val="nil"/>
                    <w:tr2bl w:val="nil"/>
                  </w:tcBorders>
                  <w:vAlign w:val="center"/>
                </w:tcPr>
                <w:p>
                  <w:pPr>
                    <w:jc w:val="center"/>
                    <w:rPr>
                      <w:szCs w:val="21"/>
                    </w:rPr>
                  </w:pPr>
                  <w:r>
                    <w:rPr>
                      <w:szCs w:val="21"/>
                    </w:rPr>
                    <w:t>背景值</w:t>
                  </w:r>
                </w:p>
              </w:tc>
              <w:tc>
                <w:tcPr>
                  <w:tcW w:w="1302" w:type="dxa"/>
                  <w:tcBorders>
                    <w:tl2br w:val="nil"/>
                    <w:tr2bl w:val="nil"/>
                  </w:tcBorders>
                  <w:vAlign w:val="center"/>
                </w:tcPr>
                <w:p>
                  <w:pPr>
                    <w:jc w:val="center"/>
                    <w:rPr>
                      <w:szCs w:val="21"/>
                    </w:rPr>
                  </w:pPr>
                  <w:r>
                    <w:rPr>
                      <w:szCs w:val="21"/>
                    </w:rPr>
                    <w:t>叠加值</w:t>
                  </w:r>
                </w:p>
              </w:tc>
              <w:tc>
                <w:tcPr>
                  <w:tcW w:w="1301"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jc w:val="center"/>
              </w:trPr>
              <w:tc>
                <w:tcPr>
                  <w:tcW w:w="2226" w:type="dxa"/>
                  <w:tcBorders>
                    <w:tl2br w:val="nil"/>
                    <w:tr2bl w:val="nil"/>
                  </w:tcBorders>
                  <w:vAlign w:val="center"/>
                </w:tcPr>
                <w:p>
                  <w:pPr>
                    <w:pStyle w:val="48"/>
                    <w:spacing w:line="0" w:lineRule="atLeast"/>
                    <w:ind w:firstLine="0" w:firstLineChars="0"/>
                    <w:jc w:val="center"/>
                    <w:rPr>
                      <w:sz w:val="21"/>
                      <w:szCs w:val="21"/>
                    </w:rPr>
                  </w:pPr>
                  <w:r>
                    <w:rPr>
                      <w:rFonts w:hint="eastAsia" w:hAnsi="宋体"/>
                      <w:sz w:val="21"/>
                      <w:szCs w:val="21"/>
                    </w:rPr>
                    <w:t>厂界</w:t>
                  </w:r>
                  <w:r>
                    <w:rPr>
                      <w:rFonts w:hAnsi="宋体"/>
                      <w:sz w:val="21"/>
                      <w:szCs w:val="21"/>
                    </w:rPr>
                    <w:t>东侧</w:t>
                  </w:r>
                  <w:r>
                    <w:rPr>
                      <w:sz w:val="21"/>
                      <w:szCs w:val="21"/>
                    </w:rPr>
                    <w:t>1m</w:t>
                  </w:r>
                  <w:r>
                    <w:rPr>
                      <w:rFonts w:hAnsi="宋体"/>
                      <w:sz w:val="21"/>
                      <w:szCs w:val="21"/>
                    </w:rPr>
                    <w:t>处</w:t>
                  </w:r>
                </w:p>
              </w:tc>
              <w:tc>
                <w:tcPr>
                  <w:tcW w:w="927"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昼间</w:t>
                  </w:r>
                </w:p>
              </w:tc>
              <w:tc>
                <w:tcPr>
                  <w:tcW w:w="1029" w:type="dxa"/>
                  <w:tcBorders>
                    <w:tl2br w:val="nil"/>
                    <w:tr2bl w:val="nil"/>
                  </w:tcBorders>
                  <w:vAlign w:val="center"/>
                </w:tcPr>
                <w:p>
                  <w:pPr>
                    <w:pStyle w:val="48"/>
                    <w:spacing w:line="0" w:lineRule="atLeast"/>
                    <w:ind w:firstLine="0" w:firstLineChars="0"/>
                    <w:jc w:val="center"/>
                    <w:rPr>
                      <w:sz w:val="21"/>
                      <w:szCs w:val="21"/>
                    </w:rPr>
                  </w:pPr>
                  <w:r>
                    <w:rPr>
                      <w:rFonts w:hint="eastAsia"/>
                      <w:sz w:val="21"/>
                      <w:szCs w:val="21"/>
                    </w:rPr>
                    <w:t>55.14</w:t>
                  </w:r>
                </w:p>
              </w:tc>
              <w:tc>
                <w:tcPr>
                  <w:tcW w:w="1304"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2"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1"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jc w:val="center"/>
              </w:trPr>
              <w:tc>
                <w:tcPr>
                  <w:tcW w:w="2226" w:type="dxa"/>
                  <w:tcBorders>
                    <w:tl2br w:val="nil"/>
                    <w:tr2bl w:val="nil"/>
                  </w:tcBorders>
                  <w:vAlign w:val="center"/>
                </w:tcPr>
                <w:p>
                  <w:pPr>
                    <w:pStyle w:val="48"/>
                    <w:spacing w:line="0" w:lineRule="atLeast"/>
                    <w:ind w:firstLine="0" w:firstLineChars="0"/>
                    <w:jc w:val="center"/>
                    <w:rPr>
                      <w:sz w:val="21"/>
                      <w:szCs w:val="21"/>
                    </w:rPr>
                  </w:pPr>
                  <w:r>
                    <w:rPr>
                      <w:rFonts w:hint="eastAsia" w:hAnsi="宋体"/>
                      <w:sz w:val="21"/>
                      <w:szCs w:val="21"/>
                    </w:rPr>
                    <w:t>厂界</w:t>
                  </w:r>
                  <w:r>
                    <w:rPr>
                      <w:rFonts w:hAnsi="宋体"/>
                      <w:sz w:val="21"/>
                      <w:szCs w:val="21"/>
                    </w:rPr>
                    <w:t>南侧</w:t>
                  </w:r>
                  <w:r>
                    <w:rPr>
                      <w:sz w:val="21"/>
                      <w:szCs w:val="21"/>
                    </w:rPr>
                    <w:t>1m</w:t>
                  </w:r>
                  <w:r>
                    <w:rPr>
                      <w:rFonts w:hAnsi="宋体"/>
                      <w:sz w:val="21"/>
                      <w:szCs w:val="21"/>
                    </w:rPr>
                    <w:t>处</w:t>
                  </w:r>
                </w:p>
              </w:tc>
              <w:tc>
                <w:tcPr>
                  <w:tcW w:w="927"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昼间</w:t>
                  </w:r>
                </w:p>
              </w:tc>
              <w:tc>
                <w:tcPr>
                  <w:tcW w:w="1029" w:type="dxa"/>
                  <w:tcBorders>
                    <w:tl2br w:val="nil"/>
                    <w:tr2bl w:val="nil"/>
                  </w:tcBorders>
                  <w:vAlign w:val="center"/>
                </w:tcPr>
                <w:p>
                  <w:pPr>
                    <w:pStyle w:val="48"/>
                    <w:spacing w:line="0" w:lineRule="atLeast"/>
                    <w:ind w:firstLine="0" w:firstLineChars="0"/>
                    <w:jc w:val="center"/>
                    <w:rPr>
                      <w:sz w:val="21"/>
                      <w:szCs w:val="21"/>
                    </w:rPr>
                  </w:pPr>
                  <w:r>
                    <w:rPr>
                      <w:rFonts w:hint="eastAsia"/>
                      <w:sz w:val="21"/>
                      <w:szCs w:val="21"/>
                    </w:rPr>
                    <w:t>54.21</w:t>
                  </w:r>
                </w:p>
              </w:tc>
              <w:tc>
                <w:tcPr>
                  <w:tcW w:w="1304"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2"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1"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jc w:val="center"/>
              </w:trPr>
              <w:tc>
                <w:tcPr>
                  <w:tcW w:w="2226" w:type="dxa"/>
                  <w:tcBorders>
                    <w:tl2br w:val="nil"/>
                    <w:tr2bl w:val="nil"/>
                  </w:tcBorders>
                  <w:vAlign w:val="center"/>
                </w:tcPr>
                <w:p>
                  <w:pPr>
                    <w:pStyle w:val="48"/>
                    <w:spacing w:line="0" w:lineRule="atLeast"/>
                    <w:ind w:firstLine="0" w:firstLineChars="0"/>
                    <w:jc w:val="center"/>
                    <w:rPr>
                      <w:sz w:val="21"/>
                      <w:szCs w:val="21"/>
                    </w:rPr>
                  </w:pPr>
                  <w:r>
                    <w:rPr>
                      <w:rFonts w:hint="eastAsia" w:hAnsi="宋体"/>
                      <w:sz w:val="21"/>
                      <w:szCs w:val="21"/>
                    </w:rPr>
                    <w:t>厂界</w:t>
                  </w:r>
                  <w:r>
                    <w:rPr>
                      <w:rFonts w:hAnsi="宋体"/>
                      <w:sz w:val="21"/>
                      <w:szCs w:val="21"/>
                    </w:rPr>
                    <w:t>西侧</w:t>
                  </w:r>
                  <w:r>
                    <w:rPr>
                      <w:sz w:val="21"/>
                      <w:szCs w:val="21"/>
                    </w:rPr>
                    <w:t>1m</w:t>
                  </w:r>
                  <w:r>
                    <w:rPr>
                      <w:rFonts w:hAnsi="宋体"/>
                      <w:sz w:val="21"/>
                      <w:szCs w:val="21"/>
                    </w:rPr>
                    <w:t>处</w:t>
                  </w:r>
                </w:p>
              </w:tc>
              <w:tc>
                <w:tcPr>
                  <w:tcW w:w="927"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昼间</w:t>
                  </w:r>
                </w:p>
              </w:tc>
              <w:tc>
                <w:tcPr>
                  <w:tcW w:w="1029" w:type="dxa"/>
                  <w:tcBorders>
                    <w:tl2br w:val="nil"/>
                    <w:tr2bl w:val="nil"/>
                  </w:tcBorders>
                  <w:vAlign w:val="center"/>
                </w:tcPr>
                <w:p>
                  <w:pPr>
                    <w:pStyle w:val="48"/>
                    <w:spacing w:line="0" w:lineRule="atLeast"/>
                    <w:ind w:firstLine="0" w:firstLineChars="0"/>
                    <w:jc w:val="center"/>
                    <w:rPr>
                      <w:sz w:val="21"/>
                      <w:szCs w:val="21"/>
                    </w:rPr>
                  </w:pPr>
                  <w:r>
                    <w:rPr>
                      <w:rFonts w:hint="eastAsia"/>
                      <w:sz w:val="21"/>
                      <w:szCs w:val="21"/>
                    </w:rPr>
                    <w:t>54.19</w:t>
                  </w:r>
                </w:p>
              </w:tc>
              <w:tc>
                <w:tcPr>
                  <w:tcW w:w="1304"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2"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1"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jc w:val="center"/>
              </w:trPr>
              <w:tc>
                <w:tcPr>
                  <w:tcW w:w="2226" w:type="dxa"/>
                  <w:tcBorders>
                    <w:tl2br w:val="nil"/>
                    <w:tr2bl w:val="nil"/>
                  </w:tcBorders>
                  <w:vAlign w:val="center"/>
                </w:tcPr>
                <w:p>
                  <w:pPr>
                    <w:pStyle w:val="48"/>
                    <w:spacing w:line="0" w:lineRule="atLeast"/>
                    <w:ind w:firstLine="0" w:firstLineChars="0"/>
                    <w:jc w:val="center"/>
                    <w:rPr>
                      <w:sz w:val="21"/>
                      <w:szCs w:val="21"/>
                    </w:rPr>
                  </w:pPr>
                  <w:r>
                    <w:rPr>
                      <w:rFonts w:hint="eastAsia" w:hAnsi="宋体"/>
                      <w:sz w:val="21"/>
                      <w:szCs w:val="21"/>
                    </w:rPr>
                    <w:t>厂界</w:t>
                  </w:r>
                  <w:r>
                    <w:rPr>
                      <w:rFonts w:hAnsi="宋体"/>
                      <w:sz w:val="21"/>
                      <w:szCs w:val="21"/>
                    </w:rPr>
                    <w:t>北侧</w:t>
                  </w:r>
                  <w:r>
                    <w:rPr>
                      <w:sz w:val="21"/>
                      <w:szCs w:val="21"/>
                    </w:rPr>
                    <w:t>1m</w:t>
                  </w:r>
                  <w:r>
                    <w:rPr>
                      <w:rFonts w:hAnsi="宋体"/>
                      <w:sz w:val="21"/>
                      <w:szCs w:val="21"/>
                    </w:rPr>
                    <w:t>处</w:t>
                  </w:r>
                </w:p>
              </w:tc>
              <w:tc>
                <w:tcPr>
                  <w:tcW w:w="927"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昼间</w:t>
                  </w:r>
                </w:p>
              </w:tc>
              <w:tc>
                <w:tcPr>
                  <w:tcW w:w="1029" w:type="dxa"/>
                  <w:tcBorders>
                    <w:tl2br w:val="nil"/>
                    <w:tr2bl w:val="nil"/>
                  </w:tcBorders>
                  <w:vAlign w:val="center"/>
                </w:tcPr>
                <w:p>
                  <w:pPr>
                    <w:pStyle w:val="48"/>
                    <w:spacing w:line="0" w:lineRule="atLeast"/>
                    <w:ind w:firstLine="0" w:firstLineChars="0"/>
                    <w:jc w:val="center"/>
                    <w:rPr>
                      <w:sz w:val="21"/>
                      <w:szCs w:val="21"/>
                    </w:rPr>
                  </w:pPr>
                  <w:r>
                    <w:rPr>
                      <w:rFonts w:hint="eastAsia"/>
                      <w:sz w:val="21"/>
                      <w:szCs w:val="21"/>
                    </w:rPr>
                    <w:t>51.25</w:t>
                  </w:r>
                </w:p>
              </w:tc>
              <w:tc>
                <w:tcPr>
                  <w:tcW w:w="1304"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2"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w:t>
                  </w:r>
                </w:p>
              </w:tc>
              <w:tc>
                <w:tcPr>
                  <w:tcW w:w="1301"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jc w:val="center"/>
              </w:trPr>
              <w:tc>
                <w:tcPr>
                  <w:tcW w:w="2226"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东</w:t>
                  </w:r>
                  <w:r>
                    <w:rPr>
                      <w:rFonts w:hAnsi="宋体"/>
                      <w:sz w:val="21"/>
                      <w:szCs w:val="21"/>
                    </w:rPr>
                    <w:t>侧居民敏感点</w:t>
                  </w:r>
                </w:p>
              </w:tc>
              <w:tc>
                <w:tcPr>
                  <w:tcW w:w="927"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昼间</w:t>
                  </w:r>
                </w:p>
              </w:tc>
              <w:tc>
                <w:tcPr>
                  <w:tcW w:w="1029" w:type="dxa"/>
                  <w:tcBorders>
                    <w:tl2br w:val="nil"/>
                    <w:tr2bl w:val="nil"/>
                  </w:tcBorders>
                  <w:vAlign w:val="center"/>
                </w:tcPr>
                <w:p>
                  <w:pPr>
                    <w:pStyle w:val="48"/>
                    <w:spacing w:line="0" w:lineRule="atLeast"/>
                    <w:ind w:firstLine="0" w:firstLineChars="0"/>
                    <w:jc w:val="center"/>
                    <w:rPr>
                      <w:sz w:val="21"/>
                      <w:szCs w:val="21"/>
                    </w:rPr>
                  </w:pPr>
                  <w:r>
                    <w:rPr>
                      <w:rFonts w:hint="eastAsia"/>
                      <w:sz w:val="21"/>
                      <w:szCs w:val="21"/>
                    </w:rPr>
                    <w:t>52.41</w:t>
                  </w:r>
                </w:p>
              </w:tc>
              <w:tc>
                <w:tcPr>
                  <w:tcW w:w="1304"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51.00</w:t>
                  </w:r>
                </w:p>
              </w:tc>
              <w:tc>
                <w:tcPr>
                  <w:tcW w:w="1302"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51.06</w:t>
                  </w:r>
                </w:p>
              </w:tc>
              <w:tc>
                <w:tcPr>
                  <w:tcW w:w="1301" w:type="dxa"/>
                  <w:tcBorders>
                    <w:tl2br w:val="nil"/>
                    <w:tr2bl w:val="nil"/>
                  </w:tcBorders>
                  <w:vAlign w:val="center"/>
                </w:tcPr>
                <w:p>
                  <w:pPr>
                    <w:pStyle w:val="48"/>
                    <w:spacing w:line="0" w:lineRule="atLeast"/>
                    <w:ind w:firstLine="0" w:firstLineChars="0"/>
                    <w:jc w:val="center"/>
                    <w:rPr>
                      <w:rFonts w:hAnsi="宋体"/>
                      <w:sz w:val="21"/>
                      <w:szCs w:val="21"/>
                    </w:rPr>
                  </w:pPr>
                  <w:r>
                    <w:rPr>
                      <w:rFonts w:hAnsi="宋体"/>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jc w:val="center"/>
              </w:trPr>
              <w:tc>
                <w:tcPr>
                  <w:tcW w:w="2226"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南</w:t>
                  </w:r>
                  <w:r>
                    <w:rPr>
                      <w:rFonts w:hAnsi="宋体"/>
                      <w:sz w:val="21"/>
                      <w:szCs w:val="21"/>
                    </w:rPr>
                    <w:t>侧居民敏感点</w:t>
                  </w:r>
                </w:p>
              </w:tc>
              <w:tc>
                <w:tcPr>
                  <w:tcW w:w="927" w:type="dxa"/>
                  <w:tcBorders>
                    <w:tl2br w:val="nil"/>
                    <w:tr2bl w:val="nil"/>
                  </w:tcBorders>
                  <w:vAlign w:val="center"/>
                </w:tcPr>
                <w:p>
                  <w:pPr>
                    <w:pStyle w:val="48"/>
                    <w:spacing w:line="0" w:lineRule="atLeast"/>
                    <w:ind w:firstLine="0" w:firstLineChars="0"/>
                    <w:jc w:val="center"/>
                    <w:rPr>
                      <w:sz w:val="21"/>
                      <w:szCs w:val="21"/>
                    </w:rPr>
                  </w:pPr>
                  <w:r>
                    <w:rPr>
                      <w:rFonts w:hAnsi="宋体"/>
                      <w:sz w:val="21"/>
                      <w:szCs w:val="21"/>
                    </w:rPr>
                    <w:t>昼间</w:t>
                  </w:r>
                </w:p>
              </w:tc>
              <w:tc>
                <w:tcPr>
                  <w:tcW w:w="1029" w:type="dxa"/>
                  <w:tcBorders>
                    <w:tl2br w:val="nil"/>
                    <w:tr2bl w:val="nil"/>
                  </w:tcBorders>
                  <w:vAlign w:val="center"/>
                </w:tcPr>
                <w:p>
                  <w:pPr>
                    <w:pStyle w:val="48"/>
                    <w:spacing w:line="0" w:lineRule="atLeast"/>
                    <w:ind w:firstLine="0" w:firstLineChars="0"/>
                    <w:jc w:val="center"/>
                    <w:rPr>
                      <w:sz w:val="21"/>
                      <w:szCs w:val="21"/>
                    </w:rPr>
                  </w:pPr>
                  <w:r>
                    <w:rPr>
                      <w:rFonts w:hint="eastAsia"/>
                      <w:sz w:val="21"/>
                      <w:szCs w:val="21"/>
                    </w:rPr>
                    <w:t>52.16</w:t>
                  </w:r>
                </w:p>
              </w:tc>
              <w:tc>
                <w:tcPr>
                  <w:tcW w:w="1304"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52.00</w:t>
                  </w:r>
                </w:p>
              </w:tc>
              <w:tc>
                <w:tcPr>
                  <w:tcW w:w="1302" w:type="dxa"/>
                  <w:tcBorders>
                    <w:tl2br w:val="nil"/>
                    <w:tr2bl w:val="nil"/>
                  </w:tcBorders>
                  <w:vAlign w:val="center"/>
                </w:tcPr>
                <w:p>
                  <w:pPr>
                    <w:pStyle w:val="48"/>
                    <w:spacing w:line="0" w:lineRule="atLeast"/>
                    <w:ind w:firstLine="0" w:firstLineChars="0"/>
                    <w:jc w:val="center"/>
                    <w:rPr>
                      <w:rFonts w:hAnsi="宋体"/>
                      <w:sz w:val="21"/>
                      <w:szCs w:val="21"/>
                    </w:rPr>
                  </w:pPr>
                  <w:r>
                    <w:rPr>
                      <w:rFonts w:hint="eastAsia" w:hAnsi="宋体"/>
                      <w:sz w:val="21"/>
                      <w:szCs w:val="21"/>
                    </w:rPr>
                    <w:t>52.51</w:t>
                  </w:r>
                </w:p>
              </w:tc>
              <w:tc>
                <w:tcPr>
                  <w:tcW w:w="1301" w:type="dxa"/>
                  <w:tcBorders>
                    <w:tl2br w:val="nil"/>
                    <w:tr2bl w:val="nil"/>
                  </w:tcBorders>
                  <w:vAlign w:val="center"/>
                </w:tcPr>
                <w:p>
                  <w:pPr>
                    <w:pStyle w:val="48"/>
                    <w:spacing w:line="0" w:lineRule="atLeast"/>
                    <w:ind w:firstLine="0" w:firstLineChars="0"/>
                    <w:jc w:val="center"/>
                    <w:rPr>
                      <w:rFonts w:hAnsi="宋体"/>
                      <w:sz w:val="21"/>
                      <w:szCs w:val="21"/>
                    </w:rPr>
                  </w:pPr>
                  <w:r>
                    <w:rPr>
                      <w:rFonts w:hAnsi="宋体"/>
                      <w:sz w:val="21"/>
                      <w:szCs w:val="21"/>
                    </w:rPr>
                    <w:t>达标</w:t>
                  </w:r>
                </w:p>
              </w:tc>
            </w:tr>
          </w:tbl>
          <w:p>
            <w:pPr>
              <w:autoSpaceDE w:val="0"/>
              <w:autoSpaceDN w:val="0"/>
              <w:spacing w:line="360" w:lineRule="auto"/>
              <w:ind w:firstLine="480" w:firstLineChars="200"/>
              <w:contextualSpacing/>
              <w:rPr>
                <w:rFonts w:eastAsiaTheme="minorEastAsia"/>
                <w:sz w:val="24"/>
              </w:rPr>
            </w:pPr>
            <w:r>
              <w:rPr>
                <w:rFonts w:hint="eastAsia" w:eastAsiaTheme="minorEastAsia"/>
                <w:sz w:val="24"/>
              </w:rPr>
              <w:t xml:space="preserve">本项目噪声源多为间断性噪声源，产生噪声的时段仅在白天。项目在设备上考虑选择低噪设备，主要噪声防治措施如下： </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 xml:space="preserve">①选择低噪声设备：选用满足国际标准的低噪声、低振动设备；除选择比较好的设备外一般还需要采取消声器、基础减振等措施进行综合降噪。 </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 xml:space="preserve">②建筑物隔声：通过建筑物封闭隔声和房屋内壁铺设吸声材料吸声降噪，可降低噪声厂界值，减轻影响。 </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③对设备进行日常维护，保障设备的正常运行，并且要求操作人员严格规范操作，防止因设备故障或者操作不当带来的额外噪声。</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本项目采取低噪声设备、加装减振装置、车间采用隔声门窗，建筑上采取隔声、吸声措施，振动较大的设备采取独立基础并远离居民区、夜间不生产、</w:t>
            </w:r>
            <w:r>
              <w:rPr>
                <w:sz w:val="24"/>
              </w:rPr>
              <w:t>合理布局</w:t>
            </w:r>
            <w:r>
              <w:rPr>
                <w:rFonts w:eastAsiaTheme="minorEastAsia"/>
                <w:sz w:val="24"/>
              </w:rPr>
              <w:t>等</w:t>
            </w:r>
            <w:r>
              <w:rPr>
                <w:rFonts w:hint="eastAsia" w:eastAsiaTheme="minorEastAsia"/>
                <w:sz w:val="24"/>
              </w:rPr>
              <w:t>措施。废旧农机装卸过程中降低装卸高度、轻拿轻放、夜间不装卸，通过厂区距离衰减后对外环境影响较小。经预测，</w:t>
            </w:r>
            <w:r>
              <w:rPr>
                <w:rFonts w:hint="eastAsia" w:eastAsiaTheme="minorEastAsia"/>
                <w:bCs/>
                <w:sz w:val="24"/>
              </w:rPr>
              <w:t>北侧厂界噪声满足《工业企业厂界环境噪声排放标准》（</w:t>
            </w:r>
            <w:r>
              <w:rPr>
                <w:rFonts w:eastAsiaTheme="minorEastAsia"/>
                <w:bCs/>
                <w:sz w:val="24"/>
              </w:rPr>
              <w:t>GB12348-2008</w:t>
            </w:r>
            <w:r>
              <w:rPr>
                <w:rFonts w:hint="eastAsia" w:eastAsiaTheme="minorEastAsia"/>
                <w:bCs/>
                <w:sz w:val="24"/>
              </w:rPr>
              <w:t>）表</w:t>
            </w:r>
            <w:r>
              <w:rPr>
                <w:rFonts w:eastAsiaTheme="minorEastAsia"/>
                <w:bCs/>
                <w:sz w:val="24"/>
              </w:rPr>
              <w:t>1</w:t>
            </w:r>
            <w:r>
              <w:rPr>
                <w:rFonts w:hint="eastAsia" w:eastAsiaTheme="minorEastAsia"/>
                <w:bCs/>
                <w:sz w:val="24"/>
              </w:rPr>
              <w:t>中</w:t>
            </w:r>
            <w:r>
              <w:rPr>
                <w:rFonts w:eastAsiaTheme="minorEastAsia"/>
                <w:bCs/>
                <w:sz w:val="24"/>
              </w:rPr>
              <w:t>4</w:t>
            </w:r>
            <w:r>
              <w:rPr>
                <w:rFonts w:hint="eastAsia" w:eastAsiaTheme="minorEastAsia"/>
                <w:bCs/>
                <w:sz w:val="24"/>
              </w:rPr>
              <w:t>类标准</w:t>
            </w:r>
            <w:r>
              <w:rPr>
                <w:rFonts w:hint="eastAsia" w:eastAsiaTheme="minorEastAsia"/>
                <w:sz w:val="24"/>
              </w:rPr>
              <w:t>（昼间≤70dB（</w:t>
            </w:r>
            <w:r>
              <w:rPr>
                <w:rFonts w:eastAsiaTheme="minorEastAsia"/>
                <w:sz w:val="24"/>
              </w:rPr>
              <w:t>A</w:t>
            </w:r>
            <w:r>
              <w:rPr>
                <w:rFonts w:hint="eastAsia" w:eastAsiaTheme="minorEastAsia"/>
                <w:sz w:val="24"/>
              </w:rPr>
              <w:t>），夜间≤55dB（</w:t>
            </w:r>
            <w:r>
              <w:rPr>
                <w:rFonts w:eastAsiaTheme="minorEastAsia"/>
                <w:sz w:val="24"/>
              </w:rPr>
              <w:t>A</w:t>
            </w:r>
            <w:r>
              <w:rPr>
                <w:rFonts w:hint="eastAsia" w:eastAsiaTheme="minorEastAsia"/>
                <w:sz w:val="24"/>
              </w:rPr>
              <w:t>））</w:t>
            </w:r>
            <w:r>
              <w:rPr>
                <w:rFonts w:hint="eastAsia" w:eastAsiaTheme="minorEastAsia"/>
                <w:bCs/>
                <w:sz w:val="24"/>
              </w:rPr>
              <w:t>，其余厂界噪声满足</w:t>
            </w:r>
            <w:r>
              <w:rPr>
                <w:rFonts w:eastAsiaTheme="minorEastAsia"/>
                <w:bCs/>
                <w:sz w:val="24"/>
              </w:rPr>
              <w:t>2</w:t>
            </w:r>
            <w:r>
              <w:rPr>
                <w:rFonts w:hint="eastAsia" w:eastAsiaTheme="minorEastAsia"/>
                <w:bCs/>
                <w:sz w:val="24"/>
              </w:rPr>
              <w:t>类标准</w:t>
            </w:r>
            <w:r>
              <w:rPr>
                <w:rFonts w:hint="eastAsia" w:eastAsiaTheme="minorEastAsia"/>
                <w:sz w:val="24"/>
              </w:rPr>
              <w:t>（昼间≤6</w:t>
            </w:r>
            <w:r>
              <w:rPr>
                <w:rFonts w:eastAsiaTheme="minorEastAsia"/>
                <w:sz w:val="24"/>
              </w:rPr>
              <w:t>0dB</w:t>
            </w:r>
            <w:r>
              <w:rPr>
                <w:rFonts w:hint="eastAsia" w:eastAsiaTheme="minorEastAsia"/>
                <w:sz w:val="24"/>
              </w:rPr>
              <w:t>（</w:t>
            </w:r>
            <w:r>
              <w:rPr>
                <w:rFonts w:eastAsiaTheme="minorEastAsia"/>
                <w:sz w:val="24"/>
              </w:rPr>
              <w:t>A</w:t>
            </w:r>
            <w:r>
              <w:rPr>
                <w:rFonts w:hint="eastAsia" w:eastAsiaTheme="minorEastAsia"/>
                <w:sz w:val="24"/>
              </w:rPr>
              <w:t>），夜间≤5</w:t>
            </w:r>
            <w:r>
              <w:rPr>
                <w:rFonts w:eastAsiaTheme="minorEastAsia"/>
                <w:sz w:val="24"/>
              </w:rPr>
              <w:t>0dB</w:t>
            </w:r>
            <w:r>
              <w:rPr>
                <w:rFonts w:hint="eastAsia" w:eastAsiaTheme="minorEastAsia"/>
                <w:sz w:val="24"/>
              </w:rPr>
              <w:t>（</w:t>
            </w:r>
            <w:r>
              <w:rPr>
                <w:rFonts w:eastAsiaTheme="minorEastAsia"/>
                <w:sz w:val="24"/>
              </w:rPr>
              <w:t>A</w:t>
            </w:r>
            <w:r>
              <w:rPr>
                <w:rFonts w:hint="eastAsia" w:eastAsiaTheme="minorEastAsia"/>
                <w:sz w:val="24"/>
              </w:rPr>
              <w:t>））。</w:t>
            </w:r>
            <w:r>
              <w:rPr>
                <w:sz w:val="24"/>
              </w:rPr>
              <w:t>敏感点噪声叠加值满足《声环境质量标准》（GB3096-2008）中</w:t>
            </w:r>
            <w:r>
              <w:rPr>
                <w:rFonts w:hint="eastAsia"/>
                <w:sz w:val="24"/>
              </w:rPr>
              <w:t>1</w:t>
            </w:r>
            <w:r>
              <w:rPr>
                <w:sz w:val="24"/>
              </w:rPr>
              <w:t>类标准要求（昼间≤</w:t>
            </w:r>
            <w:r>
              <w:rPr>
                <w:rFonts w:hint="eastAsia"/>
                <w:sz w:val="24"/>
              </w:rPr>
              <w:t>55</w:t>
            </w:r>
            <w:r>
              <w:rPr>
                <w:sz w:val="24"/>
              </w:rPr>
              <w:t>dB（A），夜间≤</w:t>
            </w:r>
            <w:r>
              <w:rPr>
                <w:rFonts w:hint="eastAsia"/>
                <w:sz w:val="24"/>
              </w:rPr>
              <w:t>45</w:t>
            </w:r>
            <w:r>
              <w:rPr>
                <w:sz w:val="24"/>
              </w:rPr>
              <w:t>dB（A））</w:t>
            </w:r>
            <w:r>
              <w:rPr>
                <w:rFonts w:hint="eastAsia"/>
                <w:sz w:val="24"/>
              </w:rPr>
              <w:t>。</w:t>
            </w:r>
          </w:p>
          <w:p>
            <w:pPr>
              <w:spacing w:line="360" w:lineRule="auto"/>
              <w:ind w:firstLine="482" w:firstLineChars="200"/>
              <w:contextualSpacing/>
              <w:rPr>
                <w:rFonts w:eastAsiaTheme="minorEastAsia"/>
                <w:b/>
                <w:bCs/>
                <w:sz w:val="24"/>
              </w:rPr>
            </w:pPr>
            <w:r>
              <w:rPr>
                <w:rFonts w:hint="eastAsia" w:eastAsiaTheme="minorEastAsia"/>
                <w:b/>
                <w:bCs/>
                <w:sz w:val="24"/>
              </w:rPr>
              <w:t>（四）固废</w:t>
            </w:r>
          </w:p>
          <w:p>
            <w:pPr>
              <w:spacing w:line="360" w:lineRule="auto"/>
              <w:ind w:firstLine="482" w:firstLineChars="200"/>
              <w:contextualSpacing/>
              <w:rPr>
                <w:rFonts w:eastAsiaTheme="minorEastAsia"/>
                <w:b/>
                <w:bCs/>
                <w:sz w:val="24"/>
              </w:rPr>
            </w:pPr>
            <w:r>
              <w:rPr>
                <w:rFonts w:eastAsiaTheme="minorEastAsia"/>
                <w:b/>
                <w:bCs/>
                <w:sz w:val="24"/>
              </w:rPr>
              <w:t>1</w:t>
            </w:r>
            <w:r>
              <w:rPr>
                <w:rFonts w:hint="eastAsia" w:eastAsiaTheme="minorEastAsia"/>
                <w:b/>
                <w:bCs/>
                <w:sz w:val="24"/>
              </w:rPr>
              <w:t>、固体废物产生情况</w:t>
            </w:r>
          </w:p>
          <w:p>
            <w:pPr>
              <w:pStyle w:val="78"/>
              <w:ind w:firstLine="480"/>
              <w:rPr>
                <w:rFonts w:eastAsiaTheme="minorEastAsia"/>
                <w:szCs w:val="24"/>
              </w:rPr>
            </w:pPr>
            <w:r>
              <w:rPr>
                <w:rFonts w:hint="eastAsia" w:eastAsiaTheme="minorEastAsia"/>
                <w:szCs w:val="24"/>
              </w:rPr>
              <w:t>本项目员工生活会产生生活垃圾</w:t>
            </w:r>
            <w:r>
              <w:rPr>
                <w:rFonts w:hint="eastAsia" w:eastAsiaTheme="minorEastAsia"/>
                <w:bCs/>
              </w:rPr>
              <w:t>（SW64 900-001-S64）</w:t>
            </w:r>
            <w:r>
              <w:rPr>
                <w:rFonts w:hint="eastAsia" w:eastAsiaTheme="minorEastAsia"/>
                <w:szCs w:val="24"/>
              </w:rPr>
              <w:t>，农机拆解产物分类后余下的无利用价值的废革片</w:t>
            </w:r>
            <w:r>
              <w:rPr>
                <w:rFonts w:hint="eastAsia" w:eastAsiaTheme="minorEastAsia"/>
                <w:bCs/>
              </w:rPr>
              <w:t>（SW59 900-099-S59）</w:t>
            </w:r>
            <w:r>
              <w:rPr>
                <w:rFonts w:hint="eastAsia" w:eastAsiaTheme="minorEastAsia"/>
                <w:szCs w:val="24"/>
              </w:rPr>
              <w:t>、</w:t>
            </w:r>
            <w:r>
              <w:rPr>
                <w:rFonts w:hint="eastAsia" w:eastAsiaTheme="minorEastAsia"/>
                <w:bCs/>
              </w:rPr>
              <w:t>废灯（SW59 900-099-S59）、废座椅（SW59 900-099-S59）</w:t>
            </w:r>
            <w:r>
              <w:rPr>
                <w:rFonts w:hint="eastAsia" w:eastAsiaTheme="minorEastAsia"/>
                <w:szCs w:val="24"/>
              </w:rPr>
              <w:t>、布袋除尘器收集粉尘</w:t>
            </w:r>
            <w:r>
              <w:rPr>
                <w:rFonts w:hint="eastAsia" w:eastAsiaTheme="minorEastAsia"/>
                <w:bCs/>
              </w:rPr>
              <w:t>（SW59 900-099-S59）</w:t>
            </w:r>
            <w:r>
              <w:rPr>
                <w:rFonts w:hint="eastAsia" w:eastAsiaTheme="minorEastAsia"/>
                <w:szCs w:val="24"/>
              </w:rPr>
              <w:t>统一收集后交由市政环卫部门统一处理；</w:t>
            </w:r>
            <w:r>
              <w:rPr>
                <w:rFonts w:hint="eastAsia" w:eastAsiaTheme="minorEastAsia"/>
                <w:bCs/>
                <w:szCs w:val="24"/>
              </w:rPr>
              <w:t>废铅酸蓄电池（类别：</w:t>
            </w:r>
            <w:r>
              <w:rPr>
                <w:rFonts w:eastAsiaTheme="minorEastAsia"/>
                <w:bCs/>
                <w:szCs w:val="24"/>
              </w:rPr>
              <w:t>HW31</w:t>
            </w:r>
            <w:r>
              <w:rPr>
                <w:rFonts w:hint="eastAsia" w:eastAsiaTheme="minorEastAsia"/>
                <w:bCs/>
                <w:szCs w:val="24"/>
              </w:rPr>
              <w:t>，代码：</w:t>
            </w:r>
            <w:r>
              <w:rPr>
                <w:rFonts w:eastAsiaTheme="minorEastAsia"/>
                <w:bCs/>
                <w:szCs w:val="24"/>
              </w:rPr>
              <w:t>900-052-31</w:t>
            </w:r>
            <w:r>
              <w:rPr>
                <w:rFonts w:hint="eastAsia" w:eastAsiaTheme="minorEastAsia"/>
                <w:bCs/>
                <w:szCs w:val="24"/>
              </w:rPr>
              <w:t>）、废柴油、废液压油、废润滑油、废发动机油、</w:t>
            </w:r>
            <w:r>
              <w:t>变速器/齿轮箱油、动力转向油</w:t>
            </w:r>
            <w:r>
              <w:rPr>
                <w:rFonts w:hint="eastAsia" w:eastAsiaTheme="minorEastAsia"/>
                <w:bCs/>
                <w:szCs w:val="24"/>
              </w:rPr>
              <w:t>（类别：</w:t>
            </w:r>
            <w:r>
              <w:rPr>
                <w:rFonts w:eastAsiaTheme="minorEastAsia"/>
                <w:bCs/>
                <w:szCs w:val="24"/>
              </w:rPr>
              <w:t>HW08</w:t>
            </w:r>
            <w:r>
              <w:rPr>
                <w:rFonts w:hint="eastAsia" w:eastAsiaTheme="minorEastAsia"/>
                <w:bCs/>
                <w:szCs w:val="24"/>
              </w:rPr>
              <w:t>，代码：</w:t>
            </w:r>
            <w:r>
              <w:rPr>
                <w:rFonts w:eastAsiaTheme="minorEastAsia"/>
                <w:bCs/>
                <w:szCs w:val="24"/>
              </w:rPr>
              <w:t>900-199-08</w:t>
            </w:r>
            <w:r>
              <w:rPr>
                <w:rFonts w:hint="eastAsia" w:eastAsiaTheme="minorEastAsia"/>
                <w:bCs/>
                <w:szCs w:val="24"/>
              </w:rPr>
              <w:t>）、含油抹布及手套（类别：</w:t>
            </w:r>
            <w:r>
              <w:rPr>
                <w:rFonts w:eastAsiaTheme="minorEastAsia"/>
                <w:bCs/>
                <w:szCs w:val="24"/>
              </w:rPr>
              <w:t>HW49</w:t>
            </w:r>
            <w:r>
              <w:rPr>
                <w:rFonts w:hint="eastAsia" w:eastAsiaTheme="minorEastAsia"/>
                <w:bCs/>
                <w:szCs w:val="24"/>
              </w:rPr>
              <w:t>，代码：</w:t>
            </w:r>
            <w:r>
              <w:rPr>
                <w:rFonts w:eastAsiaTheme="minorEastAsia"/>
                <w:bCs/>
                <w:szCs w:val="24"/>
              </w:rPr>
              <w:t>900-041-49</w:t>
            </w:r>
            <w:r>
              <w:rPr>
                <w:rFonts w:hint="eastAsia" w:eastAsiaTheme="minorEastAsia"/>
                <w:bCs/>
                <w:szCs w:val="24"/>
              </w:rPr>
              <w:t>）、油泥（类别：</w:t>
            </w:r>
            <w:r>
              <w:rPr>
                <w:rFonts w:eastAsiaTheme="minorEastAsia"/>
                <w:bCs/>
                <w:szCs w:val="24"/>
              </w:rPr>
              <w:t>HW08</w:t>
            </w:r>
            <w:r>
              <w:rPr>
                <w:rFonts w:hint="eastAsia" w:eastAsiaTheme="minorEastAsia"/>
                <w:bCs/>
                <w:szCs w:val="24"/>
              </w:rPr>
              <w:t>，代码：</w:t>
            </w:r>
            <w:r>
              <w:rPr>
                <w:rFonts w:eastAsiaTheme="minorEastAsia"/>
                <w:bCs/>
                <w:szCs w:val="24"/>
              </w:rPr>
              <w:t>900-210-08</w:t>
            </w:r>
            <w:r>
              <w:rPr>
                <w:rFonts w:hint="eastAsia" w:eastAsiaTheme="minorEastAsia"/>
                <w:bCs/>
                <w:szCs w:val="24"/>
              </w:rPr>
              <w:t>）、废防冻液、</w:t>
            </w:r>
            <w:r>
              <w:rPr>
                <w:rFonts w:hint="eastAsia" w:eastAsiaTheme="minorEastAsia"/>
                <w:szCs w:val="24"/>
              </w:rPr>
              <w:t>废</w:t>
            </w:r>
            <w:r>
              <w:t>冷却液</w:t>
            </w:r>
            <w:r>
              <w:rPr>
                <w:rFonts w:hint="eastAsia" w:eastAsiaTheme="minorEastAsia"/>
                <w:bCs/>
                <w:szCs w:val="24"/>
              </w:rPr>
              <w:t>（</w:t>
            </w:r>
            <w:r>
              <w:t>类别：HW06，代码：900-404-06</w:t>
            </w:r>
            <w:r>
              <w:rPr>
                <w:rFonts w:hint="eastAsia" w:eastAsiaTheme="minorEastAsia"/>
                <w:bCs/>
                <w:szCs w:val="24"/>
              </w:rPr>
              <w:t>）、</w:t>
            </w:r>
            <w:r>
              <w:rPr>
                <w:rFonts w:hint="eastAsia" w:eastAsiaTheme="minorEastAsia"/>
                <w:bCs/>
              </w:rPr>
              <w:t>废活性炭（类别：HW49，代码：900-039-49）、</w:t>
            </w:r>
            <w:r>
              <w:rPr>
                <w:rFonts w:hint="eastAsia" w:hAnsiTheme="minorEastAsia" w:eastAsiaTheme="minorEastAsia"/>
              </w:rPr>
              <w:t>机油过滤器</w:t>
            </w:r>
            <w:r>
              <w:rPr>
                <w:rFonts w:hint="eastAsia" w:eastAsiaTheme="minorEastAsia"/>
                <w:bCs/>
              </w:rPr>
              <w:t>（类别：</w:t>
            </w:r>
            <w:r>
              <w:rPr>
                <w:rFonts w:eastAsiaTheme="minorEastAsia"/>
                <w:bCs/>
              </w:rPr>
              <w:t>HW08</w:t>
            </w:r>
            <w:r>
              <w:rPr>
                <w:rFonts w:hint="eastAsia" w:eastAsiaTheme="minorEastAsia"/>
                <w:bCs/>
              </w:rPr>
              <w:t>，代码：900-213-08）使用专用容器回收</w:t>
            </w:r>
            <w:r>
              <w:rPr>
                <w:rFonts w:hint="eastAsia" w:eastAsiaTheme="minorEastAsia"/>
                <w:szCs w:val="24"/>
              </w:rPr>
              <w:t>暂存于危险废物贮存库，定期交有资质单位处理。</w:t>
            </w:r>
          </w:p>
          <w:p>
            <w:pPr>
              <w:pStyle w:val="78"/>
              <w:ind w:firstLine="480"/>
              <w:rPr>
                <w:rFonts w:eastAsiaTheme="minorEastAsia"/>
                <w:szCs w:val="24"/>
              </w:rPr>
            </w:pPr>
            <w:r>
              <w:rPr>
                <w:rFonts w:hint="eastAsia" w:eastAsiaTheme="minorEastAsia"/>
                <w:szCs w:val="24"/>
              </w:rPr>
              <w:t>（</w:t>
            </w:r>
            <w:r>
              <w:rPr>
                <w:rFonts w:eastAsiaTheme="minorEastAsia"/>
                <w:szCs w:val="24"/>
              </w:rPr>
              <w:t>1</w:t>
            </w:r>
            <w:r>
              <w:rPr>
                <w:rFonts w:hint="eastAsia" w:eastAsiaTheme="minorEastAsia"/>
                <w:szCs w:val="24"/>
              </w:rPr>
              <w:t>）生活垃圾</w:t>
            </w:r>
          </w:p>
          <w:p>
            <w:pPr>
              <w:pStyle w:val="78"/>
              <w:ind w:firstLine="480"/>
              <w:rPr>
                <w:rFonts w:eastAsiaTheme="minorEastAsia"/>
                <w:szCs w:val="24"/>
              </w:rPr>
            </w:pPr>
            <w:r>
              <w:rPr>
                <w:rFonts w:hint="eastAsia" w:eastAsiaTheme="minorEastAsia"/>
                <w:szCs w:val="24"/>
              </w:rPr>
              <w:t>本项目营运期劳动定员8人，员工生活过程中产生生活垃圾按照</w:t>
            </w:r>
            <w:r>
              <w:rPr>
                <w:rFonts w:eastAsiaTheme="minorEastAsia"/>
                <w:szCs w:val="24"/>
              </w:rPr>
              <w:t>0.4kg/</w:t>
            </w:r>
            <w:r>
              <w:rPr>
                <w:rFonts w:hint="eastAsia" w:eastAsiaTheme="minorEastAsia"/>
                <w:szCs w:val="24"/>
              </w:rPr>
              <w:t>人</w:t>
            </w:r>
            <w:r>
              <w:rPr>
                <w:rFonts w:eastAsiaTheme="minorEastAsia"/>
                <w:szCs w:val="24"/>
              </w:rPr>
              <w:t>•d</w:t>
            </w:r>
            <w:r>
              <w:rPr>
                <w:rFonts w:hint="eastAsia" w:eastAsiaTheme="minorEastAsia"/>
                <w:szCs w:val="24"/>
              </w:rPr>
              <w:t>计，则产生量为</w:t>
            </w:r>
            <w:r>
              <w:rPr>
                <w:rFonts w:eastAsiaTheme="minorEastAsia"/>
                <w:szCs w:val="24"/>
              </w:rPr>
              <w:t>0.</w:t>
            </w:r>
            <w:r>
              <w:rPr>
                <w:rFonts w:hint="eastAsia" w:eastAsiaTheme="minorEastAsia"/>
                <w:szCs w:val="24"/>
              </w:rPr>
              <w:t>77</w:t>
            </w:r>
            <w:r>
              <w:rPr>
                <w:rFonts w:eastAsiaTheme="minorEastAsia"/>
                <w:szCs w:val="24"/>
              </w:rPr>
              <w:t>t/a</w:t>
            </w:r>
            <w:r>
              <w:rPr>
                <w:rFonts w:hint="eastAsia" w:eastAsiaTheme="minorEastAsia"/>
                <w:szCs w:val="24"/>
              </w:rPr>
              <w:t>，经收集后定期交由市政环卫部门统一处理。</w:t>
            </w:r>
          </w:p>
          <w:p>
            <w:pPr>
              <w:pStyle w:val="78"/>
              <w:ind w:firstLine="480"/>
              <w:rPr>
                <w:rFonts w:eastAsiaTheme="minorEastAsia"/>
                <w:szCs w:val="24"/>
              </w:rPr>
            </w:pPr>
            <w:r>
              <w:rPr>
                <w:rFonts w:hint="eastAsia" w:eastAsiaTheme="minorEastAsia"/>
                <w:szCs w:val="24"/>
              </w:rPr>
              <w:t>（</w:t>
            </w:r>
            <w:r>
              <w:rPr>
                <w:rFonts w:eastAsiaTheme="minorEastAsia"/>
                <w:szCs w:val="24"/>
              </w:rPr>
              <w:t>2</w:t>
            </w:r>
            <w:r>
              <w:rPr>
                <w:rFonts w:hint="eastAsia" w:eastAsiaTheme="minorEastAsia"/>
                <w:szCs w:val="24"/>
              </w:rPr>
              <w:t>）一般工业固废</w:t>
            </w:r>
          </w:p>
          <w:p>
            <w:pPr>
              <w:pStyle w:val="78"/>
              <w:ind w:firstLine="480"/>
              <w:rPr>
                <w:rFonts w:eastAsiaTheme="minorEastAsia"/>
                <w:szCs w:val="24"/>
              </w:rPr>
            </w:pPr>
            <w:r>
              <w:rPr>
                <w:rFonts w:hint="eastAsia" w:eastAsiaTheme="minorEastAsia"/>
                <w:szCs w:val="24"/>
              </w:rPr>
              <w:t>拆解产物分类后余下的无利用价值的废革片、废灯及</w:t>
            </w:r>
            <w:r>
              <w:rPr>
                <w:rFonts w:eastAsiaTheme="minorEastAsia"/>
                <w:szCs w:val="24"/>
              </w:rPr>
              <w:t>废座椅</w:t>
            </w:r>
            <w:r>
              <w:rPr>
                <w:rFonts w:hint="eastAsia" w:eastAsiaTheme="minorEastAsia"/>
                <w:szCs w:val="24"/>
              </w:rPr>
              <w:t>，为一般固废，根据建设方提供的资料，产生量约为17.097</w:t>
            </w:r>
            <w:r>
              <w:rPr>
                <w:rFonts w:eastAsiaTheme="minorEastAsia"/>
                <w:szCs w:val="24"/>
              </w:rPr>
              <w:t>t/a</w:t>
            </w:r>
            <w:r>
              <w:rPr>
                <w:rFonts w:hint="eastAsia" w:eastAsiaTheme="minorEastAsia"/>
                <w:szCs w:val="24"/>
              </w:rPr>
              <w:t>，布袋除尘器收集粉尘量为1.34t/a，此类废物集中收集后与生活垃圾一同交由市政环卫部门统一处理。</w:t>
            </w:r>
          </w:p>
          <w:p>
            <w:pPr>
              <w:pStyle w:val="78"/>
              <w:ind w:firstLine="480"/>
              <w:rPr>
                <w:rFonts w:eastAsiaTheme="minorEastAsia"/>
                <w:szCs w:val="24"/>
              </w:rPr>
            </w:pPr>
            <w:r>
              <w:rPr>
                <w:rFonts w:hint="eastAsia" w:eastAsiaTheme="minorEastAsia"/>
                <w:szCs w:val="24"/>
              </w:rPr>
              <w:t>（</w:t>
            </w:r>
            <w:r>
              <w:rPr>
                <w:rFonts w:eastAsiaTheme="minorEastAsia"/>
                <w:szCs w:val="24"/>
              </w:rPr>
              <w:t>3</w:t>
            </w:r>
            <w:r>
              <w:rPr>
                <w:rFonts w:hint="eastAsia" w:eastAsiaTheme="minorEastAsia"/>
                <w:szCs w:val="24"/>
              </w:rPr>
              <w:t>）危险废物</w:t>
            </w:r>
          </w:p>
          <w:p>
            <w:pPr>
              <w:pStyle w:val="78"/>
              <w:ind w:firstLine="480"/>
              <w:rPr>
                <w:rFonts w:eastAsiaTheme="minorEastAsia"/>
                <w:szCs w:val="24"/>
              </w:rPr>
            </w:pPr>
            <w:r>
              <w:rPr>
                <w:rFonts w:hAnsiTheme="minorEastAsia" w:eastAsiaTheme="minorEastAsia"/>
                <w:szCs w:val="24"/>
              </w:rPr>
              <w:t>①</w:t>
            </w:r>
            <w:r>
              <w:rPr>
                <w:rFonts w:hint="eastAsia" w:eastAsiaTheme="minorEastAsia"/>
                <w:szCs w:val="24"/>
              </w:rPr>
              <w:t>废铅酸蓄电池</w:t>
            </w:r>
          </w:p>
          <w:p>
            <w:pPr>
              <w:pStyle w:val="78"/>
              <w:ind w:firstLine="480"/>
              <w:rPr>
                <w:rFonts w:eastAsiaTheme="minorEastAsia"/>
                <w:szCs w:val="24"/>
              </w:rPr>
            </w:pPr>
            <w:r>
              <w:rPr>
                <w:rFonts w:hint="eastAsia" w:eastAsiaTheme="minorEastAsia"/>
                <w:szCs w:val="24"/>
              </w:rPr>
              <w:t>拆解预处理时放净的废油液、含油抹布和手套、拆下的废铅酸蓄电池为危险废物。根据类比同类项目，拆解过程产生6</w:t>
            </w:r>
            <w:r>
              <w:rPr>
                <w:rFonts w:eastAsiaTheme="minorEastAsia"/>
                <w:szCs w:val="24"/>
              </w:rPr>
              <w:t>00</w:t>
            </w:r>
            <w:r>
              <w:rPr>
                <w:rFonts w:hint="eastAsia" w:eastAsiaTheme="minorEastAsia"/>
                <w:szCs w:val="24"/>
              </w:rPr>
              <w:t>个废铅酸蓄电池，每个重约</w:t>
            </w:r>
            <w:r>
              <w:rPr>
                <w:rFonts w:eastAsiaTheme="minorEastAsia"/>
                <w:szCs w:val="24"/>
              </w:rPr>
              <w:t>5kg</w:t>
            </w:r>
            <w:r>
              <w:rPr>
                <w:rFonts w:hint="eastAsia" w:eastAsiaTheme="minorEastAsia"/>
                <w:szCs w:val="24"/>
              </w:rPr>
              <w:t>，计3</w:t>
            </w:r>
            <w:r>
              <w:rPr>
                <w:rFonts w:eastAsiaTheme="minorEastAsia"/>
                <w:szCs w:val="24"/>
              </w:rPr>
              <w:t>t/a</w:t>
            </w:r>
            <w:r>
              <w:rPr>
                <w:rFonts w:hint="eastAsia" w:eastAsiaTheme="minorEastAsia"/>
                <w:szCs w:val="24"/>
              </w:rPr>
              <w:t>，根据《国家危险废物名录》（</w:t>
            </w:r>
            <w:r>
              <w:rPr>
                <w:rFonts w:eastAsiaTheme="minorEastAsia"/>
                <w:szCs w:val="24"/>
              </w:rPr>
              <w:t xml:space="preserve">2021 </w:t>
            </w:r>
            <w:r>
              <w:rPr>
                <w:rFonts w:hint="eastAsia" w:eastAsiaTheme="minorEastAsia"/>
                <w:szCs w:val="24"/>
              </w:rPr>
              <w:t>版），此类废物属于危险废物，类别为</w:t>
            </w:r>
            <w:r>
              <w:rPr>
                <w:rFonts w:eastAsiaTheme="minorEastAsia"/>
                <w:szCs w:val="24"/>
              </w:rPr>
              <w:t xml:space="preserve"> HW31</w:t>
            </w:r>
            <w:r>
              <w:rPr>
                <w:rFonts w:hint="eastAsia" w:eastAsiaTheme="minorEastAsia"/>
                <w:szCs w:val="24"/>
              </w:rPr>
              <w:t>其他废物，废物代码为</w:t>
            </w:r>
            <w:r>
              <w:rPr>
                <w:rFonts w:eastAsiaTheme="minorEastAsia"/>
                <w:szCs w:val="24"/>
              </w:rPr>
              <w:t xml:space="preserve"> 900-052-31</w:t>
            </w:r>
            <w:r>
              <w:rPr>
                <w:rFonts w:hint="eastAsia" w:eastAsiaTheme="minorEastAsia"/>
              </w:rPr>
              <w:t>）废铅蓄电池及废铅蓄电池拆解过程中产生的废铅板、废铅膏和酸液</w:t>
            </w:r>
            <w:r>
              <w:rPr>
                <w:rFonts w:hint="eastAsia" w:eastAsiaTheme="minorEastAsia"/>
                <w:szCs w:val="24"/>
              </w:rPr>
              <w:t>。本项目仅拆下蓄电池，不对蓄电池进行拆解，</w:t>
            </w:r>
            <w:r>
              <w:rPr>
                <w:rFonts w:hint="eastAsia" w:eastAsiaTheme="minorEastAsia"/>
                <w:bCs/>
              </w:rPr>
              <w:t>使用专用容器回收</w:t>
            </w:r>
            <w:r>
              <w:rPr>
                <w:rFonts w:hint="eastAsia" w:eastAsiaTheme="minorEastAsia"/>
              </w:rPr>
              <w:t>暂存于危险废物贮存库，定期交有资质单位处理</w:t>
            </w:r>
            <w:r>
              <w:rPr>
                <w:rFonts w:hint="eastAsia" w:eastAsiaTheme="minorEastAsia"/>
                <w:szCs w:val="24"/>
              </w:rPr>
              <w:t>。</w:t>
            </w:r>
          </w:p>
          <w:p>
            <w:pPr>
              <w:pStyle w:val="78"/>
              <w:ind w:firstLine="480"/>
              <w:rPr>
                <w:rFonts w:eastAsiaTheme="minorEastAsia"/>
                <w:szCs w:val="24"/>
              </w:rPr>
            </w:pPr>
            <w:r>
              <w:rPr>
                <w:rFonts w:hAnsiTheme="minorEastAsia" w:eastAsiaTheme="minorEastAsia"/>
                <w:szCs w:val="24"/>
              </w:rPr>
              <w:t>②</w:t>
            </w:r>
            <w:r>
              <w:rPr>
                <w:rFonts w:hint="eastAsia" w:eastAsiaTheme="minorEastAsia"/>
                <w:bCs/>
                <w:szCs w:val="24"/>
              </w:rPr>
              <w:t>废柴油、废液压油、废润滑油、废发动机油、</w:t>
            </w:r>
            <w:r>
              <w:t>变速器/齿轮箱油、动力转向油</w:t>
            </w:r>
          </w:p>
          <w:p>
            <w:pPr>
              <w:pStyle w:val="78"/>
              <w:ind w:firstLine="480"/>
              <w:rPr>
                <w:rFonts w:eastAsiaTheme="minorEastAsia"/>
                <w:szCs w:val="24"/>
              </w:rPr>
            </w:pPr>
            <w:r>
              <w:rPr>
                <w:rFonts w:hint="eastAsia" w:eastAsiaTheme="minorEastAsia"/>
                <w:szCs w:val="24"/>
              </w:rPr>
              <w:t>废矿物油类主要产生于发动机与变速箱等废油放净，此外，报废农机因长期使用某些部位积存油垢，拆解时作干清理，产生的</w:t>
            </w:r>
            <w:r>
              <w:rPr>
                <w:rFonts w:hint="eastAsia" w:eastAsiaTheme="minorEastAsia"/>
                <w:bCs/>
                <w:szCs w:val="24"/>
              </w:rPr>
              <w:t>废柴油、废液压油、废润滑油、废发动机油、</w:t>
            </w:r>
            <w:r>
              <w:t>变速器/齿轮箱油、动力转向油</w:t>
            </w:r>
            <w:r>
              <w:rPr>
                <w:rFonts w:hint="eastAsia" w:eastAsiaTheme="minorEastAsia"/>
                <w:szCs w:val="24"/>
              </w:rPr>
              <w:t>合计约3</w:t>
            </w:r>
            <w:r>
              <w:rPr>
                <w:rFonts w:eastAsiaTheme="minorEastAsia"/>
                <w:szCs w:val="24"/>
              </w:rPr>
              <w:t>t/a</w:t>
            </w:r>
            <w:r>
              <w:rPr>
                <w:rFonts w:hint="eastAsia" w:eastAsiaTheme="minorEastAsia"/>
                <w:szCs w:val="24"/>
              </w:rPr>
              <w:t>，根据《国家危险废物名录》（</w:t>
            </w:r>
            <w:r>
              <w:rPr>
                <w:rFonts w:eastAsiaTheme="minorEastAsia"/>
                <w:szCs w:val="24"/>
              </w:rPr>
              <w:t>2021</w:t>
            </w:r>
            <w:r>
              <w:rPr>
                <w:rFonts w:hint="eastAsia" w:eastAsiaTheme="minorEastAsia"/>
                <w:szCs w:val="24"/>
              </w:rPr>
              <w:t>版）</w:t>
            </w:r>
            <w:r>
              <w:rPr>
                <w:rFonts w:eastAsiaTheme="minorEastAsia"/>
              </w:rPr>
              <w:t>HW08</w:t>
            </w:r>
            <w:r>
              <w:rPr>
                <w:rFonts w:hint="eastAsia" w:eastAsiaTheme="minorEastAsia"/>
              </w:rPr>
              <w:t>（</w:t>
            </w:r>
            <w:r>
              <w:rPr>
                <w:rFonts w:eastAsiaTheme="minorEastAsia"/>
              </w:rPr>
              <w:t>900-199-08</w:t>
            </w:r>
            <w:r>
              <w:rPr>
                <w:rFonts w:hint="eastAsia" w:eastAsiaTheme="minorEastAsia"/>
              </w:rPr>
              <w:t>）内燃机、汽车、轮船等集中拆解过程产生的废矿物油及油泥，</w:t>
            </w:r>
            <w:r>
              <w:rPr>
                <w:rFonts w:hint="eastAsia" w:eastAsiaTheme="minorEastAsia"/>
                <w:bCs/>
              </w:rPr>
              <w:t>使用专用容器回收</w:t>
            </w:r>
            <w:r>
              <w:rPr>
                <w:rFonts w:hint="eastAsia" w:eastAsiaTheme="minorEastAsia"/>
              </w:rPr>
              <w:t>暂存于危险废物贮存库，定期交有资质单位处理。</w:t>
            </w:r>
          </w:p>
          <w:p>
            <w:pPr>
              <w:pStyle w:val="78"/>
              <w:ind w:firstLine="480"/>
              <w:rPr>
                <w:rFonts w:eastAsiaTheme="minorEastAsia"/>
                <w:szCs w:val="24"/>
              </w:rPr>
            </w:pPr>
            <w:r>
              <w:rPr>
                <w:rFonts w:hAnsiTheme="minorEastAsia" w:eastAsiaTheme="minorEastAsia"/>
                <w:szCs w:val="24"/>
              </w:rPr>
              <w:t>③</w:t>
            </w:r>
            <w:r>
              <w:rPr>
                <w:rFonts w:hint="eastAsia" w:eastAsiaTheme="minorEastAsia"/>
                <w:szCs w:val="24"/>
              </w:rPr>
              <w:t>含油抹布及手套</w:t>
            </w:r>
          </w:p>
          <w:p>
            <w:pPr>
              <w:pStyle w:val="78"/>
              <w:ind w:firstLine="480"/>
              <w:rPr>
                <w:rFonts w:eastAsiaTheme="minorEastAsia"/>
              </w:rPr>
            </w:pPr>
            <w:r>
              <w:rPr>
                <w:rFonts w:hint="eastAsia" w:eastAsiaTheme="minorEastAsia"/>
                <w:szCs w:val="24"/>
              </w:rPr>
              <w:t>拆解区地面不定期清理油垢，在清理油垢时会产生含油抹布和手套，本项目产生约</w:t>
            </w:r>
            <w:r>
              <w:rPr>
                <w:rFonts w:eastAsiaTheme="minorEastAsia"/>
                <w:szCs w:val="24"/>
              </w:rPr>
              <w:t xml:space="preserve"> 0.</w:t>
            </w:r>
            <w:r>
              <w:rPr>
                <w:rFonts w:hint="eastAsia" w:eastAsiaTheme="minorEastAsia"/>
                <w:szCs w:val="24"/>
              </w:rPr>
              <w:t>3</w:t>
            </w:r>
            <w:r>
              <w:rPr>
                <w:rFonts w:eastAsiaTheme="minorEastAsia"/>
                <w:szCs w:val="24"/>
              </w:rPr>
              <w:t>t</w:t>
            </w:r>
            <w:r>
              <w:rPr>
                <w:rFonts w:hint="eastAsia" w:eastAsiaTheme="minorEastAsia"/>
                <w:szCs w:val="24"/>
              </w:rPr>
              <w:t>含油抹布和手套，根据《国家危险废物名录》（</w:t>
            </w:r>
            <w:r>
              <w:rPr>
                <w:rFonts w:eastAsiaTheme="minorEastAsia"/>
                <w:szCs w:val="24"/>
              </w:rPr>
              <w:t>2021</w:t>
            </w:r>
            <w:r>
              <w:rPr>
                <w:rFonts w:hint="eastAsia" w:eastAsiaTheme="minorEastAsia"/>
                <w:szCs w:val="24"/>
              </w:rPr>
              <w:t>年版）可知，</w:t>
            </w:r>
            <w:r>
              <w:rPr>
                <w:rFonts w:hint="eastAsia" w:eastAsiaTheme="minorEastAsia"/>
              </w:rPr>
              <w:t>属于《国家危险废物名录》（</w:t>
            </w:r>
            <w:r>
              <w:rPr>
                <w:rFonts w:eastAsiaTheme="minorEastAsia"/>
              </w:rPr>
              <w:t>2021</w:t>
            </w:r>
            <w:r>
              <w:rPr>
                <w:rFonts w:hint="eastAsia" w:eastAsiaTheme="minorEastAsia"/>
              </w:rPr>
              <w:t>版）</w:t>
            </w:r>
            <w:r>
              <w:rPr>
                <w:rFonts w:eastAsiaTheme="minorEastAsia"/>
              </w:rPr>
              <w:t>HW49</w:t>
            </w:r>
            <w:r>
              <w:rPr>
                <w:rFonts w:hint="eastAsia" w:eastAsiaTheme="minorEastAsia"/>
              </w:rPr>
              <w:t>（</w:t>
            </w:r>
            <w:r>
              <w:rPr>
                <w:rFonts w:eastAsiaTheme="minorEastAsia"/>
              </w:rPr>
              <w:t>900-041-49</w:t>
            </w:r>
            <w:r>
              <w:rPr>
                <w:rFonts w:hint="eastAsia" w:eastAsiaTheme="minorEastAsia"/>
              </w:rPr>
              <w:t>）含有或沾染毒性、感染性危险废物的废弃包装物、容器、过滤吸附介质，</w:t>
            </w:r>
            <w:r>
              <w:rPr>
                <w:rFonts w:hint="eastAsia" w:eastAsiaTheme="minorEastAsia"/>
                <w:bCs/>
              </w:rPr>
              <w:t>使用专用容器回收</w:t>
            </w:r>
            <w:r>
              <w:rPr>
                <w:rFonts w:hint="eastAsia" w:eastAsiaTheme="minorEastAsia"/>
              </w:rPr>
              <w:t>暂存于危险废物贮存库，定期交有资质单位处理。</w:t>
            </w:r>
          </w:p>
          <w:p>
            <w:pPr>
              <w:pStyle w:val="78"/>
              <w:ind w:firstLine="480"/>
              <w:rPr>
                <w:rFonts w:eastAsiaTheme="minorEastAsia"/>
                <w:bCs/>
                <w:szCs w:val="24"/>
              </w:rPr>
            </w:pPr>
            <w:r>
              <w:rPr>
                <w:rFonts w:eastAsiaTheme="minorEastAsia"/>
              </w:rPr>
              <w:fldChar w:fldCharType="begin"/>
            </w:r>
            <w:r>
              <w:rPr>
                <w:rFonts w:hint="eastAsia" w:eastAsiaTheme="minorEastAsia"/>
              </w:rPr>
              <w:instrText xml:space="preserve">= 4 \* GB3</w:instrText>
            </w:r>
            <w:r>
              <w:rPr>
                <w:rFonts w:eastAsiaTheme="minorEastAsia"/>
              </w:rPr>
              <w:fldChar w:fldCharType="separate"/>
            </w:r>
            <w:r>
              <w:rPr>
                <w:rFonts w:hint="eastAsia" w:eastAsiaTheme="minorEastAsia"/>
              </w:rPr>
              <w:t>④</w:t>
            </w:r>
            <w:r>
              <w:rPr>
                <w:rFonts w:eastAsiaTheme="minorEastAsia"/>
              </w:rPr>
              <w:fldChar w:fldCharType="end"/>
            </w:r>
            <w:r>
              <w:rPr>
                <w:rFonts w:hint="eastAsia" w:eastAsiaTheme="minorEastAsia"/>
                <w:bCs/>
                <w:szCs w:val="24"/>
              </w:rPr>
              <w:t>废防冻液、</w:t>
            </w:r>
            <w:r>
              <w:rPr>
                <w:rFonts w:hint="eastAsia" w:eastAsiaTheme="minorEastAsia"/>
                <w:szCs w:val="24"/>
              </w:rPr>
              <w:t>废</w:t>
            </w:r>
            <w:r>
              <w:t>冷却液</w:t>
            </w:r>
          </w:p>
          <w:p>
            <w:pPr>
              <w:pStyle w:val="78"/>
              <w:ind w:firstLine="480"/>
              <w:rPr>
                <w:rFonts w:eastAsiaTheme="minorEastAsia"/>
                <w:bCs/>
                <w:szCs w:val="24"/>
              </w:rPr>
            </w:pPr>
            <w:r>
              <w:rPr>
                <w:rFonts w:hint="eastAsia" w:eastAsiaTheme="minorEastAsia"/>
                <w:szCs w:val="24"/>
              </w:rPr>
              <w:t>拆解前排净</w:t>
            </w:r>
            <w:r>
              <w:rPr>
                <w:rFonts w:hint="eastAsia" w:eastAsiaTheme="minorEastAsia"/>
                <w:bCs/>
                <w:szCs w:val="24"/>
              </w:rPr>
              <w:t>防冻液和</w:t>
            </w:r>
            <w:r>
              <w:rPr>
                <w:rFonts w:hint="eastAsia" w:eastAsiaTheme="minorEastAsia"/>
                <w:szCs w:val="24"/>
              </w:rPr>
              <w:t>废</w:t>
            </w:r>
            <w:r>
              <w:t>冷却液</w:t>
            </w:r>
            <w:r>
              <w:rPr>
                <w:rFonts w:hint="eastAsia" w:eastAsiaTheme="minorEastAsia"/>
                <w:bCs/>
                <w:szCs w:val="24"/>
              </w:rPr>
              <w:t>，产生量约</w:t>
            </w:r>
            <w:r>
              <w:rPr>
                <w:rFonts w:eastAsiaTheme="minorEastAsia"/>
                <w:bCs/>
                <w:szCs w:val="24"/>
              </w:rPr>
              <w:t>0.</w:t>
            </w:r>
            <w:r>
              <w:rPr>
                <w:rFonts w:hint="eastAsia" w:eastAsiaTheme="minorEastAsia"/>
                <w:bCs/>
                <w:szCs w:val="24"/>
              </w:rPr>
              <w:t>3</w:t>
            </w:r>
            <w:r>
              <w:rPr>
                <w:rFonts w:eastAsiaTheme="minorEastAsia"/>
                <w:bCs/>
                <w:szCs w:val="24"/>
              </w:rPr>
              <w:t>t/a</w:t>
            </w:r>
            <w:r>
              <w:rPr>
                <w:rFonts w:hint="eastAsia" w:eastAsiaTheme="minorEastAsia"/>
                <w:bCs/>
                <w:szCs w:val="24"/>
              </w:rPr>
              <w:t>，根据《国家危险废物名录》（</w:t>
            </w:r>
            <w:r>
              <w:rPr>
                <w:rFonts w:eastAsiaTheme="minorEastAsia"/>
                <w:bCs/>
                <w:szCs w:val="24"/>
              </w:rPr>
              <w:t>2021</w:t>
            </w:r>
            <w:r>
              <w:rPr>
                <w:rFonts w:hint="eastAsia" w:eastAsiaTheme="minorEastAsia"/>
                <w:bCs/>
                <w:szCs w:val="24"/>
              </w:rPr>
              <w:t>版），属于</w:t>
            </w:r>
            <w:r>
              <w:rPr>
                <w:rFonts w:eastAsiaTheme="minorEastAsia"/>
                <w:bCs/>
                <w:szCs w:val="24"/>
              </w:rPr>
              <w:t>HW06，代码：900-404-06</w:t>
            </w:r>
            <w:r>
              <w:rPr>
                <w:rFonts w:hint="eastAsia" w:eastAsiaTheme="minorEastAsia"/>
                <w:bCs/>
                <w:szCs w:val="24"/>
              </w:rPr>
              <w:t>，</w:t>
            </w:r>
            <w:r>
              <w:rPr>
                <w:rFonts w:hint="eastAsia" w:eastAsiaTheme="minorEastAsia"/>
                <w:bCs/>
              </w:rPr>
              <w:t>使用专用容器回收</w:t>
            </w:r>
            <w:r>
              <w:rPr>
                <w:rFonts w:hint="eastAsia" w:eastAsiaTheme="minorEastAsia"/>
                <w:bCs/>
                <w:szCs w:val="24"/>
              </w:rPr>
              <w:t>暂存于危险废物贮存库，定期交有资质单位处理。</w:t>
            </w:r>
          </w:p>
          <w:p>
            <w:pPr>
              <w:pStyle w:val="78"/>
              <w:ind w:firstLine="480"/>
              <w:rPr>
                <w:rFonts w:eastAsiaTheme="minorEastAsia"/>
                <w:bCs/>
                <w:szCs w:val="24"/>
              </w:rPr>
            </w:pPr>
            <w:r>
              <w:rPr>
                <w:rFonts w:eastAsiaTheme="minorEastAsia"/>
                <w:bCs/>
                <w:szCs w:val="24"/>
              </w:rPr>
              <w:fldChar w:fldCharType="begin"/>
            </w:r>
            <w:r>
              <w:rPr>
                <w:rFonts w:hint="eastAsia" w:eastAsiaTheme="minorEastAsia"/>
                <w:bCs/>
                <w:szCs w:val="24"/>
              </w:rPr>
              <w:instrText xml:space="preserve">= 5 \* GB3</w:instrText>
            </w:r>
            <w:r>
              <w:rPr>
                <w:rFonts w:eastAsiaTheme="minorEastAsia"/>
                <w:bCs/>
                <w:szCs w:val="24"/>
              </w:rPr>
              <w:fldChar w:fldCharType="separate"/>
            </w:r>
            <w:r>
              <w:rPr>
                <w:rFonts w:hint="eastAsia" w:eastAsiaTheme="minorEastAsia"/>
                <w:bCs/>
                <w:szCs w:val="24"/>
              </w:rPr>
              <w:t>⑤</w:t>
            </w:r>
            <w:r>
              <w:rPr>
                <w:rFonts w:eastAsiaTheme="minorEastAsia"/>
                <w:bCs/>
                <w:szCs w:val="24"/>
              </w:rPr>
              <w:fldChar w:fldCharType="end"/>
            </w:r>
            <w:r>
              <w:rPr>
                <w:rFonts w:hint="eastAsia" w:eastAsiaTheme="minorEastAsia"/>
                <w:bCs/>
                <w:szCs w:val="24"/>
              </w:rPr>
              <w:t>油泥</w:t>
            </w:r>
          </w:p>
          <w:p>
            <w:pPr>
              <w:pStyle w:val="78"/>
              <w:ind w:firstLine="480"/>
              <w:rPr>
                <w:rFonts w:hAnsiTheme="minorEastAsia" w:eastAsiaTheme="minorEastAsia"/>
              </w:rPr>
            </w:pPr>
            <w:r>
              <w:rPr>
                <w:rFonts w:hint="eastAsia" w:eastAsiaTheme="minorEastAsia"/>
                <w:bCs/>
                <w:szCs w:val="24"/>
              </w:rPr>
              <w:t>初期雨水池</w:t>
            </w:r>
            <w:r>
              <w:rPr>
                <w:rFonts w:hint="eastAsia" w:hAnsiTheme="minorEastAsia" w:eastAsiaTheme="minorEastAsia"/>
              </w:rPr>
              <w:t>油泥产生量为</w:t>
            </w:r>
            <w:r>
              <w:rPr>
                <w:rFonts w:eastAsiaTheme="minorEastAsia"/>
              </w:rPr>
              <w:t>0.</w:t>
            </w:r>
            <w:r>
              <w:rPr>
                <w:rFonts w:hint="eastAsia" w:eastAsiaTheme="minorEastAsia"/>
              </w:rPr>
              <w:t>5</w:t>
            </w:r>
            <w:r>
              <w:rPr>
                <w:rFonts w:eastAsiaTheme="minorEastAsia"/>
              </w:rPr>
              <w:t>t/a</w:t>
            </w:r>
            <w:r>
              <w:rPr>
                <w:rFonts w:hint="eastAsia" w:hAnsi="宋体"/>
              </w:rPr>
              <w:t>，</w:t>
            </w:r>
            <w:r>
              <w:rPr>
                <w:rFonts w:hint="eastAsia" w:eastAsiaTheme="minorEastAsia"/>
                <w:bCs/>
                <w:szCs w:val="24"/>
              </w:rPr>
              <w:t>根据《国家危险废物名录》（</w:t>
            </w:r>
            <w:r>
              <w:rPr>
                <w:rFonts w:eastAsiaTheme="minorEastAsia"/>
                <w:bCs/>
                <w:szCs w:val="24"/>
              </w:rPr>
              <w:t>2021</w:t>
            </w:r>
            <w:r>
              <w:rPr>
                <w:rFonts w:hint="eastAsia" w:eastAsiaTheme="minorEastAsia"/>
                <w:bCs/>
                <w:szCs w:val="24"/>
              </w:rPr>
              <w:t>版），属于</w:t>
            </w:r>
            <w:r>
              <w:rPr>
                <w:rFonts w:eastAsiaTheme="minorEastAsia"/>
                <w:bCs/>
                <w:szCs w:val="24"/>
              </w:rPr>
              <w:t>HW08</w:t>
            </w:r>
            <w:r>
              <w:rPr>
                <w:rFonts w:hint="eastAsia" w:eastAsiaTheme="minorEastAsia"/>
                <w:bCs/>
                <w:szCs w:val="24"/>
              </w:rPr>
              <w:t>（代码：</w:t>
            </w:r>
            <w:r>
              <w:rPr>
                <w:rFonts w:eastAsiaTheme="minorEastAsia"/>
                <w:bCs/>
                <w:szCs w:val="24"/>
              </w:rPr>
              <w:t>900-210-08</w:t>
            </w:r>
            <w:r>
              <w:rPr>
                <w:rFonts w:hint="eastAsia" w:eastAsiaTheme="minorEastAsia"/>
                <w:bCs/>
                <w:szCs w:val="24"/>
              </w:rPr>
              <w:t>），</w:t>
            </w:r>
            <w:r>
              <w:rPr>
                <w:rFonts w:hint="eastAsia" w:hAnsi="宋体"/>
              </w:rPr>
              <w:t>暂存于危险废物贮存库内定期委托有资质单位处理</w:t>
            </w:r>
            <w:r>
              <w:rPr>
                <w:rFonts w:hint="eastAsia" w:hAnsiTheme="minorEastAsia" w:eastAsiaTheme="minorEastAsia"/>
              </w:rPr>
              <w:t>。</w:t>
            </w:r>
          </w:p>
          <w:p>
            <w:pPr>
              <w:pStyle w:val="78"/>
              <w:ind w:firstLine="480"/>
              <w:rPr>
                <w:rFonts w:eastAsiaTheme="minorEastAsia"/>
                <w:bCs/>
              </w:rPr>
            </w:pPr>
            <w:r>
              <w:rPr>
                <w:rFonts w:eastAsiaTheme="minorEastAsia"/>
                <w:bCs/>
              </w:rPr>
              <w:fldChar w:fldCharType="begin"/>
            </w:r>
            <w:r>
              <w:rPr>
                <w:rFonts w:hint="eastAsia" w:eastAsiaTheme="minorEastAsia"/>
                <w:bCs/>
              </w:rPr>
              <w:instrText xml:space="preserve">= 6 \* GB3</w:instrText>
            </w:r>
            <w:r>
              <w:rPr>
                <w:rFonts w:eastAsiaTheme="minorEastAsia"/>
                <w:bCs/>
              </w:rPr>
              <w:fldChar w:fldCharType="separate"/>
            </w:r>
            <w:r>
              <w:rPr>
                <w:rFonts w:hint="eastAsia" w:eastAsiaTheme="minorEastAsia"/>
                <w:bCs/>
              </w:rPr>
              <w:t>⑥</w:t>
            </w:r>
            <w:r>
              <w:rPr>
                <w:rFonts w:eastAsiaTheme="minorEastAsia"/>
                <w:bCs/>
              </w:rPr>
              <w:fldChar w:fldCharType="end"/>
            </w:r>
            <w:r>
              <w:rPr>
                <w:rFonts w:eastAsiaTheme="minorEastAsia"/>
                <w:bCs/>
              </w:rPr>
              <w:t>废活性炭</w:t>
            </w:r>
          </w:p>
          <w:p>
            <w:pPr>
              <w:pStyle w:val="78"/>
              <w:ind w:firstLine="480"/>
              <w:rPr>
                <w:rFonts w:eastAsiaTheme="minorEastAsia"/>
                <w:bCs/>
              </w:rPr>
            </w:pPr>
            <w:r>
              <w:rPr>
                <w:rFonts w:hint="eastAsia" w:eastAsiaTheme="minorEastAsia"/>
                <w:bCs/>
              </w:rPr>
              <w:t>有机废气治理产生的废活性炭产生量为0.03t/a（</w:t>
            </w:r>
            <w:r>
              <w:rPr>
                <w:rFonts w:eastAsiaTheme="minorEastAsia"/>
                <w:bCs/>
              </w:rPr>
              <w:t>根据本项目处理规模并采用经验数据（《简明通风设计手册》活性炭有效吸附量q</w:t>
            </w:r>
            <w:r>
              <w:rPr>
                <w:rFonts w:eastAsiaTheme="minorEastAsia"/>
                <w:bCs/>
                <w:vertAlign w:val="subscript"/>
              </w:rPr>
              <w:t>e</w:t>
            </w:r>
            <w:r>
              <w:rPr>
                <w:rFonts w:eastAsiaTheme="minorEastAsia"/>
                <w:bCs/>
              </w:rPr>
              <w:t>=0.24kg/kg活性炭）估算</w:t>
            </w:r>
            <w:r>
              <w:rPr>
                <w:rFonts w:hint="eastAsia" w:eastAsiaTheme="minorEastAsia"/>
                <w:bCs/>
              </w:rPr>
              <w:t>），根据《国家危险废物名录》（</w:t>
            </w:r>
            <w:r>
              <w:rPr>
                <w:rFonts w:eastAsiaTheme="minorEastAsia"/>
                <w:bCs/>
              </w:rPr>
              <w:t>2021</w:t>
            </w:r>
            <w:r>
              <w:rPr>
                <w:rFonts w:hint="eastAsia" w:eastAsiaTheme="minorEastAsia"/>
                <w:bCs/>
              </w:rPr>
              <w:t>版），属于HW49（代码：900-039-49），暂存于危险废物贮存库内定期委托有资质单位处理。</w:t>
            </w:r>
          </w:p>
          <w:p>
            <w:pPr>
              <w:pStyle w:val="78"/>
              <w:ind w:firstLine="480"/>
              <w:rPr>
                <w:rFonts w:hAnsiTheme="minorEastAsia" w:eastAsiaTheme="minorEastAsia"/>
              </w:rPr>
            </w:pPr>
            <w:r>
              <w:rPr>
                <w:rFonts w:eastAsiaTheme="minorEastAsia"/>
                <w:bCs/>
              </w:rPr>
              <w:fldChar w:fldCharType="begin"/>
            </w:r>
            <w:r>
              <w:rPr>
                <w:rFonts w:hint="eastAsia" w:eastAsiaTheme="minorEastAsia"/>
                <w:bCs/>
              </w:rPr>
              <w:instrText xml:space="preserve">= 7 \* GB3</w:instrText>
            </w:r>
            <w:r>
              <w:rPr>
                <w:rFonts w:eastAsiaTheme="minorEastAsia"/>
                <w:bCs/>
              </w:rPr>
              <w:fldChar w:fldCharType="separate"/>
            </w:r>
            <w:r>
              <w:rPr>
                <w:rFonts w:hint="eastAsia" w:eastAsiaTheme="minorEastAsia"/>
                <w:bCs/>
              </w:rPr>
              <w:t>⑦</w:t>
            </w:r>
            <w:r>
              <w:rPr>
                <w:rFonts w:eastAsiaTheme="minorEastAsia"/>
                <w:bCs/>
              </w:rPr>
              <w:fldChar w:fldCharType="end"/>
            </w:r>
            <w:r>
              <w:rPr>
                <w:rFonts w:hint="eastAsia" w:hAnsiTheme="minorEastAsia" w:eastAsiaTheme="minorEastAsia"/>
              </w:rPr>
              <w:t>机油过滤器</w:t>
            </w:r>
          </w:p>
          <w:p>
            <w:pPr>
              <w:pStyle w:val="78"/>
              <w:ind w:firstLine="480"/>
              <w:rPr>
                <w:rFonts w:hAnsiTheme="minorEastAsia" w:eastAsiaTheme="minorEastAsia"/>
              </w:rPr>
            </w:pPr>
            <w:r>
              <w:rPr>
                <w:rFonts w:hint="eastAsia" w:hAnsiTheme="minorEastAsia" w:eastAsiaTheme="minorEastAsia"/>
              </w:rPr>
              <w:t>拆解产生机油过滤器，产生量为</w:t>
            </w:r>
            <w:r>
              <w:rPr>
                <w:rFonts w:eastAsiaTheme="minorEastAsia"/>
              </w:rPr>
              <w:t>0.</w:t>
            </w:r>
            <w:r>
              <w:rPr>
                <w:rFonts w:hint="eastAsia" w:eastAsiaTheme="minorEastAsia"/>
              </w:rPr>
              <w:t>003</w:t>
            </w:r>
            <w:r>
              <w:rPr>
                <w:rFonts w:eastAsiaTheme="minorEastAsia"/>
              </w:rPr>
              <w:t>t/a</w:t>
            </w:r>
            <w:r>
              <w:rPr>
                <w:rFonts w:hint="eastAsia" w:hAnsi="宋体"/>
              </w:rPr>
              <w:t>，</w:t>
            </w:r>
            <w:r>
              <w:rPr>
                <w:rFonts w:hint="eastAsia" w:eastAsiaTheme="minorEastAsia"/>
                <w:bCs/>
                <w:szCs w:val="24"/>
              </w:rPr>
              <w:t>根据《国家危险废物名录》（</w:t>
            </w:r>
            <w:r>
              <w:rPr>
                <w:rFonts w:eastAsiaTheme="minorEastAsia"/>
                <w:bCs/>
                <w:szCs w:val="24"/>
              </w:rPr>
              <w:t>2021</w:t>
            </w:r>
            <w:r>
              <w:rPr>
                <w:rFonts w:hint="eastAsia" w:eastAsiaTheme="minorEastAsia"/>
                <w:bCs/>
                <w:szCs w:val="24"/>
              </w:rPr>
              <w:t>版），</w:t>
            </w:r>
            <w:r>
              <w:rPr>
                <w:rFonts w:hint="eastAsia" w:hAnsiTheme="minorEastAsia" w:eastAsiaTheme="minorEastAsia"/>
              </w:rPr>
              <w:t>属于</w:t>
            </w:r>
            <w:r>
              <w:rPr>
                <w:rFonts w:hint="eastAsia" w:eastAsiaTheme="minorEastAsia"/>
                <w:bCs/>
              </w:rPr>
              <w:t>（类别：</w:t>
            </w:r>
            <w:r>
              <w:rPr>
                <w:rFonts w:eastAsiaTheme="minorEastAsia"/>
                <w:bCs/>
              </w:rPr>
              <w:t>HW08</w:t>
            </w:r>
            <w:r>
              <w:rPr>
                <w:rFonts w:hint="eastAsia" w:eastAsiaTheme="minorEastAsia"/>
                <w:bCs/>
              </w:rPr>
              <w:t>，代码：900-213-08），</w:t>
            </w:r>
            <w:r>
              <w:rPr>
                <w:rFonts w:hint="eastAsia" w:hAnsi="宋体"/>
              </w:rPr>
              <w:t>暂存于危险废物贮存库内定期委托有资质单位处理</w:t>
            </w:r>
            <w:r>
              <w:rPr>
                <w:rFonts w:hint="eastAsia" w:hAnsiTheme="minorEastAsia" w:eastAsiaTheme="minorEastAsia"/>
              </w:rPr>
              <w:t>。</w:t>
            </w:r>
          </w:p>
          <w:p>
            <w:pPr>
              <w:spacing w:line="360" w:lineRule="auto"/>
              <w:jc w:val="center"/>
              <w:rPr>
                <w:rFonts w:eastAsiaTheme="minorEastAsia"/>
                <w:b/>
                <w:sz w:val="24"/>
              </w:rPr>
            </w:pPr>
            <w:r>
              <w:rPr>
                <w:rFonts w:hint="eastAsia" w:eastAsiaTheme="minorEastAsia"/>
                <w:b/>
                <w:sz w:val="24"/>
              </w:rPr>
              <w:t>表</w:t>
            </w:r>
            <w:r>
              <w:rPr>
                <w:rFonts w:eastAsiaTheme="minorEastAsia"/>
                <w:b/>
                <w:sz w:val="24"/>
              </w:rPr>
              <w:t>4-1</w:t>
            </w:r>
            <w:r>
              <w:rPr>
                <w:rFonts w:hint="eastAsia" w:eastAsiaTheme="minorEastAsia"/>
                <w:b/>
                <w:sz w:val="24"/>
              </w:rPr>
              <w:t>2项目固体废物汇总表</w:t>
            </w:r>
          </w:p>
          <w:tbl>
            <w:tblPr>
              <w:tblStyle w:val="21"/>
              <w:tblW w:w="826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1"/>
              <w:gridCol w:w="1689"/>
              <w:gridCol w:w="724"/>
              <w:gridCol w:w="584"/>
              <w:gridCol w:w="584"/>
              <w:gridCol w:w="652"/>
              <w:gridCol w:w="640"/>
              <w:gridCol w:w="721"/>
              <w:gridCol w:w="721"/>
              <w:gridCol w:w="13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2" w:hRule="atLeast"/>
                <w:jc w:val="center"/>
              </w:trPr>
              <w:tc>
                <w:tcPr>
                  <w:tcW w:w="611" w:type="dxa"/>
                  <w:vAlign w:val="center"/>
                </w:tcPr>
                <w:p>
                  <w:pPr>
                    <w:spacing w:line="0" w:lineRule="atLeast"/>
                    <w:jc w:val="center"/>
                    <w:rPr>
                      <w:rFonts w:eastAsiaTheme="minorEastAsia"/>
                      <w:szCs w:val="21"/>
                    </w:rPr>
                  </w:pPr>
                  <w:r>
                    <w:rPr>
                      <w:rFonts w:hint="eastAsia" w:eastAsiaTheme="minorEastAsia"/>
                      <w:szCs w:val="21"/>
                    </w:rPr>
                    <w:t>产污环节</w:t>
                  </w:r>
                </w:p>
              </w:tc>
              <w:tc>
                <w:tcPr>
                  <w:tcW w:w="1689" w:type="dxa"/>
                  <w:vAlign w:val="center"/>
                </w:tcPr>
                <w:p>
                  <w:pPr>
                    <w:spacing w:line="0" w:lineRule="atLeast"/>
                    <w:jc w:val="center"/>
                    <w:rPr>
                      <w:rFonts w:eastAsiaTheme="minorEastAsia"/>
                      <w:szCs w:val="21"/>
                    </w:rPr>
                  </w:pPr>
                  <w:r>
                    <w:rPr>
                      <w:rFonts w:hint="eastAsia" w:eastAsiaTheme="minorEastAsia"/>
                      <w:szCs w:val="21"/>
                    </w:rPr>
                    <w:t>固体废物名称</w:t>
                  </w:r>
                </w:p>
              </w:tc>
              <w:tc>
                <w:tcPr>
                  <w:tcW w:w="724" w:type="dxa"/>
                  <w:vAlign w:val="center"/>
                </w:tcPr>
                <w:p>
                  <w:pPr>
                    <w:spacing w:line="0" w:lineRule="atLeast"/>
                    <w:jc w:val="center"/>
                    <w:rPr>
                      <w:rFonts w:eastAsiaTheme="minorEastAsia"/>
                      <w:szCs w:val="21"/>
                    </w:rPr>
                  </w:pPr>
                  <w:r>
                    <w:rPr>
                      <w:rFonts w:hint="eastAsia" w:eastAsiaTheme="minorEastAsia"/>
                      <w:szCs w:val="21"/>
                    </w:rPr>
                    <w:t>固体废物属性</w:t>
                  </w:r>
                </w:p>
              </w:tc>
              <w:tc>
                <w:tcPr>
                  <w:tcW w:w="584" w:type="dxa"/>
                  <w:vAlign w:val="center"/>
                </w:tcPr>
                <w:p>
                  <w:pPr>
                    <w:spacing w:line="0" w:lineRule="atLeast"/>
                    <w:jc w:val="center"/>
                    <w:rPr>
                      <w:szCs w:val="21"/>
                    </w:rPr>
                  </w:pPr>
                  <w:r>
                    <w:rPr>
                      <w:szCs w:val="21"/>
                    </w:rPr>
                    <w:t>核算方法</w:t>
                  </w:r>
                </w:p>
              </w:tc>
              <w:tc>
                <w:tcPr>
                  <w:tcW w:w="584" w:type="dxa"/>
                  <w:vAlign w:val="center"/>
                </w:tcPr>
                <w:p>
                  <w:pPr>
                    <w:spacing w:line="0" w:lineRule="atLeast"/>
                    <w:jc w:val="center"/>
                    <w:rPr>
                      <w:rFonts w:eastAsiaTheme="minorEastAsia"/>
                      <w:szCs w:val="21"/>
                    </w:rPr>
                  </w:pPr>
                  <w:r>
                    <w:rPr>
                      <w:rFonts w:hint="eastAsia" w:eastAsiaTheme="minorEastAsia"/>
                      <w:szCs w:val="21"/>
                    </w:rPr>
                    <w:t>物理性状</w:t>
                  </w:r>
                </w:p>
              </w:tc>
              <w:tc>
                <w:tcPr>
                  <w:tcW w:w="652" w:type="dxa"/>
                  <w:vAlign w:val="center"/>
                </w:tcPr>
                <w:p>
                  <w:pPr>
                    <w:spacing w:line="0" w:lineRule="atLeast"/>
                    <w:jc w:val="center"/>
                    <w:rPr>
                      <w:rFonts w:eastAsiaTheme="minorEastAsia"/>
                      <w:szCs w:val="21"/>
                    </w:rPr>
                  </w:pPr>
                  <w:r>
                    <w:rPr>
                      <w:rFonts w:hint="eastAsia" w:eastAsiaTheme="minorEastAsia"/>
                      <w:szCs w:val="21"/>
                    </w:rPr>
                    <w:t>环境危险特性</w:t>
                  </w:r>
                </w:p>
              </w:tc>
              <w:tc>
                <w:tcPr>
                  <w:tcW w:w="640" w:type="dxa"/>
                  <w:vAlign w:val="center"/>
                </w:tcPr>
                <w:p>
                  <w:pPr>
                    <w:spacing w:line="0" w:lineRule="atLeast"/>
                    <w:jc w:val="center"/>
                    <w:rPr>
                      <w:rFonts w:eastAsiaTheme="minorEastAsia"/>
                      <w:szCs w:val="21"/>
                    </w:rPr>
                  </w:pPr>
                  <w:r>
                    <w:rPr>
                      <w:rFonts w:hint="eastAsia" w:eastAsiaTheme="minorEastAsia"/>
                      <w:szCs w:val="21"/>
                    </w:rPr>
                    <w:t>产生量</w:t>
                  </w:r>
                </w:p>
                <w:p>
                  <w:pPr>
                    <w:spacing w:line="0" w:lineRule="atLeast"/>
                    <w:jc w:val="center"/>
                    <w:rPr>
                      <w:rFonts w:eastAsiaTheme="minorEastAsia"/>
                      <w:szCs w:val="21"/>
                    </w:rPr>
                  </w:pPr>
                  <w:r>
                    <w:rPr>
                      <w:rFonts w:hint="eastAsia" w:eastAsiaTheme="minorEastAsia"/>
                      <w:szCs w:val="21"/>
                    </w:rPr>
                    <w:t>（</w:t>
                  </w:r>
                  <w:r>
                    <w:rPr>
                      <w:rFonts w:eastAsiaTheme="minorEastAsia"/>
                      <w:szCs w:val="21"/>
                    </w:rPr>
                    <w:t>t/a</w:t>
                  </w:r>
                  <w:r>
                    <w:rPr>
                      <w:rFonts w:hint="eastAsia" w:eastAsiaTheme="minorEastAsia"/>
                      <w:szCs w:val="21"/>
                    </w:rPr>
                    <w:t>）</w:t>
                  </w:r>
                </w:p>
              </w:tc>
              <w:tc>
                <w:tcPr>
                  <w:tcW w:w="721" w:type="dxa"/>
                  <w:vAlign w:val="center"/>
                </w:tcPr>
                <w:p>
                  <w:pPr>
                    <w:spacing w:line="0" w:lineRule="atLeast"/>
                    <w:jc w:val="center"/>
                    <w:rPr>
                      <w:rFonts w:eastAsiaTheme="minorEastAsia"/>
                      <w:szCs w:val="21"/>
                    </w:rPr>
                  </w:pPr>
                  <w:r>
                    <w:rPr>
                      <w:rFonts w:hint="eastAsia" w:eastAsiaTheme="minorEastAsia"/>
                      <w:szCs w:val="21"/>
                    </w:rPr>
                    <w:t>处置量（</w:t>
                  </w:r>
                  <w:r>
                    <w:rPr>
                      <w:rFonts w:eastAsiaTheme="minorEastAsia"/>
                      <w:szCs w:val="21"/>
                    </w:rPr>
                    <w:t>t/a</w:t>
                  </w:r>
                  <w:r>
                    <w:rPr>
                      <w:rFonts w:hint="eastAsia" w:eastAsiaTheme="minorEastAsia"/>
                      <w:szCs w:val="21"/>
                    </w:rPr>
                    <w:t>）</w:t>
                  </w:r>
                </w:p>
              </w:tc>
              <w:tc>
                <w:tcPr>
                  <w:tcW w:w="721" w:type="dxa"/>
                  <w:vAlign w:val="center"/>
                </w:tcPr>
                <w:p>
                  <w:pPr>
                    <w:spacing w:line="0" w:lineRule="atLeast"/>
                    <w:jc w:val="center"/>
                    <w:rPr>
                      <w:rFonts w:eastAsiaTheme="minorEastAsia"/>
                      <w:szCs w:val="21"/>
                    </w:rPr>
                  </w:pPr>
                  <w:r>
                    <w:rPr>
                      <w:rFonts w:hint="eastAsia" w:eastAsiaTheme="minorEastAsia"/>
                      <w:szCs w:val="21"/>
                    </w:rPr>
                    <w:t>贮存</w:t>
                  </w:r>
                </w:p>
                <w:p>
                  <w:pPr>
                    <w:spacing w:line="0" w:lineRule="atLeast"/>
                    <w:jc w:val="center"/>
                    <w:rPr>
                      <w:rFonts w:eastAsiaTheme="minorEastAsia"/>
                      <w:szCs w:val="21"/>
                    </w:rPr>
                  </w:pPr>
                  <w:r>
                    <w:rPr>
                      <w:rFonts w:hint="eastAsia" w:eastAsiaTheme="minorEastAsia"/>
                      <w:szCs w:val="21"/>
                    </w:rPr>
                    <w:t>方式</w:t>
                  </w:r>
                </w:p>
              </w:tc>
              <w:tc>
                <w:tcPr>
                  <w:tcW w:w="1343" w:type="dxa"/>
                  <w:vAlign w:val="center"/>
                </w:tcPr>
                <w:p>
                  <w:pPr>
                    <w:spacing w:line="0" w:lineRule="atLeast"/>
                    <w:jc w:val="center"/>
                    <w:rPr>
                      <w:rFonts w:eastAsiaTheme="minorEastAsia"/>
                      <w:szCs w:val="21"/>
                    </w:rPr>
                  </w:pPr>
                  <w:r>
                    <w:rPr>
                      <w:rFonts w:hint="eastAsia" w:eastAsiaTheme="minorEastAsia"/>
                      <w:szCs w:val="21"/>
                    </w:rPr>
                    <w:t>处置去向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shd w:val="clear" w:color="auto" w:fill="auto"/>
                  <w:vAlign w:val="center"/>
                </w:tcPr>
                <w:p>
                  <w:pPr>
                    <w:spacing w:line="0" w:lineRule="atLeast"/>
                    <w:jc w:val="center"/>
                    <w:rPr>
                      <w:rFonts w:eastAsiaTheme="minorEastAsia"/>
                      <w:szCs w:val="21"/>
                    </w:rPr>
                  </w:pPr>
                  <w:r>
                    <w:rPr>
                      <w:rFonts w:hint="eastAsia" w:eastAsiaTheme="minorEastAsia"/>
                      <w:szCs w:val="21"/>
                    </w:rPr>
                    <w:t>员工生活</w:t>
                  </w:r>
                </w:p>
              </w:tc>
              <w:tc>
                <w:tcPr>
                  <w:tcW w:w="1689" w:type="dxa"/>
                  <w:shd w:val="clear" w:color="auto" w:fill="auto"/>
                  <w:vAlign w:val="center"/>
                </w:tcPr>
                <w:p>
                  <w:pPr>
                    <w:spacing w:line="0" w:lineRule="atLeast"/>
                    <w:jc w:val="center"/>
                    <w:rPr>
                      <w:rFonts w:eastAsiaTheme="minorEastAsia"/>
                      <w:szCs w:val="21"/>
                    </w:rPr>
                  </w:pPr>
                  <w:r>
                    <w:rPr>
                      <w:rFonts w:hint="eastAsia" w:eastAsiaTheme="minorEastAsia"/>
                      <w:bCs/>
                      <w:szCs w:val="21"/>
                    </w:rPr>
                    <w:t>（SW64 900-001-S64）</w:t>
                  </w:r>
                  <w:r>
                    <w:rPr>
                      <w:rFonts w:hint="eastAsia" w:eastAsiaTheme="minorEastAsia"/>
                      <w:szCs w:val="21"/>
                    </w:rPr>
                    <w:t>生活垃圾</w:t>
                  </w:r>
                </w:p>
              </w:tc>
              <w:tc>
                <w:tcPr>
                  <w:tcW w:w="724" w:type="dxa"/>
                  <w:vMerge w:val="restart"/>
                  <w:shd w:val="clear" w:color="auto" w:fill="auto"/>
                  <w:vAlign w:val="center"/>
                </w:tcPr>
                <w:p>
                  <w:pPr>
                    <w:widowControl/>
                    <w:spacing w:line="0" w:lineRule="atLeast"/>
                    <w:jc w:val="center"/>
                    <w:rPr>
                      <w:rFonts w:eastAsiaTheme="minorEastAsia"/>
                      <w:szCs w:val="21"/>
                    </w:rPr>
                  </w:pPr>
                  <w:r>
                    <w:rPr>
                      <w:rFonts w:hint="eastAsia" w:eastAsiaTheme="minorEastAsia"/>
                      <w:szCs w:val="21"/>
                    </w:rPr>
                    <w:t>一般工业固体废物</w:t>
                  </w:r>
                </w:p>
              </w:tc>
              <w:tc>
                <w:tcPr>
                  <w:tcW w:w="584" w:type="dxa"/>
                  <w:vAlign w:val="center"/>
                </w:tcPr>
                <w:p>
                  <w:pPr>
                    <w:spacing w:line="0" w:lineRule="atLeast"/>
                    <w:jc w:val="center"/>
                    <w:rPr>
                      <w:szCs w:val="21"/>
                    </w:rPr>
                  </w:pPr>
                  <w:r>
                    <w:rPr>
                      <w:szCs w:val="21"/>
                    </w:rPr>
                    <w:t>系数法</w:t>
                  </w:r>
                </w:p>
              </w:tc>
              <w:tc>
                <w:tcPr>
                  <w:tcW w:w="584" w:type="dxa"/>
                  <w:vMerge w:val="restart"/>
                  <w:shd w:val="clear" w:color="auto" w:fill="auto"/>
                  <w:vAlign w:val="center"/>
                </w:tcPr>
                <w:p>
                  <w:pPr>
                    <w:widowControl/>
                    <w:spacing w:line="0" w:lineRule="atLeast"/>
                    <w:jc w:val="center"/>
                    <w:rPr>
                      <w:rFonts w:eastAsiaTheme="minorEastAsia"/>
                      <w:szCs w:val="21"/>
                    </w:rPr>
                  </w:pPr>
                  <w:r>
                    <w:rPr>
                      <w:rFonts w:hint="eastAsia" w:eastAsiaTheme="minorEastAsia"/>
                      <w:szCs w:val="21"/>
                    </w:rPr>
                    <w:t>固态</w:t>
                  </w:r>
                </w:p>
              </w:tc>
              <w:tc>
                <w:tcPr>
                  <w:tcW w:w="652" w:type="dxa"/>
                  <w:shd w:val="clear" w:color="auto" w:fill="auto"/>
                  <w:vAlign w:val="center"/>
                </w:tcPr>
                <w:p>
                  <w:pPr>
                    <w:widowControl/>
                    <w:spacing w:line="0" w:lineRule="atLeast"/>
                    <w:jc w:val="center"/>
                    <w:rPr>
                      <w:rFonts w:eastAsiaTheme="minorEastAsia"/>
                      <w:szCs w:val="21"/>
                    </w:rPr>
                  </w:pPr>
                  <w:r>
                    <w:rPr>
                      <w:rFonts w:eastAsiaTheme="minorEastAsia"/>
                      <w:szCs w:val="21"/>
                    </w:rPr>
                    <w:t>/</w:t>
                  </w:r>
                </w:p>
              </w:tc>
              <w:tc>
                <w:tcPr>
                  <w:tcW w:w="640" w:type="dxa"/>
                  <w:shd w:val="clear" w:color="auto" w:fill="FFFFFF"/>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77</w:t>
                  </w:r>
                </w:p>
              </w:tc>
              <w:tc>
                <w:tcPr>
                  <w:tcW w:w="721"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77</w:t>
                  </w:r>
                </w:p>
              </w:tc>
              <w:tc>
                <w:tcPr>
                  <w:tcW w:w="721" w:type="dxa"/>
                  <w:vMerge w:val="restart"/>
                  <w:shd w:val="clear" w:color="auto" w:fill="auto"/>
                  <w:vAlign w:val="center"/>
                </w:tcPr>
                <w:p>
                  <w:pPr>
                    <w:spacing w:line="0" w:lineRule="atLeast"/>
                    <w:jc w:val="center"/>
                    <w:rPr>
                      <w:rFonts w:eastAsiaTheme="minorEastAsia"/>
                      <w:szCs w:val="21"/>
                    </w:rPr>
                  </w:pPr>
                  <w:r>
                    <w:rPr>
                      <w:rFonts w:hint="eastAsia" w:eastAsiaTheme="minorEastAsia"/>
                      <w:szCs w:val="21"/>
                    </w:rPr>
                    <w:t>袋装</w:t>
                  </w:r>
                </w:p>
              </w:tc>
              <w:tc>
                <w:tcPr>
                  <w:tcW w:w="1343" w:type="dxa"/>
                  <w:vMerge w:val="restart"/>
                  <w:shd w:val="clear" w:color="auto" w:fill="auto"/>
                  <w:vAlign w:val="center"/>
                </w:tcPr>
                <w:p>
                  <w:pPr>
                    <w:spacing w:line="0" w:lineRule="atLeast"/>
                    <w:jc w:val="center"/>
                    <w:rPr>
                      <w:rFonts w:eastAsiaTheme="minorEastAsia"/>
                      <w:szCs w:val="21"/>
                    </w:rPr>
                  </w:pPr>
                  <w:r>
                    <w:rPr>
                      <w:rFonts w:hint="eastAsia" w:eastAsiaTheme="minorEastAsia"/>
                    </w:rPr>
                    <w:t>经收集后定期同交由市政环卫部门统一处理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vMerge w:val="restart"/>
                  <w:shd w:val="clear" w:color="auto" w:fill="auto"/>
                  <w:vAlign w:val="center"/>
                </w:tcPr>
                <w:p>
                  <w:pPr>
                    <w:spacing w:line="0" w:lineRule="atLeast"/>
                    <w:jc w:val="center"/>
                    <w:rPr>
                      <w:rFonts w:eastAsiaTheme="minorEastAsia"/>
                      <w:szCs w:val="21"/>
                    </w:rPr>
                  </w:pPr>
                  <w:r>
                    <w:rPr>
                      <w:rFonts w:hint="eastAsia" w:eastAsiaTheme="minorEastAsia"/>
                      <w:szCs w:val="21"/>
                    </w:rPr>
                    <w:t>拆解</w:t>
                  </w:r>
                </w:p>
              </w:tc>
              <w:tc>
                <w:tcPr>
                  <w:tcW w:w="1689" w:type="dxa"/>
                  <w:shd w:val="clear" w:color="auto" w:fill="auto"/>
                  <w:vAlign w:val="center"/>
                </w:tcPr>
                <w:p>
                  <w:pPr>
                    <w:spacing w:line="0" w:lineRule="atLeast"/>
                    <w:jc w:val="center"/>
                    <w:rPr>
                      <w:rFonts w:eastAsiaTheme="minorEastAsia"/>
                      <w:szCs w:val="21"/>
                    </w:rPr>
                  </w:pPr>
                  <w:r>
                    <w:rPr>
                      <w:rFonts w:hint="eastAsia" w:eastAsiaTheme="minorEastAsia"/>
                      <w:bCs/>
                      <w:szCs w:val="21"/>
                    </w:rPr>
                    <w:t>（SW59 900-099-S59）</w:t>
                  </w:r>
                  <w:r>
                    <w:rPr>
                      <w:rFonts w:eastAsiaTheme="minorEastAsia"/>
                      <w:szCs w:val="21"/>
                    </w:rPr>
                    <w:t>布袋除尘器收集粉尘</w:t>
                  </w:r>
                </w:p>
              </w:tc>
              <w:tc>
                <w:tcPr>
                  <w:tcW w:w="724" w:type="dxa"/>
                  <w:vMerge w:val="continue"/>
                  <w:shd w:val="clear" w:color="auto" w:fill="auto"/>
                  <w:vAlign w:val="center"/>
                </w:tcPr>
                <w:p>
                  <w:pPr>
                    <w:widowControl/>
                    <w:spacing w:line="0" w:lineRule="atLeast"/>
                    <w:jc w:val="center"/>
                    <w:rPr>
                      <w:rFonts w:eastAsiaTheme="minorEastAsia"/>
                      <w:szCs w:val="21"/>
                    </w:rPr>
                  </w:pPr>
                </w:p>
              </w:tc>
              <w:tc>
                <w:tcPr>
                  <w:tcW w:w="584" w:type="dxa"/>
                  <w:vMerge w:val="restart"/>
                  <w:vAlign w:val="center"/>
                </w:tcPr>
                <w:p>
                  <w:pPr>
                    <w:spacing w:line="0" w:lineRule="atLeast"/>
                    <w:jc w:val="center"/>
                    <w:rPr>
                      <w:szCs w:val="21"/>
                    </w:rPr>
                  </w:pPr>
                  <w:r>
                    <w:rPr>
                      <w:szCs w:val="21"/>
                    </w:rPr>
                    <w:t>物料衡算</w:t>
                  </w:r>
                </w:p>
              </w:tc>
              <w:tc>
                <w:tcPr>
                  <w:tcW w:w="584" w:type="dxa"/>
                  <w:vMerge w:val="continue"/>
                  <w:shd w:val="clear" w:color="auto" w:fill="auto"/>
                  <w:vAlign w:val="center"/>
                </w:tcPr>
                <w:p>
                  <w:pPr>
                    <w:widowControl/>
                    <w:spacing w:line="0" w:lineRule="atLeast"/>
                    <w:jc w:val="center"/>
                    <w:rPr>
                      <w:rFonts w:eastAsiaTheme="minorEastAsia"/>
                      <w:szCs w:val="21"/>
                    </w:rPr>
                  </w:pPr>
                </w:p>
              </w:tc>
              <w:tc>
                <w:tcPr>
                  <w:tcW w:w="652"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w:t>
                  </w:r>
                </w:p>
              </w:tc>
              <w:tc>
                <w:tcPr>
                  <w:tcW w:w="640" w:type="dxa"/>
                  <w:shd w:val="clear" w:color="auto" w:fill="FFFFFF"/>
                  <w:vAlign w:val="center"/>
                </w:tcPr>
                <w:p>
                  <w:pPr>
                    <w:spacing w:line="0" w:lineRule="atLeast"/>
                    <w:jc w:val="center"/>
                    <w:rPr>
                      <w:rFonts w:eastAsiaTheme="minorEastAsia"/>
                      <w:szCs w:val="21"/>
                    </w:rPr>
                  </w:pPr>
                  <w:r>
                    <w:rPr>
                      <w:rFonts w:hint="eastAsia" w:eastAsiaTheme="minorEastAsia"/>
                      <w:szCs w:val="21"/>
                    </w:rPr>
                    <w:t>0.98</w:t>
                  </w:r>
                </w:p>
              </w:tc>
              <w:tc>
                <w:tcPr>
                  <w:tcW w:w="721" w:type="dxa"/>
                  <w:vAlign w:val="center"/>
                </w:tcPr>
                <w:p>
                  <w:pPr>
                    <w:spacing w:line="0" w:lineRule="atLeast"/>
                    <w:jc w:val="center"/>
                    <w:rPr>
                      <w:rFonts w:eastAsiaTheme="minorEastAsia"/>
                      <w:szCs w:val="21"/>
                    </w:rPr>
                  </w:pPr>
                  <w:r>
                    <w:rPr>
                      <w:rFonts w:hint="eastAsia" w:eastAsiaTheme="minorEastAsia"/>
                      <w:szCs w:val="21"/>
                    </w:rPr>
                    <w:t>0.98</w:t>
                  </w:r>
                </w:p>
              </w:tc>
              <w:tc>
                <w:tcPr>
                  <w:tcW w:w="721" w:type="dxa"/>
                  <w:vMerge w:val="continue"/>
                  <w:shd w:val="clear" w:color="auto" w:fill="auto"/>
                  <w:vAlign w:val="center"/>
                </w:tcPr>
                <w:p>
                  <w:pPr>
                    <w:spacing w:line="0" w:lineRule="atLeast"/>
                    <w:jc w:val="center"/>
                    <w:rPr>
                      <w:rFonts w:eastAsiaTheme="minorEastAsia"/>
                      <w:szCs w:val="21"/>
                    </w:rPr>
                  </w:pPr>
                </w:p>
              </w:tc>
              <w:tc>
                <w:tcPr>
                  <w:tcW w:w="1343" w:type="dxa"/>
                  <w:vMerge w:val="continue"/>
                  <w:shd w:val="clear" w:color="auto" w:fill="auto"/>
                  <w:vAlign w:val="center"/>
                </w:tcPr>
                <w:p>
                  <w:pPr>
                    <w:spacing w:line="0" w:lineRule="atLeast"/>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vMerge w:val="continue"/>
                  <w:shd w:val="clear" w:color="auto" w:fill="auto"/>
                  <w:vAlign w:val="center"/>
                </w:tcPr>
                <w:p>
                  <w:pPr>
                    <w:spacing w:line="0" w:lineRule="atLeast"/>
                    <w:jc w:val="center"/>
                    <w:rPr>
                      <w:rFonts w:eastAsiaTheme="minorEastAsia"/>
                      <w:szCs w:val="21"/>
                    </w:rPr>
                  </w:pPr>
                </w:p>
              </w:tc>
              <w:tc>
                <w:tcPr>
                  <w:tcW w:w="1689" w:type="dxa"/>
                  <w:shd w:val="clear" w:color="auto" w:fill="auto"/>
                  <w:vAlign w:val="center"/>
                </w:tcPr>
                <w:p>
                  <w:pPr>
                    <w:spacing w:line="0" w:lineRule="atLeast"/>
                    <w:jc w:val="center"/>
                    <w:rPr>
                      <w:rFonts w:eastAsiaTheme="minorEastAsia"/>
                      <w:szCs w:val="21"/>
                    </w:rPr>
                  </w:pPr>
                  <w:r>
                    <w:rPr>
                      <w:rFonts w:hint="eastAsia" w:eastAsiaTheme="minorEastAsia"/>
                      <w:bCs/>
                      <w:szCs w:val="21"/>
                    </w:rPr>
                    <w:t>（SW59 900-099-S59）</w:t>
                  </w:r>
                  <w:r>
                    <w:rPr>
                      <w:rFonts w:hint="eastAsia" w:eastAsiaTheme="minorEastAsia"/>
                    </w:rPr>
                    <w:t>废革片、废灯、废座椅</w:t>
                  </w:r>
                </w:p>
              </w:tc>
              <w:tc>
                <w:tcPr>
                  <w:tcW w:w="724" w:type="dxa"/>
                  <w:vMerge w:val="continue"/>
                  <w:shd w:val="clear" w:color="auto" w:fill="auto"/>
                  <w:vAlign w:val="center"/>
                </w:tcPr>
                <w:p>
                  <w:pPr>
                    <w:widowControl/>
                    <w:spacing w:line="0" w:lineRule="atLeast"/>
                    <w:jc w:val="center"/>
                    <w:rPr>
                      <w:rFonts w:eastAsiaTheme="minorEastAsia"/>
                      <w:szCs w:val="21"/>
                    </w:rPr>
                  </w:pPr>
                </w:p>
              </w:tc>
              <w:tc>
                <w:tcPr>
                  <w:tcW w:w="584" w:type="dxa"/>
                  <w:vMerge w:val="continue"/>
                  <w:vAlign w:val="center"/>
                </w:tcPr>
                <w:p>
                  <w:pPr>
                    <w:spacing w:line="0" w:lineRule="atLeast"/>
                    <w:jc w:val="center"/>
                    <w:rPr>
                      <w:szCs w:val="21"/>
                    </w:rPr>
                  </w:pPr>
                </w:p>
              </w:tc>
              <w:tc>
                <w:tcPr>
                  <w:tcW w:w="584" w:type="dxa"/>
                  <w:vMerge w:val="continue"/>
                  <w:shd w:val="clear" w:color="auto" w:fill="auto"/>
                  <w:vAlign w:val="center"/>
                </w:tcPr>
                <w:p>
                  <w:pPr>
                    <w:widowControl/>
                    <w:spacing w:line="0" w:lineRule="atLeast"/>
                    <w:jc w:val="center"/>
                    <w:rPr>
                      <w:rFonts w:eastAsiaTheme="minorEastAsia"/>
                      <w:szCs w:val="21"/>
                    </w:rPr>
                  </w:pPr>
                </w:p>
              </w:tc>
              <w:tc>
                <w:tcPr>
                  <w:tcW w:w="652" w:type="dxa"/>
                  <w:shd w:val="clear" w:color="auto" w:fill="auto"/>
                  <w:vAlign w:val="center"/>
                </w:tcPr>
                <w:p>
                  <w:pPr>
                    <w:widowControl/>
                    <w:spacing w:line="0" w:lineRule="atLeast"/>
                    <w:jc w:val="center"/>
                    <w:rPr>
                      <w:rFonts w:eastAsiaTheme="minorEastAsia"/>
                      <w:szCs w:val="21"/>
                    </w:rPr>
                  </w:pPr>
                  <w:r>
                    <w:rPr>
                      <w:rFonts w:eastAsiaTheme="minorEastAsia"/>
                      <w:szCs w:val="21"/>
                    </w:rPr>
                    <w:t>/</w:t>
                  </w:r>
                </w:p>
              </w:tc>
              <w:tc>
                <w:tcPr>
                  <w:tcW w:w="640" w:type="dxa"/>
                  <w:shd w:val="clear" w:color="auto" w:fill="FFFFFF"/>
                  <w:vAlign w:val="center"/>
                </w:tcPr>
                <w:p>
                  <w:pPr>
                    <w:spacing w:line="0" w:lineRule="atLeast"/>
                    <w:jc w:val="center"/>
                    <w:rPr>
                      <w:rFonts w:eastAsiaTheme="minorEastAsia"/>
                      <w:szCs w:val="21"/>
                    </w:rPr>
                  </w:pPr>
                  <w:r>
                    <w:rPr>
                      <w:rFonts w:hint="eastAsia" w:eastAsiaTheme="minorEastAsia"/>
                      <w:szCs w:val="21"/>
                    </w:rPr>
                    <w:t>17.097</w:t>
                  </w:r>
                </w:p>
              </w:tc>
              <w:tc>
                <w:tcPr>
                  <w:tcW w:w="721" w:type="dxa"/>
                  <w:vAlign w:val="center"/>
                </w:tcPr>
                <w:p>
                  <w:pPr>
                    <w:spacing w:line="0" w:lineRule="atLeast"/>
                    <w:jc w:val="center"/>
                    <w:rPr>
                      <w:rFonts w:eastAsiaTheme="minorEastAsia"/>
                      <w:szCs w:val="21"/>
                    </w:rPr>
                  </w:pPr>
                  <w:r>
                    <w:rPr>
                      <w:rFonts w:hint="eastAsia" w:eastAsiaTheme="minorEastAsia"/>
                      <w:szCs w:val="21"/>
                    </w:rPr>
                    <w:t>17.097</w:t>
                  </w:r>
                </w:p>
              </w:tc>
              <w:tc>
                <w:tcPr>
                  <w:tcW w:w="721" w:type="dxa"/>
                  <w:vMerge w:val="continue"/>
                  <w:shd w:val="clear" w:color="auto" w:fill="auto"/>
                  <w:vAlign w:val="center"/>
                </w:tcPr>
                <w:p>
                  <w:pPr>
                    <w:spacing w:line="0" w:lineRule="atLeast"/>
                    <w:jc w:val="center"/>
                    <w:rPr>
                      <w:rFonts w:eastAsiaTheme="minorEastAsia"/>
                      <w:szCs w:val="21"/>
                    </w:rPr>
                  </w:pPr>
                </w:p>
              </w:tc>
              <w:tc>
                <w:tcPr>
                  <w:tcW w:w="1343" w:type="dxa"/>
                  <w:vMerge w:val="continue"/>
                  <w:shd w:val="clear" w:color="auto" w:fill="auto"/>
                  <w:vAlign w:val="center"/>
                </w:tcPr>
                <w:p>
                  <w:pPr>
                    <w:spacing w:line="0" w:lineRule="atLeast"/>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vMerge w:val="continue"/>
                  <w:shd w:val="clear" w:color="auto" w:fill="auto"/>
                  <w:vAlign w:val="center"/>
                </w:tcPr>
                <w:p>
                  <w:pPr>
                    <w:spacing w:line="0" w:lineRule="atLeast"/>
                    <w:jc w:val="center"/>
                    <w:rPr>
                      <w:rFonts w:eastAsiaTheme="minorEastAsia"/>
                      <w:szCs w:val="21"/>
                    </w:rPr>
                  </w:pPr>
                </w:p>
              </w:tc>
              <w:tc>
                <w:tcPr>
                  <w:tcW w:w="1689" w:type="dxa"/>
                  <w:shd w:val="clear" w:color="auto" w:fill="auto"/>
                  <w:vAlign w:val="center"/>
                </w:tcPr>
                <w:p>
                  <w:pPr>
                    <w:spacing w:line="0" w:lineRule="atLeast"/>
                    <w:jc w:val="center"/>
                    <w:rPr>
                      <w:rFonts w:eastAsiaTheme="minorEastAsia"/>
                    </w:rPr>
                  </w:pPr>
                  <w:r>
                    <w:rPr>
                      <w:rFonts w:hint="eastAsia" w:eastAsiaTheme="minorEastAsia"/>
                      <w:bCs/>
                    </w:rPr>
                    <w:t>废铅酸蓄电池（类别：</w:t>
                  </w:r>
                  <w:r>
                    <w:rPr>
                      <w:rFonts w:eastAsiaTheme="minorEastAsia"/>
                      <w:bCs/>
                    </w:rPr>
                    <w:t>HW31</w:t>
                  </w:r>
                  <w:r>
                    <w:rPr>
                      <w:rFonts w:hint="eastAsia" w:eastAsiaTheme="minorEastAsia"/>
                      <w:bCs/>
                    </w:rPr>
                    <w:t>，代码：</w:t>
                  </w:r>
                  <w:r>
                    <w:rPr>
                      <w:rFonts w:eastAsiaTheme="minorEastAsia"/>
                      <w:bCs/>
                    </w:rPr>
                    <w:t>900-052-31</w:t>
                  </w:r>
                  <w:r>
                    <w:rPr>
                      <w:rFonts w:hint="eastAsia" w:eastAsiaTheme="minorEastAsia"/>
                      <w:bCs/>
                    </w:rPr>
                    <w:t>）</w:t>
                  </w:r>
                </w:p>
              </w:tc>
              <w:tc>
                <w:tcPr>
                  <w:tcW w:w="724" w:type="dxa"/>
                  <w:vMerge w:val="restart"/>
                  <w:shd w:val="clear" w:color="auto" w:fill="auto"/>
                  <w:vAlign w:val="center"/>
                </w:tcPr>
                <w:p>
                  <w:pPr>
                    <w:widowControl/>
                    <w:spacing w:line="0" w:lineRule="atLeast"/>
                    <w:jc w:val="center"/>
                    <w:rPr>
                      <w:rFonts w:eastAsiaTheme="minorEastAsia"/>
                      <w:szCs w:val="21"/>
                    </w:rPr>
                  </w:pPr>
                  <w:r>
                    <w:rPr>
                      <w:rFonts w:hint="eastAsia" w:eastAsiaTheme="minorEastAsia"/>
                      <w:szCs w:val="21"/>
                    </w:rPr>
                    <w:t>危险废物</w:t>
                  </w:r>
                </w:p>
              </w:tc>
              <w:tc>
                <w:tcPr>
                  <w:tcW w:w="584" w:type="dxa"/>
                  <w:vMerge w:val="continue"/>
                  <w:vAlign w:val="center"/>
                </w:tcPr>
                <w:p>
                  <w:pPr>
                    <w:widowControl/>
                    <w:spacing w:line="0" w:lineRule="atLeast"/>
                    <w:jc w:val="center"/>
                    <w:rPr>
                      <w:rFonts w:eastAsiaTheme="minorEastAsia"/>
                      <w:szCs w:val="21"/>
                    </w:rPr>
                  </w:pPr>
                </w:p>
              </w:tc>
              <w:tc>
                <w:tcPr>
                  <w:tcW w:w="584"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固态</w:t>
                  </w:r>
                </w:p>
              </w:tc>
              <w:tc>
                <w:tcPr>
                  <w:tcW w:w="652" w:type="dxa"/>
                  <w:shd w:val="clear" w:color="auto" w:fill="auto"/>
                  <w:vAlign w:val="center"/>
                </w:tcPr>
                <w:p>
                  <w:pPr>
                    <w:widowControl/>
                    <w:spacing w:line="0" w:lineRule="atLeast"/>
                    <w:jc w:val="center"/>
                    <w:rPr>
                      <w:rFonts w:eastAsiaTheme="minorEastAsia"/>
                      <w:szCs w:val="21"/>
                    </w:rPr>
                  </w:pPr>
                  <w:r>
                    <w:rPr>
                      <w:rFonts w:eastAsiaTheme="minorEastAsia"/>
                      <w:szCs w:val="21"/>
                    </w:rPr>
                    <w:t>T</w:t>
                  </w:r>
                  <w:r>
                    <w:rPr>
                      <w:rFonts w:hint="eastAsia" w:eastAsiaTheme="minorEastAsia"/>
                      <w:szCs w:val="21"/>
                    </w:rPr>
                    <w:t>，</w:t>
                  </w:r>
                  <w:r>
                    <w:rPr>
                      <w:rFonts w:eastAsiaTheme="minorEastAsia"/>
                      <w:szCs w:val="21"/>
                    </w:rPr>
                    <w:t>C</w:t>
                  </w:r>
                </w:p>
              </w:tc>
              <w:tc>
                <w:tcPr>
                  <w:tcW w:w="640" w:type="dxa"/>
                  <w:shd w:val="clear" w:color="auto" w:fill="FFFFFF"/>
                  <w:vAlign w:val="center"/>
                </w:tcPr>
                <w:p>
                  <w:pPr>
                    <w:spacing w:line="0" w:lineRule="atLeast"/>
                    <w:jc w:val="center"/>
                    <w:rPr>
                      <w:rFonts w:eastAsiaTheme="minorEastAsia"/>
                      <w:szCs w:val="21"/>
                    </w:rPr>
                  </w:pPr>
                  <w:r>
                    <w:rPr>
                      <w:rFonts w:hint="eastAsia" w:eastAsiaTheme="minorEastAsia"/>
                      <w:szCs w:val="21"/>
                    </w:rPr>
                    <w:t>3</w:t>
                  </w:r>
                </w:p>
              </w:tc>
              <w:tc>
                <w:tcPr>
                  <w:tcW w:w="721" w:type="dxa"/>
                  <w:vAlign w:val="center"/>
                </w:tcPr>
                <w:p>
                  <w:pPr>
                    <w:spacing w:line="0" w:lineRule="atLeast"/>
                    <w:jc w:val="center"/>
                    <w:rPr>
                      <w:rFonts w:eastAsiaTheme="minorEastAsia"/>
                      <w:szCs w:val="21"/>
                    </w:rPr>
                  </w:pPr>
                  <w:r>
                    <w:rPr>
                      <w:rFonts w:hint="eastAsia" w:eastAsiaTheme="minorEastAsia"/>
                      <w:szCs w:val="21"/>
                    </w:rPr>
                    <w:t>3</w:t>
                  </w:r>
                </w:p>
              </w:tc>
              <w:tc>
                <w:tcPr>
                  <w:tcW w:w="721" w:type="dxa"/>
                  <w:shd w:val="clear" w:color="auto" w:fill="auto"/>
                  <w:vAlign w:val="center"/>
                </w:tcPr>
                <w:p>
                  <w:pPr>
                    <w:spacing w:line="0" w:lineRule="atLeast"/>
                    <w:jc w:val="center"/>
                    <w:rPr>
                      <w:rFonts w:eastAsiaTheme="minorEastAsia"/>
                      <w:szCs w:val="21"/>
                    </w:rPr>
                  </w:pPr>
                  <w:r>
                    <w:rPr>
                      <w:rFonts w:hint="eastAsia" w:eastAsiaTheme="minorEastAsia"/>
                      <w:szCs w:val="21"/>
                    </w:rPr>
                    <w:t>袋装</w:t>
                  </w:r>
                </w:p>
              </w:tc>
              <w:tc>
                <w:tcPr>
                  <w:tcW w:w="1343" w:type="dxa"/>
                  <w:vMerge w:val="restart"/>
                  <w:shd w:val="clear" w:color="auto" w:fill="auto"/>
                  <w:vAlign w:val="center"/>
                </w:tcPr>
                <w:p>
                  <w:pPr>
                    <w:spacing w:line="0" w:lineRule="atLeast"/>
                    <w:jc w:val="center"/>
                    <w:rPr>
                      <w:rFonts w:eastAsiaTheme="minorEastAsia"/>
                      <w:szCs w:val="21"/>
                    </w:rPr>
                  </w:pPr>
                  <w:r>
                    <w:rPr>
                      <w:rFonts w:hint="eastAsia" w:eastAsiaTheme="minorEastAsia"/>
                      <w:bCs/>
                    </w:rPr>
                    <w:t>使用专用容器回收</w:t>
                  </w:r>
                  <w:r>
                    <w:rPr>
                      <w:rFonts w:hint="eastAsia" w:eastAsiaTheme="minorEastAsia"/>
                    </w:rPr>
                    <w:t>暂存于危险废物贮存库，定期交有资质单位处理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vMerge w:val="continue"/>
                  <w:shd w:val="clear" w:color="auto" w:fill="auto"/>
                  <w:vAlign w:val="center"/>
                </w:tcPr>
                <w:p>
                  <w:pPr>
                    <w:spacing w:line="0" w:lineRule="atLeast"/>
                    <w:jc w:val="center"/>
                    <w:rPr>
                      <w:rFonts w:eastAsiaTheme="minorEastAsia"/>
                      <w:szCs w:val="21"/>
                    </w:rPr>
                  </w:pPr>
                </w:p>
              </w:tc>
              <w:tc>
                <w:tcPr>
                  <w:tcW w:w="1689" w:type="dxa"/>
                  <w:shd w:val="clear" w:color="auto" w:fill="auto"/>
                  <w:vAlign w:val="center"/>
                </w:tcPr>
                <w:p>
                  <w:pPr>
                    <w:spacing w:line="0" w:lineRule="atLeast"/>
                    <w:jc w:val="center"/>
                    <w:rPr>
                      <w:rFonts w:eastAsiaTheme="minorEastAsia"/>
                      <w:szCs w:val="21"/>
                    </w:rPr>
                  </w:pPr>
                  <w:r>
                    <w:rPr>
                      <w:rFonts w:hint="eastAsia" w:eastAsiaTheme="minorEastAsia"/>
                      <w:bCs/>
                      <w:szCs w:val="21"/>
                    </w:rPr>
                    <w:t>废柴油、废液压油、废润滑油、废发动机油、变速器</w:t>
                  </w:r>
                  <w:r>
                    <w:rPr>
                      <w:rFonts w:eastAsiaTheme="minorEastAsia"/>
                      <w:bCs/>
                      <w:szCs w:val="21"/>
                    </w:rPr>
                    <w:t>/</w:t>
                  </w:r>
                  <w:r>
                    <w:rPr>
                      <w:rFonts w:hint="eastAsia" w:eastAsiaTheme="minorEastAsia"/>
                      <w:bCs/>
                      <w:szCs w:val="21"/>
                    </w:rPr>
                    <w:t>齿轮箱</w:t>
                  </w:r>
                  <w:r>
                    <w:rPr>
                      <w:rFonts w:eastAsiaTheme="minorEastAsia"/>
                      <w:bCs/>
                      <w:szCs w:val="21"/>
                    </w:rPr>
                    <w:t>油、</w:t>
                  </w:r>
                  <w:r>
                    <w:rPr>
                      <w:rFonts w:hint="eastAsia" w:eastAsiaTheme="minorEastAsia"/>
                      <w:bCs/>
                      <w:szCs w:val="21"/>
                    </w:rPr>
                    <w:t>动力转向油</w:t>
                  </w:r>
                  <w:r>
                    <w:rPr>
                      <w:rFonts w:hint="eastAsia" w:eastAsiaTheme="minorEastAsia"/>
                      <w:szCs w:val="21"/>
                    </w:rPr>
                    <w:t>（类别：</w:t>
                  </w:r>
                  <w:r>
                    <w:rPr>
                      <w:rFonts w:eastAsiaTheme="minorEastAsia"/>
                      <w:szCs w:val="21"/>
                    </w:rPr>
                    <w:t>HW08</w:t>
                  </w:r>
                  <w:r>
                    <w:rPr>
                      <w:rFonts w:hint="eastAsia" w:eastAsiaTheme="minorEastAsia"/>
                      <w:szCs w:val="21"/>
                    </w:rPr>
                    <w:t>，代码：</w:t>
                  </w:r>
                  <w:r>
                    <w:rPr>
                      <w:rFonts w:eastAsiaTheme="minorEastAsia"/>
                      <w:szCs w:val="21"/>
                    </w:rPr>
                    <w:t>900-199-08</w:t>
                  </w:r>
                  <w:r>
                    <w:rPr>
                      <w:rFonts w:hint="eastAsia" w:eastAsiaTheme="minorEastAsia"/>
                      <w:szCs w:val="21"/>
                    </w:rPr>
                    <w:t>）</w:t>
                  </w:r>
                </w:p>
              </w:tc>
              <w:tc>
                <w:tcPr>
                  <w:tcW w:w="724" w:type="dxa"/>
                  <w:vMerge w:val="continue"/>
                  <w:shd w:val="clear" w:color="auto" w:fill="auto"/>
                  <w:vAlign w:val="center"/>
                </w:tcPr>
                <w:p>
                  <w:pPr>
                    <w:spacing w:line="0" w:lineRule="atLeast"/>
                    <w:jc w:val="center"/>
                    <w:rPr>
                      <w:rFonts w:eastAsiaTheme="minorEastAsia"/>
                      <w:szCs w:val="21"/>
                    </w:rPr>
                  </w:pPr>
                </w:p>
              </w:tc>
              <w:tc>
                <w:tcPr>
                  <w:tcW w:w="584" w:type="dxa"/>
                  <w:vMerge w:val="continue"/>
                  <w:vAlign w:val="center"/>
                </w:tcPr>
                <w:p>
                  <w:pPr>
                    <w:widowControl/>
                    <w:spacing w:line="0" w:lineRule="atLeast"/>
                    <w:jc w:val="center"/>
                    <w:rPr>
                      <w:rFonts w:eastAsiaTheme="minorEastAsia"/>
                      <w:szCs w:val="21"/>
                    </w:rPr>
                  </w:pPr>
                </w:p>
              </w:tc>
              <w:tc>
                <w:tcPr>
                  <w:tcW w:w="584"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液态</w:t>
                  </w:r>
                </w:p>
              </w:tc>
              <w:tc>
                <w:tcPr>
                  <w:tcW w:w="652" w:type="dxa"/>
                  <w:shd w:val="clear" w:color="auto" w:fill="auto"/>
                  <w:vAlign w:val="center"/>
                </w:tcPr>
                <w:p>
                  <w:pPr>
                    <w:spacing w:line="0" w:lineRule="atLeast"/>
                    <w:jc w:val="center"/>
                    <w:rPr>
                      <w:rFonts w:eastAsiaTheme="minorEastAsia"/>
                      <w:szCs w:val="21"/>
                    </w:rPr>
                  </w:pPr>
                  <w:r>
                    <w:rPr>
                      <w:rFonts w:eastAsiaTheme="minorEastAsia"/>
                      <w:szCs w:val="21"/>
                    </w:rPr>
                    <w:t>T</w:t>
                  </w:r>
                  <w:r>
                    <w:rPr>
                      <w:rFonts w:hint="eastAsia" w:eastAsiaTheme="minorEastAsia"/>
                      <w:szCs w:val="21"/>
                    </w:rPr>
                    <w:t>，</w:t>
                  </w:r>
                  <w:r>
                    <w:rPr>
                      <w:rFonts w:eastAsiaTheme="minorEastAsia"/>
                      <w:szCs w:val="21"/>
                    </w:rPr>
                    <w:t>I</w:t>
                  </w:r>
                </w:p>
              </w:tc>
              <w:tc>
                <w:tcPr>
                  <w:tcW w:w="640" w:type="dxa"/>
                  <w:shd w:val="clear" w:color="auto" w:fill="FFFFFF"/>
                  <w:vAlign w:val="center"/>
                </w:tcPr>
                <w:p>
                  <w:pPr>
                    <w:spacing w:line="0" w:lineRule="atLeast"/>
                    <w:jc w:val="center"/>
                    <w:rPr>
                      <w:rFonts w:eastAsiaTheme="minorEastAsia"/>
                      <w:szCs w:val="21"/>
                    </w:rPr>
                  </w:pPr>
                  <w:r>
                    <w:rPr>
                      <w:rFonts w:hint="eastAsia" w:eastAsiaTheme="minorEastAsia"/>
                      <w:szCs w:val="21"/>
                    </w:rPr>
                    <w:t>3</w:t>
                  </w:r>
                </w:p>
              </w:tc>
              <w:tc>
                <w:tcPr>
                  <w:tcW w:w="721" w:type="dxa"/>
                  <w:vAlign w:val="center"/>
                </w:tcPr>
                <w:p>
                  <w:pPr>
                    <w:spacing w:line="0" w:lineRule="atLeast"/>
                    <w:jc w:val="center"/>
                    <w:rPr>
                      <w:rFonts w:eastAsiaTheme="minorEastAsia"/>
                      <w:szCs w:val="21"/>
                    </w:rPr>
                  </w:pPr>
                  <w:r>
                    <w:rPr>
                      <w:rFonts w:hint="eastAsia" w:eastAsiaTheme="minorEastAsia"/>
                      <w:szCs w:val="21"/>
                    </w:rPr>
                    <w:t>3</w:t>
                  </w:r>
                </w:p>
              </w:tc>
              <w:tc>
                <w:tcPr>
                  <w:tcW w:w="721" w:type="dxa"/>
                  <w:shd w:val="clear" w:color="auto" w:fill="auto"/>
                  <w:vAlign w:val="center"/>
                </w:tcPr>
                <w:p>
                  <w:pPr>
                    <w:spacing w:line="0" w:lineRule="atLeast"/>
                    <w:jc w:val="center"/>
                    <w:rPr>
                      <w:rFonts w:eastAsiaTheme="minorEastAsia"/>
                      <w:szCs w:val="21"/>
                    </w:rPr>
                  </w:pPr>
                  <w:r>
                    <w:rPr>
                      <w:rFonts w:hint="eastAsia" w:eastAsiaTheme="minorEastAsia"/>
                      <w:szCs w:val="21"/>
                    </w:rPr>
                    <w:t>桶装</w:t>
                  </w:r>
                </w:p>
              </w:tc>
              <w:tc>
                <w:tcPr>
                  <w:tcW w:w="1343" w:type="dxa"/>
                  <w:vMerge w:val="continue"/>
                  <w:shd w:val="clear" w:color="auto" w:fill="auto"/>
                  <w:vAlign w:val="center"/>
                </w:tcPr>
                <w:p>
                  <w:pPr>
                    <w:spacing w:line="0" w:lineRule="atLeast"/>
                    <w:jc w:val="center"/>
                    <w:rPr>
                      <w:rFonts w:eastAsiaTheme="minorEastAsia"/>
                      <w:szCs w:val="21"/>
                    </w:rPr>
                  </w:pPr>
                </w:p>
              </w:tc>
            </w:tr>
          </w:tbl>
          <w:p/>
          <w:p/>
          <w:p/>
          <w:p/>
          <w:p/>
          <w:p/>
          <w:p/>
          <w:p>
            <w:pPr>
              <w:spacing w:line="360" w:lineRule="auto"/>
              <w:jc w:val="center"/>
              <w:rPr>
                <w:rFonts w:eastAsiaTheme="minorEastAsia"/>
                <w:b/>
                <w:sz w:val="24"/>
              </w:rPr>
            </w:pPr>
            <w:r>
              <w:rPr>
                <w:rFonts w:hint="eastAsia" w:eastAsiaTheme="minorEastAsia"/>
                <w:b/>
                <w:sz w:val="24"/>
              </w:rPr>
              <w:t>续表</w:t>
            </w:r>
            <w:r>
              <w:rPr>
                <w:rFonts w:eastAsiaTheme="minorEastAsia"/>
                <w:b/>
                <w:sz w:val="24"/>
              </w:rPr>
              <w:t>4-1</w:t>
            </w:r>
            <w:r>
              <w:rPr>
                <w:rFonts w:hint="eastAsia" w:eastAsiaTheme="minorEastAsia"/>
                <w:b/>
                <w:sz w:val="24"/>
              </w:rPr>
              <w:t>2项目固体废物汇总表</w:t>
            </w:r>
          </w:p>
          <w:tbl>
            <w:tblPr>
              <w:tblStyle w:val="21"/>
              <w:tblW w:w="826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1"/>
              <w:gridCol w:w="1689"/>
              <w:gridCol w:w="724"/>
              <w:gridCol w:w="584"/>
              <w:gridCol w:w="584"/>
              <w:gridCol w:w="652"/>
              <w:gridCol w:w="640"/>
              <w:gridCol w:w="721"/>
              <w:gridCol w:w="721"/>
              <w:gridCol w:w="13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vMerge w:val="restart"/>
                  <w:shd w:val="clear" w:color="auto" w:fill="auto"/>
                  <w:vAlign w:val="center"/>
                </w:tcPr>
                <w:p>
                  <w:pPr>
                    <w:spacing w:line="0" w:lineRule="atLeast"/>
                    <w:jc w:val="center"/>
                    <w:rPr>
                      <w:rFonts w:eastAsiaTheme="minorEastAsia"/>
                      <w:szCs w:val="21"/>
                    </w:rPr>
                  </w:pPr>
                  <w:r>
                    <w:rPr>
                      <w:rFonts w:hint="eastAsia" w:eastAsiaTheme="minorEastAsia"/>
                      <w:szCs w:val="21"/>
                    </w:rPr>
                    <w:t>拆解</w:t>
                  </w:r>
                </w:p>
              </w:tc>
              <w:tc>
                <w:tcPr>
                  <w:tcW w:w="1689" w:type="dxa"/>
                  <w:shd w:val="clear" w:color="auto" w:fill="auto"/>
                  <w:vAlign w:val="center"/>
                </w:tcPr>
                <w:p>
                  <w:pPr>
                    <w:spacing w:line="0" w:lineRule="atLeast"/>
                    <w:jc w:val="center"/>
                    <w:rPr>
                      <w:rFonts w:eastAsiaTheme="minorEastAsia"/>
                      <w:szCs w:val="21"/>
                    </w:rPr>
                  </w:pPr>
                  <w:r>
                    <w:rPr>
                      <w:rFonts w:hint="eastAsia" w:eastAsiaTheme="minorEastAsia"/>
                      <w:bCs/>
                      <w:szCs w:val="21"/>
                    </w:rPr>
                    <w:t>含油抹布及手套（类别：</w:t>
                  </w:r>
                  <w:r>
                    <w:rPr>
                      <w:rFonts w:eastAsiaTheme="minorEastAsia"/>
                      <w:bCs/>
                      <w:szCs w:val="21"/>
                    </w:rPr>
                    <w:t>HW49</w:t>
                  </w:r>
                  <w:r>
                    <w:rPr>
                      <w:rFonts w:hint="eastAsia" w:eastAsiaTheme="minorEastAsia"/>
                      <w:bCs/>
                      <w:szCs w:val="21"/>
                    </w:rPr>
                    <w:t>，代码：</w:t>
                  </w:r>
                  <w:r>
                    <w:rPr>
                      <w:rFonts w:eastAsiaTheme="minorEastAsia"/>
                      <w:bCs/>
                      <w:szCs w:val="21"/>
                    </w:rPr>
                    <w:t>900-041-49</w:t>
                  </w:r>
                  <w:r>
                    <w:rPr>
                      <w:rFonts w:hint="eastAsia" w:eastAsiaTheme="minorEastAsia"/>
                      <w:bCs/>
                      <w:szCs w:val="21"/>
                    </w:rPr>
                    <w:t>）</w:t>
                  </w:r>
                </w:p>
              </w:tc>
              <w:tc>
                <w:tcPr>
                  <w:tcW w:w="724" w:type="dxa"/>
                  <w:vMerge w:val="restart"/>
                  <w:shd w:val="clear" w:color="auto" w:fill="auto"/>
                  <w:vAlign w:val="center"/>
                </w:tcPr>
                <w:p>
                  <w:pPr>
                    <w:spacing w:line="0" w:lineRule="atLeast"/>
                    <w:jc w:val="center"/>
                    <w:rPr>
                      <w:rFonts w:eastAsiaTheme="minorEastAsia"/>
                      <w:szCs w:val="21"/>
                    </w:rPr>
                  </w:pPr>
                  <w:r>
                    <w:rPr>
                      <w:rFonts w:hint="eastAsia" w:eastAsiaTheme="minorEastAsia"/>
                      <w:szCs w:val="21"/>
                    </w:rPr>
                    <w:t>危险废物</w:t>
                  </w:r>
                </w:p>
              </w:tc>
              <w:tc>
                <w:tcPr>
                  <w:tcW w:w="584" w:type="dxa"/>
                  <w:vMerge w:val="restart"/>
                  <w:vAlign w:val="center"/>
                </w:tcPr>
                <w:p>
                  <w:pPr>
                    <w:widowControl/>
                    <w:spacing w:line="0" w:lineRule="atLeast"/>
                    <w:jc w:val="center"/>
                    <w:rPr>
                      <w:rFonts w:eastAsiaTheme="minorEastAsia"/>
                      <w:szCs w:val="21"/>
                    </w:rPr>
                  </w:pPr>
                  <w:r>
                    <w:rPr>
                      <w:szCs w:val="21"/>
                    </w:rPr>
                    <w:t>物料衡算</w:t>
                  </w:r>
                </w:p>
              </w:tc>
              <w:tc>
                <w:tcPr>
                  <w:tcW w:w="584"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固态</w:t>
                  </w:r>
                </w:p>
              </w:tc>
              <w:tc>
                <w:tcPr>
                  <w:tcW w:w="652" w:type="dxa"/>
                  <w:shd w:val="clear" w:color="auto" w:fill="auto"/>
                  <w:vAlign w:val="center"/>
                </w:tcPr>
                <w:p>
                  <w:pPr>
                    <w:spacing w:line="0" w:lineRule="atLeast"/>
                    <w:jc w:val="center"/>
                    <w:rPr>
                      <w:rFonts w:eastAsiaTheme="minorEastAsia"/>
                      <w:szCs w:val="21"/>
                    </w:rPr>
                  </w:pPr>
                  <w:r>
                    <w:rPr>
                      <w:rFonts w:eastAsiaTheme="minorEastAsia"/>
                      <w:szCs w:val="21"/>
                    </w:rPr>
                    <w:t>T</w:t>
                  </w:r>
                </w:p>
              </w:tc>
              <w:tc>
                <w:tcPr>
                  <w:tcW w:w="640" w:type="dxa"/>
                  <w:shd w:val="clear" w:color="auto" w:fill="FFFFFF"/>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721"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721" w:type="dxa"/>
                  <w:shd w:val="clear" w:color="auto" w:fill="auto"/>
                  <w:vAlign w:val="center"/>
                </w:tcPr>
                <w:p>
                  <w:pPr>
                    <w:spacing w:line="0" w:lineRule="atLeast"/>
                    <w:jc w:val="center"/>
                    <w:rPr>
                      <w:rFonts w:eastAsiaTheme="minorEastAsia"/>
                      <w:szCs w:val="21"/>
                    </w:rPr>
                  </w:pPr>
                  <w:r>
                    <w:rPr>
                      <w:rFonts w:hint="eastAsia" w:eastAsiaTheme="minorEastAsia"/>
                      <w:szCs w:val="21"/>
                    </w:rPr>
                    <w:t>袋装</w:t>
                  </w:r>
                </w:p>
              </w:tc>
              <w:tc>
                <w:tcPr>
                  <w:tcW w:w="1343" w:type="dxa"/>
                  <w:vMerge w:val="restart"/>
                  <w:shd w:val="clear" w:color="auto" w:fill="auto"/>
                  <w:vAlign w:val="center"/>
                </w:tcPr>
                <w:p>
                  <w:pPr>
                    <w:spacing w:line="0" w:lineRule="atLeast"/>
                    <w:jc w:val="center"/>
                    <w:rPr>
                      <w:rFonts w:eastAsiaTheme="minorEastAsia"/>
                      <w:szCs w:val="21"/>
                    </w:rPr>
                  </w:pPr>
                  <w:r>
                    <w:rPr>
                      <w:rFonts w:hint="eastAsia" w:eastAsiaTheme="minorEastAsia"/>
                      <w:bCs/>
                    </w:rPr>
                    <w:t>使用专用容器回收</w:t>
                  </w:r>
                  <w:r>
                    <w:rPr>
                      <w:rFonts w:hint="eastAsia" w:eastAsiaTheme="minorEastAsia"/>
                    </w:rPr>
                    <w:t>暂存于危险废物贮存库，定期交有资质单位处理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vMerge w:val="continue"/>
                  <w:shd w:val="clear" w:color="auto" w:fill="auto"/>
                  <w:vAlign w:val="center"/>
                </w:tcPr>
                <w:p>
                  <w:pPr>
                    <w:spacing w:line="0" w:lineRule="atLeast"/>
                    <w:jc w:val="center"/>
                    <w:rPr>
                      <w:rFonts w:eastAsiaTheme="minorEastAsia"/>
                      <w:szCs w:val="21"/>
                    </w:rPr>
                  </w:pPr>
                </w:p>
              </w:tc>
              <w:tc>
                <w:tcPr>
                  <w:tcW w:w="1689" w:type="dxa"/>
                  <w:shd w:val="clear" w:color="auto" w:fill="auto"/>
                  <w:vAlign w:val="center"/>
                </w:tcPr>
                <w:p>
                  <w:pPr>
                    <w:spacing w:line="0" w:lineRule="atLeast"/>
                    <w:jc w:val="center"/>
                    <w:rPr>
                      <w:rFonts w:eastAsiaTheme="minorEastAsia"/>
                      <w:bCs/>
                      <w:szCs w:val="21"/>
                    </w:rPr>
                  </w:pPr>
                  <w:r>
                    <w:rPr>
                      <w:rFonts w:hint="eastAsia" w:eastAsiaTheme="minorEastAsia"/>
                      <w:bCs/>
                      <w:szCs w:val="21"/>
                    </w:rPr>
                    <w:t>废防冻液（</w:t>
                  </w:r>
                  <w:r>
                    <w:rPr>
                      <w:rFonts w:eastAsiaTheme="minorEastAsia"/>
                      <w:bCs/>
                      <w:szCs w:val="21"/>
                    </w:rPr>
                    <w:t>类别：HW06，代码：900-404-06</w:t>
                  </w:r>
                  <w:r>
                    <w:rPr>
                      <w:rFonts w:hint="eastAsia" w:eastAsiaTheme="minorEastAsia"/>
                      <w:bCs/>
                      <w:szCs w:val="21"/>
                    </w:rPr>
                    <w:t>）</w:t>
                  </w:r>
                </w:p>
              </w:tc>
              <w:tc>
                <w:tcPr>
                  <w:tcW w:w="724" w:type="dxa"/>
                  <w:vMerge w:val="continue"/>
                  <w:shd w:val="clear" w:color="auto" w:fill="auto"/>
                  <w:vAlign w:val="center"/>
                </w:tcPr>
                <w:p>
                  <w:pPr>
                    <w:spacing w:line="0" w:lineRule="atLeast"/>
                    <w:jc w:val="center"/>
                    <w:rPr>
                      <w:rFonts w:eastAsiaTheme="minorEastAsia"/>
                      <w:szCs w:val="21"/>
                    </w:rPr>
                  </w:pPr>
                </w:p>
              </w:tc>
              <w:tc>
                <w:tcPr>
                  <w:tcW w:w="584" w:type="dxa"/>
                  <w:vMerge w:val="continue"/>
                  <w:vAlign w:val="center"/>
                </w:tcPr>
                <w:p>
                  <w:pPr>
                    <w:widowControl/>
                    <w:spacing w:line="0" w:lineRule="atLeast"/>
                    <w:jc w:val="center"/>
                    <w:rPr>
                      <w:rFonts w:eastAsiaTheme="minorEastAsia"/>
                      <w:szCs w:val="21"/>
                    </w:rPr>
                  </w:pPr>
                </w:p>
              </w:tc>
              <w:tc>
                <w:tcPr>
                  <w:tcW w:w="584"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液态</w:t>
                  </w:r>
                </w:p>
              </w:tc>
              <w:tc>
                <w:tcPr>
                  <w:tcW w:w="652" w:type="dxa"/>
                  <w:shd w:val="clear" w:color="auto" w:fill="auto"/>
                  <w:vAlign w:val="center"/>
                </w:tcPr>
                <w:p>
                  <w:pPr>
                    <w:spacing w:line="0" w:lineRule="atLeast"/>
                    <w:jc w:val="center"/>
                    <w:rPr>
                      <w:rFonts w:eastAsiaTheme="minorEastAsia"/>
                      <w:szCs w:val="21"/>
                    </w:rPr>
                  </w:pPr>
                  <w:r>
                    <w:rPr>
                      <w:rFonts w:eastAsiaTheme="minorEastAsia"/>
                      <w:szCs w:val="21"/>
                    </w:rPr>
                    <w:t>T</w:t>
                  </w:r>
                  <w:r>
                    <w:rPr>
                      <w:rFonts w:hint="eastAsia" w:eastAsiaTheme="minorEastAsia"/>
                      <w:szCs w:val="21"/>
                    </w:rPr>
                    <w:t>，</w:t>
                  </w:r>
                  <w:r>
                    <w:rPr>
                      <w:rFonts w:eastAsiaTheme="minorEastAsia"/>
                      <w:szCs w:val="21"/>
                    </w:rPr>
                    <w:t>I</w:t>
                  </w:r>
                  <w:r>
                    <w:rPr>
                      <w:rFonts w:hint="eastAsia" w:eastAsiaTheme="minorEastAsia"/>
                      <w:szCs w:val="21"/>
                    </w:rPr>
                    <w:t>，</w:t>
                  </w:r>
                  <w:r>
                    <w:rPr>
                      <w:rFonts w:eastAsiaTheme="minorEastAsia"/>
                      <w:szCs w:val="21"/>
                    </w:rPr>
                    <w:t>R</w:t>
                  </w:r>
                </w:p>
              </w:tc>
              <w:tc>
                <w:tcPr>
                  <w:tcW w:w="640" w:type="dxa"/>
                  <w:shd w:val="clear" w:color="auto" w:fill="FFFFFF"/>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721"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721" w:type="dxa"/>
                  <w:shd w:val="clear" w:color="auto" w:fill="auto"/>
                  <w:vAlign w:val="center"/>
                </w:tcPr>
                <w:p>
                  <w:pPr>
                    <w:spacing w:line="0" w:lineRule="atLeast"/>
                    <w:jc w:val="center"/>
                    <w:rPr>
                      <w:rFonts w:eastAsiaTheme="minorEastAsia"/>
                      <w:szCs w:val="21"/>
                    </w:rPr>
                  </w:pPr>
                  <w:r>
                    <w:rPr>
                      <w:rFonts w:hint="eastAsia" w:eastAsiaTheme="minorEastAsia"/>
                      <w:szCs w:val="21"/>
                    </w:rPr>
                    <w:t>桶装</w:t>
                  </w:r>
                </w:p>
              </w:tc>
              <w:tc>
                <w:tcPr>
                  <w:tcW w:w="1343" w:type="dxa"/>
                  <w:vMerge w:val="continue"/>
                  <w:shd w:val="clear" w:color="auto" w:fill="auto"/>
                  <w:vAlign w:val="center"/>
                </w:tcPr>
                <w:p>
                  <w:pPr>
                    <w:spacing w:line="0" w:lineRule="atLeast"/>
                    <w:jc w:val="center"/>
                    <w:rPr>
                      <w:rFonts w:eastAsia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shd w:val="clear" w:color="auto" w:fill="auto"/>
                  <w:vAlign w:val="center"/>
                </w:tcPr>
                <w:p>
                  <w:pPr>
                    <w:spacing w:line="0" w:lineRule="atLeast"/>
                    <w:jc w:val="center"/>
                    <w:rPr>
                      <w:rFonts w:eastAsiaTheme="minorEastAsia"/>
                      <w:szCs w:val="21"/>
                    </w:rPr>
                  </w:pPr>
                  <w:r>
                    <w:rPr>
                      <w:rFonts w:hint="eastAsia" w:eastAsiaTheme="minorEastAsia"/>
                      <w:bCs/>
                    </w:rPr>
                    <w:t>有机废气治理</w:t>
                  </w:r>
                </w:p>
              </w:tc>
              <w:tc>
                <w:tcPr>
                  <w:tcW w:w="1689" w:type="dxa"/>
                  <w:shd w:val="clear" w:color="auto" w:fill="auto"/>
                  <w:vAlign w:val="center"/>
                </w:tcPr>
                <w:p>
                  <w:pPr>
                    <w:spacing w:line="0" w:lineRule="atLeast"/>
                    <w:jc w:val="center"/>
                    <w:rPr>
                      <w:rFonts w:eastAsiaTheme="minorEastAsia"/>
                      <w:bCs/>
                      <w:szCs w:val="21"/>
                    </w:rPr>
                  </w:pPr>
                  <w:r>
                    <w:rPr>
                      <w:rFonts w:hint="eastAsia" w:hAnsiTheme="minorEastAsia" w:eastAsiaTheme="minorEastAsia"/>
                      <w:bCs/>
                      <w:szCs w:val="21"/>
                    </w:rPr>
                    <w:t>废活性炭（</w:t>
                  </w:r>
                  <w:r>
                    <w:rPr>
                      <w:rFonts w:hint="eastAsia" w:hAnsiTheme="minorEastAsia" w:eastAsiaTheme="minorEastAsia"/>
                      <w:szCs w:val="21"/>
                    </w:rPr>
                    <w:t>类别：HW49，代码：900-039-49）</w:t>
                  </w:r>
                </w:p>
              </w:tc>
              <w:tc>
                <w:tcPr>
                  <w:tcW w:w="724" w:type="dxa"/>
                  <w:vMerge w:val="continue"/>
                  <w:shd w:val="clear" w:color="auto" w:fill="auto"/>
                  <w:vAlign w:val="center"/>
                </w:tcPr>
                <w:p>
                  <w:pPr>
                    <w:spacing w:line="0" w:lineRule="atLeast"/>
                    <w:jc w:val="center"/>
                    <w:rPr>
                      <w:rFonts w:eastAsiaTheme="minorEastAsia"/>
                      <w:szCs w:val="21"/>
                    </w:rPr>
                  </w:pPr>
                </w:p>
              </w:tc>
              <w:tc>
                <w:tcPr>
                  <w:tcW w:w="584" w:type="dxa"/>
                  <w:vAlign w:val="center"/>
                </w:tcPr>
                <w:p>
                  <w:pPr>
                    <w:widowControl/>
                    <w:spacing w:line="0" w:lineRule="atLeast"/>
                    <w:jc w:val="center"/>
                    <w:rPr>
                      <w:rFonts w:eastAsiaTheme="minorEastAsia"/>
                      <w:szCs w:val="21"/>
                    </w:rPr>
                  </w:pPr>
                  <w:r>
                    <w:rPr>
                      <w:rFonts w:hint="eastAsia" w:eastAsiaTheme="minorEastAsia"/>
                      <w:szCs w:val="21"/>
                    </w:rPr>
                    <w:t>系数法</w:t>
                  </w:r>
                </w:p>
              </w:tc>
              <w:tc>
                <w:tcPr>
                  <w:tcW w:w="584"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固态</w:t>
                  </w:r>
                </w:p>
              </w:tc>
              <w:tc>
                <w:tcPr>
                  <w:tcW w:w="652" w:type="dxa"/>
                  <w:shd w:val="clear" w:color="auto" w:fill="auto"/>
                  <w:vAlign w:val="center"/>
                </w:tcPr>
                <w:p>
                  <w:pPr>
                    <w:spacing w:line="0" w:lineRule="atLeast"/>
                    <w:jc w:val="center"/>
                    <w:rPr>
                      <w:rFonts w:eastAsiaTheme="minorEastAsia"/>
                      <w:szCs w:val="21"/>
                    </w:rPr>
                  </w:pPr>
                  <w:r>
                    <w:rPr>
                      <w:rFonts w:hint="eastAsia" w:eastAsiaTheme="minorEastAsia"/>
                      <w:szCs w:val="21"/>
                    </w:rPr>
                    <w:t>T</w:t>
                  </w:r>
                </w:p>
              </w:tc>
              <w:tc>
                <w:tcPr>
                  <w:tcW w:w="640" w:type="dxa"/>
                  <w:shd w:val="clear" w:color="auto" w:fill="FFFFFF"/>
                  <w:vAlign w:val="center"/>
                </w:tcPr>
                <w:p>
                  <w:pPr>
                    <w:spacing w:line="0" w:lineRule="atLeast"/>
                    <w:jc w:val="center"/>
                    <w:rPr>
                      <w:rFonts w:eastAsiaTheme="minorEastAsia"/>
                      <w:szCs w:val="21"/>
                    </w:rPr>
                  </w:pPr>
                  <w:r>
                    <w:rPr>
                      <w:rFonts w:hint="eastAsia" w:eastAsiaTheme="minorEastAsia"/>
                      <w:szCs w:val="21"/>
                    </w:rPr>
                    <w:t>0.03</w:t>
                  </w:r>
                </w:p>
              </w:tc>
              <w:tc>
                <w:tcPr>
                  <w:tcW w:w="721" w:type="dxa"/>
                  <w:vAlign w:val="center"/>
                </w:tcPr>
                <w:p>
                  <w:pPr>
                    <w:spacing w:line="0" w:lineRule="atLeast"/>
                    <w:jc w:val="center"/>
                    <w:rPr>
                      <w:rFonts w:eastAsiaTheme="minorEastAsia"/>
                      <w:szCs w:val="21"/>
                    </w:rPr>
                  </w:pPr>
                  <w:r>
                    <w:rPr>
                      <w:rFonts w:hint="eastAsia" w:eastAsiaTheme="minorEastAsia"/>
                      <w:szCs w:val="21"/>
                    </w:rPr>
                    <w:t>0.03</w:t>
                  </w:r>
                </w:p>
              </w:tc>
              <w:tc>
                <w:tcPr>
                  <w:tcW w:w="721" w:type="dxa"/>
                  <w:shd w:val="clear" w:color="auto" w:fill="auto"/>
                  <w:vAlign w:val="center"/>
                </w:tcPr>
                <w:p>
                  <w:pPr>
                    <w:spacing w:line="0" w:lineRule="atLeast"/>
                    <w:jc w:val="center"/>
                    <w:rPr>
                      <w:rFonts w:eastAsiaTheme="minorEastAsia"/>
                      <w:szCs w:val="21"/>
                    </w:rPr>
                  </w:pPr>
                  <w:r>
                    <w:rPr>
                      <w:rFonts w:hint="eastAsia" w:eastAsiaTheme="minorEastAsia"/>
                      <w:szCs w:val="21"/>
                    </w:rPr>
                    <w:t>袋装</w:t>
                  </w:r>
                </w:p>
              </w:tc>
              <w:tc>
                <w:tcPr>
                  <w:tcW w:w="1343" w:type="dxa"/>
                  <w:vMerge w:val="continue"/>
                  <w:shd w:val="clear" w:color="auto" w:fill="auto"/>
                  <w:vAlign w:val="center"/>
                </w:tcPr>
                <w:p>
                  <w:pPr>
                    <w:spacing w:line="0" w:lineRule="atLeast"/>
                    <w:jc w:val="center"/>
                    <w:rPr>
                      <w:rFonts w:eastAsia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shd w:val="clear" w:color="auto" w:fill="auto"/>
                  <w:vAlign w:val="center"/>
                </w:tcPr>
                <w:p>
                  <w:pPr>
                    <w:spacing w:line="0" w:lineRule="atLeast"/>
                    <w:jc w:val="center"/>
                    <w:rPr>
                      <w:rFonts w:eastAsiaTheme="minorEastAsia"/>
                      <w:szCs w:val="21"/>
                    </w:rPr>
                  </w:pPr>
                  <w:r>
                    <w:rPr>
                      <w:rFonts w:hint="eastAsia" w:eastAsiaTheme="minorEastAsia"/>
                      <w:bCs/>
                    </w:rPr>
                    <w:t>初期雨水池</w:t>
                  </w:r>
                </w:p>
              </w:tc>
              <w:tc>
                <w:tcPr>
                  <w:tcW w:w="1689" w:type="dxa"/>
                  <w:shd w:val="clear" w:color="auto" w:fill="auto"/>
                  <w:vAlign w:val="center"/>
                </w:tcPr>
                <w:p>
                  <w:pPr>
                    <w:spacing w:line="0" w:lineRule="atLeast"/>
                    <w:jc w:val="center"/>
                    <w:rPr>
                      <w:rFonts w:eastAsiaTheme="minorEastAsia"/>
                      <w:bCs/>
                      <w:szCs w:val="21"/>
                    </w:rPr>
                  </w:pPr>
                  <w:r>
                    <w:rPr>
                      <w:rFonts w:hint="eastAsia" w:eastAsiaTheme="minorEastAsia"/>
                      <w:bCs/>
                      <w:szCs w:val="21"/>
                    </w:rPr>
                    <w:t>油泥（</w:t>
                  </w:r>
                  <w:r>
                    <w:rPr>
                      <w:rFonts w:hint="eastAsia" w:eastAsiaTheme="minorEastAsia"/>
                      <w:bCs/>
                    </w:rPr>
                    <w:t>类别：</w:t>
                  </w:r>
                  <w:r>
                    <w:rPr>
                      <w:rFonts w:eastAsiaTheme="minorEastAsia"/>
                      <w:bCs/>
                    </w:rPr>
                    <w:t>HW08</w:t>
                  </w:r>
                  <w:r>
                    <w:rPr>
                      <w:rFonts w:hint="eastAsia" w:eastAsiaTheme="minorEastAsia"/>
                      <w:bCs/>
                    </w:rPr>
                    <w:t>，代码：</w:t>
                  </w:r>
                  <w:r>
                    <w:rPr>
                      <w:rFonts w:eastAsiaTheme="minorEastAsia"/>
                      <w:bCs/>
                    </w:rPr>
                    <w:t>900-210-08</w:t>
                  </w:r>
                  <w:r>
                    <w:rPr>
                      <w:rFonts w:hint="eastAsia" w:eastAsiaTheme="minorEastAsia"/>
                      <w:bCs/>
                      <w:szCs w:val="21"/>
                    </w:rPr>
                    <w:t>）</w:t>
                  </w:r>
                </w:p>
              </w:tc>
              <w:tc>
                <w:tcPr>
                  <w:tcW w:w="724" w:type="dxa"/>
                  <w:vMerge w:val="continue"/>
                  <w:shd w:val="clear" w:color="auto" w:fill="auto"/>
                  <w:vAlign w:val="center"/>
                </w:tcPr>
                <w:p>
                  <w:pPr>
                    <w:spacing w:line="0" w:lineRule="atLeast"/>
                    <w:jc w:val="center"/>
                    <w:rPr>
                      <w:rFonts w:eastAsiaTheme="minorEastAsia"/>
                      <w:szCs w:val="21"/>
                    </w:rPr>
                  </w:pPr>
                </w:p>
              </w:tc>
              <w:tc>
                <w:tcPr>
                  <w:tcW w:w="584" w:type="dxa"/>
                  <w:vAlign w:val="center"/>
                </w:tcPr>
                <w:p>
                  <w:pPr>
                    <w:widowControl/>
                    <w:spacing w:line="0" w:lineRule="atLeast"/>
                    <w:jc w:val="center"/>
                    <w:rPr>
                      <w:rFonts w:eastAsiaTheme="minorEastAsia"/>
                      <w:szCs w:val="21"/>
                    </w:rPr>
                  </w:pPr>
                  <w:r>
                    <w:rPr>
                      <w:szCs w:val="21"/>
                    </w:rPr>
                    <w:t>物料衡算</w:t>
                  </w:r>
                </w:p>
              </w:tc>
              <w:tc>
                <w:tcPr>
                  <w:tcW w:w="584"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半固态</w:t>
                  </w:r>
                </w:p>
              </w:tc>
              <w:tc>
                <w:tcPr>
                  <w:tcW w:w="652" w:type="dxa"/>
                  <w:shd w:val="clear" w:color="auto" w:fill="auto"/>
                  <w:vAlign w:val="center"/>
                </w:tcPr>
                <w:p>
                  <w:pPr>
                    <w:spacing w:line="0" w:lineRule="atLeast"/>
                    <w:jc w:val="center"/>
                    <w:rPr>
                      <w:rFonts w:eastAsiaTheme="minorEastAsia"/>
                      <w:szCs w:val="21"/>
                    </w:rPr>
                  </w:pPr>
                  <w:r>
                    <w:rPr>
                      <w:rFonts w:eastAsiaTheme="minorEastAsia"/>
                      <w:szCs w:val="21"/>
                    </w:rPr>
                    <w:t>T</w:t>
                  </w:r>
                  <w:r>
                    <w:rPr>
                      <w:rFonts w:hint="eastAsia" w:eastAsiaTheme="minorEastAsia"/>
                      <w:szCs w:val="21"/>
                    </w:rPr>
                    <w:t>、</w:t>
                  </w:r>
                  <w:r>
                    <w:rPr>
                      <w:rFonts w:eastAsiaTheme="minorEastAsia"/>
                      <w:szCs w:val="21"/>
                    </w:rPr>
                    <w:t>I</w:t>
                  </w:r>
                </w:p>
              </w:tc>
              <w:tc>
                <w:tcPr>
                  <w:tcW w:w="640" w:type="dxa"/>
                  <w:shd w:val="clear" w:color="auto" w:fill="FFFFFF"/>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5</w:t>
                  </w:r>
                </w:p>
              </w:tc>
              <w:tc>
                <w:tcPr>
                  <w:tcW w:w="721"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5</w:t>
                  </w:r>
                </w:p>
              </w:tc>
              <w:tc>
                <w:tcPr>
                  <w:tcW w:w="721" w:type="dxa"/>
                  <w:shd w:val="clear" w:color="auto" w:fill="auto"/>
                  <w:vAlign w:val="center"/>
                </w:tcPr>
                <w:p>
                  <w:pPr>
                    <w:spacing w:line="0" w:lineRule="atLeast"/>
                    <w:jc w:val="center"/>
                    <w:rPr>
                      <w:rFonts w:eastAsiaTheme="minorEastAsia"/>
                      <w:szCs w:val="21"/>
                    </w:rPr>
                  </w:pPr>
                  <w:r>
                    <w:rPr>
                      <w:rFonts w:hint="eastAsia" w:eastAsiaTheme="minorEastAsia"/>
                      <w:szCs w:val="21"/>
                    </w:rPr>
                    <w:t>袋装</w:t>
                  </w:r>
                </w:p>
              </w:tc>
              <w:tc>
                <w:tcPr>
                  <w:tcW w:w="1343" w:type="dxa"/>
                  <w:vMerge w:val="continue"/>
                  <w:shd w:val="clear" w:color="auto" w:fill="auto"/>
                  <w:vAlign w:val="center"/>
                </w:tcPr>
                <w:p>
                  <w:pPr>
                    <w:spacing w:line="0" w:lineRule="atLeast"/>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 w:hRule="atLeast"/>
                <w:jc w:val="center"/>
              </w:trPr>
              <w:tc>
                <w:tcPr>
                  <w:tcW w:w="611" w:type="dxa"/>
                  <w:shd w:val="clear" w:color="auto" w:fill="auto"/>
                  <w:vAlign w:val="center"/>
                </w:tcPr>
                <w:p>
                  <w:pPr>
                    <w:spacing w:line="0" w:lineRule="atLeast"/>
                    <w:jc w:val="center"/>
                    <w:rPr>
                      <w:rFonts w:eastAsiaTheme="minorEastAsia"/>
                      <w:szCs w:val="21"/>
                    </w:rPr>
                  </w:pPr>
                  <w:r>
                    <w:rPr>
                      <w:rFonts w:hint="eastAsia" w:eastAsiaTheme="minorEastAsia"/>
                      <w:szCs w:val="21"/>
                    </w:rPr>
                    <w:t>拆解</w:t>
                  </w:r>
                </w:p>
              </w:tc>
              <w:tc>
                <w:tcPr>
                  <w:tcW w:w="1689" w:type="dxa"/>
                  <w:shd w:val="clear" w:color="auto" w:fill="auto"/>
                  <w:vAlign w:val="center"/>
                </w:tcPr>
                <w:p>
                  <w:pPr>
                    <w:spacing w:line="0" w:lineRule="atLeast"/>
                    <w:jc w:val="center"/>
                    <w:rPr>
                      <w:rFonts w:eastAsiaTheme="minorEastAsia"/>
                      <w:bCs/>
                      <w:szCs w:val="21"/>
                    </w:rPr>
                  </w:pPr>
                  <w:r>
                    <w:rPr>
                      <w:rFonts w:hint="eastAsia" w:eastAsiaTheme="minorEastAsia"/>
                      <w:bCs/>
                      <w:szCs w:val="21"/>
                    </w:rPr>
                    <w:t>机油过滤器（类别：</w:t>
                  </w:r>
                  <w:r>
                    <w:rPr>
                      <w:rFonts w:eastAsiaTheme="minorEastAsia"/>
                      <w:bCs/>
                      <w:szCs w:val="21"/>
                    </w:rPr>
                    <w:t>HW08</w:t>
                  </w:r>
                  <w:r>
                    <w:rPr>
                      <w:rFonts w:hint="eastAsia" w:eastAsiaTheme="minorEastAsia"/>
                      <w:bCs/>
                      <w:szCs w:val="21"/>
                    </w:rPr>
                    <w:t>，代码：900-213-08）</w:t>
                  </w:r>
                </w:p>
              </w:tc>
              <w:tc>
                <w:tcPr>
                  <w:tcW w:w="724" w:type="dxa"/>
                  <w:vMerge w:val="continue"/>
                  <w:shd w:val="clear" w:color="auto" w:fill="auto"/>
                  <w:vAlign w:val="center"/>
                </w:tcPr>
                <w:p>
                  <w:pPr>
                    <w:spacing w:line="0" w:lineRule="atLeast"/>
                    <w:jc w:val="center"/>
                    <w:rPr>
                      <w:rFonts w:eastAsiaTheme="minorEastAsia"/>
                      <w:szCs w:val="21"/>
                    </w:rPr>
                  </w:pPr>
                </w:p>
              </w:tc>
              <w:tc>
                <w:tcPr>
                  <w:tcW w:w="584" w:type="dxa"/>
                  <w:vAlign w:val="center"/>
                </w:tcPr>
                <w:p>
                  <w:pPr>
                    <w:widowControl/>
                    <w:spacing w:line="0" w:lineRule="atLeast"/>
                    <w:jc w:val="center"/>
                    <w:rPr>
                      <w:rFonts w:eastAsiaTheme="minorEastAsia"/>
                      <w:szCs w:val="21"/>
                    </w:rPr>
                  </w:pPr>
                  <w:r>
                    <w:rPr>
                      <w:szCs w:val="21"/>
                    </w:rPr>
                    <w:t>物料衡算</w:t>
                  </w:r>
                </w:p>
              </w:tc>
              <w:tc>
                <w:tcPr>
                  <w:tcW w:w="584" w:type="dxa"/>
                  <w:shd w:val="clear" w:color="auto" w:fill="auto"/>
                  <w:vAlign w:val="center"/>
                </w:tcPr>
                <w:p>
                  <w:pPr>
                    <w:widowControl/>
                    <w:spacing w:line="0" w:lineRule="atLeast"/>
                    <w:jc w:val="center"/>
                    <w:rPr>
                      <w:rFonts w:eastAsiaTheme="minorEastAsia"/>
                      <w:szCs w:val="21"/>
                    </w:rPr>
                  </w:pPr>
                  <w:r>
                    <w:rPr>
                      <w:rFonts w:hint="eastAsia" w:eastAsiaTheme="minorEastAsia"/>
                      <w:szCs w:val="21"/>
                    </w:rPr>
                    <w:t>固态</w:t>
                  </w:r>
                </w:p>
              </w:tc>
              <w:tc>
                <w:tcPr>
                  <w:tcW w:w="652" w:type="dxa"/>
                  <w:shd w:val="clear" w:color="auto" w:fill="auto"/>
                  <w:vAlign w:val="center"/>
                </w:tcPr>
                <w:p>
                  <w:pPr>
                    <w:spacing w:line="0" w:lineRule="atLeast"/>
                    <w:jc w:val="center"/>
                    <w:rPr>
                      <w:rFonts w:eastAsiaTheme="minorEastAsia"/>
                      <w:szCs w:val="21"/>
                    </w:rPr>
                  </w:pPr>
                  <w:r>
                    <w:rPr>
                      <w:rFonts w:eastAsiaTheme="minorEastAsia"/>
                      <w:szCs w:val="21"/>
                    </w:rPr>
                    <w:t>T</w:t>
                  </w:r>
                </w:p>
              </w:tc>
              <w:tc>
                <w:tcPr>
                  <w:tcW w:w="640" w:type="dxa"/>
                  <w:shd w:val="clear" w:color="auto" w:fill="FFFFFF"/>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003</w:t>
                  </w:r>
                </w:p>
              </w:tc>
              <w:tc>
                <w:tcPr>
                  <w:tcW w:w="721"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003</w:t>
                  </w:r>
                </w:p>
              </w:tc>
              <w:tc>
                <w:tcPr>
                  <w:tcW w:w="721" w:type="dxa"/>
                  <w:shd w:val="clear" w:color="auto" w:fill="auto"/>
                  <w:vAlign w:val="center"/>
                </w:tcPr>
                <w:p>
                  <w:pPr>
                    <w:spacing w:line="0" w:lineRule="atLeast"/>
                    <w:jc w:val="center"/>
                    <w:rPr>
                      <w:rFonts w:eastAsiaTheme="minorEastAsia"/>
                      <w:szCs w:val="21"/>
                    </w:rPr>
                  </w:pPr>
                  <w:r>
                    <w:rPr>
                      <w:rFonts w:hint="eastAsia" w:eastAsiaTheme="minorEastAsia"/>
                      <w:szCs w:val="21"/>
                    </w:rPr>
                    <w:t>袋装</w:t>
                  </w:r>
                </w:p>
              </w:tc>
              <w:tc>
                <w:tcPr>
                  <w:tcW w:w="1343" w:type="dxa"/>
                  <w:vMerge w:val="continue"/>
                  <w:shd w:val="clear" w:color="auto" w:fill="auto"/>
                  <w:vAlign w:val="center"/>
                </w:tcPr>
                <w:p>
                  <w:pPr>
                    <w:spacing w:line="0" w:lineRule="atLeast"/>
                    <w:jc w:val="center"/>
                    <w:rPr>
                      <w:rFonts w:eastAsiaTheme="minorEastAsia"/>
                      <w:szCs w:val="21"/>
                    </w:rPr>
                  </w:pPr>
                </w:p>
              </w:tc>
            </w:tr>
          </w:tbl>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p>
          <w:p>
            <w:pPr>
              <w:spacing w:line="360" w:lineRule="auto"/>
              <w:jc w:val="center"/>
              <w:rPr>
                <w:rFonts w:eastAsiaTheme="minorEastAsia"/>
                <w:b/>
                <w:sz w:val="24"/>
              </w:rPr>
            </w:pPr>
            <w:r>
              <w:rPr>
                <w:rFonts w:hint="eastAsia" w:eastAsiaTheme="minorEastAsia"/>
                <w:b/>
                <w:sz w:val="24"/>
              </w:rPr>
              <w:t>表</w:t>
            </w:r>
            <w:r>
              <w:rPr>
                <w:rFonts w:eastAsiaTheme="minorEastAsia"/>
                <w:b/>
                <w:sz w:val="24"/>
              </w:rPr>
              <w:t>4-</w:t>
            </w:r>
            <w:r>
              <w:rPr>
                <w:rFonts w:hint="eastAsia" w:eastAsiaTheme="minorEastAsia"/>
                <w:b/>
                <w:sz w:val="24"/>
              </w:rPr>
              <w:t>13危险废物汇总表</w:t>
            </w:r>
          </w:p>
          <w:tbl>
            <w:tblPr>
              <w:tblStyle w:val="21"/>
              <w:tblW w:w="84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831"/>
              <w:gridCol w:w="845"/>
              <w:gridCol w:w="994"/>
              <w:gridCol w:w="709"/>
              <w:gridCol w:w="711"/>
              <w:gridCol w:w="424"/>
              <w:gridCol w:w="851"/>
              <w:gridCol w:w="424"/>
              <w:gridCol w:w="429"/>
              <w:gridCol w:w="845"/>
              <w:gridCol w:w="9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1" w:hRule="atLeast"/>
                <w:jc w:val="center"/>
              </w:trPr>
              <w:tc>
                <w:tcPr>
                  <w:tcW w:w="437" w:type="dxa"/>
                  <w:shd w:val="clear" w:color="auto" w:fill="auto"/>
                  <w:vAlign w:val="center"/>
                </w:tcPr>
                <w:p>
                  <w:pPr>
                    <w:topLinePunct/>
                    <w:jc w:val="center"/>
                    <w:rPr>
                      <w:rFonts w:eastAsiaTheme="minorEastAsia"/>
                      <w:szCs w:val="21"/>
                    </w:rPr>
                  </w:pPr>
                  <w:r>
                    <w:rPr>
                      <w:rFonts w:hint="eastAsia" w:eastAsiaTheme="minorEastAsia"/>
                      <w:szCs w:val="21"/>
                    </w:rPr>
                    <w:t>序号</w:t>
                  </w:r>
                </w:p>
              </w:tc>
              <w:tc>
                <w:tcPr>
                  <w:tcW w:w="831" w:type="dxa"/>
                  <w:shd w:val="clear" w:color="auto" w:fill="auto"/>
                  <w:vAlign w:val="center"/>
                </w:tcPr>
                <w:p>
                  <w:pPr>
                    <w:topLinePunct/>
                    <w:jc w:val="center"/>
                    <w:rPr>
                      <w:rFonts w:eastAsiaTheme="minorEastAsia"/>
                      <w:szCs w:val="21"/>
                    </w:rPr>
                  </w:pPr>
                  <w:r>
                    <w:rPr>
                      <w:rFonts w:hint="eastAsia" w:eastAsiaTheme="minorEastAsia"/>
                      <w:szCs w:val="21"/>
                    </w:rPr>
                    <w:t>危险废物名称</w:t>
                  </w:r>
                </w:p>
              </w:tc>
              <w:tc>
                <w:tcPr>
                  <w:tcW w:w="845" w:type="dxa"/>
                  <w:shd w:val="clear" w:color="auto" w:fill="auto"/>
                  <w:vAlign w:val="center"/>
                </w:tcPr>
                <w:p>
                  <w:pPr>
                    <w:topLinePunct/>
                    <w:jc w:val="center"/>
                    <w:rPr>
                      <w:rFonts w:eastAsiaTheme="minorEastAsia"/>
                      <w:szCs w:val="21"/>
                    </w:rPr>
                  </w:pPr>
                  <w:r>
                    <w:rPr>
                      <w:rFonts w:hint="eastAsia" w:eastAsiaTheme="minorEastAsia"/>
                      <w:szCs w:val="21"/>
                    </w:rPr>
                    <w:t>危险废物类别</w:t>
                  </w:r>
                </w:p>
              </w:tc>
              <w:tc>
                <w:tcPr>
                  <w:tcW w:w="994" w:type="dxa"/>
                  <w:shd w:val="clear" w:color="auto" w:fill="auto"/>
                  <w:vAlign w:val="center"/>
                </w:tcPr>
                <w:p>
                  <w:pPr>
                    <w:topLinePunct/>
                    <w:jc w:val="center"/>
                    <w:rPr>
                      <w:rFonts w:eastAsiaTheme="minorEastAsia"/>
                      <w:szCs w:val="21"/>
                    </w:rPr>
                  </w:pPr>
                  <w:r>
                    <w:rPr>
                      <w:rFonts w:hint="eastAsia" w:eastAsiaTheme="minorEastAsia"/>
                      <w:szCs w:val="21"/>
                    </w:rPr>
                    <w:t>危险废物</w:t>
                  </w:r>
                </w:p>
                <w:p>
                  <w:pPr>
                    <w:topLinePunct/>
                    <w:jc w:val="center"/>
                    <w:rPr>
                      <w:rFonts w:eastAsiaTheme="minorEastAsia"/>
                      <w:szCs w:val="21"/>
                    </w:rPr>
                  </w:pPr>
                  <w:r>
                    <w:rPr>
                      <w:rFonts w:hint="eastAsia" w:eastAsiaTheme="minorEastAsia"/>
                      <w:szCs w:val="21"/>
                    </w:rPr>
                    <w:t>代码</w:t>
                  </w:r>
                </w:p>
              </w:tc>
              <w:tc>
                <w:tcPr>
                  <w:tcW w:w="709" w:type="dxa"/>
                  <w:shd w:val="clear" w:color="auto" w:fill="auto"/>
                  <w:vAlign w:val="center"/>
                </w:tcPr>
                <w:p>
                  <w:pPr>
                    <w:topLinePunct/>
                    <w:jc w:val="center"/>
                    <w:rPr>
                      <w:rFonts w:eastAsiaTheme="minorEastAsia"/>
                      <w:szCs w:val="21"/>
                    </w:rPr>
                  </w:pPr>
                  <w:r>
                    <w:rPr>
                      <w:rFonts w:hint="eastAsia" w:eastAsiaTheme="minorEastAsia"/>
                      <w:szCs w:val="21"/>
                    </w:rPr>
                    <w:t>产生量</w:t>
                  </w:r>
                </w:p>
              </w:tc>
              <w:tc>
                <w:tcPr>
                  <w:tcW w:w="711" w:type="dxa"/>
                  <w:shd w:val="clear" w:color="auto" w:fill="auto"/>
                  <w:vAlign w:val="center"/>
                </w:tcPr>
                <w:p>
                  <w:pPr>
                    <w:topLinePunct/>
                    <w:jc w:val="center"/>
                    <w:rPr>
                      <w:rFonts w:eastAsiaTheme="minorEastAsia"/>
                      <w:szCs w:val="21"/>
                    </w:rPr>
                  </w:pPr>
                  <w:r>
                    <w:rPr>
                      <w:rFonts w:hint="eastAsia" w:eastAsiaTheme="minorEastAsia"/>
                      <w:szCs w:val="21"/>
                    </w:rPr>
                    <w:t>产生工序及装置</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形态</w:t>
                  </w:r>
                </w:p>
              </w:tc>
              <w:tc>
                <w:tcPr>
                  <w:tcW w:w="851" w:type="dxa"/>
                  <w:shd w:val="clear" w:color="auto" w:fill="auto"/>
                  <w:vAlign w:val="center"/>
                </w:tcPr>
                <w:p>
                  <w:pPr>
                    <w:topLinePunct/>
                    <w:jc w:val="center"/>
                    <w:rPr>
                      <w:rFonts w:eastAsiaTheme="minorEastAsia"/>
                      <w:szCs w:val="21"/>
                    </w:rPr>
                  </w:pPr>
                  <w:r>
                    <w:rPr>
                      <w:rFonts w:hint="eastAsia" w:eastAsiaTheme="minorEastAsia"/>
                      <w:szCs w:val="21"/>
                    </w:rPr>
                    <w:t>主要成分</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有害成分</w:t>
                  </w:r>
                </w:p>
              </w:tc>
              <w:tc>
                <w:tcPr>
                  <w:tcW w:w="429" w:type="dxa"/>
                  <w:shd w:val="clear" w:color="auto" w:fill="auto"/>
                  <w:vAlign w:val="center"/>
                </w:tcPr>
                <w:p>
                  <w:pPr>
                    <w:topLinePunct/>
                    <w:jc w:val="center"/>
                    <w:rPr>
                      <w:rFonts w:eastAsiaTheme="minorEastAsia"/>
                      <w:szCs w:val="21"/>
                    </w:rPr>
                  </w:pPr>
                  <w:r>
                    <w:rPr>
                      <w:rFonts w:hint="eastAsia" w:eastAsiaTheme="minorEastAsia"/>
                      <w:szCs w:val="21"/>
                    </w:rPr>
                    <w:t>产废周期</w:t>
                  </w:r>
                </w:p>
              </w:tc>
              <w:tc>
                <w:tcPr>
                  <w:tcW w:w="845" w:type="dxa"/>
                  <w:tcBorders>
                    <w:bottom w:val="single" w:color="auto" w:sz="4" w:space="0"/>
                  </w:tcBorders>
                  <w:shd w:val="clear" w:color="auto" w:fill="auto"/>
                  <w:vAlign w:val="center"/>
                </w:tcPr>
                <w:p>
                  <w:pPr>
                    <w:topLinePunct/>
                    <w:jc w:val="center"/>
                    <w:rPr>
                      <w:rFonts w:eastAsiaTheme="minorEastAsia"/>
                      <w:szCs w:val="21"/>
                    </w:rPr>
                  </w:pPr>
                  <w:r>
                    <w:rPr>
                      <w:rFonts w:hint="eastAsia" w:eastAsiaTheme="minorEastAsia"/>
                      <w:szCs w:val="21"/>
                    </w:rPr>
                    <w:t>危险</w:t>
                  </w:r>
                </w:p>
                <w:p>
                  <w:pPr>
                    <w:topLinePunct/>
                    <w:jc w:val="center"/>
                    <w:rPr>
                      <w:rFonts w:eastAsiaTheme="minorEastAsia"/>
                      <w:szCs w:val="21"/>
                    </w:rPr>
                  </w:pPr>
                  <w:r>
                    <w:rPr>
                      <w:rFonts w:hint="eastAsia" w:eastAsiaTheme="minorEastAsia"/>
                      <w:szCs w:val="21"/>
                    </w:rPr>
                    <w:t>特性</w:t>
                  </w:r>
                </w:p>
              </w:tc>
              <w:tc>
                <w:tcPr>
                  <w:tcW w:w="921" w:type="dxa"/>
                  <w:tcBorders>
                    <w:bottom w:val="single" w:color="auto" w:sz="4" w:space="0"/>
                  </w:tcBorders>
                  <w:shd w:val="clear" w:color="auto" w:fill="auto"/>
                  <w:vAlign w:val="center"/>
                </w:tcPr>
                <w:p>
                  <w:pPr>
                    <w:topLinePunct/>
                    <w:jc w:val="center"/>
                    <w:rPr>
                      <w:rFonts w:eastAsiaTheme="minorEastAsia"/>
                      <w:szCs w:val="21"/>
                    </w:rPr>
                  </w:pPr>
                  <w:r>
                    <w:rPr>
                      <w:rFonts w:hint="eastAsia" w:eastAsiaTheme="minorEastAsia"/>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97" w:hRule="atLeast"/>
                <w:jc w:val="center"/>
              </w:trPr>
              <w:tc>
                <w:tcPr>
                  <w:tcW w:w="437" w:type="dxa"/>
                  <w:shd w:val="clear" w:color="auto" w:fill="auto"/>
                  <w:vAlign w:val="center"/>
                </w:tcPr>
                <w:p>
                  <w:pPr>
                    <w:topLinePunct/>
                    <w:jc w:val="center"/>
                    <w:rPr>
                      <w:rFonts w:eastAsiaTheme="minorEastAsia"/>
                      <w:szCs w:val="21"/>
                    </w:rPr>
                  </w:pPr>
                  <w:r>
                    <w:rPr>
                      <w:rFonts w:eastAsiaTheme="minorEastAsia"/>
                      <w:szCs w:val="21"/>
                    </w:rPr>
                    <w:t>1</w:t>
                  </w:r>
                </w:p>
              </w:tc>
              <w:tc>
                <w:tcPr>
                  <w:tcW w:w="831" w:type="dxa"/>
                  <w:shd w:val="clear" w:color="auto" w:fill="auto"/>
                  <w:vAlign w:val="center"/>
                </w:tcPr>
                <w:p>
                  <w:pPr>
                    <w:jc w:val="center"/>
                    <w:rPr>
                      <w:rFonts w:eastAsiaTheme="minorEastAsia"/>
                      <w:szCs w:val="21"/>
                    </w:rPr>
                  </w:pPr>
                  <w:r>
                    <w:rPr>
                      <w:rFonts w:hint="eastAsia" w:eastAsiaTheme="minorEastAsia"/>
                      <w:bCs/>
                    </w:rPr>
                    <w:t>废铅酸蓄电池</w:t>
                  </w:r>
                </w:p>
              </w:tc>
              <w:tc>
                <w:tcPr>
                  <w:tcW w:w="845" w:type="dxa"/>
                  <w:shd w:val="clear" w:color="auto" w:fill="auto"/>
                  <w:vAlign w:val="center"/>
                </w:tcPr>
                <w:p>
                  <w:pPr>
                    <w:topLinePunct/>
                    <w:jc w:val="center"/>
                    <w:rPr>
                      <w:rFonts w:eastAsiaTheme="minorEastAsia"/>
                      <w:szCs w:val="21"/>
                    </w:rPr>
                  </w:pPr>
                  <w:r>
                    <w:rPr>
                      <w:rFonts w:eastAsiaTheme="minorEastAsia"/>
                      <w:szCs w:val="21"/>
                    </w:rPr>
                    <w:t>HW31</w:t>
                  </w:r>
                </w:p>
              </w:tc>
              <w:tc>
                <w:tcPr>
                  <w:tcW w:w="994" w:type="dxa"/>
                  <w:shd w:val="clear" w:color="auto" w:fill="auto"/>
                  <w:vAlign w:val="center"/>
                </w:tcPr>
                <w:p>
                  <w:pPr>
                    <w:topLinePunct/>
                    <w:jc w:val="center"/>
                    <w:rPr>
                      <w:rFonts w:eastAsiaTheme="minorEastAsia"/>
                      <w:szCs w:val="21"/>
                    </w:rPr>
                  </w:pPr>
                  <w:r>
                    <w:rPr>
                      <w:rFonts w:eastAsiaTheme="minorEastAsia"/>
                      <w:bCs/>
                    </w:rPr>
                    <w:t>900-052-31</w:t>
                  </w:r>
                </w:p>
              </w:tc>
              <w:tc>
                <w:tcPr>
                  <w:tcW w:w="709" w:type="dxa"/>
                  <w:shd w:val="clear" w:color="auto" w:fill="auto"/>
                  <w:vAlign w:val="center"/>
                </w:tcPr>
                <w:p>
                  <w:pPr>
                    <w:topLinePunct/>
                    <w:jc w:val="center"/>
                    <w:rPr>
                      <w:rFonts w:eastAsiaTheme="minorEastAsia"/>
                      <w:szCs w:val="21"/>
                    </w:rPr>
                  </w:pPr>
                  <w:r>
                    <w:rPr>
                      <w:rFonts w:eastAsiaTheme="minorEastAsia"/>
                      <w:szCs w:val="21"/>
                    </w:rPr>
                    <w:t>1t</w:t>
                  </w:r>
                </w:p>
              </w:tc>
              <w:tc>
                <w:tcPr>
                  <w:tcW w:w="711" w:type="dxa"/>
                  <w:vMerge w:val="restart"/>
                  <w:shd w:val="clear" w:color="auto" w:fill="auto"/>
                  <w:vAlign w:val="center"/>
                </w:tcPr>
                <w:p>
                  <w:pPr>
                    <w:topLinePunct/>
                    <w:jc w:val="center"/>
                    <w:rPr>
                      <w:rFonts w:eastAsiaTheme="minorEastAsia"/>
                      <w:szCs w:val="21"/>
                    </w:rPr>
                  </w:pPr>
                  <w:r>
                    <w:rPr>
                      <w:rFonts w:hint="eastAsia" w:eastAsiaTheme="minorEastAsia"/>
                      <w:szCs w:val="21"/>
                    </w:rPr>
                    <w:t>拆解</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固态</w:t>
                  </w:r>
                </w:p>
              </w:tc>
              <w:tc>
                <w:tcPr>
                  <w:tcW w:w="851" w:type="dxa"/>
                  <w:shd w:val="clear" w:color="auto" w:fill="auto"/>
                  <w:vAlign w:val="center"/>
                </w:tcPr>
                <w:p>
                  <w:pPr>
                    <w:topLinePunct/>
                    <w:jc w:val="center"/>
                    <w:rPr>
                      <w:rFonts w:eastAsiaTheme="minorEastAsia"/>
                      <w:szCs w:val="21"/>
                    </w:rPr>
                  </w:pPr>
                  <w:r>
                    <w:rPr>
                      <w:rFonts w:hint="eastAsia" w:eastAsiaTheme="minorEastAsia"/>
                      <w:szCs w:val="21"/>
                    </w:rPr>
                    <w:t>铅</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铅</w:t>
                  </w:r>
                </w:p>
              </w:tc>
              <w:tc>
                <w:tcPr>
                  <w:tcW w:w="429" w:type="dxa"/>
                  <w:vMerge w:val="restart"/>
                  <w:shd w:val="clear" w:color="auto" w:fill="auto"/>
                  <w:vAlign w:val="center"/>
                </w:tcPr>
                <w:p>
                  <w:pPr>
                    <w:topLinePunct/>
                    <w:jc w:val="center"/>
                    <w:rPr>
                      <w:rFonts w:eastAsiaTheme="minorEastAsia"/>
                      <w:szCs w:val="21"/>
                    </w:rPr>
                  </w:pPr>
                  <w:r>
                    <w:rPr>
                      <w:rFonts w:hAnsi="宋体"/>
                      <w:szCs w:val="21"/>
                    </w:rPr>
                    <w:t>1</w:t>
                  </w:r>
                  <w:r>
                    <w:rPr>
                      <w:rFonts w:hint="eastAsia" w:hAnsi="宋体"/>
                      <w:szCs w:val="21"/>
                    </w:rPr>
                    <w:t>个月</w:t>
                  </w:r>
                </w:p>
              </w:tc>
              <w:tc>
                <w:tcPr>
                  <w:tcW w:w="845" w:type="dxa"/>
                  <w:shd w:val="clear" w:color="auto" w:fill="auto"/>
                  <w:vAlign w:val="center"/>
                </w:tcPr>
                <w:p>
                  <w:pPr>
                    <w:topLinePunct/>
                    <w:jc w:val="center"/>
                    <w:rPr>
                      <w:rFonts w:eastAsiaTheme="minorEastAsia"/>
                      <w:szCs w:val="21"/>
                    </w:rPr>
                  </w:pPr>
                  <w:r>
                    <w:rPr>
                      <w:rFonts w:hint="eastAsia" w:eastAsiaTheme="minorEastAsia"/>
                      <w:szCs w:val="21"/>
                    </w:rPr>
                    <w:t>毒性、腐蚀性</w:t>
                  </w:r>
                </w:p>
              </w:tc>
              <w:tc>
                <w:tcPr>
                  <w:tcW w:w="921" w:type="dxa"/>
                  <w:vMerge w:val="restart"/>
                  <w:shd w:val="clear" w:color="auto" w:fill="auto"/>
                  <w:vAlign w:val="center"/>
                </w:tcPr>
                <w:p>
                  <w:pPr>
                    <w:topLinePunct/>
                    <w:jc w:val="center"/>
                    <w:rPr>
                      <w:rFonts w:eastAsiaTheme="minorEastAsia"/>
                      <w:szCs w:val="21"/>
                    </w:rPr>
                  </w:pPr>
                  <w:r>
                    <w:rPr>
                      <w:rFonts w:hint="eastAsia" w:eastAsiaTheme="minorEastAsia"/>
                      <w:bCs/>
                    </w:rPr>
                    <w:t>使用专用容器回收</w:t>
                  </w:r>
                  <w:r>
                    <w:rPr>
                      <w:rFonts w:hint="eastAsia" w:eastAsiaTheme="minorEastAsia"/>
                    </w:rPr>
                    <w:t>暂存于危险废物贮存库，定期交有资质单位处理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23" w:hRule="atLeast"/>
                <w:jc w:val="center"/>
              </w:trPr>
              <w:tc>
                <w:tcPr>
                  <w:tcW w:w="437" w:type="dxa"/>
                  <w:shd w:val="clear" w:color="auto" w:fill="auto"/>
                  <w:vAlign w:val="center"/>
                </w:tcPr>
                <w:p>
                  <w:pPr>
                    <w:topLinePunct/>
                    <w:jc w:val="center"/>
                    <w:rPr>
                      <w:rFonts w:eastAsiaTheme="minorEastAsia"/>
                      <w:szCs w:val="21"/>
                    </w:rPr>
                  </w:pPr>
                  <w:r>
                    <w:rPr>
                      <w:rFonts w:eastAsiaTheme="minorEastAsia"/>
                      <w:szCs w:val="21"/>
                    </w:rPr>
                    <w:t>2</w:t>
                  </w:r>
                </w:p>
              </w:tc>
              <w:tc>
                <w:tcPr>
                  <w:tcW w:w="831" w:type="dxa"/>
                  <w:shd w:val="clear" w:color="auto" w:fill="auto"/>
                  <w:vAlign w:val="center"/>
                </w:tcPr>
                <w:p>
                  <w:pPr>
                    <w:jc w:val="center"/>
                    <w:rPr>
                      <w:rFonts w:eastAsiaTheme="minorEastAsia"/>
                      <w:szCs w:val="21"/>
                    </w:rPr>
                  </w:pPr>
                  <w:r>
                    <w:rPr>
                      <w:rFonts w:hint="eastAsia" w:eastAsiaTheme="minorEastAsia"/>
                      <w:szCs w:val="21"/>
                    </w:rPr>
                    <w:t>废油液</w:t>
                  </w:r>
                </w:p>
              </w:tc>
              <w:tc>
                <w:tcPr>
                  <w:tcW w:w="845" w:type="dxa"/>
                  <w:shd w:val="clear" w:color="auto" w:fill="auto"/>
                  <w:vAlign w:val="center"/>
                </w:tcPr>
                <w:p>
                  <w:pPr>
                    <w:topLinePunct/>
                    <w:jc w:val="center"/>
                    <w:rPr>
                      <w:rFonts w:eastAsiaTheme="minorEastAsia"/>
                      <w:szCs w:val="21"/>
                    </w:rPr>
                  </w:pPr>
                  <w:r>
                    <w:rPr>
                      <w:rFonts w:eastAsiaTheme="minorEastAsia"/>
                      <w:szCs w:val="21"/>
                    </w:rPr>
                    <w:t>HW08</w:t>
                  </w:r>
                </w:p>
              </w:tc>
              <w:tc>
                <w:tcPr>
                  <w:tcW w:w="994" w:type="dxa"/>
                  <w:shd w:val="clear" w:color="auto" w:fill="auto"/>
                  <w:vAlign w:val="center"/>
                </w:tcPr>
                <w:p>
                  <w:pPr>
                    <w:topLinePunct/>
                    <w:jc w:val="center"/>
                    <w:rPr>
                      <w:rFonts w:eastAsiaTheme="minorEastAsia"/>
                      <w:szCs w:val="21"/>
                    </w:rPr>
                  </w:pPr>
                  <w:r>
                    <w:rPr>
                      <w:rFonts w:eastAsiaTheme="minorEastAsia"/>
                      <w:szCs w:val="21"/>
                    </w:rPr>
                    <w:t>900-199-08</w:t>
                  </w:r>
                </w:p>
              </w:tc>
              <w:tc>
                <w:tcPr>
                  <w:tcW w:w="709" w:type="dxa"/>
                  <w:shd w:val="clear" w:color="auto" w:fill="auto"/>
                  <w:vAlign w:val="center"/>
                </w:tcPr>
                <w:p>
                  <w:pPr>
                    <w:topLinePunct/>
                    <w:jc w:val="center"/>
                    <w:rPr>
                      <w:rFonts w:eastAsiaTheme="minorEastAsia"/>
                      <w:szCs w:val="21"/>
                    </w:rPr>
                  </w:pPr>
                  <w:r>
                    <w:rPr>
                      <w:rFonts w:eastAsiaTheme="minorEastAsia"/>
                      <w:szCs w:val="21"/>
                    </w:rPr>
                    <w:t>1t</w:t>
                  </w:r>
                </w:p>
              </w:tc>
              <w:tc>
                <w:tcPr>
                  <w:tcW w:w="711" w:type="dxa"/>
                  <w:vMerge w:val="continue"/>
                  <w:shd w:val="clear" w:color="auto" w:fill="auto"/>
                  <w:vAlign w:val="center"/>
                </w:tcPr>
                <w:p>
                  <w:pPr>
                    <w:topLinePunct/>
                    <w:jc w:val="center"/>
                    <w:rPr>
                      <w:rFonts w:eastAsiaTheme="minorEastAsia"/>
                      <w:szCs w:val="21"/>
                    </w:rPr>
                  </w:pPr>
                </w:p>
              </w:tc>
              <w:tc>
                <w:tcPr>
                  <w:tcW w:w="424" w:type="dxa"/>
                  <w:shd w:val="clear" w:color="auto" w:fill="auto"/>
                  <w:vAlign w:val="center"/>
                </w:tcPr>
                <w:p>
                  <w:pPr>
                    <w:topLinePunct/>
                    <w:jc w:val="center"/>
                    <w:rPr>
                      <w:rFonts w:eastAsiaTheme="minorEastAsia"/>
                      <w:szCs w:val="21"/>
                    </w:rPr>
                  </w:pPr>
                  <w:r>
                    <w:rPr>
                      <w:rFonts w:hint="eastAsia" w:eastAsiaTheme="minorEastAsia"/>
                      <w:szCs w:val="21"/>
                    </w:rPr>
                    <w:t>液态</w:t>
                  </w:r>
                </w:p>
              </w:tc>
              <w:tc>
                <w:tcPr>
                  <w:tcW w:w="851" w:type="dxa"/>
                  <w:vMerge w:val="restart"/>
                  <w:shd w:val="clear" w:color="auto" w:fill="auto"/>
                  <w:vAlign w:val="center"/>
                </w:tcPr>
                <w:p>
                  <w:pPr>
                    <w:topLinePunct/>
                    <w:jc w:val="center"/>
                    <w:rPr>
                      <w:rFonts w:eastAsiaTheme="minorEastAsia"/>
                      <w:szCs w:val="21"/>
                    </w:rPr>
                  </w:pPr>
                  <w:r>
                    <w:rPr>
                      <w:rFonts w:hint="eastAsia" w:eastAsiaTheme="minorEastAsia"/>
                      <w:szCs w:val="21"/>
                    </w:rPr>
                    <w:t>废矿物油与含矿物油废物</w:t>
                  </w:r>
                </w:p>
              </w:tc>
              <w:tc>
                <w:tcPr>
                  <w:tcW w:w="424" w:type="dxa"/>
                  <w:shd w:val="clear" w:color="auto" w:fill="auto"/>
                  <w:vAlign w:val="center"/>
                </w:tcPr>
                <w:p>
                  <w:pPr>
                    <w:topLinePunct/>
                    <w:jc w:val="center"/>
                    <w:rPr>
                      <w:rFonts w:eastAsiaTheme="minorEastAsia"/>
                      <w:szCs w:val="21"/>
                    </w:rPr>
                  </w:pPr>
                  <w:r>
                    <w:rPr>
                      <w:rFonts w:eastAsiaTheme="minorEastAsia"/>
                      <w:szCs w:val="21"/>
                    </w:rPr>
                    <w:t>-</w:t>
                  </w:r>
                </w:p>
              </w:tc>
              <w:tc>
                <w:tcPr>
                  <w:tcW w:w="429" w:type="dxa"/>
                  <w:vMerge w:val="continue"/>
                  <w:shd w:val="clear" w:color="auto" w:fill="auto"/>
                  <w:vAlign w:val="center"/>
                </w:tcPr>
                <w:p>
                  <w:pPr>
                    <w:topLinePunct/>
                    <w:jc w:val="center"/>
                    <w:rPr>
                      <w:rFonts w:eastAsiaTheme="minorEastAsia"/>
                      <w:szCs w:val="21"/>
                    </w:rPr>
                  </w:pPr>
                </w:p>
              </w:tc>
              <w:tc>
                <w:tcPr>
                  <w:tcW w:w="845" w:type="dxa"/>
                  <w:shd w:val="clear" w:color="auto" w:fill="auto"/>
                  <w:vAlign w:val="center"/>
                </w:tcPr>
                <w:p>
                  <w:pPr>
                    <w:topLinePunct/>
                    <w:jc w:val="center"/>
                    <w:rPr>
                      <w:rFonts w:eastAsiaTheme="minorEastAsia"/>
                      <w:szCs w:val="21"/>
                    </w:rPr>
                  </w:pPr>
                  <w:r>
                    <w:rPr>
                      <w:rFonts w:hint="eastAsia" w:eastAsiaTheme="minorEastAsia"/>
                      <w:szCs w:val="21"/>
                    </w:rPr>
                    <w:t>毒性、易燃性</w:t>
                  </w:r>
                </w:p>
              </w:tc>
              <w:tc>
                <w:tcPr>
                  <w:tcW w:w="921" w:type="dxa"/>
                  <w:vMerge w:val="continue"/>
                  <w:shd w:val="clear" w:color="auto" w:fill="auto"/>
                  <w:vAlign w:val="center"/>
                </w:tcPr>
                <w:p>
                  <w:pPr>
                    <w:topLinePunct/>
                    <w:jc w:val="center"/>
                    <w:rPr>
                      <w:rFonts w:eastAsiaTheme="minor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8" w:hRule="atLeast"/>
                <w:jc w:val="center"/>
              </w:trPr>
              <w:tc>
                <w:tcPr>
                  <w:tcW w:w="437" w:type="dxa"/>
                  <w:shd w:val="clear" w:color="auto" w:fill="auto"/>
                  <w:vAlign w:val="center"/>
                </w:tcPr>
                <w:p>
                  <w:pPr>
                    <w:topLinePunct/>
                    <w:jc w:val="center"/>
                    <w:rPr>
                      <w:rFonts w:eastAsiaTheme="minorEastAsia"/>
                      <w:szCs w:val="21"/>
                    </w:rPr>
                  </w:pPr>
                  <w:r>
                    <w:rPr>
                      <w:rFonts w:eastAsiaTheme="minorEastAsia"/>
                      <w:szCs w:val="21"/>
                    </w:rPr>
                    <w:t>3</w:t>
                  </w:r>
                </w:p>
              </w:tc>
              <w:tc>
                <w:tcPr>
                  <w:tcW w:w="831" w:type="dxa"/>
                  <w:shd w:val="clear" w:color="auto" w:fill="auto"/>
                  <w:vAlign w:val="center"/>
                </w:tcPr>
                <w:p>
                  <w:pPr>
                    <w:jc w:val="center"/>
                    <w:rPr>
                      <w:rFonts w:eastAsiaTheme="minorEastAsia"/>
                      <w:szCs w:val="21"/>
                    </w:rPr>
                  </w:pPr>
                  <w:r>
                    <w:rPr>
                      <w:rFonts w:hint="eastAsia" w:eastAsiaTheme="minorEastAsia"/>
                      <w:bCs/>
                      <w:szCs w:val="21"/>
                    </w:rPr>
                    <w:t>含油抹布及手套</w:t>
                  </w:r>
                </w:p>
              </w:tc>
              <w:tc>
                <w:tcPr>
                  <w:tcW w:w="845" w:type="dxa"/>
                  <w:shd w:val="clear" w:color="auto" w:fill="auto"/>
                  <w:vAlign w:val="center"/>
                </w:tcPr>
                <w:p>
                  <w:pPr>
                    <w:topLinePunct/>
                    <w:jc w:val="center"/>
                    <w:rPr>
                      <w:rFonts w:eastAsiaTheme="minorEastAsia"/>
                      <w:szCs w:val="21"/>
                    </w:rPr>
                  </w:pPr>
                  <w:r>
                    <w:rPr>
                      <w:rFonts w:eastAsiaTheme="minorEastAsia"/>
                      <w:szCs w:val="21"/>
                    </w:rPr>
                    <w:t>HW31</w:t>
                  </w:r>
                </w:p>
              </w:tc>
              <w:tc>
                <w:tcPr>
                  <w:tcW w:w="994" w:type="dxa"/>
                  <w:shd w:val="clear" w:color="auto" w:fill="auto"/>
                  <w:vAlign w:val="center"/>
                </w:tcPr>
                <w:p>
                  <w:pPr>
                    <w:topLinePunct/>
                    <w:jc w:val="center"/>
                    <w:rPr>
                      <w:rFonts w:eastAsiaTheme="minorEastAsia"/>
                      <w:szCs w:val="21"/>
                    </w:rPr>
                  </w:pPr>
                  <w:r>
                    <w:rPr>
                      <w:rFonts w:eastAsiaTheme="minorEastAsia"/>
                      <w:bCs/>
                      <w:szCs w:val="21"/>
                    </w:rPr>
                    <w:t>900-041-49</w:t>
                  </w:r>
                </w:p>
              </w:tc>
              <w:tc>
                <w:tcPr>
                  <w:tcW w:w="709" w:type="dxa"/>
                  <w:shd w:val="clear" w:color="auto" w:fill="auto"/>
                  <w:vAlign w:val="center"/>
                </w:tcPr>
                <w:p>
                  <w:pPr>
                    <w:topLinePunct/>
                    <w:jc w:val="center"/>
                    <w:rPr>
                      <w:rFonts w:eastAsiaTheme="minorEastAsia"/>
                      <w:szCs w:val="21"/>
                    </w:rPr>
                  </w:pPr>
                  <w:r>
                    <w:rPr>
                      <w:rFonts w:eastAsiaTheme="minorEastAsia"/>
                      <w:szCs w:val="21"/>
                    </w:rPr>
                    <w:t>0.1t</w:t>
                  </w:r>
                </w:p>
              </w:tc>
              <w:tc>
                <w:tcPr>
                  <w:tcW w:w="711" w:type="dxa"/>
                  <w:vMerge w:val="continue"/>
                  <w:shd w:val="clear" w:color="auto" w:fill="auto"/>
                  <w:vAlign w:val="center"/>
                </w:tcPr>
                <w:p>
                  <w:pPr>
                    <w:topLinePunct/>
                    <w:jc w:val="center"/>
                    <w:rPr>
                      <w:rFonts w:eastAsiaTheme="minorEastAsia"/>
                      <w:szCs w:val="21"/>
                    </w:rPr>
                  </w:pPr>
                </w:p>
              </w:tc>
              <w:tc>
                <w:tcPr>
                  <w:tcW w:w="424" w:type="dxa"/>
                  <w:shd w:val="clear" w:color="auto" w:fill="auto"/>
                  <w:vAlign w:val="center"/>
                </w:tcPr>
                <w:p>
                  <w:pPr>
                    <w:topLinePunct/>
                    <w:jc w:val="center"/>
                    <w:rPr>
                      <w:rFonts w:eastAsiaTheme="minorEastAsia"/>
                      <w:szCs w:val="21"/>
                    </w:rPr>
                  </w:pPr>
                  <w:r>
                    <w:rPr>
                      <w:rFonts w:hint="eastAsia" w:eastAsiaTheme="minorEastAsia"/>
                      <w:szCs w:val="21"/>
                    </w:rPr>
                    <w:t>固态</w:t>
                  </w:r>
                </w:p>
              </w:tc>
              <w:tc>
                <w:tcPr>
                  <w:tcW w:w="851" w:type="dxa"/>
                  <w:vMerge w:val="continue"/>
                  <w:shd w:val="clear" w:color="auto" w:fill="auto"/>
                  <w:vAlign w:val="center"/>
                </w:tcPr>
                <w:p>
                  <w:pPr>
                    <w:topLinePunct/>
                    <w:jc w:val="center"/>
                    <w:rPr>
                      <w:rFonts w:eastAsiaTheme="minorEastAsia"/>
                      <w:szCs w:val="21"/>
                    </w:rPr>
                  </w:pPr>
                </w:p>
              </w:tc>
              <w:tc>
                <w:tcPr>
                  <w:tcW w:w="424" w:type="dxa"/>
                  <w:shd w:val="clear" w:color="auto" w:fill="auto"/>
                  <w:vAlign w:val="center"/>
                </w:tcPr>
                <w:p>
                  <w:pPr>
                    <w:topLinePunct/>
                    <w:jc w:val="center"/>
                    <w:rPr>
                      <w:rFonts w:eastAsiaTheme="minorEastAsia"/>
                      <w:szCs w:val="21"/>
                    </w:rPr>
                  </w:pPr>
                  <w:r>
                    <w:rPr>
                      <w:rFonts w:eastAsiaTheme="minorEastAsia"/>
                      <w:szCs w:val="21"/>
                    </w:rPr>
                    <w:t>-</w:t>
                  </w:r>
                </w:p>
              </w:tc>
              <w:tc>
                <w:tcPr>
                  <w:tcW w:w="429" w:type="dxa"/>
                  <w:vMerge w:val="continue"/>
                  <w:shd w:val="clear" w:color="auto" w:fill="auto"/>
                  <w:vAlign w:val="center"/>
                </w:tcPr>
                <w:p>
                  <w:pPr>
                    <w:topLinePunct/>
                    <w:jc w:val="center"/>
                    <w:rPr>
                      <w:rFonts w:eastAsiaTheme="minorEastAsia"/>
                      <w:szCs w:val="21"/>
                    </w:rPr>
                  </w:pPr>
                </w:p>
              </w:tc>
              <w:tc>
                <w:tcPr>
                  <w:tcW w:w="845" w:type="dxa"/>
                  <w:shd w:val="clear" w:color="auto" w:fill="auto"/>
                  <w:vAlign w:val="center"/>
                </w:tcPr>
                <w:p>
                  <w:pPr>
                    <w:topLinePunct/>
                    <w:jc w:val="center"/>
                    <w:rPr>
                      <w:rFonts w:eastAsiaTheme="minorEastAsia"/>
                      <w:szCs w:val="21"/>
                    </w:rPr>
                  </w:pPr>
                  <w:r>
                    <w:rPr>
                      <w:rFonts w:hint="eastAsia" w:eastAsiaTheme="minorEastAsia"/>
                      <w:szCs w:val="21"/>
                    </w:rPr>
                    <w:t>毒性</w:t>
                  </w:r>
                </w:p>
              </w:tc>
              <w:tc>
                <w:tcPr>
                  <w:tcW w:w="921" w:type="dxa"/>
                  <w:vMerge w:val="continue"/>
                  <w:shd w:val="clear" w:color="auto" w:fill="auto"/>
                  <w:vAlign w:val="center"/>
                </w:tcPr>
                <w:p>
                  <w:pPr>
                    <w:topLinePunct/>
                    <w:jc w:val="center"/>
                    <w:rPr>
                      <w:rFonts w:eastAsia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8" w:hRule="atLeast"/>
                <w:jc w:val="center"/>
              </w:trPr>
              <w:tc>
                <w:tcPr>
                  <w:tcW w:w="437" w:type="dxa"/>
                  <w:shd w:val="clear" w:color="auto" w:fill="auto"/>
                  <w:vAlign w:val="center"/>
                </w:tcPr>
                <w:p>
                  <w:pPr>
                    <w:topLinePunct/>
                    <w:jc w:val="center"/>
                    <w:rPr>
                      <w:rFonts w:eastAsiaTheme="minorEastAsia"/>
                      <w:szCs w:val="21"/>
                    </w:rPr>
                  </w:pPr>
                  <w:r>
                    <w:rPr>
                      <w:rFonts w:eastAsiaTheme="minorEastAsia"/>
                      <w:szCs w:val="21"/>
                    </w:rPr>
                    <w:t>4</w:t>
                  </w:r>
                </w:p>
              </w:tc>
              <w:tc>
                <w:tcPr>
                  <w:tcW w:w="831" w:type="dxa"/>
                  <w:shd w:val="clear" w:color="auto" w:fill="auto"/>
                  <w:vAlign w:val="center"/>
                </w:tcPr>
                <w:p>
                  <w:pPr>
                    <w:jc w:val="center"/>
                    <w:rPr>
                      <w:rFonts w:eastAsiaTheme="minorEastAsia"/>
                      <w:bCs/>
                      <w:szCs w:val="21"/>
                    </w:rPr>
                  </w:pPr>
                  <w:r>
                    <w:rPr>
                      <w:rFonts w:hint="eastAsia" w:eastAsiaTheme="minorEastAsia"/>
                      <w:bCs/>
                      <w:szCs w:val="21"/>
                    </w:rPr>
                    <w:t>油泥</w:t>
                  </w:r>
                </w:p>
              </w:tc>
              <w:tc>
                <w:tcPr>
                  <w:tcW w:w="845" w:type="dxa"/>
                  <w:shd w:val="clear" w:color="auto" w:fill="auto"/>
                  <w:vAlign w:val="center"/>
                </w:tcPr>
                <w:p>
                  <w:pPr>
                    <w:topLinePunct/>
                    <w:jc w:val="center"/>
                    <w:rPr>
                      <w:rFonts w:eastAsiaTheme="minorEastAsia"/>
                      <w:szCs w:val="21"/>
                    </w:rPr>
                  </w:pPr>
                  <w:r>
                    <w:rPr>
                      <w:rFonts w:eastAsiaTheme="minorEastAsia"/>
                      <w:bCs/>
                    </w:rPr>
                    <w:t>HW08</w:t>
                  </w:r>
                </w:p>
              </w:tc>
              <w:tc>
                <w:tcPr>
                  <w:tcW w:w="994" w:type="dxa"/>
                  <w:shd w:val="clear" w:color="auto" w:fill="auto"/>
                  <w:vAlign w:val="center"/>
                </w:tcPr>
                <w:p>
                  <w:pPr>
                    <w:topLinePunct/>
                    <w:jc w:val="center"/>
                    <w:rPr>
                      <w:rFonts w:eastAsiaTheme="minorEastAsia"/>
                      <w:bCs/>
                      <w:szCs w:val="21"/>
                    </w:rPr>
                  </w:pPr>
                  <w:r>
                    <w:rPr>
                      <w:rFonts w:eastAsiaTheme="minorEastAsia"/>
                      <w:bCs/>
                    </w:rPr>
                    <w:t>900-210-08</w:t>
                  </w:r>
                </w:p>
              </w:tc>
              <w:tc>
                <w:tcPr>
                  <w:tcW w:w="709" w:type="dxa"/>
                  <w:shd w:val="clear" w:color="auto" w:fill="auto"/>
                  <w:vAlign w:val="center"/>
                </w:tcPr>
                <w:p>
                  <w:pPr>
                    <w:topLinePunct/>
                    <w:jc w:val="center"/>
                    <w:rPr>
                      <w:rFonts w:eastAsiaTheme="minorEastAsia"/>
                      <w:szCs w:val="21"/>
                    </w:rPr>
                  </w:pPr>
                  <w:r>
                    <w:rPr>
                      <w:rFonts w:eastAsiaTheme="minorEastAsia"/>
                      <w:szCs w:val="21"/>
                    </w:rPr>
                    <w:t>0.</w:t>
                  </w:r>
                  <w:r>
                    <w:rPr>
                      <w:rFonts w:hint="eastAsia" w:eastAsiaTheme="minorEastAsia"/>
                      <w:szCs w:val="21"/>
                    </w:rPr>
                    <w:t>5</w:t>
                  </w:r>
                  <w:r>
                    <w:rPr>
                      <w:rFonts w:eastAsiaTheme="minorEastAsia"/>
                      <w:szCs w:val="21"/>
                    </w:rPr>
                    <w:t>t</w:t>
                  </w:r>
                </w:p>
              </w:tc>
              <w:tc>
                <w:tcPr>
                  <w:tcW w:w="711" w:type="dxa"/>
                  <w:shd w:val="clear" w:color="auto" w:fill="auto"/>
                  <w:vAlign w:val="center"/>
                </w:tcPr>
                <w:p>
                  <w:pPr>
                    <w:topLinePunct/>
                    <w:jc w:val="center"/>
                    <w:rPr>
                      <w:rFonts w:eastAsiaTheme="minorEastAsia"/>
                      <w:szCs w:val="21"/>
                    </w:rPr>
                  </w:pPr>
                  <w:r>
                    <w:rPr>
                      <w:rFonts w:hint="eastAsia" w:eastAsiaTheme="minorEastAsia"/>
                      <w:szCs w:val="21"/>
                    </w:rPr>
                    <w:t>初期雨水池</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半固态</w:t>
                  </w:r>
                </w:p>
              </w:tc>
              <w:tc>
                <w:tcPr>
                  <w:tcW w:w="851" w:type="dxa"/>
                  <w:vMerge w:val="continue"/>
                  <w:shd w:val="clear" w:color="auto" w:fill="auto"/>
                  <w:vAlign w:val="center"/>
                </w:tcPr>
                <w:p>
                  <w:pPr>
                    <w:topLinePunct/>
                    <w:jc w:val="center"/>
                    <w:rPr>
                      <w:rFonts w:eastAsiaTheme="minorEastAsia"/>
                      <w:szCs w:val="21"/>
                    </w:rPr>
                  </w:pPr>
                </w:p>
              </w:tc>
              <w:tc>
                <w:tcPr>
                  <w:tcW w:w="424" w:type="dxa"/>
                  <w:shd w:val="clear" w:color="auto" w:fill="auto"/>
                  <w:vAlign w:val="center"/>
                </w:tcPr>
                <w:p>
                  <w:pPr>
                    <w:topLinePunct/>
                    <w:jc w:val="center"/>
                    <w:rPr>
                      <w:rFonts w:eastAsiaTheme="minorEastAsia"/>
                      <w:szCs w:val="21"/>
                    </w:rPr>
                  </w:pPr>
                  <w:r>
                    <w:rPr>
                      <w:rFonts w:eastAsiaTheme="minorEastAsia"/>
                      <w:szCs w:val="21"/>
                    </w:rPr>
                    <w:t>-</w:t>
                  </w:r>
                </w:p>
              </w:tc>
              <w:tc>
                <w:tcPr>
                  <w:tcW w:w="429" w:type="dxa"/>
                  <w:vMerge w:val="continue"/>
                  <w:shd w:val="clear" w:color="auto" w:fill="auto"/>
                  <w:vAlign w:val="center"/>
                </w:tcPr>
                <w:p>
                  <w:pPr>
                    <w:topLinePunct/>
                    <w:jc w:val="center"/>
                    <w:rPr>
                      <w:rFonts w:eastAsiaTheme="minorEastAsia"/>
                      <w:szCs w:val="21"/>
                    </w:rPr>
                  </w:pPr>
                </w:p>
              </w:tc>
              <w:tc>
                <w:tcPr>
                  <w:tcW w:w="845" w:type="dxa"/>
                  <w:shd w:val="clear" w:color="auto" w:fill="auto"/>
                  <w:vAlign w:val="center"/>
                </w:tcPr>
                <w:p>
                  <w:pPr>
                    <w:topLinePunct/>
                    <w:jc w:val="center"/>
                    <w:rPr>
                      <w:rFonts w:eastAsiaTheme="minorEastAsia"/>
                      <w:szCs w:val="21"/>
                    </w:rPr>
                  </w:pPr>
                  <w:r>
                    <w:rPr>
                      <w:rFonts w:hint="eastAsia" w:eastAsiaTheme="minorEastAsia"/>
                      <w:szCs w:val="21"/>
                    </w:rPr>
                    <w:t>毒性、易燃性</w:t>
                  </w:r>
                </w:p>
              </w:tc>
              <w:tc>
                <w:tcPr>
                  <w:tcW w:w="921" w:type="dxa"/>
                  <w:vMerge w:val="continue"/>
                  <w:shd w:val="clear" w:color="auto" w:fill="auto"/>
                  <w:vAlign w:val="center"/>
                </w:tcPr>
                <w:p>
                  <w:pPr>
                    <w:topLinePunct/>
                    <w:jc w:val="center"/>
                    <w:rPr>
                      <w:rFonts w:eastAsia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8" w:hRule="atLeast"/>
                <w:jc w:val="center"/>
              </w:trPr>
              <w:tc>
                <w:tcPr>
                  <w:tcW w:w="437" w:type="dxa"/>
                  <w:shd w:val="clear" w:color="auto" w:fill="auto"/>
                  <w:vAlign w:val="center"/>
                </w:tcPr>
                <w:p>
                  <w:pPr>
                    <w:topLinePunct/>
                    <w:jc w:val="center"/>
                    <w:rPr>
                      <w:rFonts w:eastAsiaTheme="minorEastAsia"/>
                      <w:szCs w:val="21"/>
                    </w:rPr>
                  </w:pPr>
                  <w:r>
                    <w:rPr>
                      <w:rFonts w:eastAsiaTheme="minorEastAsia"/>
                      <w:szCs w:val="21"/>
                    </w:rPr>
                    <w:t>5</w:t>
                  </w:r>
                </w:p>
              </w:tc>
              <w:tc>
                <w:tcPr>
                  <w:tcW w:w="831" w:type="dxa"/>
                  <w:shd w:val="clear" w:color="auto" w:fill="auto"/>
                  <w:vAlign w:val="center"/>
                </w:tcPr>
                <w:p>
                  <w:pPr>
                    <w:jc w:val="center"/>
                    <w:rPr>
                      <w:rFonts w:eastAsiaTheme="minorEastAsia"/>
                      <w:bCs/>
                      <w:szCs w:val="21"/>
                    </w:rPr>
                  </w:pPr>
                  <w:r>
                    <w:rPr>
                      <w:rFonts w:hint="eastAsia" w:eastAsiaTheme="minorEastAsia"/>
                      <w:bCs/>
                      <w:szCs w:val="21"/>
                    </w:rPr>
                    <w:t>废防冻液、</w:t>
                  </w:r>
                  <w:r>
                    <w:rPr>
                      <w:rFonts w:hint="eastAsia" w:eastAsiaTheme="minorEastAsia"/>
                    </w:rPr>
                    <w:t>废</w:t>
                  </w:r>
                  <w:r>
                    <w:rPr>
                      <w:szCs w:val="21"/>
                    </w:rPr>
                    <w:t>冷却液</w:t>
                  </w:r>
                </w:p>
              </w:tc>
              <w:tc>
                <w:tcPr>
                  <w:tcW w:w="845" w:type="dxa"/>
                  <w:shd w:val="clear" w:color="auto" w:fill="auto"/>
                  <w:vAlign w:val="center"/>
                </w:tcPr>
                <w:p>
                  <w:pPr>
                    <w:topLinePunct/>
                    <w:jc w:val="center"/>
                    <w:rPr>
                      <w:rFonts w:eastAsiaTheme="minorEastAsia"/>
                      <w:szCs w:val="21"/>
                    </w:rPr>
                  </w:pPr>
                  <w:r>
                    <w:rPr>
                      <w:rFonts w:eastAsiaTheme="minorEastAsia"/>
                      <w:bCs/>
                    </w:rPr>
                    <w:t>HW</w:t>
                  </w:r>
                  <w:r>
                    <w:rPr>
                      <w:rFonts w:hint="eastAsia" w:eastAsiaTheme="minorEastAsia"/>
                      <w:bCs/>
                    </w:rPr>
                    <w:t>06</w:t>
                  </w:r>
                </w:p>
              </w:tc>
              <w:tc>
                <w:tcPr>
                  <w:tcW w:w="994" w:type="dxa"/>
                  <w:shd w:val="clear" w:color="auto" w:fill="auto"/>
                  <w:vAlign w:val="center"/>
                </w:tcPr>
                <w:p>
                  <w:pPr>
                    <w:topLinePunct/>
                    <w:jc w:val="center"/>
                    <w:rPr>
                      <w:rFonts w:eastAsiaTheme="minorEastAsia"/>
                      <w:bCs/>
                      <w:szCs w:val="21"/>
                    </w:rPr>
                  </w:pPr>
                  <w:r>
                    <w:rPr>
                      <w:rFonts w:hint="eastAsia" w:eastAsiaTheme="minorEastAsia"/>
                      <w:bCs/>
                      <w:szCs w:val="21"/>
                    </w:rPr>
                    <w:t>900-404-06</w:t>
                  </w:r>
                </w:p>
              </w:tc>
              <w:tc>
                <w:tcPr>
                  <w:tcW w:w="709" w:type="dxa"/>
                  <w:shd w:val="clear" w:color="auto" w:fill="auto"/>
                  <w:vAlign w:val="center"/>
                </w:tcPr>
                <w:p>
                  <w:pPr>
                    <w:topLinePunct/>
                    <w:jc w:val="center"/>
                    <w:rPr>
                      <w:rFonts w:eastAsiaTheme="minorEastAsia"/>
                      <w:szCs w:val="21"/>
                    </w:rPr>
                  </w:pPr>
                  <w:r>
                    <w:rPr>
                      <w:rFonts w:eastAsiaTheme="minorEastAsia"/>
                      <w:szCs w:val="21"/>
                    </w:rPr>
                    <w:t>0.1t</w:t>
                  </w:r>
                </w:p>
              </w:tc>
              <w:tc>
                <w:tcPr>
                  <w:tcW w:w="711" w:type="dxa"/>
                  <w:shd w:val="clear" w:color="auto" w:fill="auto"/>
                  <w:vAlign w:val="center"/>
                </w:tcPr>
                <w:p>
                  <w:pPr>
                    <w:topLinePunct/>
                    <w:jc w:val="center"/>
                    <w:rPr>
                      <w:rFonts w:eastAsiaTheme="minorEastAsia"/>
                      <w:szCs w:val="21"/>
                    </w:rPr>
                  </w:pPr>
                  <w:r>
                    <w:rPr>
                      <w:rFonts w:hint="eastAsia" w:eastAsiaTheme="minorEastAsia"/>
                      <w:szCs w:val="21"/>
                    </w:rPr>
                    <w:t>拆解</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液态</w:t>
                  </w:r>
                </w:p>
              </w:tc>
              <w:tc>
                <w:tcPr>
                  <w:tcW w:w="851" w:type="dxa"/>
                  <w:shd w:val="clear" w:color="auto" w:fill="auto"/>
                  <w:vAlign w:val="center"/>
                </w:tcPr>
                <w:p>
                  <w:pPr>
                    <w:topLinePunct/>
                    <w:jc w:val="center"/>
                    <w:rPr>
                      <w:rFonts w:eastAsiaTheme="minorEastAsia"/>
                      <w:szCs w:val="21"/>
                    </w:rPr>
                  </w:pPr>
                  <w:r>
                    <w:rPr>
                      <w:rFonts w:hint="eastAsia"/>
                      <w:szCs w:val="21"/>
                    </w:rPr>
                    <w:t>有机溶剂</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w:t>
                  </w:r>
                </w:p>
              </w:tc>
              <w:tc>
                <w:tcPr>
                  <w:tcW w:w="429" w:type="dxa"/>
                  <w:vMerge w:val="continue"/>
                  <w:shd w:val="clear" w:color="auto" w:fill="auto"/>
                  <w:vAlign w:val="center"/>
                </w:tcPr>
                <w:p>
                  <w:pPr>
                    <w:topLinePunct/>
                    <w:jc w:val="center"/>
                    <w:rPr>
                      <w:rFonts w:eastAsiaTheme="minorEastAsia"/>
                      <w:szCs w:val="21"/>
                    </w:rPr>
                  </w:pPr>
                </w:p>
              </w:tc>
              <w:tc>
                <w:tcPr>
                  <w:tcW w:w="845" w:type="dxa"/>
                  <w:shd w:val="clear" w:color="auto" w:fill="auto"/>
                  <w:vAlign w:val="center"/>
                </w:tcPr>
                <w:p>
                  <w:pPr>
                    <w:topLinePunct/>
                    <w:jc w:val="center"/>
                    <w:rPr>
                      <w:rFonts w:eastAsiaTheme="minorEastAsia"/>
                      <w:szCs w:val="21"/>
                    </w:rPr>
                  </w:pPr>
                  <w:r>
                    <w:rPr>
                      <w:rFonts w:hint="eastAsia" w:eastAsiaTheme="minorEastAsia"/>
                      <w:szCs w:val="21"/>
                    </w:rPr>
                    <w:t>毒性、易燃性、反应性</w:t>
                  </w:r>
                </w:p>
              </w:tc>
              <w:tc>
                <w:tcPr>
                  <w:tcW w:w="921" w:type="dxa"/>
                  <w:vMerge w:val="continue"/>
                  <w:shd w:val="clear" w:color="auto" w:fill="auto"/>
                  <w:vAlign w:val="center"/>
                </w:tcPr>
                <w:p>
                  <w:pPr>
                    <w:topLinePunct/>
                    <w:jc w:val="center"/>
                    <w:rPr>
                      <w:rFonts w:eastAsia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8" w:hRule="atLeast"/>
                <w:jc w:val="center"/>
              </w:trPr>
              <w:tc>
                <w:tcPr>
                  <w:tcW w:w="437" w:type="dxa"/>
                  <w:shd w:val="clear" w:color="auto" w:fill="auto"/>
                  <w:vAlign w:val="center"/>
                </w:tcPr>
                <w:p>
                  <w:pPr>
                    <w:topLinePunct/>
                    <w:jc w:val="center"/>
                    <w:rPr>
                      <w:rFonts w:eastAsiaTheme="minorEastAsia"/>
                      <w:szCs w:val="21"/>
                    </w:rPr>
                  </w:pPr>
                  <w:r>
                    <w:rPr>
                      <w:rFonts w:hint="eastAsia" w:eastAsiaTheme="minorEastAsia"/>
                      <w:szCs w:val="21"/>
                    </w:rPr>
                    <w:t>6</w:t>
                  </w:r>
                </w:p>
              </w:tc>
              <w:tc>
                <w:tcPr>
                  <w:tcW w:w="831" w:type="dxa"/>
                  <w:shd w:val="clear" w:color="auto" w:fill="auto"/>
                  <w:vAlign w:val="center"/>
                </w:tcPr>
                <w:p>
                  <w:pPr>
                    <w:jc w:val="center"/>
                    <w:rPr>
                      <w:rFonts w:eastAsiaTheme="minorEastAsia"/>
                      <w:bCs/>
                      <w:szCs w:val="21"/>
                    </w:rPr>
                  </w:pPr>
                  <w:r>
                    <w:rPr>
                      <w:rFonts w:hint="eastAsia" w:eastAsiaTheme="minorEastAsia"/>
                      <w:bCs/>
                      <w:szCs w:val="21"/>
                    </w:rPr>
                    <w:t>废活性炭</w:t>
                  </w:r>
                </w:p>
              </w:tc>
              <w:tc>
                <w:tcPr>
                  <w:tcW w:w="845" w:type="dxa"/>
                  <w:shd w:val="clear" w:color="auto" w:fill="auto"/>
                  <w:vAlign w:val="center"/>
                </w:tcPr>
                <w:p>
                  <w:pPr>
                    <w:topLinePunct/>
                    <w:jc w:val="center"/>
                    <w:rPr>
                      <w:rFonts w:eastAsiaTheme="minorEastAsia"/>
                      <w:szCs w:val="21"/>
                    </w:rPr>
                  </w:pPr>
                  <w:r>
                    <w:rPr>
                      <w:rFonts w:eastAsiaTheme="minorEastAsia"/>
                      <w:bCs/>
                    </w:rPr>
                    <w:t>HW49</w:t>
                  </w:r>
                </w:p>
              </w:tc>
              <w:tc>
                <w:tcPr>
                  <w:tcW w:w="994" w:type="dxa"/>
                  <w:shd w:val="clear" w:color="auto" w:fill="auto"/>
                  <w:vAlign w:val="center"/>
                </w:tcPr>
                <w:p>
                  <w:pPr>
                    <w:topLinePunct/>
                    <w:jc w:val="center"/>
                    <w:rPr>
                      <w:rFonts w:eastAsiaTheme="minorEastAsia"/>
                      <w:bCs/>
                      <w:szCs w:val="21"/>
                    </w:rPr>
                  </w:pPr>
                  <w:r>
                    <w:rPr>
                      <w:rFonts w:hint="eastAsia" w:eastAsiaTheme="minorEastAsia"/>
                      <w:bCs/>
                      <w:szCs w:val="21"/>
                    </w:rPr>
                    <w:t>900-039-49</w:t>
                  </w:r>
                </w:p>
              </w:tc>
              <w:tc>
                <w:tcPr>
                  <w:tcW w:w="709" w:type="dxa"/>
                  <w:shd w:val="clear" w:color="auto" w:fill="auto"/>
                  <w:vAlign w:val="center"/>
                </w:tcPr>
                <w:p>
                  <w:pPr>
                    <w:topLinePunct/>
                    <w:jc w:val="center"/>
                    <w:rPr>
                      <w:rFonts w:eastAsiaTheme="minorEastAsia"/>
                      <w:szCs w:val="21"/>
                    </w:rPr>
                  </w:pPr>
                  <w:r>
                    <w:rPr>
                      <w:rFonts w:hint="eastAsia" w:eastAsiaTheme="minorEastAsia"/>
                      <w:szCs w:val="21"/>
                    </w:rPr>
                    <w:t>0.01</w:t>
                  </w:r>
                </w:p>
              </w:tc>
              <w:tc>
                <w:tcPr>
                  <w:tcW w:w="711" w:type="dxa"/>
                  <w:shd w:val="clear" w:color="auto" w:fill="auto"/>
                  <w:vAlign w:val="center"/>
                </w:tcPr>
                <w:p>
                  <w:pPr>
                    <w:topLinePunct/>
                    <w:jc w:val="center"/>
                    <w:rPr>
                      <w:rFonts w:eastAsiaTheme="minorEastAsia"/>
                      <w:szCs w:val="21"/>
                    </w:rPr>
                  </w:pPr>
                  <w:r>
                    <w:rPr>
                      <w:rFonts w:hint="eastAsia" w:eastAsiaTheme="minorEastAsia"/>
                      <w:szCs w:val="21"/>
                    </w:rPr>
                    <w:t>有机废气治理</w:t>
                  </w:r>
                </w:p>
              </w:tc>
              <w:tc>
                <w:tcPr>
                  <w:tcW w:w="424" w:type="dxa"/>
                  <w:shd w:val="clear" w:color="auto" w:fill="auto"/>
                  <w:vAlign w:val="center"/>
                </w:tcPr>
                <w:p>
                  <w:pPr>
                    <w:topLinePunct/>
                    <w:jc w:val="center"/>
                    <w:rPr>
                      <w:rFonts w:eastAsiaTheme="minorEastAsia"/>
                      <w:szCs w:val="21"/>
                    </w:rPr>
                  </w:pPr>
                  <w:r>
                    <w:rPr>
                      <w:rFonts w:eastAsiaTheme="minorEastAsia"/>
                      <w:szCs w:val="21"/>
                    </w:rPr>
                    <w:t>固态</w:t>
                  </w:r>
                </w:p>
              </w:tc>
              <w:tc>
                <w:tcPr>
                  <w:tcW w:w="851" w:type="dxa"/>
                  <w:shd w:val="clear" w:color="auto" w:fill="auto"/>
                  <w:vAlign w:val="center"/>
                </w:tcPr>
                <w:p>
                  <w:pPr>
                    <w:topLinePunct/>
                    <w:jc w:val="center"/>
                    <w:rPr>
                      <w:szCs w:val="21"/>
                    </w:rPr>
                  </w:pPr>
                  <w:r>
                    <w:rPr>
                      <w:rFonts w:hint="eastAsia"/>
                      <w:szCs w:val="21"/>
                    </w:rPr>
                    <w:t>有机物</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w:t>
                  </w:r>
                </w:p>
              </w:tc>
              <w:tc>
                <w:tcPr>
                  <w:tcW w:w="429" w:type="dxa"/>
                  <w:vMerge w:val="continue"/>
                  <w:shd w:val="clear" w:color="auto" w:fill="auto"/>
                  <w:vAlign w:val="center"/>
                </w:tcPr>
                <w:p>
                  <w:pPr>
                    <w:topLinePunct/>
                    <w:jc w:val="center"/>
                    <w:rPr>
                      <w:rFonts w:eastAsiaTheme="minorEastAsia"/>
                      <w:szCs w:val="21"/>
                    </w:rPr>
                  </w:pPr>
                </w:p>
              </w:tc>
              <w:tc>
                <w:tcPr>
                  <w:tcW w:w="845" w:type="dxa"/>
                  <w:shd w:val="clear" w:color="auto" w:fill="auto"/>
                  <w:vAlign w:val="center"/>
                </w:tcPr>
                <w:p>
                  <w:pPr>
                    <w:topLinePunct/>
                    <w:jc w:val="center"/>
                    <w:rPr>
                      <w:rFonts w:eastAsiaTheme="minorEastAsia"/>
                      <w:szCs w:val="21"/>
                    </w:rPr>
                  </w:pPr>
                  <w:r>
                    <w:rPr>
                      <w:rFonts w:hint="eastAsia" w:eastAsiaTheme="minorEastAsia"/>
                      <w:szCs w:val="21"/>
                    </w:rPr>
                    <w:t>毒性、感染性</w:t>
                  </w:r>
                </w:p>
              </w:tc>
              <w:tc>
                <w:tcPr>
                  <w:tcW w:w="921" w:type="dxa"/>
                  <w:vMerge w:val="continue"/>
                  <w:shd w:val="clear" w:color="auto" w:fill="auto"/>
                  <w:vAlign w:val="center"/>
                </w:tcPr>
                <w:p>
                  <w:pPr>
                    <w:topLinePunct/>
                    <w:jc w:val="center"/>
                    <w:rPr>
                      <w:rFonts w:eastAsia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8" w:hRule="atLeast"/>
                <w:jc w:val="center"/>
              </w:trPr>
              <w:tc>
                <w:tcPr>
                  <w:tcW w:w="437" w:type="dxa"/>
                  <w:shd w:val="clear" w:color="auto" w:fill="auto"/>
                  <w:vAlign w:val="center"/>
                </w:tcPr>
                <w:p>
                  <w:pPr>
                    <w:topLinePunct/>
                    <w:jc w:val="center"/>
                    <w:rPr>
                      <w:rFonts w:eastAsiaTheme="minorEastAsia"/>
                      <w:szCs w:val="21"/>
                    </w:rPr>
                  </w:pPr>
                  <w:r>
                    <w:rPr>
                      <w:rFonts w:hint="eastAsia" w:eastAsiaTheme="minorEastAsia"/>
                      <w:szCs w:val="21"/>
                    </w:rPr>
                    <w:t>7</w:t>
                  </w:r>
                </w:p>
              </w:tc>
              <w:tc>
                <w:tcPr>
                  <w:tcW w:w="831" w:type="dxa"/>
                  <w:shd w:val="clear" w:color="auto" w:fill="auto"/>
                  <w:vAlign w:val="center"/>
                </w:tcPr>
                <w:p>
                  <w:pPr>
                    <w:jc w:val="center"/>
                    <w:rPr>
                      <w:rFonts w:eastAsiaTheme="minorEastAsia"/>
                      <w:bCs/>
                      <w:szCs w:val="21"/>
                    </w:rPr>
                  </w:pPr>
                  <w:r>
                    <w:rPr>
                      <w:rFonts w:hint="eastAsia" w:eastAsiaTheme="minorEastAsia"/>
                      <w:bCs/>
                      <w:szCs w:val="21"/>
                    </w:rPr>
                    <w:t>机油过滤器</w:t>
                  </w:r>
                </w:p>
              </w:tc>
              <w:tc>
                <w:tcPr>
                  <w:tcW w:w="845" w:type="dxa"/>
                  <w:shd w:val="clear" w:color="auto" w:fill="auto"/>
                  <w:vAlign w:val="center"/>
                </w:tcPr>
                <w:p>
                  <w:pPr>
                    <w:topLinePunct/>
                    <w:jc w:val="center"/>
                    <w:rPr>
                      <w:rFonts w:eastAsiaTheme="minorEastAsia"/>
                      <w:szCs w:val="21"/>
                    </w:rPr>
                  </w:pPr>
                  <w:r>
                    <w:rPr>
                      <w:rFonts w:eastAsiaTheme="minorEastAsia"/>
                      <w:bCs/>
                    </w:rPr>
                    <w:t>HW08</w:t>
                  </w:r>
                </w:p>
              </w:tc>
              <w:tc>
                <w:tcPr>
                  <w:tcW w:w="994" w:type="dxa"/>
                  <w:shd w:val="clear" w:color="auto" w:fill="auto"/>
                  <w:vAlign w:val="center"/>
                </w:tcPr>
                <w:p>
                  <w:pPr>
                    <w:topLinePunct/>
                    <w:jc w:val="center"/>
                    <w:rPr>
                      <w:rFonts w:eastAsiaTheme="minorEastAsia"/>
                      <w:bCs/>
                      <w:szCs w:val="21"/>
                    </w:rPr>
                  </w:pPr>
                  <w:r>
                    <w:rPr>
                      <w:rFonts w:eastAsiaTheme="minorEastAsia"/>
                      <w:bCs/>
                    </w:rPr>
                    <w:t>900-21</w:t>
                  </w:r>
                  <w:r>
                    <w:rPr>
                      <w:rFonts w:hint="eastAsia" w:eastAsiaTheme="minorEastAsia"/>
                      <w:bCs/>
                    </w:rPr>
                    <w:t>3</w:t>
                  </w:r>
                  <w:r>
                    <w:rPr>
                      <w:rFonts w:eastAsiaTheme="minorEastAsia"/>
                      <w:bCs/>
                    </w:rPr>
                    <w:t>-08</w:t>
                  </w:r>
                </w:p>
              </w:tc>
              <w:tc>
                <w:tcPr>
                  <w:tcW w:w="709" w:type="dxa"/>
                  <w:shd w:val="clear" w:color="auto" w:fill="auto"/>
                  <w:vAlign w:val="center"/>
                </w:tcPr>
                <w:p>
                  <w:pPr>
                    <w:topLinePunct/>
                    <w:jc w:val="center"/>
                    <w:rPr>
                      <w:rFonts w:eastAsiaTheme="minorEastAsia"/>
                      <w:szCs w:val="21"/>
                    </w:rPr>
                  </w:pPr>
                  <w:r>
                    <w:rPr>
                      <w:rFonts w:hint="eastAsia" w:eastAsiaTheme="minorEastAsia"/>
                      <w:szCs w:val="21"/>
                    </w:rPr>
                    <w:t>0.001</w:t>
                  </w:r>
                </w:p>
              </w:tc>
              <w:tc>
                <w:tcPr>
                  <w:tcW w:w="711" w:type="dxa"/>
                  <w:shd w:val="clear" w:color="auto" w:fill="auto"/>
                  <w:vAlign w:val="center"/>
                </w:tcPr>
                <w:p>
                  <w:pPr>
                    <w:topLinePunct/>
                    <w:jc w:val="center"/>
                    <w:rPr>
                      <w:rFonts w:eastAsiaTheme="minorEastAsia"/>
                      <w:szCs w:val="21"/>
                    </w:rPr>
                  </w:pPr>
                  <w:r>
                    <w:rPr>
                      <w:rFonts w:hint="eastAsia" w:eastAsiaTheme="minorEastAsia"/>
                      <w:szCs w:val="21"/>
                    </w:rPr>
                    <w:t>拆解</w:t>
                  </w:r>
                </w:p>
              </w:tc>
              <w:tc>
                <w:tcPr>
                  <w:tcW w:w="424" w:type="dxa"/>
                  <w:shd w:val="clear" w:color="auto" w:fill="auto"/>
                  <w:vAlign w:val="center"/>
                </w:tcPr>
                <w:p>
                  <w:pPr>
                    <w:topLinePunct/>
                    <w:jc w:val="center"/>
                    <w:rPr>
                      <w:rFonts w:eastAsiaTheme="minorEastAsia"/>
                      <w:szCs w:val="21"/>
                    </w:rPr>
                  </w:pPr>
                  <w:r>
                    <w:rPr>
                      <w:rFonts w:eastAsiaTheme="minorEastAsia"/>
                      <w:szCs w:val="21"/>
                    </w:rPr>
                    <w:t>固态</w:t>
                  </w:r>
                </w:p>
              </w:tc>
              <w:tc>
                <w:tcPr>
                  <w:tcW w:w="851" w:type="dxa"/>
                  <w:shd w:val="clear" w:color="auto" w:fill="auto"/>
                  <w:vAlign w:val="center"/>
                </w:tcPr>
                <w:p>
                  <w:pPr>
                    <w:topLinePunct/>
                    <w:jc w:val="center"/>
                    <w:rPr>
                      <w:szCs w:val="21"/>
                    </w:rPr>
                  </w:pPr>
                  <w:r>
                    <w:rPr>
                      <w:rFonts w:hint="eastAsia" w:eastAsiaTheme="minorEastAsia"/>
                      <w:szCs w:val="21"/>
                    </w:rPr>
                    <w:t>废矿物油与含矿物油废物</w:t>
                  </w:r>
                </w:p>
              </w:tc>
              <w:tc>
                <w:tcPr>
                  <w:tcW w:w="424" w:type="dxa"/>
                  <w:shd w:val="clear" w:color="auto" w:fill="auto"/>
                  <w:vAlign w:val="center"/>
                </w:tcPr>
                <w:p>
                  <w:pPr>
                    <w:topLinePunct/>
                    <w:jc w:val="center"/>
                    <w:rPr>
                      <w:rFonts w:eastAsiaTheme="minorEastAsia"/>
                      <w:szCs w:val="21"/>
                    </w:rPr>
                  </w:pPr>
                  <w:r>
                    <w:rPr>
                      <w:rFonts w:hint="eastAsia" w:eastAsiaTheme="minorEastAsia"/>
                      <w:szCs w:val="21"/>
                    </w:rPr>
                    <w:t>-</w:t>
                  </w:r>
                </w:p>
              </w:tc>
              <w:tc>
                <w:tcPr>
                  <w:tcW w:w="429" w:type="dxa"/>
                  <w:shd w:val="clear" w:color="auto" w:fill="auto"/>
                  <w:vAlign w:val="center"/>
                </w:tcPr>
                <w:p>
                  <w:pPr>
                    <w:topLinePunct/>
                    <w:jc w:val="center"/>
                    <w:rPr>
                      <w:rFonts w:eastAsiaTheme="minorEastAsia"/>
                      <w:szCs w:val="21"/>
                    </w:rPr>
                  </w:pPr>
                </w:p>
              </w:tc>
              <w:tc>
                <w:tcPr>
                  <w:tcW w:w="845" w:type="dxa"/>
                  <w:shd w:val="clear" w:color="auto" w:fill="auto"/>
                  <w:vAlign w:val="center"/>
                </w:tcPr>
                <w:p>
                  <w:pPr>
                    <w:topLinePunct/>
                    <w:jc w:val="center"/>
                    <w:rPr>
                      <w:rFonts w:eastAsiaTheme="minorEastAsia"/>
                      <w:szCs w:val="21"/>
                    </w:rPr>
                  </w:pPr>
                  <w:r>
                    <w:rPr>
                      <w:rFonts w:hint="eastAsia" w:eastAsiaTheme="minorEastAsia"/>
                      <w:szCs w:val="21"/>
                    </w:rPr>
                    <w:t>毒性</w:t>
                  </w:r>
                </w:p>
              </w:tc>
              <w:tc>
                <w:tcPr>
                  <w:tcW w:w="921" w:type="dxa"/>
                  <w:shd w:val="clear" w:color="auto" w:fill="auto"/>
                  <w:vAlign w:val="center"/>
                </w:tcPr>
                <w:p>
                  <w:pPr>
                    <w:topLinePunct/>
                    <w:jc w:val="center"/>
                    <w:rPr>
                      <w:rFonts w:eastAsiaTheme="minorEastAsia"/>
                    </w:rPr>
                  </w:pPr>
                </w:p>
              </w:tc>
            </w:tr>
          </w:tbl>
          <w:p>
            <w:pPr>
              <w:spacing w:line="360" w:lineRule="auto"/>
              <w:ind w:firstLine="482" w:firstLineChars="200"/>
              <w:contextualSpacing/>
              <w:rPr>
                <w:rFonts w:eastAsiaTheme="minorEastAsia"/>
                <w:b/>
                <w:bCs/>
                <w:sz w:val="24"/>
              </w:rPr>
            </w:pPr>
            <w:r>
              <w:rPr>
                <w:rFonts w:eastAsiaTheme="minorEastAsia"/>
                <w:b/>
                <w:bCs/>
                <w:sz w:val="24"/>
              </w:rPr>
              <w:t>2</w:t>
            </w:r>
            <w:r>
              <w:rPr>
                <w:rFonts w:hint="eastAsia" w:eastAsiaTheme="minorEastAsia"/>
                <w:b/>
                <w:bCs/>
                <w:sz w:val="24"/>
              </w:rPr>
              <w:t>、环境管理要求</w:t>
            </w:r>
          </w:p>
          <w:p>
            <w:pPr>
              <w:spacing w:line="360" w:lineRule="auto"/>
              <w:ind w:firstLine="480" w:firstLineChars="200"/>
              <w:contextualSpacing/>
              <w:rPr>
                <w:rFonts w:eastAsiaTheme="minorEastAsia"/>
                <w:sz w:val="24"/>
                <w:szCs w:val="22"/>
              </w:rPr>
            </w:pPr>
            <w:r>
              <w:rPr>
                <w:rFonts w:hint="eastAsia" w:eastAsiaTheme="minorEastAsia"/>
                <w:sz w:val="24"/>
                <w:szCs w:val="22"/>
              </w:rPr>
              <w:t>（</w:t>
            </w:r>
            <w:r>
              <w:rPr>
                <w:rFonts w:eastAsiaTheme="minorEastAsia"/>
                <w:sz w:val="24"/>
                <w:szCs w:val="22"/>
              </w:rPr>
              <w:t>1</w:t>
            </w:r>
            <w:r>
              <w:rPr>
                <w:rFonts w:hint="eastAsia" w:eastAsiaTheme="minorEastAsia"/>
                <w:sz w:val="24"/>
                <w:szCs w:val="22"/>
              </w:rPr>
              <w:t>）工业固体废物</w:t>
            </w:r>
          </w:p>
          <w:p>
            <w:pPr>
              <w:spacing w:line="360" w:lineRule="auto"/>
              <w:ind w:firstLine="480" w:firstLineChars="200"/>
              <w:contextualSpacing/>
              <w:rPr>
                <w:rFonts w:eastAsiaTheme="minorEastAsia"/>
                <w:sz w:val="24"/>
                <w:szCs w:val="22"/>
              </w:rPr>
            </w:pPr>
            <w:r>
              <w:rPr>
                <w:rFonts w:eastAsiaTheme="minorEastAsia"/>
                <w:sz w:val="24"/>
                <w:szCs w:val="22"/>
              </w:rPr>
              <w:fldChar w:fldCharType="begin"/>
            </w:r>
            <w:r>
              <w:rPr>
                <w:rFonts w:eastAsiaTheme="minorEastAsia"/>
                <w:sz w:val="24"/>
                <w:szCs w:val="22"/>
              </w:rPr>
              <w:instrText xml:space="preserve"> = 1 \* GB3 </w:instrText>
            </w:r>
            <w:r>
              <w:rPr>
                <w:rFonts w:eastAsiaTheme="minorEastAsia"/>
                <w:sz w:val="24"/>
                <w:szCs w:val="22"/>
              </w:rPr>
              <w:fldChar w:fldCharType="separate"/>
            </w:r>
            <w:r>
              <w:rPr>
                <w:rFonts w:hAnsiTheme="minorEastAsia" w:eastAsiaTheme="minorEastAsia"/>
                <w:sz w:val="24"/>
                <w:szCs w:val="22"/>
              </w:rPr>
              <w:t>①</w:t>
            </w:r>
            <w:r>
              <w:rPr>
                <w:rFonts w:eastAsiaTheme="minorEastAsia"/>
                <w:sz w:val="24"/>
                <w:szCs w:val="22"/>
              </w:rPr>
              <w:fldChar w:fldCharType="end"/>
            </w:r>
            <w:r>
              <w:rPr>
                <w:rFonts w:hint="eastAsia" w:eastAsiaTheme="minorEastAsia"/>
                <w:sz w:val="24"/>
                <w:szCs w:val="22"/>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pPr>
              <w:spacing w:line="360" w:lineRule="auto"/>
              <w:ind w:firstLine="480" w:firstLineChars="200"/>
              <w:contextualSpacing/>
              <w:rPr>
                <w:rFonts w:eastAsiaTheme="minorEastAsia"/>
                <w:sz w:val="24"/>
                <w:szCs w:val="22"/>
              </w:rPr>
            </w:pPr>
            <w:r>
              <w:rPr>
                <w:rFonts w:eastAsiaTheme="minorEastAsia"/>
                <w:sz w:val="24"/>
                <w:szCs w:val="22"/>
              </w:rPr>
              <w:fldChar w:fldCharType="begin"/>
            </w:r>
            <w:r>
              <w:rPr>
                <w:rFonts w:eastAsiaTheme="minorEastAsia"/>
                <w:sz w:val="24"/>
                <w:szCs w:val="22"/>
              </w:rPr>
              <w:instrText xml:space="preserve"> = 2 \* GB3 </w:instrText>
            </w:r>
            <w:r>
              <w:rPr>
                <w:rFonts w:eastAsiaTheme="minorEastAsia"/>
                <w:sz w:val="24"/>
                <w:szCs w:val="22"/>
              </w:rPr>
              <w:fldChar w:fldCharType="separate"/>
            </w:r>
            <w:r>
              <w:rPr>
                <w:rFonts w:hAnsiTheme="minorEastAsia" w:eastAsiaTheme="minorEastAsia"/>
                <w:sz w:val="24"/>
                <w:szCs w:val="22"/>
              </w:rPr>
              <w:t>②</w:t>
            </w:r>
            <w:r>
              <w:rPr>
                <w:rFonts w:eastAsiaTheme="minorEastAsia"/>
                <w:sz w:val="24"/>
                <w:szCs w:val="22"/>
              </w:rPr>
              <w:fldChar w:fldCharType="end"/>
            </w:r>
            <w:r>
              <w:rPr>
                <w:rFonts w:hint="eastAsia" w:eastAsiaTheme="minorEastAsia"/>
                <w:sz w:val="24"/>
                <w:szCs w:val="22"/>
              </w:rPr>
              <w:t>禁止向生活垃圾收集设施中投放工业固体废物。</w:t>
            </w:r>
          </w:p>
          <w:p>
            <w:pPr>
              <w:autoSpaceDE w:val="0"/>
              <w:autoSpaceDN w:val="0"/>
              <w:spacing w:line="360" w:lineRule="auto"/>
              <w:ind w:firstLine="480" w:firstLineChars="200"/>
              <w:contextualSpacing/>
              <w:rPr>
                <w:rFonts w:eastAsiaTheme="minorEastAsia"/>
                <w:bCs/>
                <w:sz w:val="24"/>
              </w:rPr>
            </w:pPr>
            <w:r>
              <w:rPr>
                <w:rFonts w:eastAsiaTheme="minorEastAsia"/>
                <w:sz w:val="24"/>
                <w:szCs w:val="22"/>
              </w:rPr>
              <w:fldChar w:fldCharType="begin"/>
            </w:r>
            <w:r>
              <w:rPr>
                <w:rFonts w:eastAsiaTheme="minorEastAsia"/>
                <w:sz w:val="24"/>
                <w:szCs w:val="22"/>
              </w:rPr>
              <w:instrText xml:space="preserve"> = 3 \* GB3 </w:instrText>
            </w:r>
            <w:r>
              <w:rPr>
                <w:rFonts w:eastAsiaTheme="minorEastAsia"/>
                <w:sz w:val="24"/>
                <w:szCs w:val="22"/>
              </w:rPr>
              <w:fldChar w:fldCharType="separate"/>
            </w:r>
            <w:r>
              <w:rPr>
                <w:rFonts w:hAnsiTheme="minorEastAsia" w:eastAsiaTheme="minorEastAsia"/>
                <w:sz w:val="24"/>
                <w:szCs w:val="22"/>
              </w:rPr>
              <w:t>③</w:t>
            </w:r>
            <w:r>
              <w:rPr>
                <w:rFonts w:eastAsiaTheme="minorEastAsia"/>
                <w:sz w:val="24"/>
                <w:szCs w:val="22"/>
              </w:rPr>
              <w:fldChar w:fldCharType="end"/>
            </w:r>
            <w:r>
              <w:rPr>
                <w:rFonts w:hint="eastAsia" w:eastAsiaTheme="minorEastAsia"/>
                <w:sz w:val="24"/>
                <w:szCs w:val="22"/>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r>
              <w:rPr>
                <w:rFonts w:hint="eastAsia" w:eastAsiaTheme="minorEastAsia"/>
                <w:bCs/>
                <w:sz w:val="24"/>
              </w:rPr>
              <w:t>。</w:t>
            </w:r>
          </w:p>
          <w:p>
            <w:pPr>
              <w:autoSpaceDE w:val="0"/>
              <w:autoSpaceDN w:val="0"/>
              <w:spacing w:line="360" w:lineRule="auto"/>
              <w:ind w:firstLine="480" w:firstLineChars="200"/>
              <w:contextualSpacing/>
              <w:rPr>
                <w:rFonts w:eastAsiaTheme="minorEastAsia"/>
                <w:sz w:val="24"/>
              </w:rPr>
            </w:pPr>
            <w:r>
              <w:rPr>
                <w:rFonts w:hint="eastAsia" w:eastAsiaTheme="minorEastAsia"/>
                <w:sz w:val="24"/>
              </w:rPr>
              <w:t>（</w:t>
            </w:r>
            <w:r>
              <w:rPr>
                <w:rFonts w:eastAsiaTheme="minorEastAsia"/>
                <w:sz w:val="24"/>
              </w:rPr>
              <w:t>2</w:t>
            </w:r>
            <w:r>
              <w:rPr>
                <w:rFonts w:hint="eastAsia" w:eastAsiaTheme="minorEastAsia"/>
                <w:sz w:val="24"/>
              </w:rPr>
              <w:t>）危险废物</w:t>
            </w:r>
          </w:p>
          <w:p>
            <w:pPr>
              <w:autoSpaceDE w:val="0"/>
              <w:autoSpaceDN w:val="0"/>
              <w:spacing w:line="360" w:lineRule="auto"/>
              <w:ind w:firstLine="480" w:firstLineChars="200"/>
              <w:contextualSpacing/>
              <w:rPr>
                <w:rFonts w:eastAsiaTheme="minorEastAsia"/>
                <w:sz w:val="24"/>
              </w:rPr>
            </w:pPr>
            <w:r>
              <w:rPr>
                <w:rFonts w:eastAsiaTheme="minorEastAsia"/>
                <w:sz w:val="24"/>
              </w:rPr>
              <w:fldChar w:fldCharType="begin"/>
            </w:r>
            <w:r>
              <w:rPr>
                <w:rFonts w:eastAsiaTheme="minorEastAsia"/>
                <w:sz w:val="24"/>
              </w:rPr>
              <w:instrText xml:space="preserve"> = 1 \* GB3 </w:instrText>
            </w:r>
            <w:r>
              <w:rPr>
                <w:rFonts w:eastAsiaTheme="minorEastAsia"/>
                <w:sz w:val="24"/>
              </w:rPr>
              <w:fldChar w:fldCharType="separate"/>
            </w:r>
            <w:r>
              <w:rPr>
                <w:rFonts w:hAnsiTheme="minorEastAsia" w:eastAsiaTheme="minorEastAsia"/>
                <w:sz w:val="24"/>
              </w:rPr>
              <w:t>①</w:t>
            </w:r>
            <w:r>
              <w:rPr>
                <w:rFonts w:eastAsiaTheme="minorEastAsia"/>
                <w:sz w:val="24"/>
              </w:rPr>
              <w:fldChar w:fldCharType="end"/>
            </w:r>
            <w:r>
              <w:rPr>
                <w:sz w:val="24"/>
              </w:rPr>
              <w:t>本项目</w:t>
            </w:r>
            <w:r>
              <w:rPr>
                <w:rFonts w:hint="eastAsia"/>
                <w:sz w:val="24"/>
              </w:rPr>
              <w:t>危险废物</w:t>
            </w:r>
            <w:r>
              <w:rPr>
                <w:sz w:val="24"/>
              </w:rPr>
              <w:t>集中收集后</w:t>
            </w:r>
            <w:r>
              <w:rPr>
                <w:rFonts w:hint="eastAsia"/>
                <w:sz w:val="24"/>
              </w:rPr>
              <w:t>，</w:t>
            </w:r>
            <w:r>
              <w:rPr>
                <w:sz w:val="24"/>
              </w:rPr>
              <w:t>分类</w:t>
            </w:r>
            <w:r>
              <w:rPr>
                <w:rFonts w:hint="eastAsia"/>
                <w:sz w:val="24"/>
              </w:rPr>
              <w:t>、</w:t>
            </w:r>
            <w:r>
              <w:rPr>
                <w:sz w:val="24"/>
              </w:rPr>
              <w:t>分区暂存于危险</w:t>
            </w:r>
            <w:r>
              <w:rPr>
                <w:rFonts w:hint="eastAsia"/>
                <w:sz w:val="24"/>
              </w:rPr>
              <w:t>废物贮存库</w:t>
            </w:r>
            <w:r>
              <w:rPr>
                <w:sz w:val="24"/>
              </w:rPr>
              <w:t>，并定期交由有资质单位处置。</w:t>
            </w:r>
          </w:p>
          <w:p>
            <w:pPr>
              <w:spacing w:line="360" w:lineRule="auto"/>
              <w:ind w:firstLine="480" w:firstLineChars="200"/>
              <w:contextualSpacing/>
              <w:rPr>
                <w:sz w:val="24"/>
                <w:szCs w:val="22"/>
              </w:rPr>
            </w:pPr>
            <w:r>
              <w:rPr>
                <w:sz w:val="24"/>
                <w:szCs w:val="22"/>
              </w:rPr>
              <w:fldChar w:fldCharType="begin"/>
            </w:r>
            <w:r>
              <w:rPr>
                <w:rFonts w:hint="eastAsia"/>
                <w:sz w:val="24"/>
                <w:szCs w:val="22"/>
              </w:rPr>
              <w:instrText xml:space="preserve">= 2 \* GB3</w:instrText>
            </w:r>
            <w:r>
              <w:rPr>
                <w:sz w:val="24"/>
                <w:szCs w:val="22"/>
              </w:rPr>
              <w:fldChar w:fldCharType="separate"/>
            </w:r>
            <w:r>
              <w:rPr>
                <w:rFonts w:hint="eastAsia"/>
                <w:sz w:val="24"/>
                <w:szCs w:val="22"/>
              </w:rPr>
              <w:t>②</w:t>
            </w:r>
            <w:r>
              <w:rPr>
                <w:sz w:val="24"/>
                <w:szCs w:val="22"/>
              </w:rPr>
              <w:fldChar w:fldCharType="end"/>
            </w:r>
            <w:r>
              <w:rPr>
                <w:sz w:val="24"/>
                <w:szCs w:val="22"/>
              </w:rPr>
              <w:t>对危险废物的容器和包装物以及收集、贮存、运输、利用、处置危险废物的设施、场所，应当按照规定设置危险废物识别标志</w:t>
            </w:r>
            <w:r>
              <w:rPr>
                <w:rFonts w:hint="eastAsia"/>
                <w:sz w:val="24"/>
                <w:szCs w:val="22"/>
              </w:rPr>
              <w:t>。</w:t>
            </w:r>
          </w:p>
          <w:p>
            <w:pPr>
              <w:spacing w:line="360" w:lineRule="auto"/>
              <w:ind w:firstLine="480" w:firstLineChars="200"/>
              <w:contextualSpacing/>
              <w:rPr>
                <w:sz w:val="24"/>
                <w:szCs w:val="22"/>
              </w:rPr>
            </w:pPr>
            <w:r>
              <w:rPr>
                <w:sz w:val="24"/>
                <w:szCs w:val="22"/>
              </w:rPr>
              <w:fldChar w:fldCharType="begin"/>
            </w:r>
            <w:r>
              <w:rPr>
                <w:rFonts w:hint="eastAsia"/>
                <w:sz w:val="24"/>
                <w:szCs w:val="22"/>
              </w:rPr>
              <w:instrText xml:space="preserve">= 3 \* GB3</w:instrText>
            </w:r>
            <w:r>
              <w:rPr>
                <w:sz w:val="24"/>
                <w:szCs w:val="22"/>
              </w:rPr>
              <w:fldChar w:fldCharType="separate"/>
            </w:r>
            <w:r>
              <w:rPr>
                <w:rFonts w:hint="eastAsia"/>
                <w:sz w:val="24"/>
                <w:szCs w:val="22"/>
              </w:rPr>
              <w:t>③</w:t>
            </w:r>
            <w:r>
              <w:rPr>
                <w:sz w:val="24"/>
                <w:szCs w:val="22"/>
              </w:rPr>
              <w:fldChar w:fldCharType="end"/>
            </w:r>
            <w:r>
              <w:rPr>
                <w:sz w:val="24"/>
                <w:szCs w:val="22"/>
              </w:rPr>
              <w:t>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w:t>
            </w:r>
            <w:r>
              <w:rPr>
                <w:rFonts w:hint="eastAsia"/>
                <w:sz w:val="24"/>
                <w:szCs w:val="22"/>
              </w:rPr>
              <w:t>。</w:t>
            </w:r>
          </w:p>
          <w:p>
            <w:pPr>
              <w:spacing w:line="360" w:lineRule="auto"/>
              <w:ind w:firstLine="480" w:firstLineChars="200"/>
              <w:contextualSpacing/>
              <w:rPr>
                <w:sz w:val="24"/>
              </w:rPr>
            </w:pPr>
            <w:r>
              <w:rPr>
                <w:sz w:val="24"/>
                <w:szCs w:val="22"/>
              </w:rPr>
              <w:fldChar w:fldCharType="begin"/>
            </w:r>
            <w:r>
              <w:rPr>
                <w:rFonts w:hint="eastAsia"/>
                <w:sz w:val="24"/>
                <w:szCs w:val="22"/>
              </w:rPr>
              <w:instrText xml:space="preserve">= 4 \* GB3</w:instrText>
            </w:r>
            <w:r>
              <w:rPr>
                <w:sz w:val="24"/>
                <w:szCs w:val="22"/>
              </w:rPr>
              <w:fldChar w:fldCharType="separate"/>
            </w:r>
            <w:r>
              <w:rPr>
                <w:rFonts w:hint="eastAsia"/>
                <w:sz w:val="24"/>
                <w:szCs w:val="22"/>
              </w:rPr>
              <w:t>④</w:t>
            </w:r>
            <w:r>
              <w:rPr>
                <w:sz w:val="24"/>
                <w:szCs w:val="22"/>
              </w:rPr>
              <w:fldChar w:fldCharType="end"/>
            </w:r>
            <w:r>
              <w:rPr>
                <w:sz w:val="24"/>
              </w:rPr>
              <w:t>产生危险废物的单位，应当按照国家有关规定和环境保护标准要求贮存、利用、处置危险废物，不得擅自倾倒、堆放</w:t>
            </w:r>
            <w:r>
              <w:rPr>
                <w:rFonts w:hint="eastAsia"/>
                <w:sz w:val="24"/>
              </w:rPr>
              <w:t>。</w:t>
            </w:r>
          </w:p>
          <w:p>
            <w:pPr>
              <w:spacing w:line="360" w:lineRule="auto"/>
              <w:ind w:firstLine="480" w:firstLineChars="200"/>
              <w:contextualSpacing/>
              <w:rPr>
                <w:sz w:val="24"/>
                <w:szCs w:val="22"/>
              </w:rPr>
            </w:pPr>
            <w:r>
              <w:rPr>
                <w:sz w:val="24"/>
                <w:szCs w:val="22"/>
              </w:rPr>
              <w:fldChar w:fldCharType="begin"/>
            </w:r>
            <w:r>
              <w:rPr>
                <w:rFonts w:hint="eastAsia"/>
                <w:sz w:val="24"/>
                <w:szCs w:val="22"/>
              </w:rPr>
              <w:instrText xml:space="preserve">= 5 \* GB3</w:instrText>
            </w:r>
            <w:r>
              <w:rPr>
                <w:sz w:val="24"/>
                <w:szCs w:val="22"/>
              </w:rPr>
              <w:fldChar w:fldCharType="separate"/>
            </w:r>
            <w:r>
              <w:rPr>
                <w:rFonts w:hint="eastAsia"/>
                <w:sz w:val="24"/>
                <w:szCs w:val="22"/>
              </w:rPr>
              <w:t>⑤</w:t>
            </w:r>
            <w:r>
              <w:rPr>
                <w:sz w:val="24"/>
                <w:szCs w:val="22"/>
              </w:rPr>
              <w:fldChar w:fldCharType="end"/>
            </w:r>
            <w:r>
              <w:rPr>
                <w:rFonts w:hint="eastAsia"/>
                <w:sz w:val="24"/>
                <w:szCs w:val="22"/>
              </w:rPr>
              <w:t>危险废物贮存库管理要求</w:t>
            </w:r>
          </w:p>
          <w:p>
            <w:pPr>
              <w:spacing w:line="360" w:lineRule="auto"/>
              <w:ind w:firstLine="480" w:firstLineChars="200"/>
              <w:contextualSpacing/>
              <w:rPr>
                <w:sz w:val="24"/>
                <w:szCs w:val="22"/>
              </w:rPr>
            </w:pPr>
            <w:r>
              <w:rPr>
                <w:rFonts w:hint="eastAsia"/>
                <w:sz w:val="24"/>
                <w:szCs w:val="22"/>
              </w:rPr>
              <w:t>a.</w:t>
            </w:r>
            <w:r>
              <w:rPr>
                <w:sz w:val="24"/>
                <w:szCs w:val="22"/>
              </w:rPr>
              <w:t>拆解后危废的存储应严格按照</w:t>
            </w:r>
            <w:r>
              <w:rPr>
                <w:rFonts w:hint="eastAsia"/>
                <w:sz w:val="24"/>
                <w:lang w:val="zh-CN"/>
              </w:rPr>
              <w:t>《危险废物贮存污染控制标准》（GB18597-2023）</w:t>
            </w:r>
            <w:r>
              <w:rPr>
                <w:sz w:val="24"/>
                <w:szCs w:val="22"/>
              </w:rPr>
              <w:t>要求执行。</w:t>
            </w:r>
            <w:r>
              <w:rPr>
                <w:rFonts w:hint="eastAsia"/>
                <w:sz w:val="24"/>
                <w:szCs w:val="22"/>
              </w:rPr>
              <w:t>贮存危险废物应根据危险废物的类别、形态、物理化学性质和污染防治要求进行分类贮存，且应避免危险废物与不相容的物质或材料接触。贮存库内不同贮存分区之间应采取隔离措施。隔离措施可根据危险废物特性采用过道、隔板或隔墙等方式。及时交由有危废处理资质单位处理。</w:t>
            </w:r>
          </w:p>
          <w:p>
            <w:pPr>
              <w:spacing w:line="360" w:lineRule="auto"/>
              <w:ind w:firstLine="480" w:firstLineChars="200"/>
              <w:contextualSpacing/>
              <w:rPr>
                <w:sz w:val="24"/>
                <w:szCs w:val="22"/>
              </w:rPr>
            </w:pPr>
            <w:r>
              <w:rPr>
                <w:rFonts w:hint="eastAsia"/>
                <w:sz w:val="24"/>
                <w:szCs w:val="22"/>
              </w:rPr>
              <w:t>b.</w:t>
            </w:r>
            <w:r>
              <w:rPr>
                <w:sz w:val="24"/>
                <w:szCs w:val="22"/>
              </w:rPr>
              <w:t>本项目生产过程中产生的属于危险废物，应按危险废物的有关规定进行管理处置，其暂存和处理按照国家相关要求进行，使用专用密闭容器</w:t>
            </w:r>
            <w:r>
              <w:rPr>
                <w:rFonts w:hint="eastAsia"/>
                <w:sz w:val="24"/>
                <w:szCs w:val="22"/>
              </w:rPr>
              <w:t>分类</w:t>
            </w:r>
            <w:r>
              <w:rPr>
                <w:sz w:val="24"/>
                <w:szCs w:val="22"/>
              </w:rPr>
              <w:t>存储废液，防止废液挥发，并交给</w:t>
            </w:r>
            <w:r>
              <w:rPr>
                <w:rFonts w:hint="eastAsia"/>
                <w:sz w:val="24"/>
                <w:szCs w:val="22"/>
              </w:rPr>
              <w:t>有资质</w:t>
            </w:r>
            <w:r>
              <w:rPr>
                <w:sz w:val="24"/>
                <w:szCs w:val="22"/>
              </w:rPr>
              <w:t>的废液回收处理企业。</w:t>
            </w:r>
            <w:r>
              <w:rPr>
                <w:rFonts w:hint="eastAsia"/>
                <w:sz w:val="24"/>
                <w:szCs w:val="22"/>
              </w:rPr>
              <w:t>日</w:t>
            </w:r>
            <w:r>
              <w:rPr>
                <w:sz w:val="24"/>
                <w:szCs w:val="22"/>
              </w:rPr>
              <w:t>常管理应专人专管，严格</w:t>
            </w:r>
            <w:r>
              <w:rPr>
                <w:rFonts w:hint="eastAsia"/>
                <w:sz w:val="24"/>
                <w:szCs w:val="22"/>
              </w:rPr>
              <w:t>进行日常安全防护管理和监测</w:t>
            </w:r>
            <w:r>
              <w:rPr>
                <w:sz w:val="24"/>
                <w:szCs w:val="22"/>
              </w:rPr>
              <w:t>。</w:t>
            </w:r>
          </w:p>
          <w:p>
            <w:pPr>
              <w:spacing w:line="360" w:lineRule="auto"/>
              <w:ind w:firstLine="480" w:firstLineChars="200"/>
              <w:contextualSpacing/>
              <w:rPr>
                <w:sz w:val="24"/>
                <w:szCs w:val="22"/>
              </w:rPr>
            </w:pPr>
            <w:r>
              <w:rPr>
                <w:rFonts w:hint="eastAsia"/>
                <w:sz w:val="24"/>
                <w:szCs w:val="22"/>
              </w:rPr>
              <w:t>c.</w:t>
            </w:r>
            <w:r>
              <w:rPr>
                <w:sz w:val="24"/>
                <w:szCs w:val="22"/>
              </w:rPr>
              <w:t>对</w:t>
            </w:r>
            <w:r>
              <w:rPr>
                <w:rFonts w:hint="eastAsia"/>
                <w:sz w:val="24"/>
                <w:szCs w:val="22"/>
              </w:rPr>
              <w:t>危险废物暂存区设立明显的警示标志，</w:t>
            </w:r>
            <w:r>
              <w:rPr>
                <w:sz w:val="24"/>
                <w:szCs w:val="22"/>
              </w:rPr>
              <w:t>拆解过程产生的危险废物应按照类</w:t>
            </w:r>
            <w:r>
              <w:rPr>
                <w:rFonts w:hint="eastAsia"/>
                <w:sz w:val="24"/>
                <w:szCs w:val="22"/>
              </w:rPr>
              <w:t>别</w:t>
            </w:r>
            <w:r>
              <w:rPr>
                <w:sz w:val="24"/>
                <w:szCs w:val="22"/>
              </w:rPr>
              <w:t>分别放置在专门的收集容器和暂存设施内</w:t>
            </w:r>
            <w:r>
              <w:rPr>
                <w:rFonts w:hint="eastAsia"/>
                <w:sz w:val="24"/>
                <w:szCs w:val="22"/>
              </w:rPr>
              <w:t>。</w:t>
            </w:r>
            <w:r>
              <w:rPr>
                <w:sz w:val="24"/>
                <w:szCs w:val="22"/>
              </w:rPr>
              <w:t>禁止在未获得相应资质的报废机动车拆解企业内拆解废蓄电池，禁止将蓄电池内的液态废物倾倒出来。应将废蓄电池暂存在耐酸地面的专用区域内。</w:t>
            </w:r>
          </w:p>
          <w:p>
            <w:pPr>
              <w:spacing w:line="360" w:lineRule="auto"/>
              <w:ind w:firstLine="480" w:firstLineChars="200"/>
              <w:contextualSpacing/>
              <w:rPr>
                <w:sz w:val="24"/>
                <w:szCs w:val="22"/>
              </w:rPr>
            </w:pPr>
            <w:r>
              <w:rPr>
                <w:rFonts w:hint="eastAsia"/>
                <w:sz w:val="24"/>
                <w:szCs w:val="22"/>
              </w:rPr>
              <w:t>盛放危险废物的隔储罐</w:t>
            </w:r>
            <w:r>
              <w:rPr>
                <w:sz w:val="24"/>
                <w:szCs w:val="22"/>
              </w:rPr>
              <w:t>要防漏和防止洒溅，</w:t>
            </w:r>
            <w:r>
              <w:rPr>
                <w:rFonts w:hint="eastAsia"/>
                <w:sz w:val="24"/>
                <w:szCs w:val="22"/>
              </w:rPr>
              <w:t>贮存设施按照</w:t>
            </w:r>
            <w:r>
              <w:rPr>
                <w:rFonts w:hint="eastAsia"/>
                <w:sz w:val="24"/>
                <w:lang w:val="zh-CN"/>
              </w:rPr>
              <w:t>HJ1276要求</w:t>
            </w:r>
            <w:r>
              <w:rPr>
                <w:rFonts w:hint="eastAsia"/>
                <w:sz w:val="24"/>
                <w:szCs w:val="22"/>
              </w:rPr>
              <w:t>设置明显的警示标志，</w:t>
            </w:r>
            <w:r>
              <w:rPr>
                <w:sz w:val="24"/>
                <w:szCs w:val="22"/>
              </w:rPr>
              <w:t>标明具体物质名称。液态废物应在不同的专用容器中分别暂存。报废机动车拆解企业产生的各种危险废物在厂区内的暂存时间不得超过3个月</w:t>
            </w:r>
            <w:r>
              <w:rPr>
                <w:rFonts w:hint="eastAsia"/>
                <w:sz w:val="24"/>
                <w:szCs w:val="22"/>
              </w:rPr>
              <w:t>，并制定危险废物贮存的台账制度。</w:t>
            </w:r>
          </w:p>
          <w:p>
            <w:pPr>
              <w:spacing w:line="360" w:lineRule="auto"/>
              <w:ind w:firstLine="480" w:firstLineChars="200"/>
              <w:contextualSpacing/>
              <w:rPr>
                <w:sz w:val="24"/>
                <w:szCs w:val="22"/>
              </w:rPr>
            </w:pPr>
            <w:r>
              <w:rPr>
                <w:rFonts w:hint="eastAsia"/>
                <w:sz w:val="24"/>
                <w:szCs w:val="22"/>
              </w:rPr>
              <w:t>贮存设施或场所、容器和包装物应按</w:t>
            </w:r>
            <w:r>
              <w:rPr>
                <w:sz w:val="24"/>
                <w:szCs w:val="22"/>
              </w:rPr>
              <w:t>HJ1276</w:t>
            </w:r>
            <w:r>
              <w:rPr>
                <w:rFonts w:hint="eastAsia"/>
                <w:sz w:val="24"/>
                <w:szCs w:val="22"/>
              </w:rPr>
              <w:t>要求设置危险废物贮存设施或场所标志、危险废物贮存分区标志和危险废物标签等危险废物识别标志。</w:t>
            </w:r>
          </w:p>
          <w:p>
            <w:pPr>
              <w:spacing w:line="360" w:lineRule="auto"/>
              <w:ind w:firstLine="480" w:firstLineChars="200"/>
              <w:contextualSpacing/>
              <w:rPr>
                <w:rFonts w:eastAsiaTheme="minorEastAsia"/>
                <w:bCs/>
                <w:sz w:val="24"/>
              </w:rPr>
            </w:pPr>
            <w:r>
              <w:rPr>
                <w:rFonts w:hint="eastAsia"/>
                <w:sz w:val="24"/>
                <w:szCs w:val="22"/>
              </w:rPr>
              <w:t>d.</w:t>
            </w:r>
            <w:r>
              <w:rPr>
                <w:rFonts w:hint="eastAsia" w:eastAsiaTheme="minorEastAsia"/>
                <w:bCs/>
                <w:sz w:val="24"/>
              </w:rPr>
              <w:t>危险废物贮存库设置围堰、液体导流和收集装置，不同种类的危险废物单独收集、分类存放，中间有明显间隔；设置警示标识，地面做防酸、防腐、防渗处理，地面与裙脚采用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-10</w:t>
            </w:r>
            <w:r>
              <w:rPr>
                <w:rFonts w:eastAsiaTheme="minorEastAsia"/>
                <w:bCs/>
                <w:sz w:val="24"/>
              </w:rPr>
              <w:t>cm/s</w:t>
            </w:r>
            <w:r>
              <w:rPr>
                <w:rFonts w:hint="eastAsia" w:eastAsiaTheme="minorEastAsia"/>
                <w:bCs/>
                <w:sz w:val="24"/>
              </w:rPr>
              <w:t>。</w:t>
            </w:r>
          </w:p>
          <w:p>
            <w:pPr>
              <w:spacing w:line="360" w:lineRule="auto"/>
              <w:ind w:firstLine="480" w:firstLineChars="200"/>
              <w:contextualSpacing/>
              <w:rPr>
                <w:sz w:val="24"/>
                <w:szCs w:val="22"/>
              </w:rPr>
            </w:pPr>
            <w:r>
              <w:rPr>
                <w:rFonts w:hint="eastAsia" w:eastAsiaTheme="minorEastAsia"/>
                <w:bCs/>
                <w:sz w:val="24"/>
              </w:rPr>
              <w:t>e.</w:t>
            </w:r>
            <w:r>
              <w:rPr>
                <w:rFonts w:hint="eastAsia" w:ascii="宋体" w:hAnsi="宋体" w:cs="宋体"/>
                <w:kern w:val="0"/>
                <w:sz w:val="24"/>
              </w:rPr>
              <w:t xml:space="preserve"> </w:t>
            </w:r>
            <w:r>
              <w:rPr>
                <w:rFonts w:hint="eastAsia" w:eastAsiaTheme="minorEastAsia"/>
                <w:bCs/>
                <w:sz w:val="24"/>
              </w:rPr>
              <w:t>危废贮存间应满足</w:t>
            </w:r>
            <w:r>
              <w:rPr>
                <w:rFonts w:eastAsiaTheme="minorEastAsia"/>
                <w:bCs/>
                <w:sz w:val="24"/>
              </w:rPr>
              <w:t>“</w:t>
            </w:r>
            <w:r>
              <w:rPr>
                <w:rFonts w:hint="eastAsia" w:eastAsiaTheme="minorEastAsia"/>
                <w:bCs/>
                <w:sz w:val="24"/>
              </w:rPr>
              <w:t>四防</w:t>
            </w:r>
            <w:r>
              <w:rPr>
                <w:rFonts w:eastAsiaTheme="minorEastAsia"/>
                <w:bCs/>
                <w:sz w:val="24"/>
              </w:rPr>
              <w:t>”</w:t>
            </w:r>
            <w:r>
              <w:rPr>
                <w:rFonts w:hint="eastAsia" w:eastAsiaTheme="minorEastAsia"/>
                <w:bCs/>
                <w:sz w:val="24"/>
              </w:rPr>
              <w:t>（防风、防雨、防晒、防渗漏）；必须有泄漏液体收集装置、气体导出口及气体净化装置；设施内要有安全照明设施和观察窗口。危废贮存库内存放废油液等，可能发生泄漏、产生非甲烷总烃，因此要求危险废物贮存库内设置泄漏液体收集装置、排风装置设施并配备活性炭吸附装置等。</w:t>
            </w:r>
          </w:p>
          <w:p>
            <w:pPr>
              <w:spacing w:line="360" w:lineRule="auto"/>
              <w:ind w:firstLine="480" w:firstLineChars="200"/>
              <w:contextualSpacing/>
              <w:rPr>
                <w:sz w:val="24"/>
                <w:szCs w:val="22"/>
              </w:rPr>
            </w:pPr>
            <w:r>
              <w:rPr>
                <w:sz w:val="24"/>
                <w:szCs w:val="22"/>
              </w:rPr>
              <w:fldChar w:fldCharType="begin"/>
            </w:r>
            <w:r>
              <w:rPr>
                <w:rFonts w:hint="eastAsia"/>
                <w:sz w:val="24"/>
                <w:szCs w:val="22"/>
              </w:rPr>
              <w:instrText xml:space="preserve">= 6 \* GB3</w:instrText>
            </w:r>
            <w:r>
              <w:rPr>
                <w:sz w:val="24"/>
                <w:szCs w:val="22"/>
              </w:rPr>
              <w:fldChar w:fldCharType="separate"/>
            </w:r>
            <w:r>
              <w:rPr>
                <w:rFonts w:hint="eastAsia"/>
                <w:sz w:val="24"/>
                <w:szCs w:val="22"/>
              </w:rPr>
              <w:t>⑥</w:t>
            </w:r>
            <w:r>
              <w:rPr>
                <w:sz w:val="24"/>
                <w:szCs w:val="22"/>
              </w:rPr>
              <w:fldChar w:fldCharType="end"/>
            </w:r>
            <w:r>
              <w:rPr>
                <w:sz w:val="24"/>
                <w:szCs w:val="22"/>
              </w:rPr>
              <w:t>危险废物转运的管理要求</w:t>
            </w:r>
          </w:p>
          <w:p>
            <w:pPr>
              <w:spacing w:line="360" w:lineRule="auto"/>
              <w:ind w:firstLine="480" w:firstLineChars="200"/>
              <w:contextualSpacing/>
              <w:rPr>
                <w:sz w:val="24"/>
                <w:szCs w:val="22"/>
              </w:rPr>
            </w:pPr>
            <w:r>
              <w:rPr>
                <w:sz w:val="24"/>
                <w:szCs w:val="22"/>
              </w:rPr>
              <w:t>a</w:t>
            </w:r>
            <w:r>
              <w:rPr>
                <w:rFonts w:hint="eastAsia"/>
                <w:sz w:val="24"/>
                <w:szCs w:val="22"/>
              </w:rPr>
              <w:t>.转移危险废物的，应当按照国家有关规定填写、运行危险废物电子或者纸质转移联单。</w:t>
            </w:r>
          </w:p>
          <w:p>
            <w:pPr>
              <w:spacing w:line="360" w:lineRule="auto"/>
              <w:ind w:firstLine="480" w:firstLineChars="200"/>
              <w:contextualSpacing/>
              <w:rPr>
                <w:sz w:val="24"/>
                <w:szCs w:val="22"/>
              </w:rPr>
            </w:pPr>
            <w:r>
              <w:rPr>
                <w:rFonts w:hint="eastAsia"/>
                <w:sz w:val="24"/>
                <w:szCs w:val="22"/>
              </w:rPr>
              <w:t>跨省、自治区、直辖市转移危险废物的，应当向危险废物移出地省、自治区、直辖市人民政府生态环境主管部门申请。移出地省、自治区、直辖市人民政府生态环境主管部门应当及时商经接受地省、自治区、直辖市人民政府生态环境主管部门同意后，在规定期限内批准转移该危险废物，并将批准信息通报相关省、自治区、直辖市人民政府生态环境主管部门和交通运输主管部门。未经批准的，不得转移。</w:t>
            </w:r>
          </w:p>
          <w:p>
            <w:pPr>
              <w:spacing w:line="360" w:lineRule="auto"/>
              <w:ind w:firstLine="480" w:firstLineChars="200"/>
              <w:contextualSpacing/>
              <w:rPr>
                <w:sz w:val="24"/>
                <w:szCs w:val="22"/>
              </w:rPr>
            </w:pPr>
            <w:r>
              <w:rPr>
                <w:rFonts w:hint="eastAsia"/>
                <w:sz w:val="24"/>
                <w:szCs w:val="22"/>
              </w:rPr>
              <w:t>b.运输危险废物，应当采取防止污染环境的措施，并遵守国家有关危险货物运输管理的规定。</w:t>
            </w:r>
          </w:p>
          <w:p>
            <w:pPr>
              <w:spacing w:line="360" w:lineRule="auto"/>
              <w:ind w:firstLine="480" w:firstLineChars="200"/>
              <w:contextualSpacing/>
              <w:rPr>
                <w:sz w:val="24"/>
                <w:szCs w:val="22"/>
              </w:rPr>
            </w:pPr>
            <w:r>
              <w:rPr>
                <w:rFonts w:hint="eastAsia"/>
                <w:sz w:val="24"/>
                <w:szCs w:val="22"/>
              </w:rPr>
              <w:t>禁止将危险废物与旅客在同一运输工具上载运。</w:t>
            </w:r>
          </w:p>
          <w:p>
            <w:pPr>
              <w:autoSpaceDE w:val="0"/>
              <w:autoSpaceDN w:val="0"/>
              <w:spacing w:line="360" w:lineRule="auto"/>
              <w:ind w:firstLine="480" w:firstLineChars="200"/>
              <w:contextualSpacing/>
              <w:rPr>
                <w:sz w:val="24"/>
                <w:szCs w:val="22"/>
              </w:rPr>
            </w:pPr>
            <w:r>
              <w:rPr>
                <w:sz w:val="24"/>
                <w:szCs w:val="22"/>
              </w:rPr>
              <w:t>综上所述，本项目产生的固体废物经过妥善处理后，处置率达到100%不会影响周边环境。</w:t>
            </w:r>
          </w:p>
          <w:p>
            <w:pPr>
              <w:autoSpaceDE w:val="0"/>
              <w:autoSpaceDN w:val="0"/>
              <w:spacing w:line="360" w:lineRule="auto"/>
              <w:ind w:firstLine="482" w:firstLineChars="200"/>
              <w:contextualSpacing/>
              <w:rPr>
                <w:sz w:val="24"/>
                <w:szCs w:val="22"/>
              </w:rPr>
            </w:pPr>
            <w:r>
              <w:rPr>
                <w:rFonts w:hint="eastAsia" w:eastAsiaTheme="minorEastAsia"/>
                <w:b/>
                <w:bCs/>
                <w:sz w:val="24"/>
              </w:rPr>
              <w:t>（五）地下水</w:t>
            </w:r>
          </w:p>
          <w:p>
            <w:pPr>
              <w:autoSpaceDE w:val="0"/>
              <w:autoSpaceDN w:val="0"/>
              <w:spacing w:line="360" w:lineRule="auto"/>
              <w:ind w:firstLine="480" w:firstLineChars="200"/>
              <w:contextualSpacing/>
              <w:rPr>
                <w:rFonts w:hAnsi="宋体"/>
                <w:kern w:val="0"/>
                <w:sz w:val="24"/>
              </w:rPr>
            </w:pPr>
            <w:r>
              <w:rPr>
                <w:rFonts w:hint="eastAsia" w:hAnsi="宋体"/>
                <w:kern w:val="0"/>
                <w:sz w:val="24"/>
              </w:rPr>
              <w:t>本项目为农业机械拆解项目，可能对地下水产生影响的途径主要为：生活污水、初期雨水收集池和危险废物暂存场所事故产生的各类污染物渗漏污染地下水体。</w:t>
            </w:r>
          </w:p>
          <w:p>
            <w:pPr>
              <w:autoSpaceDE w:val="0"/>
              <w:autoSpaceDN w:val="0"/>
              <w:spacing w:line="360" w:lineRule="auto"/>
              <w:ind w:firstLine="480" w:firstLineChars="200"/>
              <w:contextualSpacing/>
              <w:rPr>
                <w:rFonts w:hAnsi="宋体"/>
                <w:kern w:val="0"/>
                <w:sz w:val="24"/>
              </w:rPr>
            </w:pPr>
            <w:r>
              <w:rPr>
                <w:rFonts w:hAnsi="宋体"/>
                <w:kern w:val="0"/>
                <w:sz w:val="24"/>
              </w:rPr>
              <w:t>1</w:t>
            </w:r>
            <w:r>
              <w:rPr>
                <w:rFonts w:hint="eastAsia" w:hAnsi="宋体"/>
                <w:kern w:val="0"/>
                <w:sz w:val="24"/>
              </w:rPr>
              <w:t xml:space="preserve">、正常情况下地下水环境影响分析 </w:t>
            </w:r>
          </w:p>
          <w:p>
            <w:pPr>
              <w:autoSpaceDE w:val="0"/>
              <w:autoSpaceDN w:val="0"/>
              <w:spacing w:line="360" w:lineRule="auto"/>
              <w:ind w:firstLine="480" w:firstLineChars="200"/>
              <w:contextualSpacing/>
              <w:rPr>
                <w:rFonts w:hAnsi="宋体"/>
                <w:kern w:val="0"/>
                <w:sz w:val="24"/>
              </w:rPr>
            </w:pPr>
            <w:r>
              <w:rPr>
                <w:rFonts w:hint="eastAsia" w:hAnsi="宋体"/>
                <w:kern w:val="0"/>
                <w:sz w:val="24"/>
              </w:rPr>
              <w:t>项目区存在的可能污染地下水的物质主要为废油液，收集的废油液存储于包装桶内，包装桶置于托盘内，项目拆解车间、危险废物贮存库等均进行防渗处理，因此，当包装桶破裂，废油液泄漏时可通过托盘得到收集，也可通过硬质防渗地面得以拦截，不会下渗污染地下水。项目拆解车间及危险废物贮存库均已进行硬化及防渗处理，因此项目正常生产中无地下水污染途径，对项目区地下水环境影响较小。</w:t>
            </w:r>
          </w:p>
          <w:p>
            <w:pPr>
              <w:autoSpaceDE w:val="0"/>
              <w:autoSpaceDN w:val="0"/>
              <w:spacing w:line="360" w:lineRule="auto"/>
              <w:ind w:firstLine="480" w:firstLineChars="200"/>
              <w:contextualSpacing/>
              <w:rPr>
                <w:rFonts w:hAnsi="宋体"/>
                <w:kern w:val="0"/>
                <w:sz w:val="24"/>
              </w:rPr>
            </w:pPr>
            <w:r>
              <w:rPr>
                <w:rFonts w:hAnsi="宋体"/>
                <w:kern w:val="0"/>
                <w:sz w:val="24"/>
              </w:rPr>
              <w:t>2</w:t>
            </w:r>
            <w:r>
              <w:rPr>
                <w:rFonts w:hint="eastAsia" w:hAnsi="宋体"/>
                <w:kern w:val="0"/>
                <w:sz w:val="24"/>
              </w:rPr>
              <w:t xml:space="preserve">、非正常情况下地下水环境影响分析 </w:t>
            </w:r>
          </w:p>
          <w:p>
            <w:pPr>
              <w:autoSpaceDE w:val="0"/>
              <w:autoSpaceDN w:val="0"/>
              <w:spacing w:line="360" w:lineRule="auto"/>
              <w:ind w:firstLine="480" w:firstLineChars="200"/>
              <w:contextualSpacing/>
              <w:rPr>
                <w:rFonts w:hAnsi="宋体"/>
                <w:kern w:val="0"/>
                <w:sz w:val="24"/>
              </w:rPr>
            </w:pPr>
            <w:r>
              <w:rPr>
                <w:rFonts w:hint="eastAsia" w:hAnsi="宋体"/>
                <w:kern w:val="0"/>
                <w:sz w:val="24"/>
              </w:rPr>
              <w:t>根据场地水文地质条件，危险废物贮存库、拆解车间若发生渗漏，有可能污染地下水环境，因此，项目地下水污染源主要有危险废物贮存库和拆解车间，污染物为石油类，其中石油类属于持久性有机污染物，污染途径为废油液泄漏至土壤，并下渗至地下水环境。</w:t>
            </w:r>
          </w:p>
          <w:p>
            <w:pPr>
              <w:autoSpaceDE w:val="0"/>
              <w:autoSpaceDN w:val="0"/>
              <w:spacing w:line="360" w:lineRule="auto"/>
              <w:ind w:firstLine="480" w:firstLineChars="200"/>
              <w:contextualSpacing/>
              <w:rPr>
                <w:rFonts w:hAnsi="宋体"/>
                <w:bCs/>
                <w:kern w:val="0"/>
                <w:sz w:val="24"/>
              </w:rPr>
            </w:pPr>
            <w:r>
              <w:rPr>
                <w:rFonts w:hint="eastAsia" w:hAnsi="宋体"/>
                <w:kern w:val="0"/>
                <w:sz w:val="24"/>
              </w:rPr>
              <w:t>3、</w:t>
            </w:r>
            <w:r>
              <w:rPr>
                <w:rFonts w:hint="eastAsia" w:hAnsi="宋体"/>
                <w:bCs/>
                <w:kern w:val="0"/>
                <w:sz w:val="24"/>
              </w:rPr>
              <w:t>污染防治措施</w:t>
            </w:r>
          </w:p>
          <w:p>
            <w:pPr>
              <w:autoSpaceDE w:val="0"/>
              <w:autoSpaceDN w:val="0"/>
              <w:spacing w:line="360" w:lineRule="auto"/>
              <w:ind w:firstLine="480" w:firstLineChars="200"/>
              <w:contextualSpacing/>
              <w:rPr>
                <w:rFonts w:hAnsi="宋体"/>
                <w:kern w:val="0"/>
                <w:sz w:val="24"/>
              </w:rPr>
            </w:pPr>
            <w:r>
              <w:rPr>
                <w:rFonts w:hint="eastAsia" w:hAnsi="宋体"/>
                <w:kern w:val="0"/>
                <w:sz w:val="24"/>
              </w:rPr>
              <w:t>本项目地下水污染防治措施应按照</w:t>
            </w:r>
            <w:r>
              <w:rPr>
                <w:rFonts w:hAnsi="宋体"/>
                <w:kern w:val="0"/>
                <w:sz w:val="24"/>
              </w:rPr>
              <w:t>“</w:t>
            </w:r>
            <w:r>
              <w:rPr>
                <w:rFonts w:hint="eastAsia" w:hAnsi="宋体"/>
                <w:kern w:val="0"/>
                <w:sz w:val="24"/>
              </w:rPr>
              <w:t>源头控制、分区防控、污染监控、应急响应</w:t>
            </w:r>
            <w:r>
              <w:rPr>
                <w:rFonts w:hAnsi="宋体"/>
                <w:kern w:val="0"/>
                <w:sz w:val="24"/>
              </w:rPr>
              <w:t>”</w:t>
            </w:r>
            <w:r>
              <w:rPr>
                <w:rFonts w:hint="eastAsia" w:hAnsi="宋体"/>
                <w:kern w:val="0"/>
                <w:sz w:val="24"/>
              </w:rPr>
              <w:t>相结合的原则，从污染物的产生、入渗、扩散、应急响应进行控制。</w:t>
            </w:r>
          </w:p>
          <w:p>
            <w:pPr>
              <w:autoSpaceDE w:val="0"/>
              <w:autoSpaceDN w:val="0"/>
              <w:spacing w:line="360" w:lineRule="auto"/>
              <w:ind w:firstLine="480" w:firstLineChars="200"/>
              <w:contextualSpacing/>
              <w:rPr>
                <w:rFonts w:hAnsi="宋体"/>
                <w:kern w:val="0"/>
                <w:sz w:val="24"/>
              </w:rPr>
            </w:pPr>
            <w:r>
              <w:rPr>
                <w:rFonts w:hint="eastAsia" w:hAnsi="宋体"/>
                <w:kern w:val="0"/>
                <w:sz w:val="24"/>
              </w:rPr>
              <w:t>危险废物的搜集、转运、交接、接收、贮存严格按照相应的规程、规范执行。危险废物委托有资质单位处置，防止固废因淋溶对地下水造成的二次污染。</w:t>
            </w:r>
          </w:p>
          <w:p>
            <w:pPr>
              <w:autoSpaceDE w:val="0"/>
              <w:autoSpaceDN w:val="0"/>
              <w:spacing w:line="360" w:lineRule="auto"/>
              <w:ind w:firstLine="480" w:firstLineChars="200"/>
              <w:contextualSpacing/>
              <w:rPr>
                <w:rFonts w:eastAsiaTheme="minorEastAsia"/>
                <w:bCs/>
                <w:sz w:val="24"/>
              </w:rPr>
            </w:pPr>
            <w:r>
              <w:rPr>
                <w:rFonts w:hint="eastAsia" w:eastAsiaTheme="minorEastAsia"/>
                <w:bCs/>
                <w:sz w:val="24"/>
              </w:rPr>
              <w:t>简单防渗区：本项目厂区内地面及道路全部硬化。</w:t>
            </w:r>
          </w:p>
          <w:p>
            <w:pPr>
              <w:autoSpaceDE w:val="0"/>
              <w:autoSpaceDN w:val="0"/>
              <w:spacing w:line="360" w:lineRule="auto"/>
              <w:ind w:firstLine="480" w:firstLineChars="200"/>
              <w:contextualSpacing/>
              <w:rPr>
                <w:rFonts w:eastAsiaTheme="minorEastAsia"/>
                <w:bCs/>
                <w:sz w:val="24"/>
              </w:rPr>
            </w:pPr>
            <w:r>
              <w:rPr>
                <w:rFonts w:hint="eastAsia" w:eastAsiaTheme="minorEastAsia"/>
                <w:bCs/>
                <w:sz w:val="24"/>
              </w:rPr>
              <w:t>一般防渗区：拆解车间地面设置防油渗隔离层，拆解车间地面混凝土强度等级不低于</w:t>
            </w:r>
            <w:r>
              <w:rPr>
                <w:rFonts w:eastAsiaTheme="minorEastAsia"/>
                <w:bCs/>
                <w:sz w:val="24"/>
              </w:rPr>
              <w:t>C20</w:t>
            </w:r>
            <w:r>
              <w:rPr>
                <w:rFonts w:hint="eastAsia" w:eastAsiaTheme="minorEastAsia"/>
                <w:bCs/>
                <w:sz w:val="24"/>
              </w:rPr>
              <w:t>，厚度不低于</w:t>
            </w:r>
            <w:r>
              <w:rPr>
                <w:rFonts w:eastAsiaTheme="minorEastAsia"/>
                <w:bCs/>
                <w:sz w:val="24"/>
              </w:rPr>
              <w:t>150 mm</w:t>
            </w:r>
            <w:r>
              <w:rPr>
                <w:rFonts w:hint="eastAsia" w:eastAsiaTheme="minorEastAsia"/>
                <w:bCs/>
                <w:sz w:val="24"/>
              </w:rPr>
              <w:t>，其中物流通道路面和拆解区域强度不低于</w:t>
            </w:r>
            <w:r>
              <w:rPr>
                <w:rFonts w:eastAsiaTheme="minorEastAsia"/>
                <w:bCs/>
                <w:sz w:val="24"/>
              </w:rPr>
              <w:t>C30</w:t>
            </w:r>
            <w:r>
              <w:rPr>
                <w:rFonts w:hint="eastAsia" w:eastAsiaTheme="minorEastAsia"/>
                <w:bCs/>
                <w:sz w:val="24"/>
              </w:rPr>
              <w:t>，厚度不低于</w:t>
            </w:r>
            <w:r>
              <w:rPr>
                <w:rFonts w:eastAsiaTheme="minorEastAsia"/>
                <w:bCs/>
                <w:sz w:val="24"/>
              </w:rPr>
              <w:t>200mm</w:t>
            </w:r>
            <w:r>
              <w:rPr>
                <w:rFonts w:hint="eastAsia" w:eastAsiaTheme="minorEastAsia"/>
                <w:bCs/>
                <w:sz w:val="24"/>
              </w:rPr>
              <w:t>，防渗技术要求达到等效粘土防渗层Mb≥1.5m，K≤1×10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；初期雨水收集池、暂存池池体采用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-7</w:t>
            </w:r>
            <w:r>
              <w:rPr>
                <w:rFonts w:eastAsiaTheme="minorEastAsia"/>
                <w:bCs/>
                <w:sz w:val="24"/>
              </w:rPr>
              <w:t>cm/s</w:t>
            </w:r>
            <w:r>
              <w:rPr>
                <w:rFonts w:hint="eastAsia" w:eastAsiaTheme="minorEastAsia"/>
                <w:bCs/>
                <w:sz w:val="24"/>
              </w:rPr>
              <w:t>。产品贮存间、停车场地面采用粘土、抗渗混凝土、高密度聚乙烯（</w:t>
            </w:r>
            <w:r>
              <w:rPr>
                <w:rFonts w:eastAsiaTheme="minorEastAsia"/>
                <w:bCs/>
                <w:sz w:val="24"/>
              </w:rPr>
              <w:t>HDPE</w:t>
            </w:r>
            <w:r>
              <w:rPr>
                <w:rFonts w:hint="eastAsia" w:eastAsiaTheme="minorEastAsia"/>
                <w:bCs/>
                <w:sz w:val="24"/>
              </w:rPr>
              <w:t>）膜或其他防渗性能等效的材料，防渗技术要求达到等效粘土防渗层Mb≥1.5m，K≤1×10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w:t>
            </w:r>
          </w:p>
          <w:p>
            <w:pPr>
              <w:autoSpaceDE w:val="0"/>
              <w:autoSpaceDN w:val="0"/>
              <w:spacing w:line="360" w:lineRule="auto"/>
              <w:ind w:firstLine="480" w:firstLineChars="200"/>
              <w:contextualSpacing/>
              <w:rPr>
                <w:rFonts w:eastAsiaTheme="minorEastAsia"/>
                <w:bCs/>
                <w:sz w:val="24"/>
              </w:rPr>
            </w:pPr>
            <w:r>
              <w:rPr>
                <w:rFonts w:hint="eastAsia" w:eastAsiaTheme="minorEastAsia"/>
                <w:bCs/>
                <w:sz w:val="24"/>
              </w:rPr>
              <w:t>重点防渗区：危险废物贮存库设置围堰、液体导流和收集装置，不同种类的危险废物单独收集、分类存放，中间有明显间隔；设置警示标识，地面做防酸、防腐、防渗处理，地面与裙脚采用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-10</w:t>
            </w:r>
            <w:r>
              <w:rPr>
                <w:rFonts w:eastAsiaTheme="minorEastAsia"/>
                <w:bCs/>
                <w:sz w:val="24"/>
              </w:rPr>
              <w:t>cm/s</w:t>
            </w:r>
            <w:r>
              <w:rPr>
                <w:rFonts w:hint="eastAsia" w:eastAsiaTheme="minorEastAsia"/>
                <w:bCs/>
                <w:sz w:val="24"/>
              </w:rPr>
              <w:t>。</w:t>
            </w:r>
          </w:p>
          <w:p>
            <w:pPr>
              <w:autoSpaceDE w:val="0"/>
              <w:autoSpaceDN w:val="0"/>
              <w:spacing w:line="360" w:lineRule="auto"/>
              <w:ind w:firstLine="480" w:firstLineChars="200"/>
              <w:contextualSpacing/>
              <w:rPr>
                <w:rFonts w:hAnsi="宋体"/>
                <w:kern w:val="0"/>
                <w:sz w:val="24"/>
              </w:rPr>
            </w:pPr>
            <w:r>
              <w:rPr>
                <w:rFonts w:hint="eastAsia" w:hAnsi="宋体"/>
                <w:kern w:val="0"/>
                <w:sz w:val="24"/>
              </w:rPr>
              <w:t>4、跟踪监测</w:t>
            </w:r>
          </w:p>
          <w:p>
            <w:pPr>
              <w:autoSpaceDE w:val="0"/>
              <w:autoSpaceDN w:val="0"/>
              <w:spacing w:line="360" w:lineRule="auto"/>
              <w:ind w:firstLine="480" w:firstLineChars="200"/>
              <w:contextualSpacing/>
              <w:rPr>
                <w:rFonts w:hAnsi="宋体"/>
                <w:kern w:val="0"/>
                <w:sz w:val="24"/>
              </w:rPr>
            </w:pPr>
            <w:r>
              <w:rPr>
                <w:rFonts w:hint="eastAsia" w:hAnsi="宋体"/>
                <w:kern w:val="0"/>
                <w:sz w:val="24"/>
              </w:rPr>
              <w:t>根据《环境影响评价技术导则 地下水环境》（</w:t>
            </w:r>
            <w:r>
              <w:rPr>
                <w:rFonts w:hAnsi="宋体"/>
                <w:kern w:val="0"/>
                <w:sz w:val="24"/>
              </w:rPr>
              <w:t>HJ610-2016</w:t>
            </w:r>
            <w:r>
              <w:rPr>
                <w:rFonts w:hint="eastAsia" w:hAnsi="宋体"/>
                <w:kern w:val="0"/>
                <w:sz w:val="24"/>
              </w:rPr>
              <w:t xml:space="preserve">）中有关地下水环境监测与管理的相关规定，本评价提出如下要求： </w:t>
            </w:r>
          </w:p>
          <w:p>
            <w:pPr>
              <w:autoSpaceDE w:val="0"/>
              <w:autoSpaceDN w:val="0"/>
              <w:spacing w:line="360" w:lineRule="auto"/>
              <w:ind w:firstLine="480" w:firstLineChars="200"/>
              <w:contextualSpacing/>
              <w:rPr>
                <w:rFonts w:hAnsi="宋体"/>
                <w:kern w:val="0"/>
                <w:sz w:val="24"/>
              </w:rPr>
            </w:pPr>
            <w:r>
              <w:rPr>
                <w:rFonts w:hint="eastAsia" w:hAnsi="宋体"/>
                <w:kern w:val="0"/>
                <w:sz w:val="24"/>
              </w:rPr>
              <w:t xml:space="preserve">①建立地下水环境监测管理体系，包括制定地下水环境影响跟踪监测计划、建立地下水环境影响跟踪监测制度、配备先进的监测仪器，以便及时发现问题，采取措施。 </w:t>
            </w:r>
          </w:p>
          <w:p>
            <w:pPr>
              <w:autoSpaceDE w:val="0"/>
              <w:autoSpaceDN w:val="0"/>
              <w:spacing w:line="360" w:lineRule="auto"/>
              <w:ind w:firstLine="480" w:firstLineChars="200"/>
              <w:contextualSpacing/>
              <w:rPr>
                <w:rFonts w:hAnsi="宋体"/>
                <w:kern w:val="0"/>
                <w:sz w:val="24"/>
              </w:rPr>
            </w:pPr>
            <w:r>
              <w:rPr>
                <w:rFonts w:hint="eastAsia" w:hAnsi="宋体"/>
                <w:kern w:val="0"/>
                <w:sz w:val="24"/>
              </w:rPr>
              <w:t xml:space="preserve">②跟踪监测计划应根据环境水文地质条件和建设项目特点设置跟踪监测点，跟踪监测点应明确与建设项目的位置关系，给出点位、坐标、井深、井结构、监测层位、监测因子及监测频率等相关参数。 </w:t>
            </w:r>
          </w:p>
          <w:p>
            <w:pPr>
              <w:autoSpaceDE w:val="0"/>
              <w:autoSpaceDN w:val="0"/>
              <w:spacing w:line="360" w:lineRule="auto"/>
              <w:ind w:firstLine="480" w:firstLineChars="200"/>
              <w:contextualSpacing/>
              <w:rPr>
                <w:rFonts w:hAnsi="宋体"/>
                <w:kern w:val="0"/>
                <w:sz w:val="24"/>
              </w:rPr>
            </w:pPr>
            <w:r>
              <w:rPr>
                <w:rFonts w:hint="eastAsia" w:hAnsi="宋体"/>
                <w:kern w:val="0"/>
                <w:sz w:val="24"/>
              </w:rPr>
              <w:t xml:space="preserve">③制定地下水环境跟踪与信息公开计划，落实跟踪监测报告编制的责任主体，明确地下水环境跟踪监测报告的内容，主要包括建设项目所在场地及其影响区地下水环境跟踪监测数据，排放污染物的种类、数量、浓度。生产设备、管线、贮存与运输装置、污染贮存与处理装置等设施的运行状况、跑冒滴漏记录、维护记录。信息公开计划至少应包括建设项目特征因子的地下水环境监测值。 </w:t>
            </w:r>
          </w:p>
          <w:p>
            <w:pPr>
              <w:autoSpaceDE w:val="0"/>
              <w:autoSpaceDN w:val="0"/>
              <w:spacing w:line="360" w:lineRule="auto"/>
              <w:ind w:firstLine="480" w:firstLineChars="200"/>
              <w:contextualSpacing/>
              <w:rPr>
                <w:rFonts w:hAnsi="宋体"/>
                <w:kern w:val="0"/>
                <w:sz w:val="24"/>
              </w:rPr>
            </w:pPr>
            <w:r>
              <w:rPr>
                <w:rFonts w:hint="eastAsia" w:hAnsi="宋体"/>
                <w:kern w:val="0"/>
                <w:sz w:val="24"/>
              </w:rPr>
              <w:t>④制定地下水污染应急响应制度，明确污染状况下采取的控制措施、切断污染源的途径等。</w:t>
            </w:r>
          </w:p>
          <w:p>
            <w:pPr>
              <w:autoSpaceDE w:val="0"/>
              <w:autoSpaceDN w:val="0"/>
              <w:spacing w:line="360" w:lineRule="auto"/>
              <w:ind w:firstLine="480" w:firstLineChars="200"/>
              <w:contextualSpacing/>
              <w:rPr>
                <w:rFonts w:hAnsi="宋体"/>
                <w:kern w:val="0"/>
                <w:sz w:val="24"/>
              </w:rPr>
            </w:pPr>
            <w:r>
              <w:rPr>
                <w:rFonts w:hAnsi="宋体"/>
                <w:kern w:val="0"/>
                <w:sz w:val="24"/>
              </w:rPr>
              <w:t>监测指标及监测频次如下：</w:t>
            </w:r>
          </w:p>
          <w:p>
            <w:pPr>
              <w:spacing w:line="360" w:lineRule="auto"/>
              <w:contextualSpacing/>
              <w:jc w:val="center"/>
              <w:rPr>
                <w:b/>
                <w:bCs/>
                <w:sz w:val="24"/>
              </w:rPr>
            </w:pPr>
            <w:r>
              <w:rPr>
                <w:rFonts w:hAnsi="宋体"/>
                <w:b/>
                <w:bCs/>
                <w:sz w:val="24"/>
              </w:rPr>
              <w:t>表</w:t>
            </w:r>
            <w:r>
              <w:rPr>
                <w:b/>
                <w:bCs/>
                <w:sz w:val="24"/>
              </w:rPr>
              <w:t>4-1</w:t>
            </w:r>
            <w:r>
              <w:rPr>
                <w:rFonts w:hint="eastAsia"/>
                <w:b/>
                <w:bCs/>
                <w:sz w:val="24"/>
              </w:rPr>
              <w:t>4</w:t>
            </w:r>
            <w:r>
              <w:rPr>
                <w:rFonts w:hAnsi="宋体"/>
                <w:b/>
                <w:bCs/>
                <w:sz w:val="24"/>
              </w:rPr>
              <w:t>监测指标及监测频次</w:t>
            </w:r>
          </w:p>
          <w:tbl>
            <w:tblPr>
              <w:tblStyle w:val="21"/>
              <w:tblW w:w="8151"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87"/>
              <w:gridCol w:w="3952"/>
              <w:gridCol w:w="1713"/>
              <w:gridCol w:w="139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26" w:hRule="atLeast"/>
                <w:jc w:val="center"/>
              </w:trPr>
              <w:tc>
                <w:tcPr>
                  <w:tcW w:w="1087" w:type="dxa"/>
                  <w:vAlign w:val="center"/>
                </w:tcPr>
                <w:p>
                  <w:pPr>
                    <w:jc w:val="center"/>
                    <w:rPr>
                      <w:szCs w:val="21"/>
                    </w:rPr>
                  </w:pPr>
                  <w:r>
                    <w:rPr>
                      <w:rFonts w:hAnsi="宋体"/>
                      <w:szCs w:val="21"/>
                    </w:rPr>
                    <w:t>要素</w:t>
                  </w:r>
                </w:p>
              </w:tc>
              <w:tc>
                <w:tcPr>
                  <w:tcW w:w="3952" w:type="dxa"/>
                  <w:vAlign w:val="center"/>
                </w:tcPr>
                <w:p>
                  <w:pPr>
                    <w:jc w:val="center"/>
                    <w:rPr>
                      <w:szCs w:val="21"/>
                    </w:rPr>
                  </w:pPr>
                  <w:r>
                    <w:rPr>
                      <w:rFonts w:hAnsi="宋体"/>
                      <w:szCs w:val="21"/>
                    </w:rPr>
                    <w:t>监测因子</w:t>
                  </w:r>
                </w:p>
              </w:tc>
              <w:tc>
                <w:tcPr>
                  <w:tcW w:w="1713" w:type="dxa"/>
                  <w:vAlign w:val="center"/>
                </w:tcPr>
                <w:p>
                  <w:pPr>
                    <w:jc w:val="center"/>
                    <w:rPr>
                      <w:szCs w:val="21"/>
                    </w:rPr>
                  </w:pPr>
                  <w:r>
                    <w:rPr>
                      <w:rFonts w:hAnsi="宋体"/>
                      <w:szCs w:val="21"/>
                    </w:rPr>
                    <w:t>监测点位</w:t>
                  </w:r>
                </w:p>
              </w:tc>
              <w:tc>
                <w:tcPr>
                  <w:tcW w:w="1399" w:type="dxa"/>
                  <w:vAlign w:val="center"/>
                </w:tcPr>
                <w:p>
                  <w:pPr>
                    <w:jc w:val="center"/>
                    <w:rPr>
                      <w:szCs w:val="21"/>
                    </w:rPr>
                  </w:pPr>
                  <w:r>
                    <w:rPr>
                      <w:rFonts w:hAnsi="宋体"/>
                      <w:szCs w:val="21"/>
                    </w:rPr>
                    <w:t>监测频次</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87" w:hRule="atLeast"/>
                <w:jc w:val="center"/>
              </w:trPr>
              <w:tc>
                <w:tcPr>
                  <w:tcW w:w="1087" w:type="dxa"/>
                  <w:vAlign w:val="center"/>
                </w:tcPr>
                <w:p>
                  <w:pPr>
                    <w:jc w:val="center"/>
                    <w:rPr>
                      <w:szCs w:val="21"/>
                    </w:rPr>
                  </w:pPr>
                  <w:r>
                    <w:rPr>
                      <w:rFonts w:hAnsi="宋体"/>
                      <w:szCs w:val="21"/>
                    </w:rPr>
                    <w:t>地下水</w:t>
                  </w:r>
                </w:p>
              </w:tc>
              <w:tc>
                <w:tcPr>
                  <w:tcW w:w="3952" w:type="dxa"/>
                  <w:vAlign w:val="center"/>
                </w:tcPr>
                <w:p>
                  <w:pPr>
                    <w:jc w:val="center"/>
                    <w:rPr>
                      <w:szCs w:val="21"/>
                    </w:rPr>
                  </w:pPr>
                  <w:r>
                    <w:rPr>
                      <w:rFonts w:hint="eastAsia"/>
                      <w:szCs w:val="21"/>
                    </w:rPr>
                    <w:t>石油类</w:t>
                  </w:r>
                </w:p>
              </w:tc>
              <w:tc>
                <w:tcPr>
                  <w:tcW w:w="1713" w:type="dxa"/>
                  <w:vAlign w:val="center"/>
                </w:tcPr>
                <w:p>
                  <w:pPr>
                    <w:jc w:val="center"/>
                    <w:rPr>
                      <w:szCs w:val="21"/>
                    </w:rPr>
                  </w:pPr>
                  <w:r>
                    <w:rPr>
                      <w:rFonts w:hAnsi="宋体"/>
                      <w:szCs w:val="21"/>
                    </w:rPr>
                    <w:t>地下水监测井</w:t>
                  </w:r>
                </w:p>
              </w:tc>
              <w:tc>
                <w:tcPr>
                  <w:tcW w:w="1399" w:type="dxa"/>
                  <w:vAlign w:val="center"/>
                </w:tcPr>
                <w:p>
                  <w:pPr>
                    <w:jc w:val="center"/>
                    <w:rPr>
                      <w:szCs w:val="21"/>
                    </w:rPr>
                  </w:pPr>
                  <w:r>
                    <w:rPr>
                      <w:szCs w:val="21"/>
                    </w:rPr>
                    <w:t>1</w:t>
                  </w:r>
                  <w:r>
                    <w:rPr>
                      <w:rFonts w:hAnsi="宋体"/>
                      <w:szCs w:val="21"/>
                    </w:rPr>
                    <w:t>次</w:t>
                  </w:r>
                  <w:r>
                    <w:rPr>
                      <w:szCs w:val="21"/>
                    </w:rPr>
                    <w:t>/</w:t>
                  </w:r>
                  <w:r>
                    <w:rPr>
                      <w:rFonts w:hAnsi="宋体"/>
                      <w:szCs w:val="21"/>
                    </w:rPr>
                    <w:t>年</w:t>
                  </w:r>
                </w:p>
              </w:tc>
            </w:tr>
          </w:tbl>
          <w:p>
            <w:pPr>
              <w:spacing w:line="360" w:lineRule="auto"/>
              <w:ind w:firstLine="482" w:firstLineChars="200"/>
              <w:contextualSpacing/>
              <w:rPr>
                <w:rFonts w:eastAsiaTheme="minorEastAsia"/>
                <w:b/>
                <w:bCs/>
                <w:sz w:val="24"/>
              </w:rPr>
            </w:pPr>
            <w:r>
              <w:rPr>
                <w:rFonts w:hint="eastAsia" w:eastAsiaTheme="minorEastAsia"/>
                <w:b/>
                <w:bCs/>
                <w:sz w:val="24"/>
              </w:rPr>
              <w:t>（六）土壤</w:t>
            </w:r>
          </w:p>
          <w:p>
            <w:pPr>
              <w:autoSpaceDE w:val="0"/>
              <w:autoSpaceDN w:val="0"/>
              <w:spacing w:line="360" w:lineRule="auto"/>
              <w:ind w:firstLine="480" w:firstLineChars="200"/>
              <w:contextualSpacing/>
              <w:rPr>
                <w:rFonts w:eastAsiaTheme="minorEastAsia"/>
                <w:sz w:val="24"/>
              </w:rPr>
            </w:pPr>
            <w:r>
              <w:rPr>
                <w:rFonts w:hint="eastAsia" w:eastAsiaTheme="minorEastAsia"/>
                <w:bCs/>
                <w:sz w:val="24"/>
              </w:rPr>
              <w:t>本项目厂区内地面及道路全部硬化；拆解车间地面设置防油渗隔离层，拆解车间地面混凝土强度等级不低于</w:t>
            </w:r>
            <w:r>
              <w:rPr>
                <w:rFonts w:eastAsiaTheme="minorEastAsia"/>
                <w:bCs/>
                <w:sz w:val="24"/>
              </w:rPr>
              <w:t>C20</w:t>
            </w:r>
            <w:r>
              <w:rPr>
                <w:rFonts w:hint="eastAsia" w:eastAsiaTheme="minorEastAsia"/>
                <w:bCs/>
                <w:sz w:val="24"/>
              </w:rPr>
              <w:t>，厚度不低于</w:t>
            </w:r>
            <w:r>
              <w:rPr>
                <w:rFonts w:eastAsiaTheme="minorEastAsia"/>
                <w:bCs/>
                <w:sz w:val="24"/>
              </w:rPr>
              <w:t>150 mm</w:t>
            </w:r>
            <w:r>
              <w:rPr>
                <w:rFonts w:hint="eastAsia" w:eastAsiaTheme="minorEastAsia"/>
                <w:bCs/>
                <w:sz w:val="24"/>
              </w:rPr>
              <w:t>，其中物流通道路面和拆解区域强度不低于</w:t>
            </w:r>
            <w:r>
              <w:rPr>
                <w:rFonts w:eastAsiaTheme="minorEastAsia"/>
                <w:bCs/>
                <w:sz w:val="24"/>
              </w:rPr>
              <w:t>C30</w:t>
            </w:r>
            <w:r>
              <w:rPr>
                <w:rFonts w:hint="eastAsia" w:eastAsiaTheme="minorEastAsia"/>
                <w:bCs/>
                <w:sz w:val="24"/>
              </w:rPr>
              <w:t>，厚度不低于</w:t>
            </w:r>
            <w:r>
              <w:rPr>
                <w:rFonts w:eastAsiaTheme="minorEastAsia"/>
                <w:bCs/>
                <w:sz w:val="24"/>
              </w:rPr>
              <w:t>200mm</w:t>
            </w:r>
            <w:r>
              <w:rPr>
                <w:rFonts w:hint="eastAsia" w:eastAsiaTheme="minorEastAsia"/>
                <w:bCs/>
                <w:sz w:val="24"/>
              </w:rPr>
              <w:t>，防渗技术要求达到等效粘土防渗层Mb≥1.5m，K≤1×10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；初期雨水收集池、暂存池池体采用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-7</w:t>
            </w:r>
            <w:r>
              <w:rPr>
                <w:rFonts w:eastAsiaTheme="minorEastAsia"/>
                <w:bCs/>
                <w:sz w:val="24"/>
              </w:rPr>
              <w:t>cm/s</w:t>
            </w:r>
            <w:r>
              <w:rPr>
                <w:rFonts w:hint="eastAsia" w:eastAsiaTheme="minorEastAsia"/>
                <w:bCs/>
                <w:sz w:val="24"/>
              </w:rPr>
              <w:t>。产品贮存间、停车场地面采用粘土、抗渗混凝土、高密度聚乙烯（</w:t>
            </w:r>
            <w:r>
              <w:rPr>
                <w:rFonts w:eastAsiaTheme="minorEastAsia"/>
                <w:bCs/>
                <w:sz w:val="24"/>
              </w:rPr>
              <w:t>HDPE</w:t>
            </w:r>
            <w:r>
              <w:rPr>
                <w:rFonts w:hint="eastAsia" w:eastAsiaTheme="minorEastAsia"/>
                <w:bCs/>
                <w:sz w:val="24"/>
              </w:rPr>
              <w:t>）膜或其他防渗性能等效的材料，防渗技术要求达到等效粘土防渗层Mb≥1.5m，K≤1×10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；危险废物贮存库设置围堰、液体导流和收集装置，不同种类的危险废物单独收集、分类存放，中间有明显间隔；设置警示标识，地面做防酸、防腐、防渗处理，地面与裙脚采用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-10</w:t>
            </w:r>
            <w:r>
              <w:rPr>
                <w:rFonts w:eastAsiaTheme="minorEastAsia"/>
                <w:bCs/>
                <w:sz w:val="24"/>
              </w:rPr>
              <w:t>cm/s</w:t>
            </w:r>
            <w:r>
              <w:rPr>
                <w:rFonts w:hint="eastAsia" w:eastAsiaTheme="minorEastAsia"/>
                <w:sz w:val="24"/>
              </w:rPr>
              <w:t>。</w:t>
            </w:r>
          </w:p>
          <w:p>
            <w:pPr>
              <w:spacing w:line="360" w:lineRule="auto"/>
              <w:ind w:firstLine="482" w:firstLineChars="200"/>
              <w:contextualSpacing/>
              <w:rPr>
                <w:rFonts w:eastAsiaTheme="minorEastAsia"/>
                <w:b/>
                <w:bCs/>
                <w:sz w:val="24"/>
              </w:rPr>
            </w:pPr>
            <w:r>
              <w:rPr>
                <w:rFonts w:hint="eastAsia" w:eastAsiaTheme="minorEastAsia"/>
                <w:b/>
                <w:bCs/>
                <w:sz w:val="24"/>
              </w:rPr>
              <w:t>（七）生态环境</w:t>
            </w:r>
          </w:p>
          <w:p>
            <w:pPr>
              <w:spacing w:line="360" w:lineRule="auto"/>
              <w:ind w:firstLine="480" w:firstLineChars="200"/>
              <w:contextualSpacing/>
              <w:jc w:val="left"/>
              <w:rPr>
                <w:rFonts w:eastAsiaTheme="minorEastAsia"/>
                <w:kern w:val="0"/>
                <w:sz w:val="24"/>
              </w:rPr>
            </w:pPr>
            <w:r>
              <w:rPr>
                <w:rFonts w:hint="eastAsia" w:eastAsiaTheme="minorEastAsia"/>
                <w:kern w:val="0"/>
                <w:sz w:val="24"/>
              </w:rPr>
              <w:t>本项目用地为工业用地，用地范围内无生态环境保护目标，不会对周边生态环境。</w:t>
            </w:r>
          </w:p>
          <w:p>
            <w:pPr>
              <w:spacing w:line="360" w:lineRule="auto"/>
              <w:ind w:firstLine="482" w:firstLineChars="200"/>
              <w:contextualSpacing/>
              <w:jc w:val="left"/>
              <w:rPr>
                <w:rFonts w:eastAsiaTheme="minorEastAsia"/>
                <w:b/>
                <w:kern w:val="0"/>
                <w:sz w:val="24"/>
              </w:rPr>
            </w:pPr>
            <w:r>
              <w:rPr>
                <w:rFonts w:hint="eastAsia" w:eastAsiaTheme="minorEastAsia"/>
                <w:b/>
                <w:kern w:val="0"/>
                <w:sz w:val="24"/>
              </w:rPr>
              <w:t>（七）环境风险</w:t>
            </w:r>
          </w:p>
          <w:p>
            <w:pPr>
              <w:spacing w:line="360" w:lineRule="auto"/>
              <w:ind w:firstLine="482" w:firstLineChars="200"/>
              <w:contextualSpacing/>
              <w:jc w:val="left"/>
              <w:rPr>
                <w:rFonts w:eastAsiaTheme="minorEastAsia"/>
                <w:b/>
                <w:kern w:val="0"/>
                <w:sz w:val="24"/>
              </w:rPr>
            </w:pPr>
            <w:r>
              <w:rPr>
                <w:rFonts w:eastAsiaTheme="minorEastAsia"/>
                <w:b/>
                <w:kern w:val="0"/>
                <w:sz w:val="24"/>
              </w:rPr>
              <w:t>1</w:t>
            </w:r>
            <w:r>
              <w:rPr>
                <w:rFonts w:hint="eastAsia" w:eastAsiaTheme="minorEastAsia"/>
                <w:b/>
                <w:kern w:val="0"/>
                <w:sz w:val="24"/>
              </w:rPr>
              <w:t>、风险分析</w:t>
            </w:r>
          </w:p>
          <w:p>
            <w:pPr>
              <w:spacing w:line="360" w:lineRule="auto"/>
              <w:ind w:firstLine="600" w:firstLineChars="250"/>
              <w:contextualSpacing/>
              <w:jc w:val="left"/>
              <w:rPr>
                <w:rFonts w:eastAsiaTheme="minorEastAsia"/>
                <w:bCs/>
                <w:kern w:val="0"/>
                <w:sz w:val="24"/>
              </w:rPr>
            </w:pPr>
            <w:r>
              <w:rPr>
                <w:rFonts w:hint="eastAsia" w:eastAsiaTheme="minorEastAsia"/>
                <w:bCs/>
                <w:kern w:val="0"/>
                <w:sz w:val="24"/>
              </w:rPr>
              <w:t>根据《建设项目环境风险评价技术导则》（</w:t>
            </w:r>
            <w:r>
              <w:rPr>
                <w:rFonts w:eastAsiaTheme="minorEastAsia"/>
                <w:bCs/>
                <w:kern w:val="0"/>
                <w:sz w:val="24"/>
              </w:rPr>
              <w:t>HJ169-2018</w:t>
            </w:r>
            <w:r>
              <w:rPr>
                <w:rFonts w:hint="eastAsia" w:eastAsiaTheme="minorEastAsia"/>
                <w:bCs/>
                <w:kern w:val="0"/>
                <w:sz w:val="24"/>
              </w:rPr>
              <w:t>）附录中表</w:t>
            </w:r>
            <w:r>
              <w:rPr>
                <w:rFonts w:eastAsiaTheme="minorEastAsia"/>
                <w:bCs/>
                <w:kern w:val="0"/>
                <w:sz w:val="24"/>
              </w:rPr>
              <w:t>B.1</w:t>
            </w:r>
            <w:r>
              <w:rPr>
                <w:rFonts w:hint="eastAsia" w:eastAsiaTheme="minorEastAsia"/>
                <w:bCs/>
                <w:kern w:val="0"/>
                <w:sz w:val="24"/>
              </w:rPr>
              <w:t>，本项目废油液属</w:t>
            </w:r>
            <w:r>
              <w:rPr>
                <w:rFonts w:hint="eastAsia" w:asciiTheme="minorEastAsia" w:hAnsiTheme="minorEastAsia" w:eastAsiaTheme="minorEastAsia"/>
                <w:bCs/>
                <w:kern w:val="0"/>
                <w:sz w:val="24"/>
              </w:rPr>
              <w:t>于</w:t>
            </w:r>
            <w:r>
              <w:rPr>
                <w:rFonts w:asciiTheme="minorEastAsia" w:hAnsiTheme="minorEastAsia" w:eastAsiaTheme="minorEastAsia"/>
                <w:bCs/>
                <w:kern w:val="0"/>
                <w:sz w:val="24"/>
              </w:rPr>
              <w:t>“</w:t>
            </w:r>
            <w:r>
              <w:rPr>
                <w:rFonts w:hint="eastAsia" w:asciiTheme="minorEastAsia" w:hAnsiTheme="minorEastAsia" w:eastAsiaTheme="minorEastAsia"/>
                <w:bCs/>
                <w:kern w:val="0"/>
                <w:sz w:val="24"/>
              </w:rPr>
              <w:t>油类物质</w:t>
            </w:r>
            <w:r>
              <w:rPr>
                <w:rFonts w:asciiTheme="minorEastAsia" w:hAnsiTheme="minorEastAsia" w:eastAsiaTheme="minorEastAsia"/>
                <w:bCs/>
                <w:kern w:val="0"/>
                <w:sz w:val="24"/>
              </w:rPr>
              <w:t>”</w:t>
            </w:r>
            <w:r>
              <w:rPr>
                <w:rFonts w:hint="eastAsia" w:eastAsiaTheme="minorEastAsia"/>
                <w:bCs/>
                <w:kern w:val="0"/>
                <w:sz w:val="24"/>
              </w:rPr>
              <w:t>，废柴油、废液压油、废润滑油最大存储量为3</w:t>
            </w:r>
            <w:r>
              <w:rPr>
                <w:rFonts w:eastAsiaTheme="minorEastAsia"/>
                <w:bCs/>
                <w:kern w:val="0"/>
                <w:sz w:val="24"/>
              </w:rPr>
              <w:t>t</w:t>
            </w:r>
            <w:r>
              <w:rPr>
                <w:rFonts w:hint="eastAsia" w:eastAsiaTheme="minorEastAsia"/>
                <w:bCs/>
                <w:kern w:val="0"/>
                <w:sz w:val="24"/>
              </w:rPr>
              <w:t>，油类物质临界量为</w:t>
            </w:r>
            <w:r>
              <w:rPr>
                <w:rFonts w:eastAsiaTheme="minorEastAsia"/>
                <w:bCs/>
                <w:kern w:val="0"/>
                <w:sz w:val="24"/>
              </w:rPr>
              <w:t>2500t</w:t>
            </w:r>
            <w:r>
              <w:rPr>
                <w:rFonts w:hint="eastAsia" w:eastAsiaTheme="minorEastAsia"/>
                <w:bCs/>
                <w:kern w:val="0"/>
                <w:sz w:val="24"/>
              </w:rPr>
              <w:t>，故本项目临界值为</w:t>
            </w:r>
            <w:r>
              <w:rPr>
                <w:rFonts w:eastAsiaTheme="minorEastAsia"/>
                <w:bCs/>
                <w:kern w:val="0"/>
                <w:sz w:val="24"/>
              </w:rPr>
              <w:t>Q=</w:t>
            </w:r>
            <w:r>
              <w:rPr>
                <w:rFonts w:hint="eastAsia" w:eastAsiaTheme="minorEastAsia"/>
                <w:bCs/>
                <w:kern w:val="0"/>
                <w:sz w:val="24"/>
              </w:rPr>
              <w:t>3</w:t>
            </w:r>
            <w:r>
              <w:rPr>
                <w:rFonts w:eastAsiaTheme="minorEastAsia"/>
                <w:bCs/>
                <w:kern w:val="0"/>
                <w:sz w:val="24"/>
              </w:rPr>
              <w:t>/2500=0.00</w:t>
            </w:r>
            <w:r>
              <w:rPr>
                <w:rFonts w:hint="eastAsia" w:eastAsiaTheme="minorEastAsia"/>
                <w:bCs/>
                <w:kern w:val="0"/>
                <w:sz w:val="24"/>
              </w:rPr>
              <w:t>12＜</w:t>
            </w:r>
            <w:r>
              <w:rPr>
                <w:rFonts w:eastAsiaTheme="minorEastAsia"/>
                <w:bCs/>
                <w:kern w:val="0"/>
                <w:sz w:val="24"/>
              </w:rPr>
              <w:t>1</w:t>
            </w:r>
            <w:r>
              <w:rPr>
                <w:rFonts w:hint="eastAsia" w:eastAsiaTheme="minorEastAsia"/>
                <w:bCs/>
                <w:kern w:val="0"/>
                <w:sz w:val="24"/>
              </w:rPr>
              <w:t>。</w:t>
            </w:r>
          </w:p>
          <w:p>
            <w:pPr>
              <w:spacing w:line="360" w:lineRule="auto"/>
              <w:ind w:firstLine="482" w:firstLineChars="200"/>
              <w:contextualSpacing/>
              <w:jc w:val="left"/>
              <w:rPr>
                <w:rFonts w:eastAsiaTheme="minorEastAsia"/>
                <w:b/>
                <w:kern w:val="0"/>
                <w:sz w:val="24"/>
              </w:rPr>
            </w:pPr>
            <w:r>
              <w:rPr>
                <w:rFonts w:eastAsiaTheme="minorEastAsia"/>
                <w:b/>
                <w:kern w:val="0"/>
                <w:sz w:val="24"/>
              </w:rPr>
              <w:t>2</w:t>
            </w:r>
            <w:r>
              <w:rPr>
                <w:rFonts w:hint="eastAsia" w:eastAsiaTheme="minorEastAsia"/>
                <w:b/>
                <w:kern w:val="0"/>
                <w:sz w:val="24"/>
              </w:rPr>
              <w:t>、风险源分布情况及影响途径</w:t>
            </w:r>
          </w:p>
          <w:p>
            <w:pPr>
              <w:spacing w:line="360" w:lineRule="auto"/>
              <w:ind w:firstLine="600" w:firstLineChars="250"/>
              <w:contextualSpacing/>
              <w:jc w:val="left"/>
              <w:rPr>
                <w:rFonts w:eastAsiaTheme="minorEastAsia"/>
                <w:kern w:val="0"/>
                <w:sz w:val="24"/>
              </w:rPr>
            </w:pPr>
            <w:r>
              <w:rPr>
                <w:rFonts w:hint="eastAsia" w:eastAsiaTheme="minorEastAsia"/>
                <w:kern w:val="0"/>
                <w:sz w:val="24"/>
              </w:rPr>
              <w:t>本项目风险物质废油液、</w:t>
            </w:r>
            <w:r>
              <w:rPr>
                <w:rFonts w:hint="eastAsia" w:eastAsiaTheme="minorEastAsia"/>
                <w:bCs/>
                <w:kern w:val="0"/>
                <w:sz w:val="24"/>
              </w:rPr>
              <w:t>废铅蓄电池、废润滑油</w:t>
            </w:r>
            <w:r>
              <w:rPr>
                <w:rFonts w:hint="eastAsia" w:eastAsiaTheme="minorEastAsia"/>
                <w:kern w:val="0"/>
                <w:sz w:val="24"/>
              </w:rPr>
              <w:t>均暂存于危险废物贮存库，</w:t>
            </w:r>
            <w:r>
              <w:rPr>
                <w:rFonts w:hint="eastAsia" w:eastAsiaTheme="minorEastAsia"/>
                <w:bCs/>
                <w:kern w:val="0"/>
                <w:sz w:val="24"/>
              </w:rPr>
              <w:t>地面与裙脚采用</w:t>
            </w:r>
            <w:r>
              <w:rPr>
                <w:rFonts w:eastAsiaTheme="minorEastAsia"/>
                <w:bCs/>
                <w:kern w:val="0"/>
                <w:sz w:val="24"/>
              </w:rPr>
              <w:t>2mm</w:t>
            </w:r>
            <w:r>
              <w:rPr>
                <w:rFonts w:hint="eastAsia" w:eastAsiaTheme="minorEastAsia"/>
                <w:bCs/>
                <w:kern w:val="0"/>
                <w:sz w:val="24"/>
              </w:rPr>
              <w:t>厚的高密度聚乙烯土工膜及混凝土地面，渗透系数≤1×10</w:t>
            </w:r>
            <w:r>
              <w:rPr>
                <w:rFonts w:eastAsiaTheme="minorEastAsia"/>
                <w:bCs/>
                <w:kern w:val="0"/>
                <w:sz w:val="24"/>
                <w:vertAlign w:val="superscript"/>
              </w:rPr>
              <w:t>-10</w:t>
            </w:r>
            <w:r>
              <w:rPr>
                <w:rFonts w:eastAsiaTheme="minorEastAsia"/>
                <w:bCs/>
                <w:kern w:val="0"/>
                <w:sz w:val="24"/>
              </w:rPr>
              <w:t>cm/s</w:t>
            </w:r>
            <w:r>
              <w:rPr>
                <w:rFonts w:hint="eastAsia" w:eastAsiaTheme="minorEastAsia"/>
                <w:kern w:val="0"/>
                <w:sz w:val="24"/>
              </w:rPr>
              <w:t>，防止泄露，污染地下水及土壤。油类物质等发生泄漏，若遇到火源很容易就会被点燃而引发火灾，火灾燃烧产生的废气次生污染以及消防过程产生的消防废水也可能对区域空气、地表水、土壤、地下水等环境因素造成污染。</w:t>
            </w:r>
          </w:p>
          <w:p>
            <w:pPr>
              <w:spacing w:line="360" w:lineRule="auto"/>
              <w:ind w:firstLine="482" w:firstLineChars="200"/>
              <w:contextualSpacing/>
              <w:rPr>
                <w:rFonts w:eastAsiaTheme="minorEastAsia"/>
                <w:b/>
                <w:kern w:val="0"/>
                <w:sz w:val="24"/>
              </w:rPr>
            </w:pPr>
            <w:r>
              <w:rPr>
                <w:rFonts w:eastAsiaTheme="minorEastAsia"/>
                <w:b/>
                <w:kern w:val="0"/>
                <w:sz w:val="24"/>
              </w:rPr>
              <w:t>3</w:t>
            </w:r>
            <w:r>
              <w:rPr>
                <w:rFonts w:hint="eastAsia" w:eastAsiaTheme="minorEastAsia"/>
                <w:b/>
                <w:kern w:val="0"/>
                <w:sz w:val="24"/>
              </w:rPr>
              <w:t>、风险防范措施</w:t>
            </w:r>
          </w:p>
          <w:p>
            <w:pPr>
              <w:spacing w:line="360" w:lineRule="auto"/>
              <w:ind w:firstLine="480" w:firstLineChars="200"/>
              <w:contextualSpacing/>
              <w:rPr>
                <w:rFonts w:eastAsiaTheme="minorEastAsia"/>
                <w:sz w:val="24"/>
              </w:rPr>
            </w:pPr>
            <w:r>
              <w:rPr>
                <w:rFonts w:hint="eastAsia" w:eastAsiaTheme="minorEastAsia"/>
                <w:sz w:val="24"/>
              </w:rPr>
              <w:t>（</w:t>
            </w:r>
            <w:r>
              <w:rPr>
                <w:rFonts w:eastAsiaTheme="minorEastAsia"/>
                <w:sz w:val="24"/>
              </w:rPr>
              <w:t>1</w:t>
            </w:r>
            <w:r>
              <w:rPr>
                <w:rFonts w:hint="eastAsia" w:eastAsiaTheme="minorEastAsia"/>
                <w:sz w:val="24"/>
              </w:rPr>
              <w:t>）配备泄漏液体收集装置，交由有资质单位处置。</w:t>
            </w:r>
          </w:p>
          <w:p>
            <w:pPr>
              <w:spacing w:line="360" w:lineRule="auto"/>
              <w:ind w:firstLine="480" w:firstLineChars="200"/>
              <w:contextualSpacing/>
              <w:rPr>
                <w:rFonts w:eastAsiaTheme="minorEastAsia"/>
                <w:bCs/>
                <w:sz w:val="24"/>
              </w:rPr>
            </w:pPr>
            <w:r>
              <w:rPr>
                <w:rFonts w:hint="eastAsia" w:eastAsiaTheme="minorEastAsia"/>
                <w:bCs/>
                <w:sz w:val="24"/>
              </w:rPr>
              <w:t>（</w:t>
            </w:r>
            <w:r>
              <w:rPr>
                <w:rFonts w:eastAsiaTheme="minorEastAsia"/>
                <w:bCs/>
                <w:sz w:val="24"/>
              </w:rPr>
              <w:t>2</w:t>
            </w:r>
            <w:r>
              <w:rPr>
                <w:rFonts w:hint="eastAsia" w:eastAsiaTheme="minorEastAsia"/>
                <w:bCs/>
                <w:sz w:val="24"/>
              </w:rPr>
              <w:t>）本项目需对员工加强管理，提高安全意识。</w:t>
            </w:r>
          </w:p>
          <w:p>
            <w:pPr>
              <w:spacing w:line="360" w:lineRule="auto"/>
              <w:ind w:firstLine="480" w:firstLineChars="200"/>
              <w:contextualSpacing/>
              <w:jc w:val="left"/>
              <w:rPr>
                <w:rFonts w:eastAsiaTheme="minorEastAsia"/>
                <w:bCs/>
                <w:kern w:val="0"/>
                <w:sz w:val="24"/>
              </w:rPr>
            </w:pPr>
            <w:r>
              <w:rPr>
                <w:rFonts w:hint="eastAsia" w:eastAsiaTheme="minorEastAsia"/>
                <w:bCs/>
                <w:sz w:val="24"/>
              </w:rPr>
              <w:t>（</w:t>
            </w:r>
            <w:r>
              <w:rPr>
                <w:rFonts w:eastAsiaTheme="minorEastAsia"/>
                <w:bCs/>
                <w:sz w:val="24"/>
              </w:rPr>
              <w:t>3</w:t>
            </w:r>
            <w:r>
              <w:rPr>
                <w:rFonts w:hint="eastAsia" w:eastAsiaTheme="minorEastAsia"/>
                <w:bCs/>
                <w:sz w:val="24"/>
              </w:rPr>
              <w:t>）企业均匀分布设置灭火器等应急设施，并定期对消防设施进行检修</w:t>
            </w:r>
            <w:r>
              <w:rPr>
                <w:rFonts w:hint="eastAsia" w:eastAsiaTheme="minorEastAsia"/>
                <w:bCs/>
                <w:kern w:val="0"/>
                <w:sz w:val="24"/>
              </w:rPr>
              <w:t>。</w:t>
            </w:r>
          </w:p>
          <w:p>
            <w:pPr>
              <w:spacing w:line="360" w:lineRule="auto"/>
              <w:ind w:firstLine="480" w:firstLineChars="200"/>
              <w:contextualSpacing/>
              <w:jc w:val="left"/>
              <w:rPr>
                <w:rFonts w:eastAsiaTheme="minorEastAsia"/>
                <w:bCs/>
                <w:kern w:val="0"/>
                <w:sz w:val="24"/>
              </w:rPr>
            </w:pPr>
            <w:r>
              <w:rPr>
                <w:rFonts w:hint="eastAsia" w:eastAsiaTheme="minorEastAsia"/>
                <w:bCs/>
                <w:kern w:val="0"/>
                <w:sz w:val="24"/>
              </w:rPr>
              <w:t>（</w:t>
            </w:r>
            <w:r>
              <w:rPr>
                <w:rFonts w:eastAsiaTheme="minorEastAsia"/>
                <w:bCs/>
                <w:kern w:val="0"/>
                <w:sz w:val="24"/>
              </w:rPr>
              <w:t>4</w:t>
            </w:r>
            <w:r>
              <w:rPr>
                <w:rFonts w:hint="eastAsia" w:eastAsiaTheme="minorEastAsia"/>
                <w:bCs/>
                <w:kern w:val="0"/>
                <w:sz w:val="24"/>
              </w:rPr>
              <w:t>）定期对油箱进行检查。</w:t>
            </w:r>
          </w:p>
          <w:p>
            <w:pPr>
              <w:spacing w:line="360" w:lineRule="auto"/>
              <w:ind w:firstLine="480" w:firstLineChars="200"/>
              <w:contextualSpacing/>
              <w:jc w:val="left"/>
              <w:rPr>
                <w:rFonts w:eastAsiaTheme="minorEastAsia"/>
                <w:bCs/>
                <w:kern w:val="0"/>
                <w:sz w:val="24"/>
              </w:rPr>
            </w:pPr>
            <w:r>
              <w:rPr>
                <w:rFonts w:hint="eastAsia" w:eastAsiaTheme="minorEastAsia"/>
                <w:bCs/>
                <w:kern w:val="0"/>
                <w:sz w:val="24"/>
              </w:rPr>
              <w:t>（</w:t>
            </w:r>
            <w:r>
              <w:rPr>
                <w:rFonts w:eastAsiaTheme="minorEastAsia"/>
                <w:bCs/>
                <w:kern w:val="0"/>
                <w:sz w:val="24"/>
              </w:rPr>
              <w:t>5</w:t>
            </w:r>
            <w:r>
              <w:rPr>
                <w:rFonts w:hint="eastAsia" w:eastAsiaTheme="minorEastAsia"/>
                <w:bCs/>
                <w:kern w:val="0"/>
                <w:sz w:val="24"/>
              </w:rPr>
              <w:t>）</w:t>
            </w:r>
            <w:r>
              <w:rPr>
                <w:rFonts w:hint="eastAsia" w:eastAsiaTheme="minorEastAsia"/>
                <w:bCs/>
                <w:sz w:val="24"/>
              </w:rPr>
              <w:t>危险废物贮存库设置截流槽、导流沟、临时应急池和废液收集系统，不同种类的危险废物单独收集、分类存放，中间有明显间隔，</w:t>
            </w:r>
            <w:r>
              <w:rPr>
                <w:rFonts w:eastAsiaTheme="minorEastAsia"/>
                <w:bCs/>
                <w:sz w:val="24"/>
              </w:rPr>
              <w:t>废铅酸蓄电池、废油液分区储存，</w:t>
            </w:r>
            <w:r>
              <w:rPr>
                <w:rFonts w:hint="eastAsia" w:eastAsiaTheme="minorEastAsia"/>
                <w:bCs/>
                <w:sz w:val="24"/>
              </w:rPr>
              <w:t>配备通讯设备、计量设备、照明设施、</w:t>
            </w:r>
            <w:r>
              <w:rPr>
                <w:rFonts w:eastAsiaTheme="minorEastAsia"/>
                <w:bCs/>
                <w:sz w:val="24"/>
              </w:rPr>
              <w:t>设置集气及二级活性炭吸附装置、</w:t>
            </w:r>
            <w:r>
              <w:rPr>
                <w:rFonts w:hint="eastAsia" w:eastAsiaTheme="minorEastAsia"/>
                <w:bCs/>
                <w:sz w:val="24"/>
              </w:rPr>
              <w:t>设置警示标识，地面做防酸、防腐、防渗处理，地面与裙脚采用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-10</w:t>
            </w:r>
            <w:r>
              <w:rPr>
                <w:rFonts w:eastAsiaTheme="minorEastAsia"/>
                <w:bCs/>
                <w:sz w:val="24"/>
              </w:rPr>
              <w:t>cm/s</w:t>
            </w:r>
            <w:r>
              <w:rPr>
                <w:rFonts w:hint="eastAsia" w:eastAsiaTheme="minorEastAsia"/>
                <w:bCs/>
                <w:kern w:val="0"/>
                <w:sz w:val="24"/>
              </w:rPr>
              <w:t>。</w:t>
            </w:r>
          </w:p>
          <w:p>
            <w:pPr>
              <w:spacing w:line="360" w:lineRule="auto"/>
              <w:ind w:firstLine="480" w:firstLineChars="200"/>
              <w:contextualSpacing/>
              <w:jc w:val="left"/>
              <w:rPr>
                <w:rFonts w:eastAsiaTheme="minorEastAsia"/>
                <w:bCs/>
                <w:kern w:val="0"/>
                <w:sz w:val="24"/>
              </w:rPr>
            </w:pPr>
            <w:r>
              <w:rPr>
                <w:rFonts w:hint="eastAsia" w:eastAsiaTheme="minorEastAsia"/>
                <w:bCs/>
                <w:kern w:val="0"/>
                <w:sz w:val="24"/>
              </w:rPr>
              <w:t>（6）废铅蓄电池在危险废物贮存库中设有截流槽、导流沟、临时应急池和废液收集系统，可确保泄露后立即收集。</w:t>
            </w:r>
          </w:p>
          <w:p>
            <w:pPr>
              <w:spacing w:line="360" w:lineRule="auto"/>
              <w:ind w:firstLine="480" w:firstLineChars="200"/>
              <w:contextualSpacing/>
              <w:jc w:val="left"/>
              <w:rPr>
                <w:rFonts w:eastAsiaTheme="minorEastAsia"/>
                <w:bCs/>
                <w:kern w:val="0"/>
                <w:sz w:val="24"/>
              </w:rPr>
            </w:pPr>
            <w:r>
              <w:rPr>
                <w:rFonts w:eastAsiaTheme="minorEastAsia"/>
                <w:bCs/>
                <w:kern w:val="0"/>
                <w:sz w:val="24"/>
              </w:rPr>
              <w:t>（</w:t>
            </w:r>
            <w:r>
              <w:rPr>
                <w:rFonts w:hint="eastAsia" w:eastAsiaTheme="minorEastAsia"/>
                <w:bCs/>
                <w:kern w:val="0"/>
                <w:sz w:val="24"/>
              </w:rPr>
              <w:t>7</w:t>
            </w:r>
            <w:r>
              <w:rPr>
                <w:rFonts w:eastAsiaTheme="minorEastAsia"/>
                <w:bCs/>
                <w:kern w:val="0"/>
                <w:sz w:val="24"/>
              </w:rPr>
              <w:t>）</w:t>
            </w:r>
            <w:r>
              <w:rPr>
                <w:rFonts w:hint="eastAsia" w:eastAsiaTheme="minorEastAsia"/>
                <w:bCs/>
                <w:kern w:val="0"/>
                <w:sz w:val="24"/>
              </w:rPr>
              <w:t>建设单位应编制建设项目环境风险应急预案，报环保部门批准后生产中实施，并安排环境风险应急预案及风险污染处置演练，进行应急处置宣传、教育。</w:t>
            </w: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p>
            <w:pPr>
              <w:spacing w:line="360" w:lineRule="auto"/>
              <w:contextualSpacing/>
              <w:jc w:val="left"/>
              <w:rPr>
                <w:rFonts w:eastAsiaTheme="minorEastAsia"/>
                <w:bCs/>
                <w:kern w:val="0"/>
                <w:sz w:val="24"/>
              </w:rPr>
            </w:pPr>
          </w:p>
        </w:tc>
      </w:tr>
    </w:tbl>
    <w:p>
      <w:pPr>
        <w:adjustRightInd w:val="0"/>
        <w:snapToGrid w:val="0"/>
        <w:spacing w:line="360" w:lineRule="auto"/>
        <w:rPr>
          <w:rFonts w:eastAsiaTheme="minorEastAsia"/>
          <w:b/>
          <w:kern w:val="0"/>
          <w:sz w:val="28"/>
          <w:szCs w:val="28"/>
        </w:rPr>
        <w:sectPr>
          <w:pgSz w:w="11907" w:h="16840"/>
          <w:pgMar w:top="1701" w:right="1531" w:bottom="2127" w:left="1531" w:header="851" w:footer="851" w:gutter="0"/>
          <w:cols w:space="720" w:num="1"/>
          <w:docGrid w:linePitch="312" w:charSpace="0"/>
        </w:sectPr>
      </w:pPr>
    </w:p>
    <w:p>
      <w:pPr>
        <w:pStyle w:val="16"/>
        <w:jc w:val="center"/>
        <w:outlineLvl w:val="0"/>
        <w:rPr>
          <w:rFonts w:ascii="Times New Roman" w:hAnsi="Times New Roman" w:eastAsiaTheme="minorEastAsia"/>
          <w:snapToGrid w:val="0"/>
          <w:sz w:val="30"/>
          <w:szCs w:val="30"/>
        </w:rPr>
      </w:pPr>
      <w:bookmarkStart w:id="10" w:name="_Toc114492906"/>
      <w:r>
        <w:rPr>
          <w:rFonts w:hint="eastAsia" w:ascii="Times New Roman" w:hAnsi="Times New Roman" w:eastAsiaTheme="minorEastAsia"/>
          <w:snapToGrid w:val="0"/>
          <w:sz w:val="30"/>
          <w:szCs w:val="30"/>
        </w:rPr>
        <w:t>五、环境保护措施监督检查清单</w:t>
      </w:r>
      <w:bookmarkEnd w:id="10"/>
    </w:p>
    <w:tbl>
      <w:tblPr>
        <w:tblStyle w:val="21"/>
        <w:tblW w:w="9449"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338"/>
        <w:gridCol w:w="1559"/>
        <w:gridCol w:w="2835"/>
        <w:gridCol w:w="29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808" w:type="dxa"/>
            <w:tcBorders>
              <w:tl2br w:val="single" w:color="auto" w:sz="4" w:space="0"/>
            </w:tcBorders>
          </w:tcPr>
          <w:p>
            <w:pPr>
              <w:adjustRightInd w:val="0"/>
              <w:snapToGrid w:val="0"/>
              <w:ind w:firstLine="240" w:firstLineChars="100"/>
              <w:rPr>
                <w:rFonts w:eastAsiaTheme="minorEastAsia"/>
                <w:sz w:val="24"/>
              </w:rPr>
            </w:pPr>
            <w:r>
              <w:rPr>
                <w:rFonts w:hint="eastAsia" w:eastAsiaTheme="minorEastAsia"/>
                <w:sz w:val="24"/>
              </w:rPr>
              <w:t>内容</w:t>
            </w:r>
          </w:p>
          <w:p>
            <w:pPr>
              <w:adjustRightInd w:val="0"/>
              <w:snapToGrid w:val="0"/>
              <w:rPr>
                <w:rFonts w:eastAsiaTheme="minorEastAsia"/>
                <w:sz w:val="24"/>
              </w:rPr>
            </w:pPr>
          </w:p>
          <w:p>
            <w:pPr>
              <w:adjustRightInd w:val="0"/>
              <w:snapToGrid w:val="0"/>
              <w:rPr>
                <w:rFonts w:eastAsiaTheme="minorEastAsia"/>
                <w:sz w:val="24"/>
              </w:rPr>
            </w:pPr>
            <w:r>
              <w:rPr>
                <w:rFonts w:hint="eastAsia" w:eastAsiaTheme="minorEastAsia"/>
                <w:sz w:val="24"/>
              </w:rPr>
              <w:t>要素</w:t>
            </w:r>
          </w:p>
        </w:tc>
        <w:tc>
          <w:tcPr>
            <w:tcW w:w="1338" w:type="dxa"/>
            <w:vAlign w:val="center"/>
          </w:tcPr>
          <w:p>
            <w:pPr>
              <w:adjustRightInd w:val="0"/>
              <w:snapToGrid w:val="0"/>
              <w:jc w:val="center"/>
              <w:rPr>
                <w:rFonts w:eastAsiaTheme="minorEastAsia"/>
                <w:sz w:val="24"/>
              </w:rPr>
            </w:pPr>
            <w:r>
              <w:rPr>
                <w:rFonts w:hint="eastAsia" w:eastAsiaTheme="minorEastAsia"/>
                <w:sz w:val="24"/>
              </w:rPr>
              <w:t>排放口</w:t>
            </w:r>
            <w:r>
              <w:rPr>
                <w:rFonts w:eastAsiaTheme="minorEastAsia"/>
                <w:sz w:val="24"/>
              </w:rPr>
              <w:t>(</w:t>
            </w:r>
            <w:r>
              <w:rPr>
                <w:rFonts w:hint="eastAsia" w:eastAsiaTheme="minorEastAsia"/>
                <w:sz w:val="24"/>
              </w:rPr>
              <w:t>编号、名称</w:t>
            </w:r>
            <w:r>
              <w:rPr>
                <w:rFonts w:eastAsiaTheme="minorEastAsia"/>
                <w:sz w:val="24"/>
              </w:rPr>
              <w:t>)/</w:t>
            </w:r>
            <w:r>
              <w:rPr>
                <w:rFonts w:hint="eastAsia" w:eastAsiaTheme="minorEastAsia"/>
                <w:sz w:val="24"/>
              </w:rPr>
              <w:t>污染源</w:t>
            </w:r>
          </w:p>
        </w:tc>
        <w:tc>
          <w:tcPr>
            <w:tcW w:w="1559" w:type="dxa"/>
            <w:vAlign w:val="center"/>
          </w:tcPr>
          <w:p>
            <w:pPr>
              <w:adjustRightInd w:val="0"/>
              <w:snapToGrid w:val="0"/>
              <w:jc w:val="center"/>
              <w:rPr>
                <w:rFonts w:eastAsiaTheme="minorEastAsia"/>
                <w:sz w:val="24"/>
              </w:rPr>
            </w:pPr>
            <w:r>
              <w:rPr>
                <w:rFonts w:hint="eastAsia" w:eastAsiaTheme="minorEastAsia"/>
                <w:sz w:val="24"/>
              </w:rPr>
              <w:t>污染物项目</w:t>
            </w:r>
          </w:p>
        </w:tc>
        <w:tc>
          <w:tcPr>
            <w:tcW w:w="2835" w:type="dxa"/>
            <w:vAlign w:val="center"/>
          </w:tcPr>
          <w:p>
            <w:pPr>
              <w:adjustRightInd w:val="0"/>
              <w:snapToGrid w:val="0"/>
              <w:jc w:val="center"/>
              <w:rPr>
                <w:rFonts w:eastAsiaTheme="minorEastAsia"/>
                <w:sz w:val="24"/>
              </w:rPr>
            </w:pPr>
            <w:r>
              <w:rPr>
                <w:rFonts w:hint="eastAsia" w:eastAsiaTheme="minorEastAsia"/>
                <w:sz w:val="24"/>
              </w:rPr>
              <w:t>环境保护措施</w:t>
            </w:r>
          </w:p>
        </w:tc>
        <w:tc>
          <w:tcPr>
            <w:tcW w:w="2909" w:type="dxa"/>
            <w:vAlign w:val="center"/>
          </w:tcPr>
          <w:p>
            <w:pPr>
              <w:adjustRightInd w:val="0"/>
              <w:snapToGrid w:val="0"/>
              <w:jc w:val="center"/>
              <w:rPr>
                <w:rFonts w:eastAsiaTheme="minorEastAsia"/>
                <w:sz w:val="24"/>
              </w:rPr>
            </w:pPr>
            <w:r>
              <w:rPr>
                <w:rFonts w:hint="eastAsia" w:eastAsiaTheme="minorEastAsia"/>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14" w:hRule="atLeast"/>
          <w:jc w:val="center"/>
        </w:trPr>
        <w:tc>
          <w:tcPr>
            <w:tcW w:w="808" w:type="dxa"/>
            <w:vMerge w:val="restart"/>
            <w:vAlign w:val="center"/>
          </w:tcPr>
          <w:p>
            <w:pPr>
              <w:adjustRightInd w:val="0"/>
              <w:snapToGrid w:val="0"/>
              <w:jc w:val="center"/>
              <w:rPr>
                <w:rFonts w:eastAsiaTheme="minorEastAsia"/>
                <w:sz w:val="24"/>
              </w:rPr>
            </w:pPr>
            <w:r>
              <w:rPr>
                <w:rFonts w:hint="eastAsia" w:eastAsiaTheme="minorEastAsia"/>
                <w:sz w:val="24"/>
              </w:rPr>
              <w:t>大气环境</w:t>
            </w:r>
          </w:p>
        </w:tc>
        <w:tc>
          <w:tcPr>
            <w:tcW w:w="1338" w:type="dxa"/>
            <w:vMerge w:val="restart"/>
            <w:vAlign w:val="center"/>
          </w:tcPr>
          <w:p>
            <w:pPr>
              <w:adjustRightInd w:val="0"/>
              <w:snapToGrid w:val="0"/>
              <w:jc w:val="center"/>
              <w:rPr>
                <w:rFonts w:eastAsiaTheme="minorEastAsia"/>
                <w:bCs/>
                <w:sz w:val="24"/>
              </w:rPr>
            </w:pPr>
            <w:r>
              <w:rPr>
                <w:rFonts w:hint="eastAsia" w:eastAsiaTheme="minorEastAsia"/>
                <w:bCs/>
                <w:sz w:val="24"/>
              </w:rPr>
              <w:t>油类物质、防冻液等挥发废气</w:t>
            </w:r>
          </w:p>
        </w:tc>
        <w:tc>
          <w:tcPr>
            <w:tcW w:w="1559" w:type="dxa"/>
            <w:vMerge w:val="restart"/>
            <w:vAlign w:val="center"/>
          </w:tcPr>
          <w:p>
            <w:pPr>
              <w:adjustRightInd w:val="0"/>
              <w:snapToGrid w:val="0"/>
              <w:jc w:val="center"/>
              <w:rPr>
                <w:rFonts w:eastAsiaTheme="minorEastAsia"/>
                <w:bCs/>
                <w:sz w:val="24"/>
              </w:rPr>
            </w:pPr>
            <w:r>
              <w:rPr>
                <w:rFonts w:eastAsiaTheme="minorEastAsia"/>
                <w:bCs/>
                <w:sz w:val="24"/>
              </w:rPr>
              <w:t>VOCs</w:t>
            </w:r>
          </w:p>
        </w:tc>
        <w:tc>
          <w:tcPr>
            <w:tcW w:w="2835" w:type="dxa"/>
            <w:vAlign w:val="center"/>
          </w:tcPr>
          <w:p>
            <w:pPr>
              <w:pStyle w:val="5"/>
              <w:widowControl/>
              <w:adjustRightInd w:val="0"/>
              <w:snapToGrid w:val="0"/>
              <w:spacing w:before="120"/>
              <w:ind w:firstLine="0" w:firstLineChars="0"/>
              <w:jc w:val="center"/>
              <w:rPr>
                <w:rFonts w:eastAsiaTheme="minorEastAsia"/>
                <w:bCs/>
                <w:sz w:val="24"/>
              </w:rPr>
            </w:pPr>
            <w:r>
              <w:rPr>
                <w:rFonts w:hint="eastAsia" w:eastAsiaTheme="minorEastAsia"/>
                <w:bCs/>
                <w:sz w:val="24"/>
              </w:rPr>
              <w:t>油液排空区采用集气罩集中收集经二级活性炭吸附装置处理后由</w:t>
            </w:r>
            <w:r>
              <w:rPr>
                <w:rFonts w:eastAsiaTheme="minorEastAsia"/>
                <w:bCs/>
                <w:sz w:val="24"/>
              </w:rPr>
              <w:t>15m</w:t>
            </w:r>
            <w:r>
              <w:rPr>
                <w:rFonts w:hint="eastAsia" w:eastAsiaTheme="minorEastAsia"/>
                <w:bCs/>
                <w:sz w:val="24"/>
              </w:rPr>
              <w:t>高2#排气筒排放，</w:t>
            </w:r>
            <w:r>
              <w:rPr>
                <w:rFonts w:hint="eastAsia" w:eastAsiaTheme="minorEastAsia"/>
                <w:kern w:val="0"/>
                <w:sz w:val="24"/>
              </w:rPr>
              <w:t>收集效率90%，</w:t>
            </w:r>
            <w:r>
              <w:rPr>
                <w:rFonts w:eastAsiaTheme="minorEastAsia"/>
                <w:kern w:val="0"/>
                <w:sz w:val="24"/>
              </w:rPr>
              <w:t>处理效率</w:t>
            </w:r>
            <w:r>
              <w:rPr>
                <w:rFonts w:hint="eastAsia" w:eastAsiaTheme="minorEastAsia"/>
                <w:kern w:val="0"/>
                <w:sz w:val="24"/>
              </w:rPr>
              <w:t>75</w:t>
            </w:r>
            <w:r>
              <w:rPr>
                <w:rFonts w:eastAsiaTheme="minorEastAsia"/>
                <w:kern w:val="0"/>
                <w:sz w:val="24"/>
              </w:rPr>
              <w:t>%</w:t>
            </w:r>
          </w:p>
        </w:tc>
        <w:tc>
          <w:tcPr>
            <w:tcW w:w="2909" w:type="dxa"/>
            <w:vMerge w:val="restart"/>
            <w:vAlign w:val="center"/>
          </w:tcPr>
          <w:p>
            <w:pPr>
              <w:contextualSpacing/>
              <w:jc w:val="center"/>
              <w:rPr>
                <w:rFonts w:eastAsiaTheme="minorEastAsia"/>
                <w:bCs/>
                <w:sz w:val="24"/>
              </w:rPr>
            </w:pPr>
            <w:r>
              <w:rPr>
                <w:rFonts w:hint="eastAsia" w:eastAsiaTheme="minorEastAsia"/>
                <w:bCs/>
                <w:sz w:val="24"/>
              </w:rPr>
              <w:t>《大气污染物综合排放标准》（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排放限值；《大气污染物综合排放标准》（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中无组织排放监控浓度限值</w:t>
            </w:r>
            <w:r>
              <w:rPr>
                <w:rFonts w:hint="eastAsia" w:eastAsiaTheme="minorEastAsia"/>
                <w:sz w:val="24"/>
              </w:rPr>
              <w:t>；《挥发性有机物无组织排放控制标准》（</w:t>
            </w:r>
            <w:r>
              <w:rPr>
                <w:rFonts w:eastAsiaTheme="minorEastAsia"/>
                <w:sz w:val="24"/>
              </w:rPr>
              <w:t>GB37822-2019</w:t>
            </w:r>
            <w:r>
              <w:rPr>
                <w:rFonts w:hint="eastAsia" w:eastAsiaTheme="minor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14"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tcBorders>
              <w:bottom w:val="single" w:color="auto" w:sz="4" w:space="0"/>
            </w:tcBorders>
            <w:vAlign w:val="center"/>
          </w:tcPr>
          <w:p>
            <w:pPr>
              <w:adjustRightInd w:val="0"/>
              <w:snapToGrid w:val="0"/>
              <w:jc w:val="center"/>
              <w:rPr>
                <w:rFonts w:eastAsiaTheme="minorEastAsia"/>
                <w:bCs/>
                <w:sz w:val="24"/>
              </w:rPr>
            </w:pPr>
          </w:p>
        </w:tc>
        <w:tc>
          <w:tcPr>
            <w:tcW w:w="1559" w:type="dxa"/>
            <w:vMerge w:val="continue"/>
            <w:tcBorders>
              <w:bottom w:val="single" w:color="auto" w:sz="4" w:space="0"/>
            </w:tcBorders>
            <w:vAlign w:val="center"/>
          </w:tcPr>
          <w:p>
            <w:pPr>
              <w:adjustRightInd w:val="0"/>
              <w:snapToGrid w:val="0"/>
              <w:jc w:val="center"/>
              <w:rPr>
                <w:rFonts w:eastAsiaTheme="minorEastAsia"/>
                <w:bCs/>
                <w:sz w:val="24"/>
              </w:rPr>
            </w:pPr>
          </w:p>
        </w:tc>
        <w:tc>
          <w:tcPr>
            <w:tcW w:w="2835" w:type="dxa"/>
            <w:vAlign w:val="center"/>
          </w:tcPr>
          <w:p>
            <w:pPr>
              <w:pStyle w:val="5"/>
              <w:widowControl/>
              <w:adjustRightInd w:val="0"/>
              <w:snapToGrid w:val="0"/>
              <w:spacing w:before="120"/>
              <w:ind w:firstLine="0" w:firstLineChars="0"/>
              <w:jc w:val="center"/>
              <w:rPr>
                <w:rFonts w:eastAsiaTheme="minorEastAsia"/>
                <w:bCs/>
                <w:sz w:val="24"/>
              </w:rPr>
            </w:pPr>
            <w:r>
              <w:rPr>
                <w:rFonts w:eastAsiaTheme="minorEastAsia"/>
                <w:kern w:val="0"/>
                <w:sz w:val="24"/>
              </w:rPr>
              <w:t>危险废物贮存库采取负压收集方式，</w:t>
            </w:r>
            <w:r>
              <w:rPr>
                <w:rFonts w:eastAsiaTheme="minorEastAsia"/>
                <w:bCs/>
                <w:sz w:val="24"/>
              </w:rPr>
              <w:t>经二级活性炭吸附装置处理后由15m高</w:t>
            </w:r>
            <w:r>
              <w:rPr>
                <w:rFonts w:hint="eastAsia" w:eastAsiaTheme="minorEastAsia"/>
                <w:bCs/>
                <w:sz w:val="24"/>
              </w:rPr>
              <w:t>3</w:t>
            </w:r>
            <w:r>
              <w:rPr>
                <w:rFonts w:eastAsiaTheme="minorEastAsia"/>
                <w:bCs/>
                <w:sz w:val="24"/>
              </w:rPr>
              <w:t>#排气筒排放，</w:t>
            </w:r>
            <w:r>
              <w:rPr>
                <w:rFonts w:eastAsiaTheme="minorEastAsia"/>
                <w:kern w:val="0"/>
                <w:sz w:val="24"/>
              </w:rPr>
              <w:t>收集效率90%，处理效率</w:t>
            </w:r>
            <w:r>
              <w:rPr>
                <w:rFonts w:hint="eastAsia" w:eastAsiaTheme="minorEastAsia"/>
                <w:kern w:val="0"/>
                <w:sz w:val="24"/>
              </w:rPr>
              <w:t>75</w:t>
            </w:r>
            <w:r>
              <w:rPr>
                <w:rFonts w:eastAsiaTheme="minorEastAsia"/>
                <w:kern w:val="0"/>
                <w:sz w:val="24"/>
              </w:rPr>
              <w:t>%</w:t>
            </w:r>
            <w:r>
              <w:rPr>
                <w:rFonts w:eastAsiaTheme="minorEastAsia"/>
                <w:sz w:val="24"/>
              </w:rPr>
              <w:t>，未收集VOCs以无组织形式排放</w:t>
            </w:r>
          </w:p>
        </w:tc>
        <w:tc>
          <w:tcPr>
            <w:tcW w:w="2909" w:type="dxa"/>
            <w:vMerge w:val="continue"/>
            <w:vAlign w:val="center"/>
          </w:tcPr>
          <w:p>
            <w:pPr>
              <w:contextualSpacing/>
              <w:jc w:val="center"/>
              <w:rPr>
                <w:rFonts w:eastAsiaTheme="minor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751"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restart"/>
            <w:vAlign w:val="center"/>
          </w:tcPr>
          <w:p>
            <w:pPr>
              <w:adjustRightInd w:val="0"/>
              <w:snapToGrid w:val="0"/>
              <w:jc w:val="center"/>
              <w:rPr>
                <w:rFonts w:eastAsiaTheme="minorEastAsia"/>
                <w:bCs/>
                <w:sz w:val="24"/>
              </w:rPr>
            </w:pPr>
            <w:r>
              <w:rPr>
                <w:rFonts w:hint="eastAsia"/>
                <w:sz w:val="24"/>
              </w:rPr>
              <w:t>切割粉尘</w:t>
            </w:r>
          </w:p>
        </w:tc>
        <w:tc>
          <w:tcPr>
            <w:tcW w:w="1559" w:type="dxa"/>
            <w:vMerge w:val="restart"/>
            <w:vAlign w:val="center"/>
          </w:tcPr>
          <w:p>
            <w:pPr>
              <w:adjustRightInd w:val="0"/>
              <w:snapToGrid w:val="0"/>
              <w:jc w:val="center"/>
              <w:rPr>
                <w:rFonts w:eastAsiaTheme="minorEastAsia"/>
                <w:bCs/>
                <w:sz w:val="24"/>
              </w:rPr>
            </w:pPr>
            <w:r>
              <w:rPr>
                <w:rFonts w:hint="eastAsia" w:eastAsiaTheme="minorEastAsia"/>
                <w:bCs/>
                <w:sz w:val="24"/>
              </w:rPr>
              <w:t>颗粒物</w:t>
            </w:r>
          </w:p>
        </w:tc>
        <w:tc>
          <w:tcPr>
            <w:tcW w:w="2835" w:type="dxa"/>
            <w:vAlign w:val="center"/>
          </w:tcPr>
          <w:p>
            <w:pPr>
              <w:pStyle w:val="5"/>
              <w:widowControl/>
              <w:adjustRightInd w:val="0"/>
              <w:snapToGrid w:val="0"/>
              <w:spacing w:before="120"/>
              <w:ind w:firstLine="0" w:firstLineChars="0"/>
              <w:jc w:val="center"/>
              <w:rPr>
                <w:rFonts w:eastAsiaTheme="minorEastAsia"/>
                <w:bCs/>
                <w:sz w:val="24"/>
              </w:rPr>
            </w:pPr>
            <w:r>
              <w:rPr>
                <w:rFonts w:eastAsiaTheme="minorEastAsia"/>
                <w:bCs/>
                <w:kern w:val="0"/>
                <w:sz w:val="24"/>
              </w:rPr>
              <w:t>切割区</w:t>
            </w:r>
            <w:r>
              <w:rPr>
                <w:rFonts w:hint="eastAsia" w:eastAsiaTheme="minorEastAsia"/>
                <w:bCs/>
                <w:kern w:val="0"/>
                <w:sz w:val="24"/>
              </w:rPr>
              <w:t>采用集气罩集中收集经</w:t>
            </w:r>
            <w:r>
              <w:rPr>
                <w:rFonts w:eastAsiaTheme="minorEastAsia"/>
                <w:bCs/>
                <w:kern w:val="0"/>
                <w:sz w:val="24"/>
              </w:rPr>
              <w:t>布袋除尘器</w:t>
            </w:r>
            <w:r>
              <w:rPr>
                <w:rFonts w:hint="eastAsia" w:eastAsiaTheme="minorEastAsia"/>
                <w:bCs/>
                <w:kern w:val="0"/>
                <w:sz w:val="24"/>
              </w:rPr>
              <w:t>处理后由</w:t>
            </w:r>
            <w:r>
              <w:rPr>
                <w:rFonts w:eastAsiaTheme="minorEastAsia"/>
                <w:bCs/>
                <w:kern w:val="0"/>
                <w:sz w:val="24"/>
              </w:rPr>
              <w:t>15m</w:t>
            </w:r>
            <w:r>
              <w:rPr>
                <w:rFonts w:hint="eastAsia" w:eastAsiaTheme="minorEastAsia"/>
                <w:bCs/>
                <w:kern w:val="0"/>
                <w:sz w:val="24"/>
              </w:rPr>
              <w:t>高1#排气筒排放，</w:t>
            </w:r>
            <w:r>
              <w:rPr>
                <w:rFonts w:hint="eastAsia" w:eastAsiaTheme="minorEastAsia"/>
                <w:kern w:val="0"/>
                <w:sz w:val="24"/>
              </w:rPr>
              <w:t>收集效率90%，处理效率99%</w:t>
            </w:r>
          </w:p>
        </w:tc>
        <w:tc>
          <w:tcPr>
            <w:tcW w:w="2909" w:type="dxa"/>
            <w:vAlign w:val="center"/>
          </w:tcPr>
          <w:p>
            <w:pPr>
              <w:contextualSpacing/>
              <w:jc w:val="center"/>
              <w:rPr>
                <w:rFonts w:eastAsiaTheme="minorEastAsia"/>
                <w:bCs/>
                <w:sz w:val="24"/>
              </w:rPr>
            </w:pPr>
            <w:r>
              <w:rPr>
                <w:rFonts w:hint="eastAsia" w:eastAsiaTheme="minorEastAsia"/>
                <w:bCs/>
                <w:sz w:val="24"/>
              </w:rPr>
              <w:t>《大气污染物综合排放标准》（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91"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tcBorders>
              <w:bottom w:val="single" w:color="auto" w:sz="4" w:space="0"/>
            </w:tcBorders>
            <w:vAlign w:val="center"/>
          </w:tcPr>
          <w:p>
            <w:pPr>
              <w:adjustRightInd w:val="0"/>
              <w:snapToGrid w:val="0"/>
              <w:jc w:val="center"/>
              <w:rPr>
                <w:sz w:val="24"/>
              </w:rPr>
            </w:pPr>
          </w:p>
        </w:tc>
        <w:tc>
          <w:tcPr>
            <w:tcW w:w="1559" w:type="dxa"/>
            <w:vMerge w:val="continue"/>
            <w:tcBorders>
              <w:bottom w:val="single" w:color="auto" w:sz="4" w:space="0"/>
            </w:tcBorders>
            <w:vAlign w:val="center"/>
          </w:tcPr>
          <w:p>
            <w:pPr>
              <w:adjustRightInd w:val="0"/>
              <w:snapToGrid w:val="0"/>
              <w:jc w:val="center"/>
              <w:rPr>
                <w:rFonts w:eastAsiaTheme="minorEastAsia"/>
                <w:bCs/>
                <w:sz w:val="24"/>
              </w:rPr>
            </w:pPr>
          </w:p>
        </w:tc>
        <w:tc>
          <w:tcPr>
            <w:tcW w:w="2835" w:type="dxa"/>
            <w:vAlign w:val="center"/>
          </w:tcPr>
          <w:p>
            <w:pPr>
              <w:pStyle w:val="5"/>
              <w:widowControl/>
              <w:adjustRightInd w:val="0"/>
              <w:snapToGrid w:val="0"/>
              <w:spacing w:before="120"/>
              <w:ind w:firstLine="0" w:firstLineChars="0"/>
              <w:jc w:val="center"/>
              <w:rPr>
                <w:rFonts w:eastAsiaTheme="minorEastAsia"/>
                <w:kern w:val="0"/>
                <w:sz w:val="24"/>
              </w:rPr>
            </w:pPr>
            <w:r>
              <w:rPr>
                <w:rFonts w:hint="eastAsia" w:eastAsiaTheme="minorEastAsia"/>
                <w:kern w:val="0"/>
                <w:sz w:val="24"/>
              </w:rPr>
              <w:t>/</w:t>
            </w:r>
          </w:p>
        </w:tc>
        <w:tc>
          <w:tcPr>
            <w:tcW w:w="2909" w:type="dxa"/>
            <w:vAlign w:val="center"/>
          </w:tcPr>
          <w:p>
            <w:pPr>
              <w:contextualSpacing/>
              <w:jc w:val="center"/>
              <w:rPr>
                <w:rFonts w:eastAsiaTheme="minorEastAsia"/>
                <w:bCs/>
                <w:sz w:val="24"/>
              </w:rPr>
            </w:pPr>
            <w:r>
              <w:rPr>
                <w:rFonts w:hint="eastAsia" w:eastAsiaTheme="minorEastAsia"/>
                <w:bCs/>
                <w:sz w:val="24"/>
              </w:rPr>
              <w:t>《大气污染物综合排放标准》（</w:t>
            </w:r>
            <w:r>
              <w:rPr>
                <w:rFonts w:eastAsiaTheme="minorEastAsia"/>
                <w:bCs/>
                <w:sz w:val="24"/>
              </w:rPr>
              <w:t>GB16297-1996</w:t>
            </w:r>
            <w:r>
              <w:rPr>
                <w:rFonts w:hint="eastAsia" w:eastAsiaTheme="minorEastAsia"/>
                <w:bCs/>
                <w:sz w:val="24"/>
              </w:rPr>
              <w:t>）表</w:t>
            </w:r>
            <w:r>
              <w:rPr>
                <w:rFonts w:eastAsiaTheme="minorEastAsia"/>
                <w:bCs/>
                <w:sz w:val="24"/>
              </w:rPr>
              <w:t>2</w:t>
            </w:r>
            <w:r>
              <w:rPr>
                <w:rFonts w:hint="eastAsia" w:eastAsiaTheme="minorEastAsia"/>
                <w:bCs/>
                <w:sz w:val="24"/>
              </w:rPr>
              <w:t>中无组织排放监控浓度限值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55" w:hRule="atLeast"/>
          <w:jc w:val="center"/>
        </w:trPr>
        <w:tc>
          <w:tcPr>
            <w:tcW w:w="808" w:type="dxa"/>
            <w:vMerge w:val="restart"/>
            <w:vAlign w:val="center"/>
          </w:tcPr>
          <w:p>
            <w:pPr>
              <w:adjustRightInd w:val="0"/>
              <w:snapToGrid w:val="0"/>
              <w:jc w:val="center"/>
              <w:rPr>
                <w:rFonts w:eastAsiaTheme="minorEastAsia"/>
                <w:sz w:val="24"/>
              </w:rPr>
            </w:pPr>
            <w:r>
              <w:rPr>
                <w:rFonts w:hint="eastAsia" w:eastAsiaTheme="minorEastAsia"/>
                <w:sz w:val="24"/>
              </w:rPr>
              <w:t>地表水环境</w:t>
            </w:r>
          </w:p>
        </w:tc>
        <w:tc>
          <w:tcPr>
            <w:tcW w:w="1338" w:type="dxa"/>
            <w:vAlign w:val="center"/>
          </w:tcPr>
          <w:p>
            <w:pPr>
              <w:adjustRightInd w:val="0"/>
              <w:snapToGrid w:val="0"/>
              <w:jc w:val="center"/>
              <w:rPr>
                <w:rFonts w:eastAsiaTheme="minorEastAsia"/>
                <w:sz w:val="24"/>
              </w:rPr>
            </w:pPr>
            <w:r>
              <w:rPr>
                <w:rFonts w:hint="eastAsia" w:eastAsiaTheme="minorEastAsia"/>
                <w:sz w:val="24"/>
              </w:rPr>
              <w:t>初期雨水</w:t>
            </w:r>
          </w:p>
        </w:tc>
        <w:tc>
          <w:tcPr>
            <w:tcW w:w="1559" w:type="dxa"/>
            <w:vAlign w:val="center"/>
          </w:tcPr>
          <w:p>
            <w:pPr>
              <w:adjustRightInd w:val="0"/>
              <w:snapToGrid w:val="0"/>
              <w:jc w:val="center"/>
              <w:rPr>
                <w:rFonts w:eastAsiaTheme="minorEastAsia"/>
                <w:sz w:val="24"/>
              </w:rPr>
            </w:pPr>
            <w:r>
              <w:rPr>
                <w:rFonts w:eastAsiaTheme="minorEastAsia"/>
                <w:sz w:val="24"/>
              </w:rPr>
              <w:t>SS</w:t>
            </w:r>
            <w:r>
              <w:rPr>
                <w:rFonts w:hint="eastAsia" w:eastAsiaTheme="minorEastAsia"/>
                <w:sz w:val="24"/>
              </w:rPr>
              <w:t>、石油类、</w:t>
            </w:r>
            <w:r>
              <w:rPr>
                <w:rFonts w:eastAsiaTheme="minorEastAsia"/>
                <w:sz w:val="24"/>
              </w:rPr>
              <w:t>COD</w:t>
            </w:r>
            <w:r>
              <w:rPr>
                <w:rFonts w:hint="eastAsia" w:eastAsiaTheme="minorEastAsia"/>
                <w:sz w:val="24"/>
              </w:rPr>
              <w:t>、</w:t>
            </w:r>
            <w:r>
              <w:rPr>
                <w:rFonts w:eastAsiaTheme="minorEastAsia"/>
                <w:sz w:val="24"/>
              </w:rPr>
              <w:t>pH</w:t>
            </w:r>
            <w:r>
              <w:rPr>
                <w:rFonts w:hint="eastAsia" w:eastAsiaTheme="minorEastAsia"/>
                <w:sz w:val="24"/>
              </w:rPr>
              <w:t>、</w:t>
            </w:r>
            <w:r>
              <w:rPr>
                <w:rFonts w:eastAsiaTheme="minorEastAsia"/>
                <w:sz w:val="24"/>
              </w:rPr>
              <w:t>NH</w:t>
            </w:r>
            <w:r>
              <w:rPr>
                <w:rFonts w:eastAsiaTheme="minorEastAsia"/>
                <w:sz w:val="24"/>
                <w:vertAlign w:val="subscript"/>
              </w:rPr>
              <w:t>3</w:t>
            </w:r>
            <w:r>
              <w:rPr>
                <w:rFonts w:eastAsiaTheme="minorEastAsia"/>
                <w:sz w:val="24"/>
              </w:rPr>
              <w:t>-N</w:t>
            </w:r>
          </w:p>
        </w:tc>
        <w:tc>
          <w:tcPr>
            <w:tcW w:w="2835" w:type="dxa"/>
            <w:vAlign w:val="center"/>
          </w:tcPr>
          <w:p>
            <w:pPr>
              <w:adjustRightInd w:val="0"/>
              <w:snapToGrid w:val="0"/>
              <w:jc w:val="center"/>
              <w:rPr>
                <w:rFonts w:eastAsiaTheme="minorEastAsia"/>
                <w:sz w:val="24"/>
              </w:rPr>
            </w:pPr>
            <w:r>
              <w:rPr>
                <w:rFonts w:hint="eastAsia" w:eastAsiaTheme="minorEastAsia"/>
                <w:sz w:val="24"/>
              </w:rPr>
              <w:t>在污染区四周设置环形导流沟，初期雨水进入厂区东侧的</w:t>
            </w:r>
            <w:r>
              <w:rPr>
                <w:rFonts w:hint="eastAsia" w:eastAsiaTheme="minorEastAsia"/>
                <w:bCs/>
                <w:sz w:val="24"/>
              </w:rPr>
              <w:t>20m</w:t>
            </w:r>
            <w:r>
              <w:rPr>
                <w:rFonts w:hint="eastAsia" w:eastAsiaTheme="minorEastAsia"/>
                <w:bCs/>
                <w:sz w:val="24"/>
                <w:vertAlign w:val="superscript"/>
              </w:rPr>
              <w:t>3</w:t>
            </w:r>
            <w:r>
              <w:rPr>
                <w:rFonts w:hint="eastAsia" w:eastAsiaTheme="minorEastAsia"/>
                <w:sz w:val="24"/>
              </w:rPr>
              <w:t>收集池，</w:t>
            </w:r>
            <w:r>
              <w:rPr>
                <w:rFonts w:hint="eastAsia" w:eastAsiaTheme="minorEastAsia"/>
                <w:bCs/>
                <w:sz w:val="24"/>
              </w:rPr>
              <w:t>经油水分离器处理后进入100m</w:t>
            </w:r>
            <w:r>
              <w:rPr>
                <w:rFonts w:hint="eastAsia" w:eastAsiaTheme="minorEastAsia"/>
                <w:bCs/>
                <w:sz w:val="24"/>
                <w:vertAlign w:val="superscript"/>
              </w:rPr>
              <w:t>3</w:t>
            </w:r>
            <w:r>
              <w:rPr>
                <w:rFonts w:hint="eastAsia" w:eastAsiaTheme="minorEastAsia"/>
                <w:bCs/>
                <w:sz w:val="24"/>
              </w:rPr>
              <w:t>暂存池，每收集一次初期雨水后采用罐车拉运至八五六农场污水处理厂，经处理后污水排放浓度达到《城镇污水处理厂污染物排放标准》（</w:t>
            </w:r>
            <w:r>
              <w:rPr>
                <w:rFonts w:eastAsiaTheme="minorEastAsia"/>
                <w:bCs/>
                <w:sz w:val="24"/>
              </w:rPr>
              <w:t>GB18918-2002</w:t>
            </w:r>
            <w:r>
              <w:rPr>
                <w:rFonts w:hint="eastAsia" w:eastAsiaTheme="minorEastAsia"/>
                <w:bCs/>
                <w:sz w:val="24"/>
              </w:rPr>
              <w:t>）一级</w:t>
            </w:r>
            <w:r>
              <w:rPr>
                <w:rFonts w:eastAsiaTheme="minorEastAsia"/>
                <w:bCs/>
                <w:sz w:val="24"/>
              </w:rPr>
              <w:t>A</w:t>
            </w:r>
            <w:r>
              <w:rPr>
                <w:rFonts w:hint="eastAsia" w:eastAsiaTheme="minorEastAsia"/>
                <w:bCs/>
                <w:sz w:val="24"/>
              </w:rPr>
              <w:t>标准后排入穆棱河</w:t>
            </w:r>
          </w:p>
        </w:tc>
        <w:tc>
          <w:tcPr>
            <w:tcW w:w="2909" w:type="dxa"/>
            <w:vAlign w:val="center"/>
          </w:tcPr>
          <w:p>
            <w:pPr>
              <w:adjustRightInd w:val="0"/>
              <w:snapToGrid w:val="0"/>
              <w:jc w:val="center"/>
              <w:rPr>
                <w:rFonts w:eastAsiaTheme="minorEastAsia"/>
                <w:sz w:val="24"/>
              </w:rPr>
            </w:pPr>
            <w:r>
              <w:rPr>
                <w:rFonts w:hint="eastAsia"/>
                <w:sz w:val="24"/>
              </w:rPr>
              <w:t>《污水综合排放标准》（</w:t>
            </w:r>
            <w:r>
              <w:rPr>
                <w:sz w:val="24"/>
              </w:rPr>
              <w:t>GB8978-1996</w:t>
            </w:r>
            <w:r>
              <w:rPr>
                <w:rFonts w:hint="eastAsia"/>
                <w:sz w:val="24"/>
              </w:rPr>
              <w:t>）表</w:t>
            </w:r>
            <w:r>
              <w:rPr>
                <w:sz w:val="24"/>
              </w:rPr>
              <w:t>4</w:t>
            </w:r>
            <w:r>
              <w:rPr>
                <w:rFonts w:hint="eastAsia"/>
                <w:sz w:val="24"/>
              </w:rPr>
              <w:t>中三级标准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808" w:type="dxa"/>
            <w:vMerge w:val="continue"/>
            <w:vAlign w:val="center"/>
          </w:tcPr>
          <w:p>
            <w:pPr>
              <w:adjustRightInd w:val="0"/>
              <w:snapToGrid w:val="0"/>
              <w:jc w:val="center"/>
              <w:rPr>
                <w:rFonts w:eastAsiaTheme="minorEastAsia"/>
                <w:sz w:val="24"/>
              </w:rPr>
            </w:pPr>
          </w:p>
        </w:tc>
        <w:tc>
          <w:tcPr>
            <w:tcW w:w="1338" w:type="dxa"/>
            <w:vAlign w:val="center"/>
          </w:tcPr>
          <w:p>
            <w:pPr>
              <w:adjustRightInd w:val="0"/>
              <w:snapToGrid w:val="0"/>
              <w:jc w:val="center"/>
              <w:rPr>
                <w:rFonts w:eastAsiaTheme="minorEastAsia"/>
                <w:sz w:val="24"/>
              </w:rPr>
            </w:pPr>
            <w:r>
              <w:rPr>
                <w:rFonts w:hint="eastAsia" w:eastAsiaTheme="minorEastAsia"/>
                <w:sz w:val="24"/>
              </w:rPr>
              <w:t>生活污水</w:t>
            </w:r>
          </w:p>
        </w:tc>
        <w:tc>
          <w:tcPr>
            <w:tcW w:w="1559" w:type="dxa"/>
            <w:vAlign w:val="center"/>
          </w:tcPr>
          <w:p>
            <w:pPr>
              <w:adjustRightInd w:val="0"/>
              <w:snapToGrid w:val="0"/>
              <w:jc w:val="center"/>
              <w:rPr>
                <w:rFonts w:eastAsiaTheme="minorEastAsia"/>
                <w:sz w:val="24"/>
              </w:rPr>
            </w:pPr>
            <w:r>
              <w:rPr>
                <w:rFonts w:eastAsiaTheme="minorEastAsia"/>
                <w:sz w:val="24"/>
              </w:rPr>
              <w:t>COD</w:t>
            </w:r>
            <w:r>
              <w:rPr>
                <w:rFonts w:hint="eastAsia" w:eastAsiaTheme="minorEastAsia"/>
                <w:sz w:val="24"/>
              </w:rPr>
              <w:t>、</w:t>
            </w:r>
            <w:r>
              <w:rPr>
                <w:rFonts w:eastAsiaTheme="minorEastAsia"/>
                <w:sz w:val="24"/>
              </w:rPr>
              <w:t>BOD</w:t>
            </w:r>
            <w:r>
              <w:rPr>
                <w:rFonts w:hint="eastAsia" w:eastAsiaTheme="minorEastAsia"/>
                <w:sz w:val="24"/>
              </w:rPr>
              <w:t>、</w:t>
            </w:r>
            <w:r>
              <w:rPr>
                <w:rFonts w:eastAsiaTheme="minorEastAsia"/>
                <w:sz w:val="24"/>
              </w:rPr>
              <w:t>SS</w:t>
            </w:r>
            <w:r>
              <w:rPr>
                <w:rFonts w:hint="eastAsia" w:eastAsiaTheme="minorEastAsia"/>
                <w:sz w:val="24"/>
              </w:rPr>
              <w:t>、</w:t>
            </w:r>
            <w:r>
              <w:rPr>
                <w:rFonts w:eastAsiaTheme="minorEastAsia"/>
                <w:sz w:val="24"/>
              </w:rPr>
              <w:t>NH</w:t>
            </w:r>
            <w:r>
              <w:rPr>
                <w:rFonts w:eastAsiaTheme="minorEastAsia"/>
                <w:sz w:val="24"/>
                <w:vertAlign w:val="subscript"/>
              </w:rPr>
              <w:t>3</w:t>
            </w:r>
            <w:r>
              <w:rPr>
                <w:rFonts w:eastAsiaTheme="minorEastAsia"/>
                <w:sz w:val="24"/>
              </w:rPr>
              <w:t>-N</w:t>
            </w:r>
          </w:p>
        </w:tc>
        <w:tc>
          <w:tcPr>
            <w:tcW w:w="2835" w:type="dxa"/>
            <w:vAlign w:val="center"/>
          </w:tcPr>
          <w:p>
            <w:pPr>
              <w:adjustRightInd w:val="0"/>
              <w:snapToGrid w:val="0"/>
              <w:jc w:val="center"/>
              <w:rPr>
                <w:rFonts w:eastAsiaTheme="minorEastAsia"/>
                <w:sz w:val="24"/>
              </w:rPr>
            </w:pPr>
            <w:r>
              <w:rPr>
                <w:rFonts w:hint="eastAsia" w:eastAsiaTheme="minorEastAsia"/>
                <w:sz w:val="24"/>
              </w:rPr>
              <w:t>排入防渗旱厕，定期清掏，外运堆肥，不外排</w:t>
            </w:r>
          </w:p>
        </w:tc>
        <w:tc>
          <w:tcPr>
            <w:tcW w:w="2909" w:type="dxa"/>
            <w:vAlign w:val="center"/>
          </w:tcPr>
          <w:p>
            <w:pPr>
              <w:adjustRightInd w:val="0"/>
              <w:snapToGrid w:val="0"/>
              <w:jc w:val="center"/>
              <w:rPr>
                <w:rFonts w:eastAsiaTheme="minorEastAsia"/>
                <w:sz w:val="24"/>
              </w:rPr>
            </w:pPr>
            <w:r>
              <w:rPr>
                <w:rFonts w:eastAsiaTheme="minor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808" w:type="dxa"/>
            <w:vAlign w:val="center"/>
          </w:tcPr>
          <w:p>
            <w:pPr>
              <w:adjustRightInd w:val="0"/>
              <w:snapToGrid w:val="0"/>
              <w:jc w:val="center"/>
              <w:rPr>
                <w:rFonts w:eastAsiaTheme="minorEastAsia"/>
                <w:sz w:val="24"/>
              </w:rPr>
            </w:pPr>
            <w:r>
              <w:rPr>
                <w:rFonts w:hint="eastAsia" w:eastAsiaTheme="minorEastAsia"/>
                <w:sz w:val="24"/>
              </w:rPr>
              <w:t>声环境</w:t>
            </w:r>
          </w:p>
        </w:tc>
        <w:tc>
          <w:tcPr>
            <w:tcW w:w="1338" w:type="dxa"/>
            <w:vAlign w:val="center"/>
          </w:tcPr>
          <w:p>
            <w:pPr>
              <w:adjustRightInd w:val="0"/>
              <w:snapToGrid w:val="0"/>
              <w:jc w:val="center"/>
              <w:rPr>
                <w:rFonts w:eastAsiaTheme="minorEastAsia"/>
                <w:sz w:val="24"/>
              </w:rPr>
            </w:pPr>
            <w:r>
              <w:rPr>
                <w:rFonts w:hint="eastAsia" w:eastAsiaTheme="minorEastAsia"/>
                <w:sz w:val="24"/>
              </w:rPr>
              <w:t>设备噪声</w:t>
            </w:r>
          </w:p>
        </w:tc>
        <w:tc>
          <w:tcPr>
            <w:tcW w:w="1559" w:type="dxa"/>
            <w:vAlign w:val="center"/>
          </w:tcPr>
          <w:p>
            <w:pPr>
              <w:adjustRightInd w:val="0"/>
              <w:snapToGrid w:val="0"/>
              <w:jc w:val="center"/>
              <w:rPr>
                <w:rFonts w:eastAsiaTheme="minorEastAsia"/>
                <w:sz w:val="24"/>
              </w:rPr>
            </w:pPr>
            <w:r>
              <w:rPr>
                <w:rFonts w:hint="eastAsia" w:eastAsiaTheme="minorEastAsia"/>
                <w:sz w:val="24"/>
              </w:rPr>
              <w:t>噪声</w:t>
            </w:r>
          </w:p>
        </w:tc>
        <w:tc>
          <w:tcPr>
            <w:tcW w:w="2835" w:type="dxa"/>
            <w:vAlign w:val="center"/>
          </w:tcPr>
          <w:p>
            <w:pPr>
              <w:adjustRightInd w:val="0"/>
              <w:snapToGrid w:val="0"/>
              <w:jc w:val="center"/>
              <w:rPr>
                <w:rFonts w:eastAsiaTheme="minorEastAsia"/>
                <w:sz w:val="24"/>
              </w:rPr>
            </w:pPr>
            <w:r>
              <w:rPr>
                <w:rFonts w:hint="eastAsia" w:eastAsiaTheme="minorEastAsia"/>
                <w:sz w:val="24"/>
              </w:rPr>
              <w:t>采取低噪声设备、加装减振装置、车间采用隔声门窗，建筑上采取隔声、吸声措施，振动较大的设备采取独立基础并远离居民区、夜间不生产、</w:t>
            </w:r>
            <w:r>
              <w:rPr>
                <w:sz w:val="24"/>
              </w:rPr>
              <w:t>合理布局</w:t>
            </w:r>
            <w:r>
              <w:rPr>
                <w:rFonts w:eastAsiaTheme="minorEastAsia"/>
                <w:sz w:val="24"/>
              </w:rPr>
              <w:t>等</w:t>
            </w:r>
            <w:r>
              <w:rPr>
                <w:rFonts w:hint="eastAsia" w:eastAsiaTheme="minorEastAsia"/>
                <w:sz w:val="24"/>
              </w:rPr>
              <w:t>措施。废旧农机装卸过程中降低装卸高度、轻拿轻放、夜间不装卸，通过厂区距离衰减后对外环境影响较小</w:t>
            </w:r>
          </w:p>
        </w:tc>
        <w:tc>
          <w:tcPr>
            <w:tcW w:w="2909" w:type="dxa"/>
            <w:vAlign w:val="center"/>
          </w:tcPr>
          <w:p>
            <w:pPr>
              <w:adjustRightInd w:val="0"/>
              <w:snapToGrid w:val="0"/>
              <w:jc w:val="center"/>
              <w:rPr>
                <w:rFonts w:eastAsiaTheme="minorEastAsia"/>
                <w:sz w:val="24"/>
              </w:rPr>
            </w:pPr>
            <w:r>
              <w:rPr>
                <w:rFonts w:hint="eastAsia" w:eastAsiaTheme="minorEastAsia"/>
                <w:bCs/>
                <w:sz w:val="24"/>
              </w:rPr>
              <w:t>北侧厂界噪声执行《工业企业厂界环境噪声排放标准》（</w:t>
            </w:r>
            <w:r>
              <w:rPr>
                <w:rFonts w:eastAsiaTheme="minorEastAsia"/>
                <w:bCs/>
                <w:sz w:val="24"/>
              </w:rPr>
              <w:t>GB12348-2008</w:t>
            </w:r>
            <w:r>
              <w:rPr>
                <w:rFonts w:hint="eastAsia" w:eastAsiaTheme="minorEastAsia"/>
                <w:bCs/>
                <w:sz w:val="24"/>
              </w:rPr>
              <w:t>）表</w:t>
            </w:r>
            <w:r>
              <w:rPr>
                <w:rFonts w:eastAsiaTheme="minorEastAsia"/>
                <w:bCs/>
                <w:sz w:val="24"/>
              </w:rPr>
              <w:t>1</w:t>
            </w:r>
            <w:r>
              <w:rPr>
                <w:rFonts w:hint="eastAsia" w:eastAsiaTheme="minorEastAsia"/>
                <w:bCs/>
                <w:sz w:val="24"/>
              </w:rPr>
              <w:t>中</w:t>
            </w:r>
            <w:r>
              <w:rPr>
                <w:rFonts w:eastAsiaTheme="minorEastAsia"/>
                <w:bCs/>
                <w:sz w:val="24"/>
              </w:rPr>
              <w:t>4</w:t>
            </w:r>
            <w:r>
              <w:rPr>
                <w:rFonts w:hint="eastAsia" w:eastAsiaTheme="minorEastAsia"/>
                <w:bCs/>
                <w:sz w:val="24"/>
              </w:rPr>
              <w:t>类标准，其余厂界噪声</w:t>
            </w:r>
            <w:r>
              <w:rPr>
                <w:rFonts w:eastAsiaTheme="minorEastAsia"/>
                <w:bCs/>
                <w:sz w:val="24"/>
              </w:rPr>
              <w:t>2</w:t>
            </w:r>
            <w:r>
              <w:rPr>
                <w:rFonts w:hint="eastAsia" w:eastAsiaTheme="minorEastAsia"/>
                <w:bCs/>
                <w:sz w:val="24"/>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 w:hRule="atLeast"/>
          <w:jc w:val="center"/>
        </w:trPr>
        <w:tc>
          <w:tcPr>
            <w:tcW w:w="808" w:type="dxa"/>
            <w:vMerge w:val="restart"/>
            <w:vAlign w:val="center"/>
          </w:tcPr>
          <w:p>
            <w:pPr>
              <w:adjustRightInd w:val="0"/>
              <w:snapToGrid w:val="0"/>
              <w:jc w:val="center"/>
              <w:rPr>
                <w:rFonts w:eastAsiaTheme="minorEastAsia"/>
                <w:sz w:val="24"/>
              </w:rPr>
            </w:pPr>
            <w:r>
              <w:rPr>
                <w:rFonts w:hint="eastAsia" w:eastAsiaTheme="minorEastAsia"/>
                <w:sz w:val="24"/>
              </w:rPr>
              <w:t>固体废物</w:t>
            </w:r>
          </w:p>
        </w:tc>
        <w:tc>
          <w:tcPr>
            <w:tcW w:w="1338" w:type="dxa"/>
            <w:vAlign w:val="center"/>
          </w:tcPr>
          <w:p>
            <w:pPr>
              <w:adjustRightInd w:val="0"/>
              <w:snapToGrid w:val="0"/>
              <w:jc w:val="center"/>
              <w:rPr>
                <w:rFonts w:eastAsiaTheme="minorEastAsia"/>
                <w:sz w:val="24"/>
              </w:rPr>
            </w:pPr>
            <w:r>
              <w:rPr>
                <w:rFonts w:hint="eastAsia" w:eastAsiaTheme="minorEastAsia"/>
                <w:sz w:val="24"/>
              </w:rPr>
              <w:t>员工</w:t>
            </w:r>
          </w:p>
        </w:tc>
        <w:tc>
          <w:tcPr>
            <w:tcW w:w="1559" w:type="dxa"/>
            <w:tcBorders>
              <w:bottom w:val="single" w:color="auto" w:sz="4" w:space="0"/>
            </w:tcBorders>
            <w:vAlign w:val="center"/>
          </w:tcPr>
          <w:p>
            <w:pPr>
              <w:adjustRightInd w:val="0"/>
              <w:snapToGrid w:val="0"/>
              <w:jc w:val="center"/>
              <w:rPr>
                <w:rFonts w:eastAsiaTheme="minorEastAsia"/>
                <w:sz w:val="24"/>
              </w:rPr>
            </w:pPr>
            <w:r>
              <w:rPr>
                <w:rFonts w:hint="eastAsia" w:eastAsiaTheme="minorEastAsia"/>
                <w:bCs/>
                <w:sz w:val="24"/>
              </w:rPr>
              <w:t>（SW64 900-001-S64）</w:t>
            </w:r>
            <w:r>
              <w:rPr>
                <w:rFonts w:hint="eastAsia" w:eastAsiaTheme="minorEastAsia"/>
                <w:sz w:val="24"/>
              </w:rPr>
              <w:t>生活垃圾</w:t>
            </w:r>
          </w:p>
        </w:tc>
        <w:tc>
          <w:tcPr>
            <w:tcW w:w="5744" w:type="dxa"/>
            <w:gridSpan w:val="2"/>
            <w:vMerge w:val="restart"/>
            <w:vAlign w:val="center"/>
          </w:tcPr>
          <w:p>
            <w:pPr>
              <w:spacing w:line="0" w:lineRule="atLeast"/>
              <w:jc w:val="center"/>
              <w:rPr>
                <w:rFonts w:eastAsiaTheme="minorEastAsia"/>
                <w:sz w:val="24"/>
              </w:rPr>
            </w:pPr>
            <w:r>
              <w:rPr>
                <w:rFonts w:hint="eastAsia" w:eastAsiaTheme="minorEastAsia"/>
                <w:sz w:val="24"/>
              </w:rPr>
              <w:t>经收集后定期交由市政环卫部门统一处理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restart"/>
            <w:vAlign w:val="center"/>
          </w:tcPr>
          <w:p>
            <w:pPr>
              <w:adjustRightInd w:val="0"/>
              <w:snapToGrid w:val="0"/>
              <w:jc w:val="center"/>
              <w:rPr>
                <w:rFonts w:eastAsiaTheme="minorEastAsia"/>
                <w:sz w:val="24"/>
              </w:rPr>
            </w:pPr>
            <w:r>
              <w:rPr>
                <w:rFonts w:hint="eastAsia" w:eastAsiaTheme="minorEastAsia"/>
                <w:sz w:val="24"/>
              </w:rPr>
              <w:t>农机拆解</w:t>
            </w:r>
          </w:p>
        </w:tc>
        <w:tc>
          <w:tcPr>
            <w:tcW w:w="1559" w:type="dxa"/>
            <w:tcBorders>
              <w:bottom w:val="single" w:color="auto" w:sz="4" w:space="0"/>
            </w:tcBorders>
            <w:vAlign w:val="center"/>
          </w:tcPr>
          <w:p>
            <w:pPr>
              <w:adjustRightInd w:val="0"/>
              <w:snapToGrid w:val="0"/>
              <w:jc w:val="center"/>
              <w:rPr>
                <w:rFonts w:eastAsiaTheme="minorEastAsia"/>
                <w:sz w:val="24"/>
              </w:rPr>
            </w:pPr>
            <w:r>
              <w:rPr>
                <w:rFonts w:hint="eastAsia" w:hAnsiTheme="minorEastAsia" w:eastAsiaTheme="minorEastAsia"/>
                <w:bCs/>
                <w:sz w:val="24"/>
              </w:rPr>
              <w:t>（SW59 900-099-S59）</w:t>
            </w:r>
            <w:r>
              <w:rPr>
                <w:rFonts w:hAnsiTheme="minorEastAsia" w:eastAsiaTheme="minorEastAsia"/>
                <w:sz w:val="24"/>
              </w:rPr>
              <w:t>布袋除尘器收集粉尘</w:t>
            </w:r>
          </w:p>
        </w:tc>
        <w:tc>
          <w:tcPr>
            <w:tcW w:w="5744" w:type="dxa"/>
            <w:gridSpan w:val="2"/>
            <w:vMerge w:val="continue"/>
            <w:vAlign w:val="center"/>
          </w:tcPr>
          <w:p>
            <w:pPr>
              <w:spacing w:line="0" w:lineRule="atLeast"/>
              <w:jc w:val="center"/>
              <w:rPr>
                <w:rFonts w:eastAsiaTheme="minor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817"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vAlign w:val="center"/>
          </w:tcPr>
          <w:p>
            <w:pPr>
              <w:adjustRightInd w:val="0"/>
              <w:snapToGrid w:val="0"/>
              <w:jc w:val="center"/>
              <w:rPr>
                <w:rFonts w:eastAsiaTheme="minorEastAsia"/>
                <w:sz w:val="24"/>
              </w:rPr>
            </w:pPr>
          </w:p>
        </w:tc>
        <w:tc>
          <w:tcPr>
            <w:tcW w:w="1559" w:type="dxa"/>
            <w:vAlign w:val="center"/>
          </w:tcPr>
          <w:p>
            <w:pPr>
              <w:adjustRightInd w:val="0"/>
              <w:snapToGrid w:val="0"/>
              <w:jc w:val="center"/>
              <w:rPr>
                <w:rFonts w:eastAsiaTheme="minorEastAsia"/>
                <w:sz w:val="24"/>
              </w:rPr>
            </w:pPr>
            <w:r>
              <w:rPr>
                <w:rFonts w:hint="eastAsia" w:eastAsiaTheme="minorEastAsia"/>
                <w:bCs/>
                <w:sz w:val="24"/>
              </w:rPr>
              <w:t>（SW59 900-099-S59）</w:t>
            </w:r>
          </w:p>
          <w:p>
            <w:pPr>
              <w:adjustRightInd w:val="0"/>
              <w:snapToGrid w:val="0"/>
              <w:jc w:val="center"/>
              <w:rPr>
                <w:rFonts w:eastAsiaTheme="minorEastAsia"/>
                <w:sz w:val="24"/>
              </w:rPr>
            </w:pPr>
            <w:r>
              <w:rPr>
                <w:rFonts w:hint="eastAsia" w:eastAsiaTheme="minorEastAsia"/>
                <w:sz w:val="24"/>
              </w:rPr>
              <w:t>废革片、废灯、废座椅</w:t>
            </w:r>
          </w:p>
        </w:tc>
        <w:tc>
          <w:tcPr>
            <w:tcW w:w="5744" w:type="dxa"/>
            <w:gridSpan w:val="2"/>
            <w:vMerge w:val="continue"/>
            <w:vAlign w:val="center"/>
          </w:tcPr>
          <w:p>
            <w:pPr>
              <w:adjustRightInd w:val="0"/>
              <w:snapToGrid w:val="0"/>
              <w:jc w:val="center"/>
              <w:rPr>
                <w:rFonts w:eastAsiaTheme="minor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vAlign w:val="center"/>
          </w:tcPr>
          <w:p>
            <w:pPr>
              <w:adjustRightInd w:val="0"/>
              <w:snapToGrid w:val="0"/>
              <w:jc w:val="center"/>
              <w:rPr>
                <w:rFonts w:eastAsiaTheme="minorEastAsia"/>
                <w:sz w:val="24"/>
              </w:rPr>
            </w:pPr>
          </w:p>
        </w:tc>
        <w:tc>
          <w:tcPr>
            <w:tcW w:w="1559" w:type="dxa"/>
            <w:tcBorders>
              <w:bottom w:val="single" w:color="auto" w:sz="4" w:space="0"/>
            </w:tcBorders>
            <w:vAlign w:val="center"/>
          </w:tcPr>
          <w:p>
            <w:pPr>
              <w:adjustRightInd w:val="0"/>
              <w:snapToGrid w:val="0"/>
              <w:jc w:val="center"/>
              <w:rPr>
                <w:rFonts w:eastAsiaTheme="minorEastAsia"/>
                <w:sz w:val="24"/>
              </w:rPr>
            </w:pPr>
            <w:r>
              <w:rPr>
                <w:rFonts w:hint="eastAsia" w:eastAsiaTheme="minorEastAsia"/>
                <w:sz w:val="24"/>
              </w:rPr>
              <w:t>废铅酸蓄电池（类别：</w:t>
            </w:r>
            <w:r>
              <w:rPr>
                <w:rFonts w:eastAsiaTheme="minorEastAsia"/>
                <w:sz w:val="24"/>
              </w:rPr>
              <w:t>HW31</w:t>
            </w:r>
            <w:r>
              <w:rPr>
                <w:rFonts w:hint="eastAsia" w:eastAsiaTheme="minorEastAsia"/>
                <w:sz w:val="24"/>
              </w:rPr>
              <w:t>，代码：</w:t>
            </w:r>
            <w:r>
              <w:rPr>
                <w:rFonts w:eastAsiaTheme="minorEastAsia"/>
                <w:sz w:val="24"/>
              </w:rPr>
              <w:t>900-052-31</w:t>
            </w:r>
            <w:r>
              <w:rPr>
                <w:rFonts w:hint="eastAsia" w:eastAsiaTheme="minorEastAsia"/>
                <w:sz w:val="24"/>
              </w:rPr>
              <w:t>）</w:t>
            </w:r>
          </w:p>
        </w:tc>
        <w:tc>
          <w:tcPr>
            <w:tcW w:w="5744" w:type="dxa"/>
            <w:gridSpan w:val="2"/>
            <w:vMerge w:val="restart"/>
            <w:vAlign w:val="center"/>
          </w:tcPr>
          <w:p>
            <w:pPr>
              <w:spacing w:line="0" w:lineRule="atLeast"/>
              <w:jc w:val="center"/>
              <w:rPr>
                <w:rFonts w:eastAsiaTheme="minorEastAsia"/>
                <w:sz w:val="24"/>
              </w:rPr>
            </w:pPr>
            <w:r>
              <w:rPr>
                <w:rFonts w:hint="eastAsia" w:eastAsiaTheme="minorEastAsia"/>
                <w:bCs/>
                <w:sz w:val="24"/>
              </w:rPr>
              <w:t>使用专用容器回收</w:t>
            </w:r>
            <w:r>
              <w:rPr>
                <w:rFonts w:hint="eastAsia" w:eastAsiaTheme="minorEastAsia"/>
                <w:sz w:val="24"/>
              </w:rPr>
              <w:t>暂存于危险废物贮存库，定期交有资质单位处理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vAlign w:val="center"/>
          </w:tcPr>
          <w:p>
            <w:pPr>
              <w:adjustRightInd w:val="0"/>
              <w:snapToGrid w:val="0"/>
              <w:jc w:val="center"/>
              <w:rPr>
                <w:rFonts w:eastAsiaTheme="minorEastAsia"/>
                <w:sz w:val="24"/>
              </w:rPr>
            </w:pPr>
          </w:p>
        </w:tc>
        <w:tc>
          <w:tcPr>
            <w:tcW w:w="1559" w:type="dxa"/>
            <w:tcBorders>
              <w:bottom w:val="single" w:color="auto" w:sz="4" w:space="0"/>
            </w:tcBorders>
            <w:vAlign w:val="center"/>
          </w:tcPr>
          <w:p>
            <w:pPr>
              <w:adjustRightInd w:val="0"/>
              <w:snapToGrid w:val="0"/>
              <w:jc w:val="center"/>
              <w:rPr>
                <w:rFonts w:eastAsiaTheme="minorEastAsia"/>
                <w:sz w:val="24"/>
              </w:rPr>
            </w:pPr>
            <w:r>
              <w:rPr>
                <w:rFonts w:hint="eastAsia" w:eastAsiaTheme="minorEastAsia"/>
                <w:sz w:val="24"/>
              </w:rPr>
              <w:t>废油液（类别：</w:t>
            </w:r>
            <w:r>
              <w:rPr>
                <w:rFonts w:eastAsiaTheme="minorEastAsia"/>
                <w:sz w:val="24"/>
              </w:rPr>
              <w:t>HW08</w:t>
            </w:r>
            <w:r>
              <w:rPr>
                <w:rFonts w:hint="eastAsia" w:eastAsiaTheme="minorEastAsia"/>
                <w:sz w:val="24"/>
              </w:rPr>
              <w:t>，代码：</w:t>
            </w:r>
            <w:r>
              <w:rPr>
                <w:rFonts w:eastAsiaTheme="minorEastAsia"/>
                <w:sz w:val="24"/>
              </w:rPr>
              <w:t>900-199-08</w:t>
            </w:r>
            <w:r>
              <w:rPr>
                <w:rFonts w:hint="eastAsia" w:eastAsiaTheme="minorEastAsia"/>
                <w:sz w:val="24"/>
              </w:rPr>
              <w:t>）</w:t>
            </w:r>
          </w:p>
        </w:tc>
        <w:tc>
          <w:tcPr>
            <w:tcW w:w="5744" w:type="dxa"/>
            <w:gridSpan w:val="2"/>
            <w:vMerge w:val="continue"/>
            <w:vAlign w:val="center"/>
          </w:tcPr>
          <w:p>
            <w:pPr>
              <w:adjustRightInd w:val="0"/>
              <w:snapToGrid w:val="0"/>
              <w:jc w:val="center"/>
              <w:rPr>
                <w:rFonts w:eastAsiaTheme="minor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vAlign w:val="center"/>
          </w:tcPr>
          <w:p>
            <w:pPr>
              <w:adjustRightInd w:val="0"/>
              <w:snapToGrid w:val="0"/>
              <w:jc w:val="center"/>
              <w:rPr>
                <w:rFonts w:eastAsiaTheme="minorEastAsia"/>
                <w:sz w:val="24"/>
              </w:rPr>
            </w:pPr>
          </w:p>
        </w:tc>
        <w:tc>
          <w:tcPr>
            <w:tcW w:w="1559" w:type="dxa"/>
            <w:tcBorders>
              <w:bottom w:val="single" w:color="auto" w:sz="4" w:space="0"/>
            </w:tcBorders>
            <w:vAlign w:val="center"/>
          </w:tcPr>
          <w:p>
            <w:pPr>
              <w:adjustRightInd w:val="0"/>
              <w:snapToGrid w:val="0"/>
              <w:jc w:val="center"/>
              <w:rPr>
                <w:rFonts w:eastAsiaTheme="minorEastAsia"/>
                <w:sz w:val="24"/>
              </w:rPr>
            </w:pPr>
            <w:r>
              <w:rPr>
                <w:rFonts w:hint="eastAsia" w:eastAsiaTheme="minorEastAsia"/>
                <w:sz w:val="24"/>
              </w:rPr>
              <w:t>含油抹布及手套（类别：</w:t>
            </w:r>
            <w:r>
              <w:rPr>
                <w:rFonts w:eastAsiaTheme="minorEastAsia"/>
                <w:sz w:val="24"/>
              </w:rPr>
              <w:t>HW49</w:t>
            </w:r>
            <w:r>
              <w:rPr>
                <w:rFonts w:hint="eastAsia" w:eastAsiaTheme="minorEastAsia"/>
                <w:sz w:val="24"/>
              </w:rPr>
              <w:t>，代码：</w:t>
            </w:r>
            <w:r>
              <w:rPr>
                <w:rFonts w:eastAsiaTheme="minorEastAsia"/>
                <w:sz w:val="24"/>
              </w:rPr>
              <w:t>900-041-49</w:t>
            </w:r>
            <w:r>
              <w:rPr>
                <w:rFonts w:hint="eastAsia" w:eastAsiaTheme="minorEastAsia"/>
                <w:sz w:val="24"/>
              </w:rPr>
              <w:t>）</w:t>
            </w:r>
          </w:p>
        </w:tc>
        <w:tc>
          <w:tcPr>
            <w:tcW w:w="5744" w:type="dxa"/>
            <w:gridSpan w:val="2"/>
            <w:vMerge w:val="continue"/>
            <w:vAlign w:val="center"/>
          </w:tcPr>
          <w:p>
            <w:pPr>
              <w:adjustRightInd w:val="0"/>
              <w:snapToGrid w:val="0"/>
              <w:jc w:val="center"/>
              <w:rPr>
                <w:rFonts w:eastAsiaTheme="minorEastAsia"/>
                <w:sz w:val="24"/>
              </w:rPr>
            </w:pPr>
          </w:p>
        </w:tc>
      </w:tr>
    </w:tbl>
    <w:p/>
    <w:p/>
    <w:p/>
    <w:tbl>
      <w:tblPr>
        <w:tblStyle w:val="21"/>
        <w:tblW w:w="9449"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338"/>
        <w:gridCol w:w="1559"/>
        <w:gridCol w:w="57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4" w:hRule="atLeast"/>
          <w:jc w:val="center"/>
        </w:trPr>
        <w:tc>
          <w:tcPr>
            <w:tcW w:w="808" w:type="dxa"/>
            <w:vMerge w:val="restart"/>
            <w:vAlign w:val="center"/>
          </w:tcPr>
          <w:p>
            <w:pPr>
              <w:adjustRightInd w:val="0"/>
              <w:snapToGrid w:val="0"/>
              <w:jc w:val="center"/>
              <w:rPr>
                <w:rFonts w:eastAsiaTheme="minorEastAsia"/>
                <w:sz w:val="24"/>
              </w:rPr>
            </w:pPr>
            <w:r>
              <w:rPr>
                <w:rFonts w:hint="eastAsia" w:eastAsiaTheme="minorEastAsia"/>
                <w:sz w:val="24"/>
              </w:rPr>
              <w:t>固体废物</w:t>
            </w:r>
          </w:p>
        </w:tc>
        <w:tc>
          <w:tcPr>
            <w:tcW w:w="1338" w:type="dxa"/>
            <w:vMerge w:val="restart"/>
            <w:vAlign w:val="center"/>
          </w:tcPr>
          <w:p>
            <w:pPr>
              <w:adjustRightInd w:val="0"/>
              <w:snapToGrid w:val="0"/>
              <w:jc w:val="center"/>
              <w:rPr>
                <w:rFonts w:eastAsiaTheme="minorEastAsia"/>
                <w:sz w:val="24"/>
              </w:rPr>
            </w:pPr>
            <w:r>
              <w:rPr>
                <w:rFonts w:hint="eastAsia" w:eastAsiaTheme="minorEastAsia"/>
                <w:sz w:val="24"/>
              </w:rPr>
              <w:t>农机拆解</w:t>
            </w:r>
          </w:p>
        </w:tc>
        <w:tc>
          <w:tcPr>
            <w:tcW w:w="1559" w:type="dxa"/>
            <w:tcBorders>
              <w:bottom w:val="single" w:color="auto" w:sz="4" w:space="0"/>
            </w:tcBorders>
            <w:vAlign w:val="center"/>
          </w:tcPr>
          <w:p>
            <w:pPr>
              <w:spacing w:line="0" w:lineRule="atLeast"/>
              <w:jc w:val="center"/>
              <w:rPr>
                <w:rFonts w:eastAsiaTheme="minorEastAsia"/>
                <w:bCs/>
                <w:sz w:val="24"/>
              </w:rPr>
            </w:pPr>
            <w:r>
              <w:rPr>
                <w:rFonts w:hint="eastAsia" w:eastAsiaTheme="minorEastAsia"/>
                <w:bCs/>
                <w:sz w:val="24"/>
              </w:rPr>
              <w:t>废防冻液、废冷却液（类别：</w:t>
            </w:r>
            <w:r>
              <w:rPr>
                <w:rFonts w:eastAsiaTheme="minorEastAsia"/>
                <w:bCs/>
                <w:sz w:val="24"/>
              </w:rPr>
              <w:t>HW49</w:t>
            </w:r>
            <w:r>
              <w:rPr>
                <w:rFonts w:hint="eastAsia" w:eastAsiaTheme="minorEastAsia"/>
                <w:bCs/>
                <w:sz w:val="24"/>
              </w:rPr>
              <w:t>，代码：</w:t>
            </w:r>
            <w:r>
              <w:rPr>
                <w:rFonts w:eastAsiaTheme="minorEastAsia"/>
                <w:bCs/>
                <w:sz w:val="24"/>
              </w:rPr>
              <w:t>900-404-49</w:t>
            </w:r>
            <w:r>
              <w:rPr>
                <w:rFonts w:hint="eastAsia" w:eastAsiaTheme="minorEastAsia"/>
                <w:bCs/>
                <w:sz w:val="24"/>
              </w:rPr>
              <w:t>）</w:t>
            </w:r>
          </w:p>
        </w:tc>
        <w:tc>
          <w:tcPr>
            <w:tcW w:w="5744" w:type="dxa"/>
            <w:vMerge w:val="restart"/>
            <w:vAlign w:val="center"/>
          </w:tcPr>
          <w:p>
            <w:pPr>
              <w:adjustRightInd w:val="0"/>
              <w:snapToGrid w:val="0"/>
              <w:jc w:val="center"/>
              <w:rPr>
                <w:rFonts w:eastAsiaTheme="minorEastAsia"/>
                <w:sz w:val="24"/>
              </w:rPr>
            </w:pPr>
            <w:r>
              <w:rPr>
                <w:rFonts w:hint="eastAsia" w:eastAsiaTheme="minorEastAsia"/>
                <w:bCs/>
                <w:sz w:val="24"/>
              </w:rPr>
              <w:t>使用专用容器回收</w:t>
            </w:r>
            <w:r>
              <w:rPr>
                <w:rFonts w:hint="eastAsia" w:eastAsiaTheme="minorEastAsia"/>
                <w:sz w:val="24"/>
              </w:rPr>
              <w:t>暂存于危险废物贮存库，定期交有资质单位处理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79"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vAlign w:val="center"/>
          </w:tcPr>
          <w:p>
            <w:pPr>
              <w:adjustRightInd w:val="0"/>
              <w:snapToGrid w:val="0"/>
              <w:jc w:val="center"/>
              <w:rPr>
                <w:rFonts w:eastAsiaTheme="minorEastAsia"/>
                <w:sz w:val="24"/>
              </w:rPr>
            </w:pPr>
          </w:p>
        </w:tc>
        <w:tc>
          <w:tcPr>
            <w:tcW w:w="1559" w:type="dxa"/>
            <w:tcBorders>
              <w:bottom w:val="single" w:color="auto" w:sz="4" w:space="0"/>
            </w:tcBorders>
            <w:vAlign w:val="center"/>
          </w:tcPr>
          <w:p>
            <w:pPr>
              <w:spacing w:line="0" w:lineRule="atLeast"/>
              <w:jc w:val="center"/>
              <w:rPr>
                <w:rFonts w:eastAsiaTheme="minorEastAsia"/>
                <w:bCs/>
                <w:sz w:val="24"/>
              </w:rPr>
            </w:pPr>
            <w:r>
              <w:rPr>
                <w:rFonts w:hint="eastAsia" w:eastAsiaTheme="minorEastAsia"/>
                <w:bCs/>
                <w:sz w:val="24"/>
              </w:rPr>
              <w:t>油泥（类别：</w:t>
            </w:r>
            <w:r>
              <w:rPr>
                <w:rFonts w:eastAsiaTheme="minorEastAsia"/>
                <w:bCs/>
                <w:sz w:val="24"/>
              </w:rPr>
              <w:t>HW08</w:t>
            </w:r>
            <w:r>
              <w:rPr>
                <w:rFonts w:hint="eastAsia" w:eastAsiaTheme="minorEastAsia"/>
                <w:bCs/>
                <w:sz w:val="24"/>
              </w:rPr>
              <w:t>，代码：</w:t>
            </w:r>
            <w:r>
              <w:rPr>
                <w:rFonts w:eastAsiaTheme="minorEastAsia"/>
                <w:bCs/>
                <w:sz w:val="24"/>
              </w:rPr>
              <w:t>900-210-08</w:t>
            </w:r>
            <w:r>
              <w:rPr>
                <w:rFonts w:hint="eastAsia" w:eastAsiaTheme="minorEastAsia"/>
                <w:bCs/>
                <w:sz w:val="24"/>
              </w:rPr>
              <w:t>）</w:t>
            </w:r>
          </w:p>
        </w:tc>
        <w:tc>
          <w:tcPr>
            <w:tcW w:w="5744" w:type="dxa"/>
            <w:vMerge w:val="continue"/>
            <w:vAlign w:val="center"/>
          </w:tcPr>
          <w:p>
            <w:pPr>
              <w:adjustRightInd w:val="0"/>
              <w:snapToGrid w:val="0"/>
              <w:jc w:val="center"/>
              <w:rPr>
                <w:rFonts w:eastAsiaTheme="minor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vAlign w:val="center"/>
          </w:tcPr>
          <w:p>
            <w:pPr>
              <w:adjustRightInd w:val="0"/>
              <w:snapToGrid w:val="0"/>
              <w:jc w:val="center"/>
              <w:rPr>
                <w:rFonts w:eastAsiaTheme="minorEastAsia"/>
                <w:sz w:val="24"/>
              </w:rPr>
            </w:pPr>
          </w:p>
        </w:tc>
        <w:tc>
          <w:tcPr>
            <w:tcW w:w="1559" w:type="dxa"/>
            <w:tcBorders>
              <w:bottom w:val="single" w:color="auto" w:sz="4" w:space="0"/>
            </w:tcBorders>
            <w:vAlign w:val="center"/>
          </w:tcPr>
          <w:p>
            <w:pPr>
              <w:spacing w:line="0" w:lineRule="atLeast"/>
              <w:jc w:val="center"/>
              <w:rPr>
                <w:rFonts w:eastAsiaTheme="minorEastAsia"/>
                <w:bCs/>
                <w:sz w:val="24"/>
              </w:rPr>
            </w:pPr>
            <w:r>
              <w:rPr>
                <w:rFonts w:hint="eastAsia" w:hAnsiTheme="minorEastAsia" w:eastAsiaTheme="minorEastAsia"/>
                <w:sz w:val="24"/>
              </w:rPr>
              <w:t>废活性炭（类别：HW49，代码：900-039-49）</w:t>
            </w:r>
          </w:p>
        </w:tc>
        <w:tc>
          <w:tcPr>
            <w:tcW w:w="5744" w:type="dxa"/>
            <w:vMerge w:val="continue"/>
            <w:vAlign w:val="center"/>
          </w:tcPr>
          <w:p>
            <w:pPr>
              <w:adjustRightInd w:val="0"/>
              <w:snapToGrid w:val="0"/>
              <w:jc w:val="center"/>
              <w:rPr>
                <w:rFonts w:eastAsiaTheme="minor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 w:hRule="atLeast"/>
          <w:jc w:val="center"/>
        </w:trPr>
        <w:tc>
          <w:tcPr>
            <w:tcW w:w="808" w:type="dxa"/>
            <w:vMerge w:val="continue"/>
            <w:vAlign w:val="center"/>
          </w:tcPr>
          <w:p>
            <w:pPr>
              <w:adjustRightInd w:val="0"/>
              <w:snapToGrid w:val="0"/>
              <w:jc w:val="center"/>
              <w:rPr>
                <w:rFonts w:eastAsiaTheme="minorEastAsia"/>
                <w:sz w:val="24"/>
              </w:rPr>
            </w:pPr>
          </w:p>
        </w:tc>
        <w:tc>
          <w:tcPr>
            <w:tcW w:w="1338" w:type="dxa"/>
            <w:vMerge w:val="continue"/>
            <w:vAlign w:val="center"/>
          </w:tcPr>
          <w:p>
            <w:pPr>
              <w:adjustRightInd w:val="0"/>
              <w:snapToGrid w:val="0"/>
              <w:jc w:val="center"/>
              <w:rPr>
                <w:rFonts w:eastAsiaTheme="minorEastAsia"/>
                <w:sz w:val="24"/>
              </w:rPr>
            </w:pPr>
          </w:p>
        </w:tc>
        <w:tc>
          <w:tcPr>
            <w:tcW w:w="1559" w:type="dxa"/>
            <w:tcBorders>
              <w:bottom w:val="single" w:color="auto" w:sz="4" w:space="0"/>
            </w:tcBorders>
            <w:vAlign w:val="center"/>
          </w:tcPr>
          <w:p>
            <w:pPr>
              <w:spacing w:line="0" w:lineRule="atLeast"/>
              <w:jc w:val="center"/>
              <w:rPr>
                <w:rFonts w:hAnsiTheme="minorEastAsia" w:eastAsiaTheme="minorEastAsia"/>
                <w:sz w:val="24"/>
              </w:rPr>
            </w:pPr>
            <w:r>
              <w:rPr>
                <w:rFonts w:hint="eastAsia" w:hAnsiTheme="minorEastAsia" w:eastAsiaTheme="minorEastAsia"/>
                <w:sz w:val="24"/>
              </w:rPr>
              <w:t>机油过滤器</w:t>
            </w:r>
            <w:r>
              <w:rPr>
                <w:rFonts w:hint="eastAsia" w:eastAsiaTheme="minorEastAsia"/>
                <w:bCs/>
                <w:sz w:val="24"/>
              </w:rPr>
              <w:t>（类别：</w:t>
            </w:r>
            <w:r>
              <w:rPr>
                <w:rFonts w:eastAsiaTheme="minorEastAsia"/>
                <w:bCs/>
                <w:sz w:val="24"/>
              </w:rPr>
              <w:t>HW08</w:t>
            </w:r>
            <w:r>
              <w:rPr>
                <w:rFonts w:hint="eastAsia" w:eastAsiaTheme="minorEastAsia"/>
                <w:bCs/>
                <w:sz w:val="24"/>
              </w:rPr>
              <w:t>，代码：900-213-08）</w:t>
            </w:r>
          </w:p>
        </w:tc>
        <w:tc>
          <w:tcPr>
            <w:tcW w:w="5744" w:type="dxa"/>
            <w:vMerge w:val="continue"/>
            <w:vAlign w:val="center"/>
          </w:tcPr>
          <w:p>
            <w:pPr>
              <w:adjustRightInd w:val="0"/>
              <w:snapToGrid w:val="0"/>
              <w:jc w:val="center"/>
              <w:rPr>
                <w:rFonts w:eastAsiaTheme="minorEastAsia"/>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596" w:hRule="atLeast"/>
          <w:jc w:val="center"/>
        </w:trPr>
        <w:tc>
          <w:tcPr>
            <w:tcW w:w="808" w:type="dxa"/>
            <w:vAlign w:val="center"/>
          </w:tcPr>
          <w:p>
            <w:pPr>
              <w:adjustRightInd w:val="0"/>
              <w:snapToGrid w:val="0"/>
              <w:jc w:val="center"/>
              <w:rPr>
                <w:rFonts w:eastAsiaTheme="minorEastAsia"/>
                <w:sz w:val="24"/>
              </w:rPr>
            </w:pPr>
            <w:r>
              <w:rPr>
                <w:rFonts w:hint="eastAsia" w:eastAsiaTheme="minorEastAsia"/>
                <w:sz w:val="24"/>
              </w:rPr>
              <w:t>土壤及地下水污染防治措施</w:t>
            </w:r>
          </w:p>
        </w:tc>
        <w:tc>
          <w:tcPr>
            <w:tcW w:w="8641" w:type="dxa"/>
            <w:gridSpan w:val="3"/>
            <w:vAlign w:val="center"/>
          </w:tcPr>
          <w:p>
            <w:pPr>
              <w:spacing w:line="360" w:lineRule="auto"/>
              <w:contextualSpacing/>
              <w:jc w:val="center"/>
              <w:rPr>
                <w:rFonts w:eastAsiaTheme="minorEastAsia"/>
                <w:bCs/>
                <w:sz w:val="24"/>
              </w:rPr>
            </w:pPr>
            <w:r>
              <w:rPr>
                <w:rFonts w:hint="eastAsia" w:eastAsiaTheme="minorEastAsia"/>
                <w:bCs/>
                <w:sz w:val="24"/>
              </w:rPr>
              <w:t>本项目厂区内地面及道路全部硬化；拆解车间地面设置防油渗隔离层，拆解车间地面混凝土强度等级不低于</w:t>
            </w:r>
            <w:r>
              <w:rPr>
                <w:rFonts w:eastAsiaTheme="minorEastAsia"/>
                <w:bCs/>
                <w:sz w:val="24"/>
              </w:rPr>
              <w:t>C20</w:t>
            </w:r>
            <w:r>
              <w:rPr>
                <w:rFonts w:hint="eastAsia" w:eastAsiaTheme="minorEastAsia"/>
                <w:bCs/>
                <w:sz w:val="24"/>
              </w:rPr>
              <w:t>，厚度不低于</w:t>
            </w:r>
            <w:r>
              <w:rPr>
                <w:rFonts w:eastAsiaTheme="minorEastAsia"/>
                <w:bCs/>
                <w:sz w:val="24"/>
              </w:rPr>
              <w:t>150 mm</w:t>
            </w:r>
            <w:r>
              <w:rPr>
                <w:rFonts w:hint="eastAsia" w:eastAsiaTheme="minorEastAsia"/>
                <w:bCs/>
                <w:sz w:val="24"/>
              </w:rPr>
              <w:t>，其中物流通道路面和拆解区域强度不低于</w:t>
            </w:r>
            <w:r>
              <w:rPr>
                <w:rFonts w:eastAsiaTheme="minorEastAsia"/>
                <w:bCs/>
                <w:sz w:val="24"/>
              </w:rPr>
              <w:t>C30</w:t>
            </w:r>
            <w:r>
              <w:rPr>
                <w:rFonts w:hint="eastAsia" w:eastAsiaTheme="minorEastAsia"/>
                <w:bCs/>
                <w:sz w:val="24"/>
              </w:rPr>
              <w:t>，厚度不低于</w:t>
            </w:r>
            <w:r>
              <w:rPr>
                <w:rFonts w:eastAsiaTheme="minorEastAsia"/>
                <w:bCs/>
                <w:sz w:val="24"/>
              </w:rPr>
              <w:t>200mm</w:t>
            </w:r>
            <w:r>
              <w:rPr>
                <w:rFonts w:hint="eastAsia" w:eastAsiaTheme="minorEastAsia"/>
                <w:bCs/>
                <w:sz w:val="24"/>
              </w:rPr>
              <w:t>，防渗技术要求达到等效粘土防渗层Mb≥1.5m，K≤1×10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；初期雨水收集池、暂存池池体采用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-7</w:t>
            </w:r>
            <w:r>
              <w:rPr>
                <w:rFonts w:eastAsiaTheme="minorEastAsia"/>
                <w:bCs/>
                <w:sz w:val="24"/>
              </w:rPr>
              <w:t>cm/s</w:t>
            </w:r>
            <w:r>
              <w:rPr>
                <w:rFonts w:hint="eastAsia" w:eastAsiaTheme="minorEastAsia"/>
                <w:bCs/>
                <w:sz w:val="24"/>
              </w:rPr>
              <w:t>。产品贮存间、停车场地面采用粘土、抗渗混凝土、高密度聚乙烯（</w:t>
            </w:r>
            <w:r>
              <w:rPr>
                <w:rFonts w:eastAsiaTheme="minorEastAsia"/>
                <w:bCs/>
                <w:sz w:val="24"/>
              </w:rPr>
              <w:t>HDPE</w:t>
            </w:r>
            <w:r>
              <w:rPr>
                <w:rFonts w:hint="eastAsia" w:eastAsiaTheme="minorEastAsia"/>
                <w:bCs/>
                <w:sz w:val="24"/>
              </w:rPr>
              <w:t>）膜或其他防渗性能等效的材料，防渗技术要求达到等效粘土防渗层Mb≥1.5m，K≤1×10</w:t>
            </w:r>
            <w:r>
              <w:rPr>
                <w:rFonts w:eastAsiaTheme="minorEastAsia"/>
                <w:bCs/>
                <w:sz w:val="24"/>
                <w:vertAlign w:val="superscript"/>
              </w:rPr>
              <w:t>-7</w:t>
            </w:r>
            <w:r>
              <w:rPr>
                <w:rFonts w:eastAsiaTheme="minorEastAsia"/>
                <w:bCs/>
                <w:sz w:val="24"/>
              </w:rPr>
              <w:t>cm/s</w:t>
            </w:r>
            <w:r>
              <w:rPr>
                <w:rFonts w:hint="eastAsia" w:eastAsiaTheme="minorEastAsia"/>
                <w:bCs/>
                <w:sz w:val="24"/>
              </w:rPr>
              <w:t>；危险废物贮存库设置围堰、液体导流和收集装置，不同种类的危险废物单独收集、分类存放，中间有明显间隔；设置警示标识，地面做防酸、防腐、防渗处理，地面与裙脚采用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-10</w:t>
            </w:r>
            <w:r>
              <w:rPr>
                <w:rFonts w:eastAsiaTheme="minorEastAsia"/>
                <w:bCs/>
                <w:sz w:val="24"/>
              </w:rPr>
              <w:t>cm/s</w:t>
            </w:r>
            <w:r>
              <w:rPr>
                <w:rFonts w:hint="eastAsia" w:eastAsiaTheme="minorEastAsia"/>
                <w:bCs/>
                <w:sz w:val="24"/>
              </w:rPr>
              <w:t>，采取以上防渗措施后项目不会对土壤、地下水产生影响。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62" w:hRule="atLeast"/>
          <w:jc w:val="center"/>
        </w:trPr>
        <w:tc>
          <w:tcPr>
            <w:tcW w:w="808" w:type="dxa"/>
            <w:vAlign w:val="center"/>
          </w:tcPr>
          <w:p>
            <w:pPr>
              <w:adjustRightInd w:val="0"/>
              <w:snapToGrid w:val="0"/>
              <w:jc w:val="center"/>
              <w:rPr>
                <w:rFonts w:eastAsiaTheme="minorEastAsia"/>
                <w:sz w:val="24"/>
              </w:rPr>
            </w:pPr>
            <w:r>
              <w:rPr>
                <w:rFonts w:hint="eastAsia" w:eastAsiaTheme="minorEastAsia"/>
                <w:sz w:val="24"/>
              </w:rPr>
              <w:t>生态保护措施</w:t>
            </w:r>
          </w:p>
        </w:tc>
        <w:tc>
          <w:tcPr>
            <w:tcW w:w="8641" w:type="dxa"/>
            <w:gridSpan w:val="3"/>
            <w:vAlign w:val="center"/>
          </w:tcPr>
          <w:p>
            <w:pPr>
              <w:adjustRightInd w:val="0"/>
              <w:snapToGrid w:val="0"/>
              <w:jc w:val="center"/>
              <w:rPr>
                <w:rFonts w:eastAsiaTheme="minorEastAsia"/>
                <w:sz w:val="24"/>
              </w:rPr>
            </w:pPr>
            <w:r>
              <w:rPr>
                <w:rFonts w:hint="eastAsia" w:eastAsiaTheme="minor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62" w:hRule="atLeast"/>
          <w:jc w:val="center"/>
        </w:trPr>
        <w:tc>
          <w:tcPr>
            <w:tcW w:w="808" w:type="dxa"/>
            <w:vAlign w:val="center"/>
          </w:tcPr>
          <w:p>
            <w:pPr>
              <w:adjustRightInd w:val="0"/>
              <w:snapToGrid w:val="0"/>
              <w:jc w:val="center"/>
              <w:rPr>
                <w:rFonts w:eastAsiaTheme="minorEastAsia"/>
                <w:sz w:val="24"/>
              </w:rPr>
            </w:pPr>
            <w:r>
              <w:rPr>
                <w:rFonts w:hint="eastAsia" w:eastAsiaTheme="minorEastAsia"/>
                <w:sz w:val="24"/>
              </w:rPr>
              <w:t>环境风险防范措施</w:t>
            </w:r>
          </w:p>
        </w:tc>
        <w:tc>
          <w:tcPr>
            <w:tcW w:w="8641" w:type="dxa"/>
            <w:gridSpan w:val="3"/>
            <w:vAlign w:val="center"/>
          </w:tcPr>
          <w:p>
            <w:pPr>
              <w:spacing w:line="360" w:lineRule="auto"/>
              <w:ind w:firstLine="480" w:firstLineChars="200"/>
              <w:contextualSpacing/>
              <w:rPr>
                <w:rFonts w:eastAsiaTheme="minorEastAsia"/>
                <w:sz w:val="24"/>
              </w:rPr>
            </w:pPr>
            <w:r>
              <w:rPr>
                <w:rFonts w:hint="eastAsia" w:eastAsiaTheme="minorEastAsia"/>
                <w:sz w:val="24"/>
              </w:rPr>
              <w:t>（</w:t>
            </w:r>
            <w:r>
              <w:rPr>
                <w:rFonts w:eastAsiaTheme="minorEastAsia"/>
                <w:sz w:val="24"/>
              </w:rPr>
              <w:t>1</w:t>
            </w:r>
            <w:r>
              <w:rPr>
                <w:rFonts w:hint="eastAsia" w:eastAsiaTheme="minorEastAsia"/>
                <w:sz w:val="24"/>
              </w:rPr>
              <w:t>）配备泄漏液体收集装置，交由有资质单位处置。</w:t>
            </w:r>
          </w:p>
          <w:p>
            <w:pPr>
              <w:spacing w:line="360" w:lineRule="auto"/>
              <w:ind w:firstLine="480" w:firstLineChars="200"/>
              <w:contextualSpacing/>
              <w:rPr>
                <w:rFonts w:eastAsiaTheme="minorEastAsia"/>
                <w:bCs/>
                <w:sz w:val="24"/>
              </w:rPr>
            </w:pPr>
            <w:r>
              <w:rPr>
                <w:rFonts w:hint="eastAsia" w:eastAsiaTheme="minorEastAsia"/>
                <w:bCs/>
                <w:sz w:val="24"/>
              </w:rPr>
              <w:t>（</w:t>
            </w:r>
            <w:r>
              <w:rPr>
                <w:rFonts w:eastAsiaTheme="minorEastAsia"/>
                <w:bCs/>
                <w:sz w:val="24"/>
              </w:rPr>
              <w:t>2</w:t>
            </w:r>
            <w:r>
              <w:rPr>
                <w:rFonts w:hint="eastAsia" w:eastAsiaTheme="minorEastAsia"/>
                <w:bCs/>
                <w:sz w:val="24"/>
              </w:rPr>
              <w:t>）本项目需对员工加强管理，提高安全意识。</w:t>
            </w:r>
          </w:p>
          <w:p>
            <w:pPr>
              <w:spacing w:line="360" w:lineRule="auto"/>
              <w:ind w:firstLine="480" w:firstLineChars="200"/>
              <w:contextualSpacing/>
              <w:jc w:val="left"/>
              <w:rPr>
                <w:rFonts w:eastAsiaTheme="minorEastAsia"/>
                <w:bCs/>
                <w:kern w:val="0"/>
                <w:sz w:val="24"/>
              </w:rPr>
            </w:pPr>
            <w:r>
              <w:rPr>
                <w:rFonts w:hint="eastAsia" w:eastAsiaTheme="minorEastAsia"/>
                <w:bCs/>
                <w:sz w:val="24"/>
              </w:rPr>
              <w:t>（</w:t>
            </w:r>
            <w:r>
              <w:rPr>
                <w:rFonts w:eastAsiaTheme="minorEastAsia"/>
                <w:bCs/>
                <w:sz w:val="24"/>
              </w:rPr>
              <w:t>3</w:t>
            </w:r>
            <w:r>
              <w:rPr>
                <w:rFonts w:hint="eastAsia" w:eastAsiaTheme="minorEastAsia"/>
                <w:bCs/>
                <w:sz w:val="24"/>
              </w:rPr>
              <w:t>）企业均匀分布设置灭火器等应急设施，并定期对消防设施进行检修</w:t>
            </w:r>
            <w:r>
              <w:rPr>
                <w:rFonts w:hint="eastAsia" w:eastAsiaTheme="minorEastAsia"/>
                <w:bCs/>
                <w:kern w:val="0"/>
                <w:sz w:val="24"/>
              </w:rPr>
              <w:t>。</w:t>
            </w:r>
          </w:p>
          <w:p>
            <w:pPr>
              <w:spacing w:line="360" w:lineRule="auto"/>
              <w:ind w:firstLine="480" w:firstLineChars="200"/>
              <w:contextualSpacing/>
              <w:jc w:val="left"/>
              <w:rPr>
                <w:rFonts w:eastAsiaTheme="minorEastAsia"/>
                <w:bCs/>
                <w:kern w:val="0"/>
                <w:sz w:val="24"/>
              </w:rPr>
            </w:pPr>
            <w:r>
              <w:rPr>
                <w:rFonts w:hint="eastAsia" w:eastAsiaTheme="minorEastAsia"/>
                <w:bCs/>
                <w:kern w:val="0"/>
                <w:sz w:val="24"/>
              </w:rPr>
              <w:t>（</w:t>
            </w:r>
            <w:r>
              <w:rPr>
                <w:rFonts w:eastAsiaTheme="minorEastAsia"/>
                <w:bCs/>
                <w:kern w:val="0"/>
                <w:sz w:val="24"/>
              </w:rPr>
              <w:t>4</w:t>
            </w:r>
            <w:r>
              <w:rPr>
                <w:rFonts w:hint="eastAsia" w:eastAsiaTheme="minorEastAsia"/>
                <w:bCs/>
                <w:kern w:val="0"/>
                <w:sz w:val="24"/>
              </w:rPr>
              <w:t>）定期对油箱进行检查。</w:t>
            </w:r>
          </w:p>
          <w:p>
            <w:pPr>
              <w:spacing w:line="360" w:lineRule="auto"/>
              <w:ind w:firstLine="480" w:firstLineChars="200"/>
              <w:contextualSpacing/>
              <w:jc w:val="left"/>
              <w:rPr>
                <w:rFonts w:eastAsiaTheme="minorEastAsia"/>
                <w:bCs/>
                <w:kern w:val="0"/>
                <w:sz w:val="24"/>
              </w:rPr>
            </w:pPr>
            <w:r>
              <w:rPr>
                <w:rFonts w:hint="eastAsia" w:eastAsiaTheme="minorEastAsia"/>
                <w:bCs/>
                <w:kern w:val="0"/>
                <w:sz w:val="24"/>
              </w:rPr>
              <w:t>（</w:t>
            </w:r>
            <w:r>
              <w:rPr>
                <w:rFonts w:eastAsiaTheme="minorEastAsia"/>
                <w:bCs/>
                <w:kern w:val="0"/>
                <w:sz w:val="24"/>
              </w:rPr>
              <w:t>5</w:t>
            </w:r>
            <w:r>
              <w:rPr>
                <w:rFonts w:hint="eastAsia" w:eastAsiaTheme="minorEastAsia"/>
                <w:bCs/>
                <w:kern w:val="0"/>
                <w:sz w:val="24"/>
              </w:rPr>
              <w:t>）</w:t>
            </w:r>
            <w:r>
              <w:rPr>
                <w:rFonts w:hint="eastAsia" w:eastAsiaTheme="minorEastAsia"/>
                <w:bCs/>
                <w:sz w:val="24"/>
              </w:rPr>
              <w:t>危险废物贮存库设置截流槽、导流沟、临时应急池和废液收集系统，不同种类的危险废物单独收集、分类存放，中间有明显间隔，</w:t>
            </w:r>
            <w:r>
              <w:rPr>
                <w:rFonts w:eastAsiaTheme="minorEastAsia"/>
                <w:bCs/>
                <w:sz w:val="24"/>
              </w:rPr>
              <w:t>废铅酸蓄电池、废油液分区储存，</w:t>
            </w:r>
            <w:r>
              <w:rPr>
                <w:rFonts w:hint="eastAsia" w:eastAsiaTheme="minorEastAsia"/>
                <w:bCs/>
                <w:sz w:val="24"/>
              </w:rPr>
              <w:t>配备通讯设备、计量设备、照明设施、</w:t>
            </w:r>
            <w:r>
              <w:rPr>
                <w:rFonts w:eastAsiaTheme="minorEastAsia"/>
                <w:bCs/>
                <w:sz w:val="24"/>
              </w:rPr>
              <w:t>设置集气及二级活性炭吸附装置、</w:t>
            </w:r>
            <w:r>
              <w:rPr>
                <w:rFonts w:hint="eastAsia" w:eastAsiaTheme="minorEastAsia"/>
                <w:bCs/>
                <w:sz w:val="24"/>
              </w:rPr>
              <w:t>设置警示标识，地面做防酸、防腐、防渗处理，地面与裙脚采用</w:t>
            </w:r>
            <w:r>
              <w:rPr>
                <w:rFonts w:eastAsiaTheme="minorEastAsia"/>
                <w:bCs/>
                <w:sz w:val="24"/>
              </w:rPr>
              <w:t>2mm</w:t>
            </w:r>
            <w:r>
              <w:rPr>
                <w:rFonts w:hint="eastAsia" w:eastAsiaTheme="minorEastAsia"/>
                <w:bCs/>
                <w:sz w:val="24"/>
              </w:rPr>
              <w:t>厚的高密度聚乙烯土工膜及混凝土地面，渗透系数≤1×10</w:t>
            </w:r>
            <w:r>
              <w:rPr>
                <w:rFonts w:eastAsiaTheme="minorEastAsia"/>
                <w:bCs/>
                <w:sz w:val="24"/>
                <w:vertAlign w:val="superscript"/>
              </w:rPr>
              <w:t>-10</w:t>
            </w:r>
            <w:r>
              <w:rPr>
                <w:rFonts w:eastAsiaTheme="minorEastAsia"/>
                <w:bCs/>
                <w:sz w:val="24"/>
              </w:rPr>
              <w:t>cm/s</w:t>
            </w:r>
            <w:r>
              <w:rPr>
                <w:rFonts w:hint="eastAsia" w:eastAsiaTheme="minorEastAsia"/>
                <w:bCs/>
                <w:kern w:val="0"/>
                <w:sz w:val="24"/>
              </w:rPr>
              <w:t>。</w:t>
            </w:r>
          </w:p>
          <w:p>
            <w:pPr>
              <w:spacing w:line="360" w:lineRule="auto"/>
              <w:ind w:firstLine="480" w:firstLineChars="200"/>
              <w:contextualSpacing/>
              <w:jc w:val="left"/>
              <w:rPr>
                <w:rFonts w:eastAsiaTheme="minorEastAsia"/>
                <w:bCs/>
                <w:kern w:val="0"/>
                <w:sz w:val="24"/>
              </w:rPr>
            </w:pPr>
            <w:r>
              <w:rPr>
                <w:rFonts w:hint="eastAsia" w:eastAsiaTheme="minorEastAsia"/>
                <w:bCs/>
                <w:kern w:val="0"/>
                <w:sz w:val="24"/>
              </w:rPr>
              <w:t>（6）废铅蓄电池在危险废物贮存库中设有截流槽、导流沟、临时应急池和废液收集系统，可确保泄露后立即收集。</w:t>
            </w:r>
          </w:p>
          <w:p>
            <w:pPr>
              <w:spacing w:line="360" w:lineRule="auto"/>
              <w:ind w:firstLine="480" w:firstLineChars="200"/>
              <w:contextualSpacing/>
              <w:jc w:val="left"/>
              <w:rPr>
                <w:rFonts w:eastAsiaTheme="minorEastAsia"/>
                <w:bCs/>
                <w:sz w:val="24"/>
              </w:rPr>
            </w:pPr>
            <w:r>
              <w:rPr>
                <w:rFonts w:eastAsiaTheme="minorEastAsia"/>
                <w:bCs/>
                <w:kern w:val="0"/>
                <w:sz w:val="24"/>
              </w:rPr>
              <w:t>（</w:t>
            </w:r>
            <w:r>
              <w:rPr>
                <w:rFonts w:hint="eastAsia" w:eastAsiaTheme="minorEastAsia"/>
                <w:bCs/>
                <w:kern w:val="0"/>
                <w:sz w:val="24"/>
              </w:rPr>
              <w:t>7</w:t>
            </w:r>
            <w:r>
              <w:rPr>
                <w:rFonts w:eastAsiaTheme="minorEastAsia"/>
                <w:bCs/>
                <w:kern w:val="0"/>
                <w:sz w:val="24"/>
              </w:rPr>
              <w:t>）</w:t>
            </w:r>
            <w:r>
              <w:rPr>
                <w:rFonts w:hint="eastAsia" w:eastAsiaTheme="minorEastAsia"/>
                <w:bCs/>
                <w:kern w:val="0"/>
                <w:sz w:val="24"/>
              </w:rPr>
              <w:t>建设单位应编制建设项目环境风险应急预案，报环保部门批准后生产中实施，并安排环境风险应急预案及风险污染处置演练，进行应急处置宣传、教育。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212" w:hRule="atLeast"/>
          <w:jc w:val="center"/>
        </w:trPr>
        <w:tc>
          <w:tcPr>
            <w:tcW w:w="808" w:type="dxa"/>
            <w:vAlign w:val="center"/>
          </w:tcPr>
          <w:p>
            <w:pPr>
              <w:adjustRightInd w:val="0"/>
              <w:snapToGrid w:val="0"/>
              <w:jc w:val="center"/>
              <w:rPr>
                <w:rFonts w:eastAsiaTheme="minorEastAsia"/>
                <w:sz w:val="24"/>
              </w:rPr>
            </w:pPr>
            <w:r>
              <w:rPr>
                <w:rFonts w:hint="eastAsia" w:eastAsiaTheme="minorEastAsia"/>
                <w:sz w:val="24"/>
              </w:rPr>
              <w:t>其他环境管理要求</w:t>
            </w:r>
          </w:p>
        </w:tc>
        <w:tc>
          <w:tcPr>
            <w:tcW w:w="8641" w:type="dxa"/>
            <w:gridSpan w:val="3"/>
          </w:tcPr>
          <w:p>
            <w:pPr>
              <w:adjustRightInd w:val="0"/>
              <w:snapToGrid w:val="0"/>
              <w:spacing w:line="360" w:lineRule="auto"/>
              <w:rPr>
                <w:rFonts w:eastAsiaTheme="minorEastAsia"/>
                <w:sz w:val="24"/>
              </w:rPr>
            </w:pPr>
            <w:r>
              <w:rPr>
                <w:rFonts w:eastAsiaTheme="minorEastAsia"/>
                <w:sz w:val="24"/>
              </w:rPr>
              <w:t>与排污许可证衔接要求要求：</w:t>
            </w:r>
            <w:r>
              <w:rPr>
                <w:rFonts w:eastAsiaTheme="minorEastAsia"/>
                <w:sz w:val="24"/>
              </w:rPr>
              <w:br w:type="textWrapping"/>
            </w:r>
            <w:r>
              <w:rPr>
                <w:rFonts w:eastAsiaTheme="minorEastAsia"/>
                <w:sz w:val="24"/>
              </w:rPr>
              <w:t>根据《排污许可管理条例》（中华人民共和国国务院令第736号），企业投产运营前，需申请取得排污许可证，按证排污，自证守法；根据《固定污染源排污许可分类管理名录（2019 年版）》，本企业排污许可证管理类别为简化管理。</w:t>
            </w:r>
          </w:p>
          <w:p>
            <w:pPr>
              <w:adjustRightInd w:val="0"/>
              <w:snapToGrid w:val="0"/>
              <w:spacing w:line="360" w:lineRule="auto"/>
              <w:rPr>
                <w:rFonts w:eastAsiaTheme="minorEastAsia"/>
                <w:sz w:val="24"/>
              </w:rPr>
            </w:pPr>
          </w:p>
        </w:tc>
      </w:tr>
    </w:tbl>
    <w:p>
      <w:pPr>
        <w:pStyle w:val="16"/>
        <w:jc w:val="center"/>
        <w:outlineLvl w:val="0"/>
        <w:rPr>
          <w:rFonts w:ascii="Times New Roman" w:hAnsi="Times New Roman" w:eastAsiaTheme="minorEastAsia"/>
          <w:snapToGrid w:val="0"/>
          <w:sz w:val="30"/>
          <w:szCs w:val="30"/>
        </w:rPr>
      </w:pPr>
      <w:r>
        <w:rPr>
          <w:rFonts w:ascii="Times New Roman" w:hAnsi="Times New Roman" w:eastAsiaTheme="minorEastAsia"/>
          <w:snapToGrid w:val="0"/>
        </w:rPr>
        <w:br w:type="page"/>
      </w:r>
      <w:bookmarkStart w:id="11" w:name="_Toc114492907"/>
      <w:r>
        <w:rPr>
          <w:rFonts w:hint="eastAsia" w:ascii="Times New Roman" w:hAnsi="Times New Roman" w:eastAsiaTheme="minorEastAsia"/>
          <w:snapToGrid w:val="0"/>
          <w:sz w:val="30"/>
          <w:szCs w:val="30"/>
        </w:rPr>
        <w:t>六、结论</w:t>
      </w:r>
      <w:bookmarkEnd w:id="11"/>
    </w:p>
    <w:tbl>
      <w:tblPr>
        <w:tblStyle w:val="21"/>
        <w:tblW w:w="9574" w:type="dxa"/>
        <w:jc w:val="center"/>
        <w:tblInd w:w="0" w:type="dxa"/>
        <w:tblBorders>
          <w:top w:val="single" w:color="auto" w:sz="4"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9574"/>
      </w:tblGrid>
      <w:tr>
        <w:tblPrEx>
          <w:tblBorders>
            <w:top w:val="single" w:color="auto" w:sz="4"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Ex>
        <w:trPr>
          <w:trHeight w:val="11991" w:hRule="atLeast"/>
          <w:jc w:val="center"/>
        </w:trPr>
        <w:tc>
          <w:tcPr>
            <w:tcW w:w="9574" w:type="dxa"/>
            <w:tcBorders>
              <w:top w:val="single" w:color="auto" w:sz="6" w:space="0"/>
              <w:bottom w:val="single" w:color="auto" w:sz="8" w:space="0"/>
            </w:tcBorders>
          </w:tcPr>
          <w:p>
            <w:pPr>
              <w:spacing w:line="360" w:lineRule="auto"/>
              <w:ind w:firstLine="480" w:firstLineChars="200"/>
              <w:contextualSpacing/>
              <w:rPr>
                <w:rFonts w:eastAsiaTheme="minorEastAsia"/>
                <w:sz w:val="24"/>
              </w:rPr>
            </w:pPr>
            <w:r>
              <w:rPr>
                <w:rFonts w:ascii="宋体" w:cs="宋体"/>
                <w:sz w:val="24"/>
              </w:rPr>
              <w:t>本项目建设符合</w:t>
            </w:r>
            <w:r>
              <w:rPr>
                <w:rFonts w:hint="eastAsia" w:ascii="宋体" w:cs="宋体"/>
                <w:sz w:val="24"/>
              </w:rPr>
              <w:t>“三线一单”</w:t>
            </w:r>
            <w:r>
              <w:rPr>
                <w:rFonts w:hint="eastAsia"/>
                <w:sz w:val="24"/>
              </w:rPr>
              <w:t>，项目按建设项目"三同时"制度要求，逐一落实本报告提出的污染治理项目，保证各项污染物达标排放，则项目对周围环境影响不明显。因此，从环境保护角度考虑，本项目的建设是合理、可行的</w:t>
            </w:r>
            <w:r>
              <w:rPr>
                <w:rFonts w:hint="eastAsia" w:eastAsiaTheme="minorEastAsia"/>
                <w:sz w:val="24"/>
              </w:rPr>
              <w:t>。</w:t>
            </w:r>
          </w:p>
        </w:tc>
      </w:tr>
    </w:tbl>
    <w:p>
      <w:pPr>
        <w:rPr>
          <w:rFonts w:eastAsiaTheme="minorEastAsia"/>
        </w:rPr>
        <w:sectPr>
          <w:pgSz w:w="11906" w:h="16838"/>
          <w:pgMar w:top="1701" w:right="1531" w:bottom="1701" w:left="1531" w:header="851" w:footer="851" w:gutter="0"/>
          <w:cols w:space="720" w:num="1"/>
          <w:docGrid w:linePitch="312" w:charSpace="0"/>
        </w:sectPr>
      </w:pPr>
    </w:p>
    <w:p>
      <w:pPr>
        <w:pStyle w:val="16"/>
        <w:adjustRightInd w:val="0"/>
        <w:snapToGrid w:val="0"/>
        <w:spacing w:before="0" w:beforeAutospacing="0" w:after="0" w:afterAutospacing="0" w:line="0" w:lineRule="atLeast"/>
        <w:outlineLvl w:val="0"/>
        <w:rPr>
          <w:rFonts w:ascii="Times New Roman" w:hAnsi="Times New Roman" w:eastAsiaTheme="minorEastAsia"/>
          <w:snapToGrid w:val="0"/>
          <w:sz w:val="32"/>
          <w:szCs w:val="32"/>
        </w:rPr>
      </w:pPr>
      <w:bookmarkStart w:id="12" w:name="_Toc114492908"/>
      <w:r>
        <w:rPr>
          <w:rFonts w:hint="eastAsia" w:ascii="Times New Roman" w:hAnsi="Times New Roman" w:eastAsiaTheme="minorEastAsia"/>
          <w:snapToGrid w:val="0"/>
          <w:sz w:val="32"/>
          <w:szCs w:val="32"/>
        </w:rPr>
        <w:t>附表</w:t>
      </w:r>
      <w:bookmarkEnd w:id="12"/>
    </w:p>
    <w:p>
      <w:pPr>
        <w:pStyle w:val="16"/>
        <w:adjustRightInd w:val="0"/>
        <w:snapToGrid w:val="0"/>
        <w:spacing w:before="0" w:beforeAutospacing="0" w:after="0" w:afterAutospacing="0" w:line="0" w:lineRule="atLeast"/>
        <w:jc w:val="center"/>
        <w:outlineLvl w:val="0"/>
        <w:rPr>
          <w:rFonts w:ascii="Times New Roman" w:hAnsi="Times New Roman" w:eastAsiaTheme="minorEastAsia"/>
          <w:snapToGrid w:val="0"/>
          <w:sz w:val="38"/>
          <w:szCs w:val="38"/>
        </w:rPr>
      </w:pPr>
      <w:bookmarkStart w:id="13" w:name="_Toc114492909"/>
      <w:r>
        <w:rPr>
          <w:rFonts w:hint="eastAsia" w:ascii="Times New Roman" w:hAnsi="Times New Roman" w:eastAsiaTheme="minorEastAsia"/>
          <w:snapToGrid w:val="0"/>
          <w:sz w:val="38"/>
          <w:szCs w:val="38"/>
        </w:rPr>
        <w:t>建设项目污染物排放量汇总表</w:t>
      </w:r>
      <w:bookmarkEnd w:id="13"/>
    </w:p>
    <w:tbl>
      <w:tblPr>
        <w:tblStyle w:val="21"/>
        <w:tblW w:w="14318" w:type="dxa"/>
        <w:tblInd w:w="-398"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985"/>
        <w:gridCol w:w="1701"/>
        <w:gridCol w:w="1134"/>
        <w:gridCol w:w="1842"/>
        <w:gridCol w:w="1560"/>
        <w:gridCol w:w="1842"/>
        <w:gridCol w:w="1843"/>
        <w:gridCol w:w="12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0" w:hRule="atLeast"/>
        </w:trPr>
        <w:tc>
          <w:tcPr>
            <w:tcW w:w="1135" w:type="dxa"/>
            <w:tcBorders>
              <w:tl2br w:val="single" w:color="auto" w:sz="4" w:space="0"/>
            </w:tcBorders>
            <w:tcMar>
              <w:left w:w="28" w:type="dxa"/>
              <w:right w:w="28" w:type="dxa"/>
            </w:tcMar>
            <w:vAlign w:val="center"/>
          </w:tcPr>
          <w:p>
            <w:pPr>
              <w:pStyle w:val="31"/>
              <w:adjustRightInd/>
              <w:snapToGrid/>
              <w:spacing w:beforeLines="0" w:afterLines="0" w:line="0" w:lineRule="atLeast"/>
              <w:contextualSpacing/>
              <w:jc w:val="right"/>
              <w:rPr>
                <w:rFonts w:ascii="Times New Roman" w:eastAsiaTheme="minorEastAsia"/>
                <w:snapToGrid w:val="0"/>
                <w:spacing w:val="-6"/>
                <w:kern w:val="21"/>
                <w:szCs w:val="21"/>
              </w:rPr>
            </w:pPr>
            <w:r>
              <w:rPr>
                <w:rFonts w:hint="eastAsia" w:ascii="Times New Roman" w:eastAsiaTheme="minorEastAsia"/>
                <w:snapToGrid w:val="0"/>
                <w:spacing w:val="-6"/>
                <w:kern w:val="21"/>
                <w:szCs w:val="21"/>
              </w:rPr>
              <w:t>项目</w:t>
            </w:r>
          </w:p>
          <w:p>
            <w:pPr>
              <w:pStyle w:val="31"/>
              <w:adjustRightInd/>
              <w:snapToGrid/>
              <w:spacing w:beforeLines="0" w:afterLines="0" w:line="0" w:lineRule="atLeast"/>
              <w:contextualSpacing/>
              <w:jc w:val="left"/>
              <w:rPr>
                <w:rFonts w:ascii="Times New Roman" w:eastAsiaTheme="minorEastAsia"/>
                <w:snapToGrid w:val="0"/>
                <w:spacing w:val="-6"/>
                <w:kern w:val="21"/>
                <w:szCs w:val="21"/>
              </w:rPr>
            </w:pPr>
            <w:r>
              <w:rPr>
                <w:rFonts w:hint="eastAsia" w:ascii="Times New Roman" w:eastAsiaTheme="minorEastAsia"/>
                <w:snapToGrid w:val="0"/>
                <w:spacing w:val="-6"/>
                <w:kern w:val="21"/>
                <w:szCs w:val="21"/>
              </w:rPr>
              <w:t>分类</w:t>
            </w:r>
          </w:p>
        </w:tc>
        <w:tc>
          <w:tcPr>
            <w:tcW w:w="1985"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污染物名称</w:t>
            </w:r>
          </w:p>
        </w:tc>
        <w:tc>
          <w:tcPr>
            <w:tcW w:w="1701"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现有工程</w:t>
            </w:r>
          </w:p>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排放量</w:t>
            </w:r>
            <w:r>
              <w:rPr>
                <w:rFonts w:ascii="Times New Roman" w:eastAsiaTheme="minorEastAsia"/>
                <w:snapToGrid w:val="0"/>
                <w:spacing w:val="-6"/>
                <w:kern w:val="21"/>
                <w:szCs w:val="21"/>
              </w:rPr>
              <w:t>t/a</w:t>
            </w:r>
            <w:r>
              <w:rPr>
                <w:rFonts w:hint="eastAsia" w:ascii="Times New Roman" w:eastAsiaTheme="minorEastAsia"/>
                <w:snapToGrid w:val="0"/>
                <w:spacing w:val="-6"/>
                <w:kern w:val="21"/>
                <w:szCs w:val="21"/>
              </w:rPr>
              <w:t>（固体废物产生量）</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1 \* GB3 \* MERGEFORMAT </w:instrText>
            </w:r>
            <w:r>
              <w:rPr>
                <w:rFonts w:ascii="Times New Roman" w:eastAsiaTheme="minorEastAsia"/>
                <w:snapToGrid w:val="0"/>
                <w:spacing w:val="-6"/>
                <w:kern w:val="21"/>
                <w:szCs w:val="21"/>
              </w:rPr>
              <w:fldChar w:fldCharType="separate"/>
            </w:r>
            <w:r>
              <w:rPr>
                <w:rFonts w:asciiTheme="minorEastAsia" w:hAnsiTheme="minorEastAsia" w:eastAsiaTheme="minorEastAsia"/>
                <w:kern w:val="2"/>
                <w:szCs w:val="21"/>
              </w:rPr>
              <w:t>①</w:t>
            </w:r>
            <w:r>
              <w:rPr>
                <w:rFonts w:ascii="Times New Roman" w:eastAsiaTheme="minorEastAsia"/>
                <w:snapToGrid w:val="0"/>
                <w:spacing w:val="-6"/>
                <w:kern w:val="21"/>
                <w:szCs w:val="21"/>
              </w:rPr>
              <w:fldChar w:fldCharType="end"/>
            </w:r>
          </w:p>
        </w:tc>
        <w:tc>
          <w:tcPr>
            <w:tcW w:w="1134"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现有工程</w:t>
            </w:r>
          </w:p>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许可排放量</w:t>
            </w:r>
            <w:r>
              <w:rPr>
                <w:rFonts w:ascii="Times New Roman" w:eastAsiaTheme="minorEastAsia"/>
                <w:snapToGrid w:val="0"/>
                <w:spacing w:val="-6"/>
                <w:kern w:val="21"/>
                <w:szCs w:val="21"/>
              </w:rPr>
              <w:t>t/a</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2 \* GB3 \* MERGEFORMAT </w:instrText>
            </w:r>
            <w:r>
              <w:rPr>
                <w:rFonts w:ascii="Times New Roman" w:eastAsiaTheme="minorEastAsia"/>
                <w:snapToGrid w:val="0"/>
                <w:spacing w:val="-6"/>
                <w:kern w:val="21"/>
                <w:szCs w:val="21"/>
              </w:rPr>
              <w:fldChar w:fldCharType="separate"/>
            </w:r>
            <w:r>
              <w:rPr>
                <w:rFonts w:asciiTheme="minorEastAsia" w:hAnsiTheme="minorEastAsia" w:eastAsiaTheme="minorEastAsia"/>
                <w:snapToGrid w:val="0"/>
                <w:spacing w:val="-6"/>
                <w:kern w:val="21"/>
                <w:szCs w:val="21"/>
              </w:rPr>
              <w:t>②</w:t>
            </w:r>
            <w:r>
              <w:rPr>
                <w:rFonts w:ascii="Times New Roman" w:eastAsiaTheme="minorEastAsia"/>
                <w:snapToGrid w:val="0"/>
                <w:spacing w:val="-6"/>
                <w:kern w:val="21"/>
                <w:szCs w:val="21"/>
              </w:rPr>
              <w:fldChar w:fldCharType="end"/>
            </w:r>
          </w:p>
        </w:tc>
        <w:tc>
          <w:tcPr>
            <w:tcW w:w="1842"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在建工程</w:t>
            </w:r>
          </w:p>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排放量</w:t>
            </w:r>
            <w:r>
              <w:rPr>
                <w:rFonts w:ascii="Times New Roman" w:eastAsiaTheme="minorEastAsia"/>
                <w:snapToGrid w:val="0"/>
                <w:spacing w:val="-6"/>
                <w:kern w:val="21"/>
                <w:szCs w:val="21"/>
              </w:rPr>
              <w:t>t/a</w:t>
            </w:r>
            <w:r>
              <w:rPr>
                <w:rFonts w:hint="eastAsia" w:ascii="Times New Roman" w:eastAsiaTheme="minorEastAsia"/>
                <w:snapToGrid w:val="0"/>
                <w:spacing w:val="-6"/>
                <w:kern w:val="21"/>
                <w:szCs w:val="21"/>
              </w:rPr>
              <w:t>（固体废物产生量）</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3 \* GB3 \* MERGEFORMAT </w:instrText>
            </w:r>
            <w:r>
              <w:rPr>
                <w:rFonts w:ascii="Times New Roman" w:eastAsiaTheme="minorEastAsia"/>
                <w:snapToGrid w:val="0"/>
                <w:spacing w:val="-6"/>
                <w:kern w:val="21"/>
                <w:szCs w:val="21"/>
              </w:rPr>
              <w:fldChar w:fldCharType="separate"/>
            </w:r>
            <w:r>
              <w:rPr>
                <w:rFonts w:asciiTheme="minorEastAsia" w:hAnsiTheme="minorEastAsia" w:eastAsiaTheme="minorEastAsia"/>
                <w:kern w:val="2"/>
                <w:szCs w:val="21"/>
              </w:rPr>
              <w:t>③</w:t>
            </w:r>
            <w:r>
              <w:rPr>
                <w:rFonts w:ascii="Times New Roman" w:eastAsiaTheme="minorEastAsia"/>
                <w:snapToGrid w:val="0"/>
                <w:spacing w:val="-6"/>
                <w:kern w:val="21"/>
                <w:szCs w:val="21"/>
              </w:rPr>
              <w:fldChar w:fldCharType="end"/>
            </w:r>
          </w:p>
        </w:tc>
        <w:tc>
          <w:tcPr>
            <w:tcW w:w="1560"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本项目</w:t>
            </w:r>
          </w:p>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排放量</w:t>
            </w:r>
            <w:r>
              <w:rPr>
                <w:rFonts w:ascii="Times New Roman" w:eastAsiaTheme="minorEastAsia"/>
                <w:snapToGrid w:val="0"/>
                <w:spacing w:val="-6"/>
                <w:kern w:val="21"/>
                <w:szCs w:val="21"/>
              </w:rPr>
              <w:t>t/a</w:t>
            </w:r>
            <w:r>
              <w:rPr>
                <w:rFonts w:hint="eastAsia" w:ascii="Times New Roman" w:eastAsiaTheme="minorEastAsia"/>
                <w:snapToGrid w:val="0"/>
                <w:spacing w:val="-6"/>
                <w:kern w:val="21"/>
                <w:szCs w:val="21"/>
              </w:rPr>
              <w:t>（固体废物产生量）</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4 \* GB3 \* MERGEFORMAT </w:instrText>
            </w:r>
            <w:r>
              <w:rPr>
                <w:rFonts w:ascii="Times New Roman" w:eastAsiaTheme="minorEastAsia"/>
                <w:snapToGrid w:val="0"/>
                <w:spacing w:val="-6"/>
                <w:kern w:val="21"/>
                <w:szCs w:val="21"/>
              </w:rPr>
              <w:fldChar w:fldCharType="separate"/>
            </w:r>
            <w:r>
              <w:rPr>
                <w:rFonts w:asciiTheme="minorEastAsia" w:hAnsiTheme="minorEastAsia" w:eastAsiaTheme="minorEastAsia"/>
                <w:kern w:val="2"/>
                <w:szCs w:val="21"/>
              </w:rPr>
              <w:t>④</w:t>
            </w:r>
            <w:r>
              <w:rPr>
                <w:rFonts w:ascii="Times New Roman" w:eastAsiaTheme="minorEastAsia"/>
                <w:snapToGrid w:val="0"/>
                <w:spacing w:val="-6"/>
                <w:kern w:val="21"/>
                <w:szCs w:val="21"/>
              </w:rPr>
              <w:fldChar w:fldCharType="end"/>
            </w:r>
          </w:p>
        </w:tc>
        <w:tc>
          <w:tcPr>
            <w:tcW w:w="1842"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16"/>
                <w:kern w:val="21"/>
                <w:szCs w:val="21"/>
              </w:rPr>
            </w:pPr>
            <w:r>
              <w:rPr>
                <w:rFonts w:hint="eastAsia" w:ascii="Times New Roman" w:eastAsiaTheme="minorEastAsia"/>
                <w:snapToGrid w:val="0"/>
                <w:spacing w:val="-16"/>
                <w:kern w:val="21"/>
                <w:szCs w:val="21"/>
              </w:rPr>
              <w:t>以新带老削减量</w:t>
            </w:r>
            <w:r>
              <w:rPr>
                <w:rFonts w:ascii="Times New Roman" w:eastAsiaTheme="minorEastAsia"/>
                <w:snapToGrid w:val="0"/>
                <w:spacing w:val="-6"/>
                <w:kern w:val="21"/>
                <w:szCs w:val="21"/>
              </w:rPr>
              <w:t>t/a</w:t>
            </w:r>
          </w:p>
          <w:p>
            <w:pPr>
              <w:pStyle w:val="31"/>
              <w:adjustRightInd/>
              <w:snapToGrid/>
              <w:spacing w:beforeLines="0" w:afterLines="0" w:line="0" w:lineRule="atLeast"/>
              <w:contextualSpacing/>
              <w:rPr>
                <w:rFonts w:ascii="Times New Roman" w:eastAsiaTheme="minorEastAsia"/>
                <w:snapToGrid w:val="0"/>
                <w:spacing w:val="-16"/>
                <w:kern w:val="21"/>
                <w:szCs w:val="21"/>
              </w:rPr>
            </w:pPr>
            <w:r>
              <w:rPr>
                <w:rFonts w:hint="eastAsia" w:ascii="Times New Roman" w:eastAsiaTheme="minorEastAsia"/>
                <w:snapToGrid w:val="0"/>
                <w:spacing w:val="-16"/>
                <w:kern w:val="21"/>
                <w:szCs w:val="21"/>
              </w:rPr>
              <w:t>（新建项目不填）</w:t>
            </w:r>
            <w:r>
              <w:rPr>
                <w:rFonts w:ascii="Times New Roman" w:eastAsiaTheme="minorEastAsia"/>
                <w:snapToGrid w:val="0"/>
                <w:spacing w:val="-16"/>
                <w:kern w:val="21"/>
                <w:szCs w:val="21"/>
              </w:rPr>
              <w:fldChar w:fldCharType="begin"/>
            </w:r>
            <w:r>
              <w:rPr>
                <w:rFonts w:ascii="Times New Roman" w:eastAsiaTheme="minorEastAsia"/>
                <w:snapToGrid w:val="0"/>
                <w:spacing w:val="-16"/>
                <w:kern w:val="21"/>
                <w:szCs w:val="21"/>
              </w:rPr>
              <w:instrText xml:space="preserve"> = 5 \* GB3 \* MERGEFORMAT </w:instrText>
            </w:r>
            <w:r>
              <w:rPr>
                <w:rFonts w:ascii="Times New Roman" w:eastAsiaTheme="minorEastAsia"/>
                <w:snapToGrid w:val="0"/>
                <w:spacing w:val="-16"/>
                <w:kern w:val="21"/>
                <w:szCs w:val="21"/>
              </w:rPr>
              <w:fldChar w:fldCharType="separate"/>
            </w:r>
            <w:r>
              <w:rPr>
                <w:rFonts w:asciiTheme="minorEastAsia" w:hAnsiTheme="minorEastAsia" w:eastAsiaTheme="minorEastAsia"/>
                <w:kern w:val="2"/>
                <w:szCs w:val="21"/>
              </w:rPr>
              <w:t>⑤</w:t>
            </w:r>
            <w:r>
              <w:rPr>
                <w:rFonts w:ascii="Times New Roman" w:eastAsiaTheme="minorEastAsia"/>
                <w:snapToGrid w:val="0"/>
                <w:spacing w:val="-16"/>
                <w:kern w:val="21"/>
                <w:szCs w:val="21"/>
              </w:rPr>
              <w:fldChar w:fldCharType="end"/>
            </w:r>
          </w:p>
        </w:tc>
        <w:tc>
          <w:tcPr>
            <w:tcW w:w="1843"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16"/>
                <w:kern w:val="21"/>
                <w:szCs w:val="21"/>
              </w:rPr>
            </w:pPr>
            <w:r>
              <w:rPr>
                <w:rFonts w:hint="eastAsia" w:ascii="Times New Roman" w:eastAsiaTheme="minorEastAsia"/>
                <w:snapToGrid w:val="0"/>
                <w:spacing w:val="-16"/>
                <w:kern w:val="21"/>
                <w:szCs w:val="21"/>
              </w:rPr>
              <w:t>本项目建成后</w:t>
            </w:r>
          </w:p>
          <w:p>
            <w:pPr>
              <w:pStyle w:val="31"/>
              <w:adjustRightInd/>
              <w:snapToGrid/>
              <w:spacing w:beforeLines="0" w:afterLines="0" w:line="0" w:lineRule="atLeast"/>
              <w:contextualSpacing/>
              <w:rPr>
                <w:rFonts w:ascii="Times New Roman" w:eastAsiaTheme="minorEastAsia"/>
                <w:snapToGrid w:val="0"/>
                <w:spacing w:val="-16"/>
                <w:kern w:val="21"/>
                <w:szCs w:val="21"/>
              </w:rPr>
            </w:pPr>
            <w:r>
              <w:rPr>
                <w:rFonts w:hint="eastAsia" w:ascii="Times New Roman" w:eastAsiaTheme="minorEastAsia"/>
                <w:snapToGrid w:val="0"/>
                <w:spacing w:val="-16"/>
                <w:kern w:val="21"/>
                <w:szCs w:val="21"/>
              </w:rPr>
              <w:t>全厂排放量</w:t>
            </w:r>
            <w:r>
              <w:rPr>
                <w:rFonts w:ascii="Times New Roman" w:eastAsiaTheme="minorEastAsia"/>
                <w:snapToGrid w:val="0"/>
                <w:spacing w:val="-6"/>
                <w:kern w:val="21"/>
                <w:szCs w:val="21"/>
              </w:rPr>
              <w:t>t/a</w:t>
            </w:r>
            <w:r>
              <w:rPr>
                <w:rFonts w:hint="eastAsia" w:ascii="Times New Roman" w:eastAsiaTheme="minorEastAsia"/>
                <w:snapToGrid w:val="0"/>
                <w:spacing w:val="-16"/>
                <w:kern w:val="21"/>
                <w:szCs w:val="21"/>
              </w:rPr>
              <w:t>（固体废物产生量）</w:t>
            </w:r>
            <w:r>
              <w:rPr>
                <w:rFonts w:ascii="Times New Roman" w:eastAsiaTheme="minorEastAsia"/>
                <w:snapToGrid w:val="0"/>
                <w:spacing w:val="-16"/>
                <w:kern w:val="21"/>
                <w:szCs w:val="21"/>
              </w:rPr>
              <w:fldChar w:fldCharType="begin"/>
            </w:r>
            <w:r>
              <w:rPr>
                <w:rFonts w:ascii="Times New Roman" w:eastAsiaTheme="minorEastAsia"/>
                <w:snapToGrid w:val="0"/>
                <w:spacing w:val="-16"/>
                <w:kern w:val="21"/>
                <w:szCs w:val="21"/>
              </w:rPr>
              <w:instrText xml:space="preserve"> = 6 \* GB3 \* MERGEFORMAT </w:instrText>
            </w:r>
            <w:r>
              <w:rPr>
                <w:rFonts w:ascii="Times New Roman" w:eastAsiaTheme="minorEastAsia"/>
                <w:snapToGrid w:val="0"/>
                <w:spacing w:val="-16"/>
                <w:kern w:val="21"/>
                <w:szCs w:val="21"/>
              </w:rPr>
              <w:fldChar w:fldCharType="separate"/>
            </w:r>
            <w:r>
              <w:rPr>
                <w:rFonts w:asciiTheme="minorEastAsia" w:hAnsiTheme="minorEastAsia" w:eastAsiaTheme="minorEastAsia"/>
                <w:kern w:val="2"/>
                <w:szCs w:val="21"/>
              </w:rPr>
              <w:t>⑥</w:t>
            </w:r>
            <w:r>
              <w:rPr>
                <w:rFonts w:ascii="Times New Roman" w:eastAsiaTheme="minorEastAsia"/>
                <w:snapToGrid w:val="0"/>
                <w:spacing w:val="-16"/>
                <w:kern w:val="21"/>
                <w:szCs w:val="21"/>
              </w:rPr>
              <w:fldChar w:fldCharType="end"/>
            </w:r>
          </w:p>
        </w:tc>
        <w:tc>
          <w:tcPr>
            <w:tcW w:w="1276" w:type="dxa"/>
            <w:tcMar>
              <w:left w:w="28" w:type="dxa"/>
              <w:right w:w="28" w:type="dxa"/>
            </w:tcMar>
            <w:vAlign w:val="center"/>
          </w:tcPr>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hint="eastAsia" w:ascii="Times New Roman" w:eastAsiaTheme="minorEastAsia"/>
                <w:snapToGrid w:val="0"/>
                <w:spacing w:val="-6"/>
                <w:kern w:val="21"/>
                <w:szCs w:val="21"/>
              </w:rPr>
              <w:t>变化量</w:t>
            </w:r>
            <w:r>
              <w:rPr>
                <w:rFonts w:ascii="Times New Roman" w:eastAsiaTheme="minorEastAsia"/>
                <w:snapToGrid w:val="0"/>
                <w:spacing w:val="-6"/>
                <w:kern w:val="21"/>
                <w:szCs w:val="21"/>
              </w:rPr>
              <w:t>t/a</w:t>
            </w:r>
          </w:p>
          <w:p>
            <w:pPr>
              <w:pStyle w:val="31"/>
              <w:adjustRightInd/>
              <w:snapToGrid/>
              <w:spacing w:beforeLines="0" w:afterLines="0" w:line="0" w:lineRule="atLeast"/>
              <w:contextualSpacing/>
              <w:rPr>
                <w:rFonts w:ascii="Times New Roman" w:eastAsiaTheme="minorEastAsia"/>
                <w:snapToGrid w:val="0"/>
                <w:spacing w:val="-6"/>
                <w:kern w:val="21"/>
                <w:szCs w:val="21"/>
              </w:rPr>
            </w:pP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7 \* GB3 \* MERGEFORMAT </w:instrText>
            </w:r>
            <w:r>
              <w:rPr>
                <w:rFonts w:ascii="Times New Roman" w:eastAsiaTheme="minorEastAsia"/>
                <w:snapToGrid w:val="0"/>
                <w:spacing w:val="-6"/>
                <w:kern w:val="21"/>
                <w:szCs w:val="21"/>
              </w:rPr>
              <w:fldChar w:fldCharType="separate"/>
            </w:r>
            <w:r>
              <w:rPr>
                <w:rFonts w:asciiTheme="minorEastAsia" w:hAnsiTheme="minorEastAsia" w:eastAsiaTheme="minorEastAsia"/>
                <w:kern w:val="2"/>
                <w:szCs w:val="21"/>
              </w:rPr>
              <w:t>⑦</w:t>
            </w:r>
            <w:r>
              <w:rPr>
                <w:rFonts w:ascii="Times New Roman" w:eastAsiaTheme="minorEastAsia"/>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restart"/>
            <w:vAlign w:val="center"/>
          </w:tcPr>
          <w:p>
            <w:pPr>
              <w:pStyle w:val="31"/>
              <w:spacing w:before="24" w:after="24" w:line="0" w:lineRule="atLeast"/>
              <w:contextualSpacing/>
              <w:rPr>
                <w:rFonts w:ascii="Times New Roman" w:eastAsiaTheme="minorEastAsia"/>
                <w:snapToGrid w:val="0"/>
                <w:kern w:val="21"/>
                <w:szCs w:val="21"/>
              </w:rPr>
            </w:pPr>
            <w:r>
              <w:rPr>
                <w:rFonts w:hint="eastAsia" w:ascii="Times New Roman" w:eastAsiaTheme="minorEastAsia"/>
                <w:snapToGrid w:val="0"/>
                <w:kern w:val="21"/>
                <w:szCs w:val="21"/>
              </w:rPr>
              <w:t>废气</w:t>
            </w:r>
          </w:p>
        </w:tc>
        <w:tc>
          <w:tcPr>
            <w:tcW w:w="1985" w:type="dxa"/>
            <w:vAlign w:val="center"/>
          </w:tcPr>
          <w:p>
            <w:pPr>
              <w:spacing w:line="0" w:lineRule="atLeast"/>
              <w:contextualSpacing/>
              <w:jc w:val="center"/>
              <w:rPr>
                <w:rFonts w:eastAsiaTheme="minorEastAsia"/>
                <w:szCs w:val="21"/>
              </w:rPr>
            </w:pPr>
            <w:r>
              <w:rPr>
                <w:rFonts w:hint="eastAsia" w:eastAsiaTheme="minorEastAsia"/>
                <w:szCs w:val="21"/>
              </w:rPr>
              <w:t>颗粒物</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bCs/>
                <w:szCs w:val="21"/>
              </w:rPr>
            </w:pPr>
            <w:r>
              <w:rPr>
                <w:rFonts w:eastAsiaTheme="minorEastAsia"/>
                <w:bCs/>
                <w:szCs w:val="21"/>
              </w:rPr>
              <w:t>0.</w:t>
            </w:r>
            <w:r>
              <w:rPr>
                <w:rFonts w:hint="eastAsia" w:eastAsiaTheme="minorEastAsia"/>
                <w:bCs/>
                <w:szCs w:val="21"/>
              </w:rPr>
              <w:t>12</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bCs/>
                <w:szCs w:val="21"/>
              </w:rPr>
            </w:pPr>
            <w:r>
              <w:rPr>
                <w:rFonts w:eastAsiaTheme="minorEastAsia"/>
                <w:bCs/>
                <w:szCs w:val="21"/>
              </w:rPr>
              <w:t>0.</w:t>
            </w:r>
            <w:r>
              <w:rPr>
                <w:rFonts w:hint="eastAsia" w:eastAsiaTheme="minorEastAsia"/>
                <w:bCs/>
                <w:szCs w:val="21"/>
              </w:rPr>
              <w:t>12</w:t>
            </w:r>
          </w:p>
        </w:tc>
        <w:tc>
          <w:tcPr>
            <w:tcW w:w="1276" w:type="dxa"/>
            <w:vAlign w:val="center"/>
          </w:tcPr>
          <w:p>
            <w:pPr>
              <w:spacing w:line="0" w:lineRule="atLeast"/>
              <w:jc w:val="center"/>
              <w:rPr>
                <w:rFonts w:eastAsiaTheme="minorEastAsia"/>
                <w:bCs/>
                <w:szCs w:val="21"/>
              </w:rPr>
            </w:pPr>
            <w:r>
              <w:rPr>
                <w:rFonts w:eastAsiaTheme="minorEastAsia"/>
                <w:bCs/>
                <w:szCs w:val="21"/>
              </w:rPr>
              <w:t>0.</w:t>
            </w:r>
            <w:r>
              <w:rPr>
                <w:rFonts w:hint="eastAsia" w:eastAsiaTheme="minorEastAsia"/>
                <w:bCs/>
                <w:szCs w:val="21"/>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continue"/>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985" w:type="dxa"/>
            <w:vAlign w:val="center"/>
          </w:tcPr>
          <w:p>
            <w:pPr>
              <w:spacing w:line="0" w:lineRule="atLeast"/>
              <w:contextualSpacing/>
              <w:jc w:val="center"/>
              <w:rPr>
                <w:rFonts w:eastAsiaTheme="minorEastAsia"/>
                <w:szCs w:val="21"/>
              </w:rPr>
            </w:pPr>
            <w:r>
              <w:rPr>
                <w:rFonts w:eastAsiaTheme="minorEastAsia"/>
                <w:szCs w:val="21"/>
              </w:rPr>
              <w:t>VOCs</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bCs/>
                <w:szCs w:val="21"/>
              </w:rPr>
            </w:pPr>
            <w:r>
              <w:rPr>
                <w:rFonts w:eastAsiaTheme="minorEastAsia"/>
                <w:bCs/>
                <w:szCs w:val="21"/>
              </w:rPr>
              <w:t>0.00</w:t>
            </w:r>
            <w:r>
              <w:rPr>
                <w:rFonts w:hint="eastAsia" w:eastAsiaTheme="minorEastAsia"/>
                <w:bCs/>
                <w:szCs w:val="21"/>
              </w:rPr>
              <w:t>38</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bCs/>
                <w:szCs w:val="21"/>
              </w:rPr>
            </w:pPr>
            <w:r>
              <w:rPr>
                <w:rFonts w:eastAsiaTheme="minorEastAsia"/>
                <w:bCs/>
                <w:szCs w:val="21"/>
              </w:rPr>
              <w:t>0.00</w:t>
            </w:r>
            <w:r>
              <w:rPr>
                <w:rFonts w:hint="eastAsia" w:eastAsiaTheme="minorEastAsia"/>
                <w:bCs/>
                <w:szCs w:val="21"/>
              </w:rPr>
              <w:t>38</w:t>
            </w:r>
          </w:p>
        </w:tc>
        <w:tc>
          <w:tcPr>
            <w:tcW w:w="1276" w:type="dxa"/>
            <w:vAlign w:val="center"/>
          </w:tcPr>
          <w:p>
            <w:pPr>
              <w:spacing w:line="0" w:lineRule="atLeast"/>
              <w:jc w:val="center"/>
              <w:rPr>
                <w:rFonts w:eastAsiaTheme="minorEastAsia"/>
                <w:bCs/>
                <w:szCs w:val="21"/>
              </w:rPr>
            </w:pPr>
            <w:r>
              <w:rPr>
                <w:rFonts w:eastAsiaTheme="minorEastAsia"/>
                <w:bCs/>
                <w:szCs w:val="21"/>
              </w:rPr>
              <w:t>0.00</w:t>
            </w:r>
            <w:r>
              <w:rPr>
                <w:rFonts w:hint="eastAsia" w:eastAsiaTheme="minorEastAsia"/>
                <w:bCs/>
                <w:szCs w:val="21"/>
              </w:rPr>
              <w:t>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restart"/>
            <w:vAlign w:val="center"/>
          </w:tcPr>
          <w:p>
            <w:pPr>
              <w:pStyle w:val="31"/>
              <w:adjustRightInd/>
              <w:snapToGrid/>
              <w:spacing w:beforeLines="0" w:afterLines="0" w:line="0" w:lineRule="atLeast"/>
              <w:contextualSpacing/>
              <w:rPr>
                <w:rFonts w:ascii="Times New Roman" w:eastAsiaTheme="minorEastAsia"/>
                <w:snapToGrid w:val="0"/>
                <w:kern w:val="21"/>
                <w:szCs w:val="21"/>
              </w:rPr>
            </w:pPr>
            <w:r>
              <w:rPr>
                <w:rFonts w:hint="eastAsia" w:ascii="Times New Roman" w:eastAsiaTheme="minorEastAsia"/>
                <w:snapToGrid w:val="0"/>
                <w:kern w:val="21"/>
                <w:szCs w:val="21"/>
              </w:rPr>
              <w:t>废水</w:t>
            </w:r>
          </w:p>
        </w:tc>
        <w:tc>
          <w:tcPr>
            <w:tcW w:w="1985" w:type="dxa"/>
            <w:vAlign w:val="center"/>
          </w:tcPr>
          <w:p>
            <w:pPr>
              <w:pStyle w:val="31"/>
              <w:spacing w:beforeLines="0" w:afterLines="0" w:line="240" w:lineRule="auto"/>
              <w:rPr>
                <w:rFonts w:ascii="Times New Roman" w:eastAsiaTheme="minorEastAsia"/>
                <w:snapToGrid w:val="0"/>
                <w:kern w:val="21"/>
                <w:szCs w:val="21"/>
              </w:rPr>
            </w:pPr>
            <w:r>
              <w:rPr>
                <w:rFonts w:ascii="Times New Roman" w:eastAsiaTheme="minorEastAsia"/>
                <w:snapToGrid w:val="0"/>
                <w:kern w:val="21"/>
                <w:szCs w:val="21"/>
              </w:rPr>
              <w:t>COD</w:t>
            </w:r>
          </w:p>
        </w:tc>
        <w:tc>
          <w:tcPr>
            <w:tcW w:w="1701" w:type="dxa"/>
            <w:vAlign w:val="center"/>
          </w:tcPr>
          <w:p>
            <w:pPr>
              <w:spacing w:line="0" w:lineRule="atLeast"/>
              <w:contextualSpacing/>
              <w:jc w:val="center"/>
              <w:rPr>
                <w:rFonts w:eastAsiaTheme="minorEastAsia"/>
                <w:szCs w:val="21"/>
              </w:rPr>
            </w:pPr>
          </w:p>
        </w:tc>
        <w:tc>
          <w:tcPr>
            <w:tcW w:w="1134" w:type="dxa"/>
            <w:vAlign w:val="center"/>
          </w:tcPr>
          <w:p>
            <w:pPr>
              <w:spacing w:line="0" w:lineRule="atLeast"/>
              <w:contextualSpacing/>
              <w:jc w:val="center"/>
              <w:rPr>
                <w:rFonts w:eastAsiaTheme="minorEastAsia"/>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autoSpaceDE w:val="0"/>
              <w:autoSpaceDN w:val="0"/>
              <w:spacing w:line="0" w:lineRule="atLeast"/>
              <w:contextualSpacing/>
              <w:jc w:val="center"/>
              <w:rPr>
                <w:rFonts w:eastAsiaTheme="minorEastAsia"/>
                <w:szCs w:val="21"/>
              </w:rPr>
            </w:pPr>
            <w:r>
              <w:rPr>
                <w:rFonts w:eastAsiaTheme="minorEastAsia"/>
                <w:szCs w:val="21"/>
              </w:rPr>
              <w:t>0.0</w:t>
            </w:r>
            <w:r>
              <w:rPr>
                <w:rFonts w:hint="eastAsia" w:eastAsiaTheme="minorEastAsia"/>
                <w:szCs w:val="21"/>
              </w:rPr>
              <w:t>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autoSpaceDE w:val="0"/>
              <w:autoSpaceDN w:val="0"/>
              <w:spacing w:line="0" w:lineRule="atLeast"/>
              <w:contextualSpacing/>
              <w:jc w:val="center"/>
              <w:rPr>
                <w:rFonts w:eastAsiaTheme="minorEastAsia"/>
                <w:szCs w:val="21"/>
              </w:rPr>
            </w:pPr>
            <w:r>
              <w:rPr>
                <w:rFonts w:eastAsiaTheme="minorEastAsia"/>
                <w:szCs w:val="21"/>
              </w:rPr>
              <w:t>0.0</w:t>
            </w:r>
            <w:r>
              <w:rPr>
                <w:rFonts w:hint="eastAsia" w:eastAsiaTheme="minorEastAsia"/>
                <w:szCs w:val="21"/>
              </w:rPr>
              <w:t>3</w:t>
            </w:r>
          </w:p>
        </w:tc>
        <w:tc>
          <w:tcPr>
            <w:tcW w:w="1276" w:type="dxa"/>
            <w:vAlign w:val="center"/>
          </w:tcPr>
          <w:p>
            <w:pPr>
              <w:autoSpaceDE w:val="0"/>
              <w:autoSpaceDN w:val="0"/>
              <w:spacing w:line="0" w:lineRule="atLeast"/>
              <w:contextualSpacing/>
              <w:jc w:val="center"/>
              <w:rPr>
                <w:rFonts w:eastAsiaTheme="minorEastAsia"/>
                <w:szCs w:val="21"/>
              </w:rPr>
            </w:pPr>
            <w:r>
              <w:rPr>
                <w:rFonts w:eastAsiaTheme="minorEastAsia"/>
                <w:szCs w:val="21"/>
              </w:rPr>
              <w:t>0.0</w:t>
            </w:r>
            <w:r>
              <w:rPr>
                <w:rFonts w:hint="eastAsia" w:eastAsiaTheme="minorEastAsia"/>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continue"/>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985" w:type="dxa"/>
            <w:vAlign w:val="center"/>
          </w:tcPr>
          <w:p>
            <w:pPr>
              <w:contextualSpacing/>
              <w:jc w:val="center"/>
              <w:rPr>
                <w:rFonts w:hAnsiTheme="minorEastAsia" w:eastAsiaTheme="minorEastAsia"/>
                <w:szCs w:val="21"/>
              </w:rPr>
            </w:pPr>
            <w:r>
              <w:rPr>
                <w:rFonts w:hint="eastAsia" w:hAnsiTheme="minorEastAsia" w:eastAsiaTheme="minorEastAsia"/>
                <w:szCs w:val="21"/>
              </w:rPr>
              <w:t>氨氮</w:t>
            </w:r>
          </w:p>
        </w:tc>
        <w:tc>
          <w:tcPr>
            <w:tcW w:w="1701" w:type="dxa"/>
            <w:vAlign w:val="center"/>
          </w:tcPr>
          <w:p>
            <w:pPr>
              <w:spacing w:line="0" w:lineRule="atLeast"/>
              <w:contextualSpacing/>
              <w:jc w:val="center"/>
              <w:rPr>
                <w:rFonts w:eastAsiaTheme="minorEastAsia"/>
                <w:szCs w:val="21"/>
              </w:rPr>
            </w:pPr>
          </w:p>
        </w:tc>
        <w:tc>
          <w:tcPr>
            <w:tcW w:w="1134" w:type="dxa"/>
            <w:vAlign w:val="center"/>
          </w:tcPr>
          <w:p>
            <w:pPr>
              <w:spacing w:line="0" w:lineRule="atLeast"/>
              <w:contextualSpacing/>
              <w:jc w:val="center"/>
              <w:rPr>
                <w:rFonts w:eastAsiaTheme="minorEastAsia"/>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autoSpaceDE w:val="0"/>
              <w:autoSpaceDN w:val="0"/>
              <w:spacing w:line="0" w:lineRule="atLeast"/>
              <w:contextualSpacing/>
              <w:jc w:val="center"/>
              <w:rPr>
                <w:rFonts w:eastAsiaTheme="minorEastAsia"/>
                <w:szCs w:val="21"/>
              </w:rPr>
            </w:pPr>
            <w:r>
              <w:rPr>
                <w:rFonts w:eastAsiaTheme="minorEastAsia"/>
                <w:szCs w:val="21"/>
              </w:rPr>
              <w:t>0.000</w:t>
            </w:r>
            <w:r>
              <w:rPr>
                <w:rFonts w:hint="eastAsia" w:eastAsiaTheme="minorEastAsia"/>
                <w:szCs w:val="21"/>
              </w:rPr>
              <w:t>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autoSpaceDE w:val="0"/>
              <w:autoSpaceDN w:val="0"/>
              <w:spacing w:line="0" w:lineRule="atLeast"/>
              <w:contextualSpacing/>
              <w:jc w:val="center"/>
              <w:rPr>
                <w:rFonts w:eastAsiaTheme="minorEastAsia"/>
                <w:szCs w:val="21"/>
              </w:rPr>
            </w:pPr>
            <w:r>
              <w:rPr>
                <w:rFonts w:eastAsiaTheme="minorEastAsia"/>
                <w:szCs w:val="21"/>
              </w:rPr>
              <w:t>0.000</w:t>
            </w:r>
            <w:r>
              <w:rPr>
                <w:rFonts w:hint="eastAsia" w:eastAsiaTheme="minorEastAsia"/>
                <w:szCs w:val="21"/>
              </w:rPr>
              <w:t>3</w:t>
            </w:r>
          </w:p>
        </w:tc>
        <w:tc>
          <w:tcPr>
            <w:tcW w:w="1276" w:type="dxa"/>
            <w:vAlign w:val="center"/>
          </w:tcPr>
          <w:p>
            <w:pPr>
              <w:autoSpaceDE w:val="0"/>
              <w:autoSpaceDN w:val="0"/>
              <w:spacing w:line="0" w:lineRule="atLeast"/>
              <w:contextualSpacing/>
              <w:jc w:val="center"/>
              <w:rPr>
                <w:rFonts w:eastAsiaTheme="minorEastAsia"/>
                <w:szCs w:val="21"/>
              </w:rPr>
            </w:pPr>
            <w:r>
              <w:rPr>
                <w:rFonts w:eastAsiaTheme="minorEastAsia"/>
                <w:szCs w:val="21"/>
              </w:rPr>
              <w:t>0.000</w:t>
            </w:r>
            <w:r>
              <w:rPr>
                <w:rFonts w:hint="eastAsia" w:eastAsiaTheme="minorEastAsia"/>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continue"/>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985" w:type="dxa"/>
            <w:vAlign w:val="center"/>
          </w:tcPr>
          <w:p>
            <w:pPr>
              <w:contextualSpacing/>
              <w:jc w:val="center"/>
              <w:rPr>
                <w:rFonts w:hAnsiTheme="minorEastAsia" w:eastAsiaTheme="minorEastAsia"/>
                <w:szCs w:val="21"/>
                <w:vertAlign w:val="subscript"/>
              </w:rPr>
            </w:pPr>
            <w:r>
              <w:rPr>
                <w:rFonts w:hAnsiTheme="minorEastAsia" w:eastAsiaTheme="minorEastAsia"/>
                <w:szCs w:val="21"/>
              </w:rPr>
              <w:t>SS</w:t>
            </w:r>
          </w:p>
        </w:tc>
        <w:tc>
          <w:tcPr>
            <w:tcW w:w="1701" w:type="dxa"/>
            <w:vAlign w:val="center"/>
          </w:tcPr>
          <w:p>
            <w:pPr>
              <w:spacing w:line="0" w:lineRule="atLeast"/>
              <w:contextualSpacing/>
              <w:jc w:val="center"/>
              <w:rPr>
                <w:rFonts w:eastAsiaTheme="minorEastAsia"/>
                <w:szCs w:val="21"/>
              </w:rPr>
            </w:pPr>
          </w:p>
        </w:tc>
        <w:tc>
          <w:tcPr>
            <w:tcW w:w="1134" w:type="dxa"/>
            <w:vAlign w:val="center"/>
          </w:tcPr>
          <w:p>
            <w:pPr>
              <w:spacing w:line="0" w:lineRule="atLeast"/>
              <w:contextualSpacing/>
              <w:jc w:val="center"/>
              <w:rPr>
                <w:rFonts w:eastAsiaTheme="minorEastAsia"/>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0.02</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0.02</w:t>
            </w:r>
          </w:p>
        </w:tc>
        <w:tc>
          <w:tcPr>
            <w:tcW w:w="1276"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continue"/>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985" w:type="dxa"/>
            <w:vAlign w:val="center"/>
          </w:tcPr>
          <w:p>
            <w:pPr>
              <w:contextualSpacing/>
              <w:jc w:val="center"/>
              <w:rPr>
                <w:rFonts w:hAnsiTheme="minorEastAsia" w:eastAsiaTheme="minorEastAsia"/>
                <w:szCs w:val="21"/>
              </w:rPr>
            </w:pPr>
            <w:r>
              <w:rPr>
                <w:rFonts w:hint="eastAsia" w:hAnsiTheme="minorEastAsia" w:eastAsiaTheme="minorEastAsia"/>
                <w:szCs w:val="21"/>
              </w:rPr>
              <w:t>石油类</w:t>
            </w:r>
          </w:p>
        </w:tc>
        <w:tc>
          <w:tcPr>
            <w:tcW w:w="1701" w:type="dxa"/>
            <w:vAlign w:val="center"/>
          </w:tcPr>
          <w:p>
            <w:pPr>
              <w:spacing w:line="0" w:lineRule="atLeast"/>
              <w:contextualSpacing/>
              <w:jc w:val="center"/>
              <w:rPr>
                <w:rFonts w:eastAsiaTheme="minorEastAsia"/>
                <w:szCs w:val="21"/>
              </w:rPr>
            </w:pPr>
          </w:p>
        </w:tc>
        <w:tc>
          <w:tcPr>
            <w:tcW w:w="1134" w:type="dxa"/>
            <w:vAlign w:val="center"/>
          </w:tcPr>
          <w:p>
            <w:pPr>
              <w:spacing w:line="0" w:lineRule="atLeast"/>
              <w:contextualSpacing/>
              <w:jc w:val="center"/>
              <w:rPr>
                <w:rFonts w:eastAsiaTheme="minorEastAsia"/>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0.0004</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0.0004</w:t>
            </w:r>
          </w:p>
        </w:tc>
        <w:tc>
          <w:tcPr>
            <w:tcW w:w="1276" w:type="dxa"/>
            <w:vAlign w:val="center"/>
          </w:tcPr>
          <w:p>
            <w:pPr>
              <w:autoSpaceDE w:val="0"/>
              <w:autoSpaceDN w:val="0"/>
              <w:spacing w:line="0" w:lineRule="atLeast"/>
              <w:contextualSpacing/>
              <w:jc w:val="center"/>
              <w:rPr>
                <w:rFonts w:eastAsiaTheme="minorEastAsia"/>
                <w:szCs w:val="21"/>
              </w:rPr>
            </w:pPr>
            <w:r>
              <w:rPr>
                <w:rFonts w:hint="eastAsia" w:eastAsiaTheme="minorEastAsia"/>
                <w:szCs w:val="21"/>
              </w:rPr>
              <w:t>0.0004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restart"/>
            <w:vAlign w:val="center"/>
          </w:tcPr>
          <w:p>
            <w:pPr>
              <w:pStyle w:val="31"/>
              <w:adjustRightInd/>
              <w:snapToGrid/>
              <w:spacing w:beforeLines="0" w:afterLines="0" w:line="0" w:lineRule="atLeast"/>
              <w:contextualSpacing/>
              <w:rPr>
                <w:rFonts w:ascii="Times New Roman" w:eastAsiaTheme="minorEastAsia"/>
                <w:snapToGrid w:val="0"/>
                <w:kern w:val="21"/>
                <w:szCs w:val="21"/>
              </w:rPr>
            </w:pPr>
            <w:r>
              <w:rPr>
                <w:rFonts w:hint="eastAsia" w:ascii="Times New Roman" w:eastAsiaTheme="minorEastAsia"/>
                <w:snapToGrid w:val="0"/>
                <w:kern w:val="21"/>
                <w:szCs w:val="21"/>
              </w:rPr>
              <w:t>一般工业</w:t>
            </w:r>
          </w:p>
          <w:p>
            <w:pPr>
              <w:pStyle w:val="31"/>
              <w:adjustRightInd/>
              <w:snapToGrid/>
              <w:spacing w:beforeLines="0" w:afterLines="0" w:line="0" w:lineRule="atLeast"/>
              <w:contextualSpacing/>
              <w:rPr>
                <w:rFonts w:ascii="Times New Roman" w:eastAsiaTheme="minorEastAsia"/>
                <w:snapToGrid w:val="0"/>
                <w:kern w:val="21"/>
                <w:szCs w:val="21"/>
              </w:rPr>
            </w:pPr>
            <w:r>
              <w:rPr>
                <w:rFonts w:hint="eastAsia" w:ascii="Times New Roman" w:eastAsiaTheme="minorEastAsia"/>
                <w:snapToGrid w:val="0"/>
                <w:kern w:val="21"/>
                <w:szCs w:val="21"/>
              </w:rPr>
              <w:t>固体废物</w:t>
            </w:r>
          </w:p>
        </w:tc>
        <w:tc>
          <w:tcPr>
            <w:tcW w:w="1985" w:type="dxa"/>
            <w:vAlign w:val="center"/>
          </w:tcPr>
          <w:p>
            <w:pPr>
              <w:adjustRightInd w:val="0"/>
              <w:snapToGrid w:val="0"/>
              <w:jc w:val="center"/>
              <w:rPr>
                <w:rFonts w:eastAsiaTheme="minorEastAsia"/>
                <w:szCs w:val="21"/>
              </w:rPr>
            </w:pPr>
            <w:r>
              <w:rPr>
                <w:rFonts w:hint="eastAsia" w:eastAsiaTheme="minorEastAsia"/>
                <w:szCs w:val="21"/>
              </w:rPr>
              <w:t>（SW59 900-099-S59）</w:t>
            </w:r>
            <w:r>
              <w:rPr>
                <w:rFonts w:eastAsiaTheme="minorEastAsia"/>
                <w:szCs w:val="21"/>
              </w:rPr>
              <w:t>布袋除尘器收集粉尘</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hint="eastAsia" w:eastAsiaTheme="minorEastAsia"/>
                <w:szCs w:val="21"/>
              </w:rPr>
              <w:t>0.98</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hint="eastAsia" w:eastAsiaTheme="minorEastAsia"/>
                <w:szCs w:val="21"/>
              </w:rPr>
              <w:t>0.98</w:t>
            </w:r>
          </w:p>
        </w:tc>
        <w:tc>
          <w:tcPr>
            <w:tcW w:w="1276" w:type="dxa"/>
            <w:vAlign w:val="center"/>
          </w:tcPr>
          <w:p>
            <w:pPr>
              <w:spacing w:line="0" w:lineRule="atLeast"/>
              <w:jc w:val="center"/>
              <w:rPr>
                <w:rFonts w:eastAsiaTheme="minorEastAsia"/>
                <w:szCs w:val="21"/>
              </w:rPr>
            </w:pPr>
            <w:r>
              <w:rPr>
                <w:rFonts w:hint="eastAsia" w:eastAsiaTheme="minorEastAsia"/>
                <w:szCs w:val="21"/>
              </w:rPr>
              <w:t>0.98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1135" w:type="dxa"/>
            <w:vMerge w:val="continue"/>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985" w:type="dxa"/>
            <w:vAlign w:val="center"/>
          </w:tcPr>
          <w:p>
            <w:pPr>
              <w:adjustRightInd w:val="0"/>
              <w:snapToGrid w:val="0"/>
              <w:jc w:val="center"/>
              <w:rPr>
                <w:rFonts w:eastAsiaTheme="minorEastAsia"/>
                <w:szCs w:val="21"/>
              </w:rPr>
            </w:pPr>
            <w:r>
              <w:rPr>
                <w:rFonts w:hint="eastAsia" w:eastAsiaTheme="minorEastAsia"/>
                <w:szCs w:val="21"/>
              </w:rPr>
              <w:t>（SW59 900-099-S59）</w:t>
            </w:r>
          </w:p>
          <w:p>
            <w:pPr>
              <w:adjustRightInd w:val="0"/>
              <w:snapToGrid w:val="0"/>
              <w:jc w:val="center"/>
              <w:rPr>
                <w:rFonts w:eastAsiaTheme="minorEastAsia"/>
                <w:szCs w:val="21"/>
              </w:rPr>
            </w:pPr>
            <w:r>
              <w:rPr>
                <w:rFonts w:hint="eastAsia" w:eastAsiaTheme="minorEastAsia"/>
                <w:szCs w:val="21"/>
              </w:rPr>
              <w:t>废革片、废灯、废座椅等</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hint="eastAsia" w:eastAsiaTheme="minorEastAsia"/>
                <w:szCs w:val="21"/>
              </w:rPr>
              <w:t>17.097</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hint="eastAsia" w:eastAsiaTheme="minorEastAsia"/>
                <w:szCs w:val="21"/>
              </w:rPr>
              <w:t>17.097</w:t>
            </w:r>
          </w:p>
        </w:tc>
        <w:tc>
          <w:tcPr>
            <w:tcW w:w="1276" w:type="dxa"/>
            <w:vAlign w:val="center"/>
          </w:tcPr>
          <w:p>
            <w:pPr>
              <w:spacing w:line="0" w:lineRule="atLeast"/>
              <w:jc w:val="center"/>
              <w:rPr>
                <w:rFonts w:eastAsiaTheme="minorEastAsia"/>
                <w:szCs w:val="21"/>
              </w:rPr>
            </w:pPr>
            <w:r>
              <w:rPr>
                <w:rFonts w:hint="eastAsia" w:eastAsiaTheme="minorEastAsia"/>
                <w:szCs w:val="21"/>
              </w:rPr>
              <w:t>17.097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135" w:type="dxa"/>
            <w:vMerge w:val="restart"/>
            <w:vAlign w:val="center"/>
          </w:tcPr>
          <w:p>
            <w:pPr>
              <w:pStyle w:val="31"/>
              <w:spacing w:before="24" w:after="24" w:line="0" w:lineRule="atLeast"/>
              <w:contextualSpacing/>
              <w:rPr>
                <w:rFonts w:ascii="Times New Roman" w:eastAsiaTheme="minorEastAsia"/>
                <w:snapToGrid w:val="0"/>
                <w:kern w:val="21"/>
                <w:szCs w:val="21"/>
              </w:rPr>
            </w:pPr>
            <w:r>
              <w:rPr>
                <w:rFonts w:hint="eastAsia" w:ascii="Times New Roman" w:eastAsiaTheme="minorEastAsia"/>
                <w:snapToGrid w:val="0"/>
                <w:kern w:val="21"/>
                <w:szCs w:val="21"/>
              </w:rPr>
              <w:t>危险废物</w:t>
            </w:r>
          </w:p>
        </w:tc>
        <w:tc>
          <w:tcPr>
            <w:tcW w:w="1985" w:type="dxa"/>
            <w:vAlign w:val="center"/>
          </w:tcPr>
          <w:p>
            <w:pPr>
              <w:adjustRightInd w:val="0"/>
              <w:snapToGrid w:val="0"/>
              <w:jc w:val="center"/>
              <w:rPr>
                <w:rFonts w:eastAsiaTheme="minorEastAsia"/>
                <w:szCs w:val="21"/>
              </w:rPr>
            </w:pPr>
            <w:r>
              <w:rPr>
                <w:rFonts w:hint="eastAsia" w:eastAsiaTheme="minorEastAsia"/>
                <w:szCs w:val="21"/>
              </w:rPr>
              <w:t>废铅酸蓄电池（类别：</w:t>
            </w:r>
            <w:r>
              <w:rPr>
                <w:rFonts w:eastAsiaTheme="minorEastAsia"/>
                <w:szCs w:val="21"/>
              </w:rPr>
              <w:t>HW31</w:t>
            </w:r>
            <w:r>
              <w:rPr>
                <w:rFonts w:hint="eastAsia" w:eastAsiaTheme="minorEastAsia"/>
                <w:szCs w:val="21"/>
              </w:rPr>
              <w:t>，代码：</w:t>
            </w:r>
            <w:r>
              <w:rPr>
                <w:rFonts w:eastAsiaTheme="minorEastAsia"/>
                <w:szCs w:val="21"/>
              </w:rPr>
              <w:t>900-052-31</w:t>
            </w:r>
            <w:r>
              <w:rPr>
                <w:rFonts w:hint="eastAsia" w:eastAsiaTheme="minorEastAsia"/>
                <w:szCs w:val="21"/>
              </w:rPr>
              <w:t>）</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hint="eastAsia" w:eastAsiaTheme="minorEastAsia"/>
                <w:szCs w:val="21"/>
              </w:rPr>
              <w:t>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hint="eastAsia" w:eastAsiaTheme="minorEastAsia"/>
                <w:szCs w:val="21"/>
              </w:rPr>
              <w:t>3</w:t>
            </w:r>
          </w:p>
        </w:tc>
        <w:tc>
          <w:tcPr>
            <w:tcW w:w="1276" w:type="dxa"/>
            <w:vAlign w:val="center"/>
          </w:tcPr>
          <w:p>
            <w:pPr>
              <w:spacing w:line="0" w:lineRule="atLeast"/>
              <w:jc w:val="center"/>
              <w:rPr>
                <w:rFonts w:eastAsiaTheme="minorEastAsia"/>
                <w:szCs w:val="21"/>
              </w:rPr>
            </w:pPr>
            <w:r>
              <w:rPr>
                <w:rFonts w:hint="eastAsia" w:eastAsiaTheme="minorEastAsia"/>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135" w:type="dxa"/>
            <w:vMerge w:val="continue"/>
            <w:vAlign w:val="center"/>
          </w:tcPr>
          <w:p>
            <w:pPr>
              <w:pStyle w:val="31"/>
              <w:spacing w:before="24" w:after="24" w:line="0" w:lineRule="atLeast"/>
              <w:contextualSpacing/>
              <w:rPr>
                <w:rFonts w:ascii="Times New Roman" w:eastAsiaTheme="minorEastAsia"/>
                <w:snapToGrid w:val="0"/>
                <w:kern w:val="21"/>
                <w:szCs w:val="21"/>
              </w:rPr>
            </w:pPr>
          </w:p>
        </w:tc>
        <w:tc>
          <w:tcPr>
            <w:tcW w:w="1985" w:type="dxa"/>
            <w:vAlign w:val="center"/>
          </w:tcPr>
          <w:p>
            <w:pPr>
              <w:adjustRightInd w:val="0"/>
              <w:snapToGrid w:val="0"/>
              <w:jc w:val="center"/>
              <w:rPr>
                <w:rFonts w:eastAsiaTheme="minorEastAsia"/>
                <w:szCs w:val="21"/>
              </w:rPr>
            </w:pPr>
            <w:r>
              <w:rPr>
                <w:rFonts w:hint="eastAsia" w:eastAsiaTheme="minorEastAsia"/>
                <w:szCs w:val="21"/>
              </w:rPr>
              <w:t>废油液（类别：</w:t>
            </w:r>
            <w:r>
              <w:rPr>
                <w:rFonts w:eastAsiaTheme="minorEastAsia"/>
                <w:szCs w:val="21"/>
              </w:rPr>
              <w:t>HW08</w:t>
            </w:r>
            <w:r>
              <w:rPr>
                <w:rFonts w:hint="eastAsia" w:eastAsiaTheme="minorEastAsia"/>
                <w:szCs w:val="21"/>
              </w:rPr>
              <w:t>，代码：</w:t>
            </w:r>
            <w:r>
              <w:rPr>
                <w:rFonts w:eastAsiaTheme="minorEastAsia"/>
                <w:szCs w:val="21"/>
              </w:rPr>
              <w:t>900-199-08</w:t>
            </w:r>
            <w:r>
              <w:rPr>
                <w:rFonts w:hint="eastAsia" w:eastAsiaTheme="minorEastAsia"/>
                <w:szCs w:val="21"/>
              </w:rPr>
              <w:t>）</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hint="eastAsia" w:eastAsiaTheme="minorEastAsia"/>
                <w:szCs w:val="21"/>
              </w:rPr>
              <w:t>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hint="eastAsia" w:eastAsiaTheme="minorEastAsia"/>
                <w:szCs w:val="21"/>
              </w:rPr>
              <w:t>3</w:t>
            </w:r>
          </w:p>
        </w:tc>
        <w:tc>
          <w:tcPr>
            <w:tcW w:w="1276" w:type="dxa"/>
            <w:vAlign w:val="center"/>
          </w:tcPr>
          <w:p>
            <w:pPr>
              <w:spacing w:line="0" w:lineRule="atLeast"/>
              <w:jc w:val="center"/>
              <w:rPr>
                <w:rFonts w:eastAsiaTheme="minorEastAsia"/>
                <w:szCs w:val="21"/>
              </w:rPr>
            </w:pPr>
            <w:r>
              <w:rPr>
                <w:rFonts w:hint="eastAsia" w:eastAsiaTheme="minorEastAsia"/>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135" w:type="dxa"/>
            <w:vMerge w:val="continue"/>
            <w:vAlign w:val="center"/>
          </w:tcPr>
          <w:p>
            <w:pPr>
              <w:pStyle w:val="31"/>
              <w:spacing w:before="24" w:after="24" w:line="0" w:lineRule="atLeast"/>
              <w:contextualSpacing/>
              <w:rPr>
                <w:rFonts w:ascii="Times New Roman" w:eastAsiaTheme="minorEastAsia"/>
                <w:snapToGrid w:val="0"/>
                <w:kern w:val="21"/>
                <w:szCs w:val="21"/>
              </w:rPr>
            </w:pPr>
          </w:p>
        </w:tc>
        <w:tc>
          <w:tcPr>
            <w:tcW w:w="1985" w:type="dxa"/>
            <w:vAlign w:val="center"/>
          </w:tcPr>
          <w:p>
            <w:pPr>
              <w:adjustRightInd w:val="0"/>
              <w:snapToGrid w:val="0"/>
              <w:jc w:val="center"/>
              <w:rPr>
                <w:rFonts w:eastAsiaTheme="minorEastAsia"/>
                <w:szCs w:val="21"/>
              </w:rPr>
            </w:pPr>
            <w:r>
              <w:rPr>
                <w:rFonts w:hint="eastAsia" w:eastAsiaTheme="minorEastAsia"/>
                <w:szCs w:val="21"/>
              </w:rPr>
              <w:t>含油抹布及手套（类别：</w:t>
            </w:r>
            <w:r>
              <w:rPr>
                <w:rFonts w:eastAsiaTheme="minorEastAsia"/>
                <w:szCs w:val="21"/>
              </w:rPr>
              <w:t>HW49</w:t>
            </w:r>
            <w:r>
              <w:rPr>
                <w:rFonts w:hint="eastAsia" w:eastAsiaTheme="minorEastAsia"/>
                <w:szCs w:val="21"/>
              </w:rPr>
              <w:t>，代码：</w:t>
            </w:r>
            <w:r>
              <w:rPr>
                <w:rFonts w:eastAsiaTheme="minorEastAsia"/>
                <w:szCs w:val="21"/>
              </w:rPr>
              <w:t>900-041-49</w:t>
            </w:r>
            <w:r>
              <w:rPr>
                <w:rFonts w:hint="eastAsia" w:eastAsiaTheme="minorEastAsia"/>
                <w:szCs w:val="21"/>
              </w:rPr>
              <w:t>）</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1276"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135" w:type="dxa"/>
            <w:vMerge w:val="restart"/>
            <w:vAlign w:val="center"/>
          </w:tcPr>
          <w:p>
            <w:pPr>
              <w:pStyle w:val="31"/>
              <w:spacing w:before="24" w:after="24" w:line="0" w:lineRule="atLeast"/>
              <w:contextualSpacing/>
              <w:rPr>
                <w:rFonts w:ascii="Times New Roman" w:eastAsiaTheme="minorEastAsia"/>
                <w:snapToGrid w:val="0"/>
                <w:kern w:val="21"/>
                <w:szCs w:val="21"/>
              </w:rPr>
            </w:pPr>
            <w:r>
              <w:rPr>
                <w:rFonts w:hint="eastAsia" w:ascii="Times New Roman" w:eastAsiaTheme="minorEastAsia"/>
                <w:snapToGrid w:val="0"/>
                <w:kern w:val="21"/>
                <w:szCs w:val="21"/>
              </w:rPr>
              <w:t>危险废物</w:t>
            </w:r>
          </w:p>
        </w:tc>
        <w:tc>
          <w:tcPr>
            <w:tcW w:w="1985" w:type="dxa"/>
            <w:vAlign w:val="center"/>
          </w:tcPr>
          <w:p>
            <w:pPr>
              <w:spacing w:line="0" w:lineRule="atLeast"/>
              <w:jc w:val="center"/>
              <w:rPr>
                <w:rFonts w:eastAsiaTheme="minorEastAsia"/>
                <w:bCs/>
                <w:szCs w:val="21"/>
              </w:rPr>
            </w:pPr>
            <w:r>
              <w:rPr>
                <w:rFonts w:hint="eastAsia" w:eastAsiaTheme="minorEastAsia"/>
                <w:bCs/>
                <w:szCs w:val="21"/>
              </w:rPr>
              <w:t>废防冻液、废冷却液（</w:t>
            </w:r>
            <w:r>
              <w:t>类别：HW06，代码：900-404-06</w:t>
            </w:r>
            <w:r>
              <w:rPr>
                <w:rFonts w:hint="eastAsia" w:eastAsiaTheme="minorEastAsia"/>
                <w:bCs/>
                <w:szCs w:val="21"/>
              </w:rPr>
              <w:t>）</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c>
          <w:tcPr>
            <w:tcW w:w="1276"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135" w:type="dxa"/>
            <w:vMerge w:val="continue"/>
            <w:vAlign w:val="center"/>
          </w:tcPr>
          <w:p>
            <w:pPr>
              <w:pStyle w:val="31"/>
              <w:spacing w:before="24" w:after="24" w:line="0" w:lineRule="atLeast"/>
              <w:contextualSpacing/>
              <w:rPr>
                <w:rFonts w:ascii="Times New Roman" w:eastAsiaTheme="minorEastAsia"/>
                <w:snapToGrid w:val="0"/>
                <w:kern w:val="21"/>
                <w:szCs w:val="21"/>
              </w:rPr>
            </w:pPr>
          </w:p>
        </w:tc>
        <w:tc>
          <w:tcPr>
            <w:tcW w:w="1985" w:type="dxa"/>
            <w:vAlign w:val="center"/>
          </w:tcPr>
          <w:p>
            <w:pPr>
              <w:spacing w:line="0" w:lineRule="atLeast"/>
              <w:jc w:val="center"/>
              <w:rPr>
                <w:rFonts w:eastAsiaTheme="minorEastAsia"/>
                <w:bCs/>
                <w:szCs w:val="21"/>
              </w:rPr>
            </w:pPr>
            <w:r>
              <w:rPr>
                <w:rFonts w:hint="eastAsia" w:eastAsiaTheme="minorEastAsia"/>
                <w:bCs/>
                <w:szCs w:val="21"/>
              </w:rPr>
              <w:t>油泥（</w:t>
            </w:r>
            <w:r>
              <w:rPr>
                <w:rFonts w:hint="eastAsia" w:eastAsiaTheme="minorEastAsia"/>
                <w:bCs/>
              </w:rPr>
              <w:t>类别：</w:t>
            </w:r>
            <w:r>
              <w:rPr>
                <w:rFonts w:eastAsiaTheme="minorEastAsia"/>
                <w:bCs/>
              </w:rPr>
              <w:t>HW08</w:t>
            </w:r>
            <w:r>
              <w:rPr>
                <w:rFonts w:hint="eastAsia" w:eastAsiaTheme="minorEastAsia"/>
                <w:bCs/>
              </w:rPr>
              <w:t>，代码：</w:t>
            </w:r>
            <w:r>
              <w:rPr>
                <w:rFonts w:eastAsiaTheme="minorEastAsia"/>
                <w:bCs/>
              </w:rPr>
              <w:t>900-210-08</w:t>
            </w:r>
            <w:r>
              <w:rPr>
                <w:rFonts w:hint="eastAsia" w:eastAsiaTheme="minorEastAsia"/>
                <w:bCs/>
                <w:szCs w:val="21"/>
              </w:rPr>
              <w:t>）</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5</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5</w:t>
            </w:r>
          </w:p>
        </w:tc>
        <w:tc>
          <w:tcPr>
            <w:tcW w:w="1276" w:type="dxa"/>
            <w:vAlign w:val="center"/>
          </w:tcPr>
          <w:p>
            <w:pPr>
              <w:spacing w:line="0" w:lineRule="atLeast"/>
              <w:jc w:val="center"/>
              <w:rPr>
                <w:rFonts w:eastAsiaTheme="minorEastAsia"/>
                <w:szCs w:val="21"/>
              </w:rPr>
            </w:pPr>
            <w:r>
              <w:rPr>
                <w:rFonts w:eastAsiaTheme="minorEastAsia"/>
                <w:szCs w:val="21"/>
              </w:rPr>
              <w:t>0.</w:t>
            </w:r>
            <w:r>
              <w:rPr>
                <w:rFonts w:hint="eastAsia" w:eastAsiaTheme="minorEastAsia"/>
                <w:szCs w:val="21"/>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135" w:type="dxa"/>
            <w:vMerge w:val="continue"/>
            <w:vAlign w:val="center"/>
          </w:tcPr>
          <w:p>
            <w:pPr>
              <w:pStyle w:val="31"/>
              <w:spacing w:before="24" w:after="24" w:line="0" w:lineRule="atLeast"/>
              <w:contextualSpacing/>
              <w:rPr>
                <w:rFonts w:ascii="Times New Roman" w:eastAsiaTheme="minorEastAsia"/>
                <w:snapToGrid w:val="0"/>
                <w:kern w:val="21"/>
                <w:szCs w:val="21"/>
              </w:rPr>
            </w:pPr>
          </w:p>
        </w:tc>
        <w:tc>
          <w:tcPr>
            <w:tcW w:w="1985" w:type="dxa"/>
            <w:vAlign w:val="center"/>
          </w:tcPr>
          <w:p>
            <w:pPr>
              <w:spacing w:line="0" w:lineRule="atLeast"/>
              <w:jc w:val="center"/>
              <w:rPr>
                <w:rFonts w:eastAsiaTheme="minorEastAsia"/>
                <w:bCs/>
                <w:szCs w:val="21"/>
              </w:rPr>
            </w:pPr>
            <w:r>
              <w:rPr>
                <w:rFonts w:hint="eastAsia" w:hAnsiTheme="minorEastAsia" w:eastAsiaTheme="minorEastAsia"/>
                <w:bCs/>
                <w:szCs w:val="21"/>
              </w:rPr>
              <w:t>废活性炭（</w:t>
            </w:r>
            <w:r>
              <w:rPr>
                <w:rFonts w:hint="eastAsia" w:hAnsiTheme="minorEastAsia" w:eastAsiaTheme="minorEastAsia"/>
                <w:szCs w:val="21"/>
              </w:rPr>
              <w:t>类别：HW49，代码：900-039-49）</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hint="eastAsia" w:eastAsiaTheme="minorEastAsia"/>
                <w:szCs w:val="21"/>
              </w:rPr>
              <w:t>0.03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hint="eastAsia" w:eastAsiaTheme="minorEastAsia"/>
                <w:szCs w:val="21"/>
              </w:rPr>
              <w:t>0.03</w:t>
            </w:r>
          </w:p>
        </w:tc>
        <w:tc>
          <w:tcPr>
            <w:tcW w:w="1276" w:type="dxa"/>
            <w:vAlign w:val="center"/>
          </w:tcPr>
          <w:p>
            <w:pPr>
              <w:spacing w:line="0" w:lineRule="atLeast"/>
              <w:jc w:val="center"/>
              <w:rPr>
                <w:rFonts w:eastAsiaTheme="minorEastAsia"/>
                <w:szCs w:val="21"/>
              </w:rPr>
            </w:pPr>
            <w:r>
              <w:rPr>
                <w:rFonts w:hint="eastAsia" w:eastAsiaTheme="minorEastAsia"/>
                <w:szCs w:val="21"/>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135" w:type="dxa"/>
            <w:vMerge w:val="continue"/>
            <w:vAlign w:val="center"/>
          </w:tcPr>
          <w:p>
            <w:pPr>
              <w:pStyle w:val="31"/>
              <w:spacing w:before="24" w:after="24" w:line="0" w:lineRule="atLeast"/>
              <w:contextualSpacing/>
              <w:rPr>
                <w:rFonts w:ascii="Times New Roman" w:eastAsiaTheme="minorEastAsia"/>
                <w:snapToGrid w:val="0"/>
                <w:kern w:val="21"/>
                <w:szCs w:val="21"/>
              </w:rPr>
            </w:pPr>
          </w:p>
        </w:tc>
        <w:tc>
          <w:tcPr>
            <w:tcW w:w="1985" w:type="dxa"/>
            <w:vAlign w:val="center"/>
          </w:tcPr>
          <w:p>
            <w:pPr>
              <w:spacing w:line="0" w:lineRule="atLeast"/>
              <w:jc w:val="center"/>
              <w:rPr>
                <w:rFonts w:hAnsiTheme="minorEastAsia" w:eastAsiaTheme="minorEastAsia"/>
                <w:bCs/>
                <w:szCs w:val="21"/>
              </w:rPr>
            </w:pPr>
            <w:r>
              <w:rPr>
                <w:rFonts w:hint="eastAsia" w:hAnsiTheme="minorEastAsia" w:eastAsiaTheme="minorEastAsia"/>
                <w:szCs w:val="21"/>
              </w:rPr>
              <w:t>机油过滤器</w:t>
            </w:r>
            <w:r>
              <w:rPr>
                <w:rFonts w:hint="eastAsia" w:eastAsiaTheme="minorEastAsia"/>
                <w:bCs/>
                <w:szCs w:val="21"/>
              </w:rPr>
              <w:t>（类别：</w:t>
            </w:r>
            <w:r>
              <w:rPr>
                <w:rFonts w:eastAsiaTheme="minorEastAsia"/>
                <w:bCs/>
                <w:szCs w:val="21"/>
              </w:rPr>
              <w:t>HW08</w:t>
            </w:r>
            <w:r>
              <w:rPr>
                <w:rFonts w:hint="eastAsia" w:eastAsiaTheme="minorEastAsia"/>
                <w:bCs/>
                <w:szCs w:val="21"/>
              </w:rPr>
              <w:t>，代码：900-213-08）</w:t>
            </w:r>
          </w:p>
        </w:tc>
        <w:tc>
          <w:tcPr>
            <w:tcW w:w="1701"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134"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560" w:type="dxa"/>
            <w:vAlign w:val="center"/>
          </w:tcPr>
          <w:p>
            <w:pPr>
              <w:spacing w:line="0" w:lineRule="atLeast"/>
              <w:jc w:val="center"/>
              <w:rPr>
                <w:rFonts w:eastAsiaTheme="minorEastAsia"/>
                <w:szCs w:val="21"/>
              </w:rPr>
            </w:pPr>
            <w:r>
              <w:rPr>
                <w:rFonts w:hint="eastAsia" w:eastAsiaTheme="minorEastAsia"/>
                <w:szCs w:val="21"/>
              </w:rPr>
              <w:t>0.003</w:t>
            </w:r>
          </w:p>
        </w:tc>
        <w:tc>
          <w:tcPr>
            <w:tcW w:w="1842" w:type="dxa"/>
            <w:vAlign w:val="center"/>
          </w:tcPr>
          <w:p>
            <w:pPr>
              <w:pStyle w:val="31"/>
              <w:adjustRightInd/>
              <w:snapToGrid/>
              <w:spacing w:beforeLines="0" w:afterLines="0" w:line="0" w:lineRule="atLeast"/>
              <w:contextualSpacing/>
              <w:rPr>
                <w:rFonts w:ascii="Times New Roman" w:eastAsiaTheme="minorEastAsia"/>
                <w:snapToGrid w:val="0"/>
                <w:kern w:val="21"/>
                <w:szCs w:val="21"/>
              </w:rPr>
            </w:pPr>
          </w:p>
        </w:tc>
        <w:tc>
          <w:tcPr>
            <w:tcW w:w="1843" w:type="dxa"/>
            <w:vAlign w:val="center"/>
          </w:tcPr>
          <w:p>
            <w:pPr>
              <w:spacing w:line="0" w:lineRule="atLeast"/>
              <w:jc w:val="center"/>
              <w:rPr>
                <w:rFonts w:eastAsiaTheme="minorEastAsia"/>
                <w:szCs w:val="21"/>
              </w:rPr>
            </w:pPr>
            <w:r>
              <w:rPr>
                <w:rFonts w:hint="eastAsia" w:eastAsiaTheme="minorEastAsia"/>
                <w:szCs w:val="21"/>
              </w:rPr>
              <w:t>0.003</w:t>
            </w:r>
          </w:p>
        </w:tc>
        <w:tc>
          <w:tcPr>
            <w:tcW w:w="1276" w:type="dxa"/>
            <w:vAlign w:val="center"/>
          </w:tcPr>
          <w:p>
            <w:pPr>
              <w:spacing w:line="0" w:lineRule="atLeast"/>
              <w:jc w:val="center"/>
              <w:rPr>
                <w:rFonts w:eastAsiaTheme="minorEastAsia"/>
                <w:szCs w:val="21"/>
              </w:rPr>
            </w:pPr>
            <w:r>
              <w:rPr>
                <w:rFonts w:hint="eastAsia" w:eastAsiaTheme="minorEastAsia"/>
                <w:szCs w:val="21"/>
              </w:rPr>
              <w:t>0.003</w:t>
            </w:r>
          </w:p>
        </w:tc>
      </w:tr>
    </w:tbl>
    <w:p>
      <w:pPr>
        <w:pStyle w:val="31"/>
        <w:spacing w:beforeLines="80" w:after="24"/>
        <w:jc w:val="left"/>
        <w:rPr>
          <w:rFonts w:ascii="Times New Roman" w:eastAsiaTheme="minorEastAsia"/>
          <w:snapToGrid w:val="0"/>
          <w:spacing w:val="-6"/>
          <w:kern w:val="21"/>
          <w:szCs w:val="21"/>
        </w:rPr>
        <w:sectPr>
          <w:pgSz w:w="16838" w:h="11906" w:orient="landscape"/>
          <w:pgMar w:top="1531" w:right="1701" w:bottom="1531" w:left="1701" w:header="851" w:footer="851" w:gutter="0"/>
          <w:cols w:space="720" w:num="1"/>
          <w:docGrid w:linePitch="312" w:charSpace="0"/>
        </w:sectPr>
      </w:pPr>
      <w:r>
        <w:rPr>
          <w:rFonts w:hint="eastAsia" w:ascii="Times New Roman" w:eastAsiaTheme="minorEastAsia"/>
          <w:snapToGrid w:val="0"/>
          <w:kern w:val="21"/>
          <w:szCs w:val="21"/>
        </w:rPr>
        <w:t>注：</w:t>
      </w:r>
      <w:r>
        <w:rPr>
          <w:rFonts w:ascii="Times New Roman" w:eastAsiaTheme="minorEastAsia"/>
          <w:snapToGrid w:val="0"/>
          <w:spacing w:val="-16"/>
          <w:kern w:val="21"/>
          <w:szCs w:val="21"/>
        </w:rPr>
        <w:fldChar w:fldCharType="begin"/>
      </w:r>
      <w:r>
        <w:rPr>
          <w:rFonts w:ascii="Times New Roman" w:eastAsiaTheme="minorEastAsia"/>
          <w:snapToGrid w:val="0"/>
          <w:spacing w:val="-16"/>
          <w:kern w:val="21"/>
          <w:szCs w:val="21"/>
        </w:rPr>
        <w:instrText xml:space="preserve"> = 6 \* GB3 \* MERGEFORMAT </w:instrText>
      </w:r>
      <w:r>
        <w:rPr>
          <w:rFonts w:ascii="Times New Roman" w:eastAsiaTheme="minorEastAsia"/>
          <w:snapToGrid w:val="0"/>
          <w:spacing w:val="-16"/>
          <w:kern w:val="21"/>
          <w:szCs w:val="21"/>
        </w:rPr>
        <w:fldChar w:fldCharType="separate"/>
      </w:r>
      <w:r>
        <w:rPr>
          <w:rFonts w:ascii="Times New Roman" w:hAnsiTheme="minorEastAsia" w:eastAsiaTheme="minorEastAsia"/>
          <w:szCs w:val="21"/>
        </w:rPr>
        <w:t>⑥</w:t>
      </w:r>
      <w:r>
        <w:rPr>
          <w:rFonts w:ascii="Times New Roman" w:eastAsiaTheme="minorEastAsia"/>
          <w:snapToGrid w:val="0"/>
          <w:spacing w:val="-16"/>
          <w:kern w:val="21"/>
          <w:szCs w:val="21"/>
        </w:rPr>
        <w:fldChar w:fldCharType="end"/>
      </w:r>
      <w:r>
        <w:rPr>
          <w:rFonts w:ascii="Times New Roman" w:eastAsiaTheme="minorEastAsia"/>
          <w:snapToGrid w:val="0"/>
          <w:spacing w:val="-16"/>
          <w:kern w:val="21"/>
          <w:szCs w:val="21"/>
        </w:rPr>
        <w:t>=</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1 \* GB3 \* MERGEFORMAT </w:instrText>
      </w:r>
      <w:r>
        <w:rPr>
          <w:rFonts w:ascii="Times New Roman" w:eastAsiaTheme="minorEastAsia"/>
          <w:snapToGrid w:val="0"/>
          <w:spacing w:val="-6"/>
          <w:kern w:val="21"/>
          <w:szCs w:val="21"/>
        </w:rPr>
        <w:fldChar w:fldCharType="separate"/>
      </w:r>
      <w:r>
        <w:rPr>
          <w:rFonts w:ascii="Times New Roman" w:hAnsiTheme="minorEastAsia" w:eastAsiaTheme="minorEastAsia"/>
          <w:szCs w:val="21"/>
        </w:rPr>
        <w:t>①</w:t>
      </w:r>
      <w:r>
        <w:rPr>
          <w:rFonts w:ascii="Times New Roman" w:eastAsiaTheme="minorEastAsia"/>
          <w:snapToGrid w:val="0"/>
          <w:spacing w:val="-6"/>
          <w:kern w:val="21"/>
          <w:szCs w:val="21"/>
        </w:rPr>
        <w:fldChar w:fldCharType="end"/>
      </w:r>
      <w:r>
        <w:rPr>
          <w:rFonts w:ascii="Times New Roman" w:eastAsiaTheme="minorEastAsia"/>
          <w:snapToGrid w:val="0"/>
          <w:spacing w:val="-6"/>
          <w:kern w:val="21"/>
          <w:szCs w:val="21"/>
        </w:rPr>
        <w:t>+</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3 \* GB3 \* MERGEFORMAT </w:instrText>
      </w:r>
      <w:r>
        <w:rPr>
          <w:rFonts w:ascii="Times New Roman" w:eastAsiaTheme="minorEastAsia"/>
          <w:snapToGrid w:val="0"/>
          <w:spacing w:val="-6"/>
          <w:kern w:val="21"/>
          <w:szCs w:val="21"/>
        </w:rPr>
        <w:fldChar w:fldCharType="separate"/>
      </w:r>
      <w:r>
        <w:rPr>
          <w:rFonts w:ascii="Times New Roman" w:hAnsiTheme="minorEastAsia" w:eastAsiaTheme="minorEastAsia"/>
          <w:szCs w:val="21"/>
        </w:rPr>
        <w:t>③</w:t>
      </w:r>
      <w:r>
        <w:rPr>
          <w:rFonts w:ascii="Times New Roman" w:eastAsiaTheme="minorEastAsia"/>
          <w:snapToGrid w:val="0"/>
          <w:spacing w:val="-6"/>
          <w:kern w:val="21"/>
          <w:szCs w:val="21"/>
        </w:rPr>
        <w:fldChar w:fldCharType="end"/>
      </w:r>
      <w:r>
        <w:rPr>
          <w:rFonts w:ascii="Times New Roman" w:eastAsiaTheme="minorEastAsia"/>
          <w:snapToGrid w:val="0"/>
          <w:spacing w:val="-6"/>
          <w:kern w:val="21"/>
          <w:szCs w:val="21"/>
        </w:rPr>
        <w:t>+</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4 \* GB3 \* MERGEFORMAT </w:instrText>
      </w:r>
      <w:r>
        <w:rPr>
          <w:rFonts w:ascii="Times New Roman" w:eastAsiaTheme="minorEastAsia"/>
          <w:snapToGrid w:val="0"/>
          <w:spacing w:val="-6"/>
          <w:kern w:val="21"/>
          <w:szCs w:val="21"/>
        </w:rPr>
        <w:fldChar w:fldCharType="separate"/>
      </w:r>
      <w:r>
        <w:rPr>
          <w:rFonts w:ascii="Times New Roman" w:hAnsiTheme="minorEastAsia" w:eastAsiaTheme="minorEastAsia"/>
          <w:szCs w:val="21"/>
        </w:rPr>
        <w:t>④</w:t>
      </w:r>
      <w:r>
        <w:rPr>
          <w:rFonts w:ascii="Times New Roman" w:eastAsiaTheme="minorEastAsia"/>
          <w:snapToGrid w:val="0"/>
          <w:spacing w:val="-6"/>
          <w:kern w:val="21"/>
          <w:szCs w:val="21"/>
        </w:rPr>
        <w:fldChar w:fldCharType="end"/>
      </w:r>
      <w:r>
        <w:rPr>
          <w:rFonts w:ascii="Times New Roman" w:eastAsiaTheme="minorEastAsia"/>
          <w:snapToGrid w:val="0"/>
          <w:spacing w:val="-6"/>
          <w:kern w:val="21"/>
          <w:szCs w:val="21"/>
        </w:rPr>
        <w:t>-</w:t>
      </w:r>
      <w:r>
        <w:rPr>
          <w:rFonts w:ascii="Times New Roman" w:eastAsiaTheme="minorEastAsia"/>
          <w:snapToGrid w:val="0"/>
          <w:spacing w:val="-16"/>
          <w:kern w:val="21"/>
          <w:szCs w:val="21"/>
        </w:rPr>
        <w:fldChar w:fldCharType="begin"/>
      </w:r>
      <w:r>
        <w:rPr>
          <w:rFonts w:ascii="Times New Roman" w:eastAsiaTheme="minorEastAsia"/>
          <w:snapToGrid w:val="0"/>
          <w:spacing w:val="-16"/>
          <w:kern w:val="21"/>
          <w:szCs w:val="21"/>
        </w:rPr>
        <w:instrText xml:space="preserve"> = 5 \* GB3 \* MERGEFORMAT </w:instrText>
      </w:r>
      <w:r>
        <w:rPr>
          <w:rFonts w:ascii="Times New Roman" w:eastAsiaTheme="minorEastAsia"/>
          <w:snapToGrid w:val="0"/>
          <w:spacing w:val="-16"/>
          <w:kern w:val="21"/>
          <w:szCs w:val="21"/>
        </w:rPr>
        <w:fldChar w:fldCharType="separate"/>
      </w:r>
      <w:r>
        <w:rPr>
          <w:rFonts w:ascii="Times New Roman" w:hAnsiTheme="minorEastAsia" w:eastAsiaTheme="minorEastAsia"/>
          <w:szCs w:val="21"/>
        </w:rPr>
        <w:t>⑤</w:t>
      </w:r>
      <w:r>
        <w:rPr>
          <w:rFonts w:ascii="Times New Roman" w:eastAsiaTheme="minorEastAsia"/>
          <w:snapToGrid w:val="0"/>
          <w:spacing w:val="-16"/>
          <w:kern w:val="21"/>
          <w:szCs w:val="21"/>
        </w:rPr>
        <w:fldChar w:fldCharType="end"/>
      </w:r>
      <w:r>
        <w:rPr>
          <w:rFonts w:hint="eastAsia" w:ascii="Times New Roman" w:eastAsiaTheme="minorEastAsia"/>
          <w:snapToGrid w:val="0"/>
          <w:spacing w:val="-16"/>
          <w:kern w:val="21"/>
          <w:szCs w:val="21"/>
        </w:rPr>
        <w:t>；</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7 \* GB3 \* MERGEFORMAT </w:instrText>
      </w:r>
      <w:r>
        <w:rPr>
          <w:rFonts w:ascii="Times New Roman" w:eastAsiaTheme="minorEastAsia"/>
          <w:snapToGrid w:val="0"/>
          <w:spacing w:val="-6"/>
          <w:kern w:val="21"/>
          <w:szCs w:val="21"/>
        </w:rPr>
        <w:fldChar w:fldCharType="separate"/>
      </w:r>
      <w:r>
        <w:rPr>
          <w:rFonts w:ascii="Times New Roman" w:hAnsiTheme="minorEastAsia" w:eastAsiaTheme="minorEastAsia"/>
          <w:szCs w:val="21"/>
        </w:rPr>
        <w:t>⑦</w:t>
      </w:r>
      <w:r>
        <w:rPr>
          <w:rFonts w:ascii="Times New Roman" w:eastAsiaTheme="minorEastAsia"/>
          <w:snapToGrid w:val="0"/>
          <w:spacing w:val="-6"/>
          <w:kern w:val="21"/>
          <w:szCs w:val="21"/>
        </w:rPr>
        <w:fldChar w:fldCharType="end"/>
      </w:r>
      <w:r>
        <w:rPr>
          <w:rFonts w:ascii="Times New Roman" w:eastAsiaTheme="minorEastAsia"/>
          <w:snapToGrid w:val="0"/>
          <w:spacing w:val="-6"/>
          <w:kern w:val="21"/>
          <w:szCs w:val="21"/>
        </w:rPr>
        <w:t>=</w:t>
      </w:r>
      <w:r>
        <w:rPr>
          <w:rFonts w:ascii="Times New Roman" w:eastAsiaTheme="minorEastAsia"/>
          <w:snapToGrid w:val="0"/>
          <w:spacing w:val="-16"/>
          <w:kern w:val="21"/>
          <w:szCs w:val="21"/>
        </w:rPr>
        <w:fldChar w:fldCharType="begin"/>
      </w:r>
      <w:r>
        <w:rPr>
          <w:rFonts w:ascii="Times New Roman" w:eastAsiaTheme="minorEastAsia"/>
          <w:snapToGrid w:val="0"/>
          <w:spacing w:val="-16"/>
          <w:kern w:val="21"/>
          <w:szCs w:val="21"/>
        </w:rPr>
        <w:instrText xml:space="preserve"> = 6 \* GB3 \* MERGEFORMAT </w:instrText>
      </w:r>
      <w:r>
        <w:rPr>
          <w:rFonts w:ascii="Times New Roman" w:eastAsiaTheme="minorEastAsia"/>
          <w:snapToGrid w:val="0"/>
          <w:spacing w:val="-16"/>
          <w:kern w:val="21"/>
          <w:szCs w:val="21"/>
        </w:rPr>
        <w:fldChar w:fldCharType="separate"/>
      </w:r>
      <w:r>
        <w:rPr>
          <w:rFonts w:ascii="Times New Roman" w:hAnsiTheme="minorEastAsia" w:eastAsiaTheme="minorEastAsia"/>
          <w:szCs w:val="21"/>
        </w:rPr>
        <w:t>⑥</w:t>
      </w:r>
      <w:r>
        <w:rPr>
          <w:rFonts w:ascii="Times New Roman" w:eastAsiaTheme="minorEastAsia"/>
          <w:snapToGrid w:val="0"/>
          <w:spacing w:val="-16"/>
          <w:kern w:val="21"/>
          <w:szCs w:val="21"/>
        </w:rPr>
        <w:fldChar w:fldCharType="end"/>
      </w:r>
      <w:r>
        <w:rPr>
          <w:rFonts w:ascii="Times New Roman" w:eastAsiaTheme="minorEastAsia"/>
          <w:snapToGrid w:val="0"/>
          <w:spacing w:val="-16"/>
          <w:kern w:val="21"/>
          <w:szCs w:val="21"/>
        </w:rPr>
        <w:t>-</w:t>
      </w:r>
      <w:r>
        <w:rPr>
          <w:rFonts w:ascii="Times New Roman" w:eastAsiaTheme="minorEastAsia"/>
          <w:snapToGrid w:val="0"/>
          <w:spacing w:val="-6"/>
          <w:kern w:val="21"/>
          <w:szCs w:val="21"/>
        </w:rPr>
        <w:fldChar w:fldCharType="begin"/>
      </w:r>
      <w:r>
        <w:rPr>
          <w:rFonts w:ascii="Times New Roman" w:eastAsiaTheme="minorEastAsia"/>
          <w:snapToGrid w:val="0"/>
          <w:spacing w:val="-6"/>
          <w:kern w:val="21"/>
          <w:szCs w:val="21"/>
        </w:rPr>
        <w:instrText xml:space="preserve"> = 1 \* GB3 \* MERGEFORMAT </w:instrText>
      </w:r>
      <w:r>
        <w:rPr>
          <w:rFonts w:ascii="Times New Roman" w:eastAsiaTheme="minorEastAsia"/>
          <w:snapToGrid w:val="0"/>
          <w:spacing w:val="-6"/>
          <w:kern w:val="21"/>
          <w:szCs w:val="21"/>
        </w:rPr>
        <w:fldChar w:fldCharType="separate"/>
      </w:r>
      <w:r>
        <w:rPr>
          <w:rFonts w:ascii="Times New Roman" w:hAnsiTheme="minorEastAsia" w:eastAsiaTheme="minorEastAsia"/>
          <w:szCs w:val="21"/>
        </w:rPr>
        <w:t>①</w:t>
      </w:r>
      <w:r>
        <w:rPr>
          <w:rFonts w:ascii="Times New Roman" w:eastAsiaTheme="minorEastAsia"/>
          <w:snapToGrid w:val="0"/>
          <w:spacing w:val="-6"/>
          <w:kern w:val="21"/>
          <w:szCs w:val="21"/>
        </w:rPr>
        <w:fldChar w:fldCharType="end"/>
      </w:r>
    </w:p>
    <w:p>
      <w:r>
        <w:rPr>
          <w:rFonts w:ascii="宋体" w:hAnsi="宋体" w:cs="宋体"/>
          <w:kern w:val="0"/>
          <w:sz w:val="24"/>
        </w:rPr>
        <mc:AlternateContent>
          <mc:Choice Requires="wps">
            <w:drawing>
              <wp:anchor distT="0" distB="0" distL="114300" distR="114300" simplePos="0" relativeHeight="251738112" behindDoc="0" locked="0" layoutInCell="1" allowOverlap="1">
                <wp:simplePos x="0" y="0"/>
                <wp:positionH relativeFrom="column">
                  <wp:posOffset>4882515</wp:posOffset>
                </wp:positionH>
                <wp:positionV relativeFrom="paragraph">
                  <wp:posOffset>2747645</wp:posOffset>
                </wp:positionV>
                <wp:extent cx="896620" cy="310515"/>
                <wp:effectExtent l="462280" t="4445" r="12700" b="180340"/>
                <wp:wrapNone/>
                <wp:docPr id="137" name="自选图形 168"/>
                <wp:cNvGraphicFramePr/>
                <a:graphic xmlns:a="http://schemas.openxmlformats.org/drawingml/2006/main">
                  <a:graphicData uri="http://schemas.microsoft.com/office/word/2010/wordprocessingShape">
                    <wps:wsp>
                      <wps:cNvSpPr/>
                      <wps:spPr>
                        <a:xfrm>
                          <a:off x="0" y="0"/>
                          <a:ext cx="896620" cy="310515"/>
                        </a:xfrm>
                        <a:prstGeom prst="wedgeRectCallout">
                          <a:avLst>
                            <a:gd name="adj1" fmla="val -97310"/>
                            <a:gd name="adj2" fmla="val 102963"/>
                          </a:avLst>
                        </a:prstGeom>
                        <a:solidFill>
                          <a:schemeClr val="bg1"/>
                        </a:solidFill>
                        <a:ln w="9525" cap="flat" cmpd="sng">
                          <a:solidFill>
                            <a:srgbClr val="FF0000"/>
                          </a:solidFill>
                          <a:prstDash val="solid"/>
                          <a:miter/>
                          <a:headEnd type="none" w="med" len="med"/>
                          <a:tailEnd type="none" w="med" len="med"/>
                        </a:ln>
                      </wps:spPr>
                      <wps:txbx>
                        <w:txbxContent>
                          <w:p>
                            <w:pPr>
                              <w:rPr>
                                <w:b/>
                                <w:color w:val="FF0000"/>
                              </w:rPr>
                            </w:pPr>
                            <w:r>
                              <w:rPr>
                                <w:b/>
                                <w:color w:val="FF0000"/>
                              </w:rPr>
                              <w:t>本项目位置</w:t>
                            </w:r>
                          </w:p>
                        </w:txbxContent>
                      </wps:txbx>
                      <wps:bodyPr upright="1"/>
                    </wps:wsp>
                  </a:graphicData>
                </a:graphic>
              </wp:anchor>
            </w:drawing>
          </mc:Choice>
          <mc:Fallback>
            <w:pict>
              <v:shape id="自选图形 168" o:spid="_x0000_s1026" o:spt="61" type="#_x0000_t61" style="position:absolute;left:0pt;margin-left:384.45pt;margin-top:216.35pt;height:24.45pt;width:70.6pt;z-index:251738112;mso-width-relative:page;mso-height-relative:page;" fillcolor="#FFFFFF [3212]" filled="t" stroked="t" coordsize="21600,21600" o:gfxdata="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Mj3qbaAAAACwEAAA8AAAAAAAAAAQAgAAAAIgAAAGRy&#10;cy9kb3ducmV2LnhtbFBLAQIUABQAAAAIAIdO4kB2Wb+qdQIAAO4EAAAOAAAAAAAAAAEAIAAAACkB&#10;AABkcnMvZTJvRG9jLnhtbFBLBQYAAAAABgAGAFkBAAAQBgAAAAA=&#10;" adj="-10219,33040">
                <v:fill on="t" focussize="0,0"/>
                <v:stroke color="#FF0000" joinstyle="miter"/>
                <v:imagedata o:title=""/>
                <o:lock v:ext="edit" aspectratio="f"/>
                <v:textbox>
                  <w:txbxContent>
                    <w:p>
                      <w:pPr>
                        <w:rPr>
                          <w:b/>
                          <w:color w:val="FF0000"/>
                        </w:rPr>
                      </w:pPr>
                      <w:r>
                        <w:rPr>
                          <w:b/>
                          <w:color w:val="FF0000"/>
                        </w:rPr>
                        <w:t>本项目位置</w:t>
                      </w:r>
                    </w:p>
                  </w:txbxContent>
                </v:textbox>
              </v:shape>
            </w:pict>
          </mc:Fallback>
        </mc:AlternateContent>
      </w:r>
      <w:r>
        <w:rPr>
          <w:rFonts w:ascii="宋体" w:hAnsi="宋体" w:cs="宋体"/>
          <w:kern w:val="0"/>
          <w:sz w:val="24"/>
        </w:rPr>
        <mc:AlternateContent>
          <mc:Choice Requires="wps">
            <w:drawing>
              <wp:anchor distT="0" distB="0" distL="114300" distR="114300" simplePos="0" relativeHeight="251737088" behindDoc="0" locked="0" layoutInCell="1" allowOverlap="1">
                <wp:simplePos x="0" y="0"/>
                <wp:positionH relativeFrom="column">
                  <wp:posOffset>4330065</wp:posOffset>
                </wp:positionH>
                <wp:positionV relativeFrom="paragraph">
                  <wp:posOffset>3154045</wp:posOffset>
                </wp:positionV>
                <wp:extent cx="224155" cy="189865"/>
                <wp:effectExtent l="15875" t="13970" r="26670" b="24765"/>
                <wp:wrapNone/>
                <wp:docPr id="136" name="五角星 2"/>
                <wp:cNvGraphicFramePr/>
                <a:graphic xmlns:a="http://schemas.openxmlformats.org/drawingml/2006/main">
                  <a:graphicData uri="http://schemas.microsoft.com/office/word/2010/wordprocessingShape">
                    <wps:wsp>
                      <wps:cNvSpPr>
                        <a:spLocks noChangeArrowheads="1"/>
                      </wps:cNvSpPr>
                      <wps:spPr bwMode="auto">
                        <a:xfrm>
                          <a:off x="0" y="0"/>
                          <a:ext cx="224155" cy="189865"/>
                        </a:xfrm>
                        <a:prstGeom prst="star5">
                          <a:avLst/>
                        </a:prstGeom>
                        <a:solidFill>
                          <a:srgbClr val="FF0000"/>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五角星 2" o:spid="_x0000_s1026" style="position:absolute;left:0pt;margin-left:340.95pt;margin-top:248.35pt;height:14.95pt;width:17.65pt;z-index:251737088;mso-width-relative:page;mso-height-relative:page;" fillcolor="#FF0000" filled="t" stroked="t" coordsize="224155,189865" o:gfxdata="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f&#10;xjt62QAAAAsBAAAPAAAAAAAAAAEAIAAAACIAAABkcnMvZG93bnJldi54bWxQSwECFAAUAAAACACH&#10;TuJAcl8fviMCAAA0BAAADgAAAAAAAAABACAAAAAoAQAAZHJzL2Uyb0RvYy54bWxQSwUGAAAAAAYA&#10;BgBZAQAAvQUAAAAA&#10;" path="m0,72521l85620,72522,112077,0,138534,72522,224154,72521,154886,117342,181345,189864,112077,145042,42809,189864,69268,117342xe">
                <v:path o:connectlocs="112077,0;0,72521;42809,189864;181345,189864;224154,72521" o:connectangles="247,164,82,82,0"/>
                <v:fill on="t" focussize="0,0"/>
                <v:stroke color="#000000" miterlimit="8" joinstyle="miter"/>
                <v:imagedata o:title=""/>
                <o:lock v:ext="edit" aspectratio="f"/>
              </v:shape>
            </w:pict>
          </mc:Fallback>
        </mc:AlternateContent>
      </w:r>
      <w:r>
        <w:rPr>
          <w:rFonts w:ascii="宋体" w:hAnsi="宋体" w:cs="宋体"/>
          <w:kern w:val="0"/>
          <w:sz w:val="24"/>
        </w:rPr>
        <w:drawing>
          <wp:anchor distT="0" distB="0" distL="114300" distR="114300" simplePos="0" relativeHeight="251756544" behindDoc="0" locked="0" layoutInCell="1" allowOverlap="1">
            <wp:simplePos x="0" y="0"/>
            <wp:positionH relativeFrom="column">
              <wp:posOffset>8277225</wp:posOffset>
            </wp:positionH>
            <wp:positionV relativeFrom="paragraph">
              <wp:posOffset>110490</wp:posOffset>
            </wp:positionV>
            <wp:extent cx="600075" cy="828675"/>
            <wp:effectExtent l="19050" t="0" r="9525"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00075" cy="828675"/>
                    </a:xfrm>
                    <a:prstGeom prst="rect">
                      <a:avLst/>
                    </a:prstGeom>
                    <a:noFill/>
                    <a:ln>
                      <a:noFill/>
                    </a:ln>
                  </pic:spPr>
                </pic:pic>
              </a:graphicData>
            </a:graphic>
          </wp:anchor>
        </w:drawing>
      </w:r>
      <w:r>
        <w:rPr>
          <w:rFonts w:ascii="宋体" w:hAnsi="宋体" w:cs="宋体"/>
          <w:kern w:val="0"/>
          <w:sz w:val="24"/>
        </w:rPr>
        <mc:AlternateContent>
          <mc:Choice Requires="wps">
            <w:drawing>
              <wp:anchor distT="0" distB="0" distL="114300" distR="114300" simplePos="0" relativeHeight="251736064" behindDoc="0" locked="0" layoutInCell="1" allowOverlap="1">
                <wp:simplePos x="0" y="0"/>
                <wp:positionH relativeFrom="column">
                  <wp:posOffset>7778750</wp:posOffset>
                </wp:positionH>
                <wp:positionV relativeFrom="paragraph">
                  <wp:posOffset>4259580</wp:posOffset>
                </wp:positionV>
                <wp:extent cx="1104265" cy="1095375"/>
                <wp:effectExtent l="4445" t="4445" r="15240" b="5080"/>
                <wp:wrapNone/>
                <wp:docPr id="135" name="文本框 6"/>
                <wp:cNvGraphicFramePr/>
                <a:graphic xmlns:a="http://schemas.openxmlformats.org/drawingml/2006/main">
                  <a:graphicData uri="http://schemas.microsoft.com/office/word/2010/wordprocessingShape">
                    <wps:wsp>
                      <wps:cNvSpPr txBox="1"/>
                      <wps:spPr>
                        <a:xfrm>
                          <a:off x="0" y="0"/>
                          <a:ext cx="1104265" cy="109537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360" w:lineRule="auto"/>
                              <w:jc w:val="center"/>
                              <w:rPr>
                                <w:sz w:val="18"/>
                                <w:szCs w:val="18"/>
                              </w:rPr>
                            </w:pPr>
                            <w:r>
                              <w:rPr>
                                <w:rFonts w:hint="eastAsia" w:ascii="宋体" w:hAnsi="宋体"/>
                                <w:sz w:val="24"/>
                              </w:rPr>
                              <w:t>图例</w:t>
                            </w:r>
                          </w:p>
                          <w:p>
                            <w:pPr>
                              <w:spacing w:line="360" w:lineRule="auto"/>
                              <w:rPr>
                                <w:sz w:val="18"/>
                                <w:szCs w:val="18"/>
                              </w:rPr>
                            </w:pPr>
                            <w:r>
                              <w:rPr>
                                <w:rFonts w:hint="eastAsia" w:hAnsi="宋体"/>
                                <w:sz w:val="18"/>
                                <w:szCs w:val="18"/>
                              </w:rPr>
                              <w:t>比例尺</w:t>
                            </w:r>
                            <w:r>
                              <w:rPr>
                                <w:sz w:val="18"/>
                                <w:szCs w:val="18"/>
                              </w:rPr>
                              <w:t>1:</w:t>
                            </w:r>
                            <w:r>
                              <w:rPr>
                                <w:rFonts w:hint="eastAsia"/>
                                <w:sz w:val="18"/>
                                <w:szCs w:val="18"/>
                              </w:rPr>
                              <w:t>180000</w:t>
                            </w:r>
                          </w:p>
                          <w:p>
                            <w:pPr>
                              <w:spacing w:line="360" w:lineRule="auto"/>
                              <w:rPr>
                                <w:sz w:val="18"/>
                                <w:szCs w:val="18"/>
                              </w:rPr>
                            </w:pPr>
                            <w:r>
                              <w:rPr>
                                <w:sz w:val="18"/>
                                <w:szCs w:val="18"/>
                              </w:rPr>
                              <w:drawing>
                                <wp:inline distT="0" distB="0" distL="114300" distR="114300">
                                  <wp:extent cx="213995" cy="213995"/>
                                  <wp:effectExtent l="0" t="0" r="14605" b="1460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29"/>
                                          <a:stretch>
                                            <a:fillRect/>
                                          </a:stretch>
                                        </pic:blipFill>
                                        <pic:spPr>
                                          <a:xfrm>
                                            <a:off x="0" y="0"/>
                                            <a:ext cx="213995" cy="213995"/>
                                          </a:xfrm>
                                          <a:prstGeom prst="rect">
                                            <a:avLst/>
                                          </a:prstGeom>
                                          <a:noFill/>
                                          <a:ln>
                                            <a:noFill/>
                                          </a:ln>
                                        </pic:spPr>
                                      </pic:pic>
                                    </a:graphicData>
                                  </a:graphic>
                                </wp:inline>
                              </w:drawing>
                            </w:r>
                            <w:r>
                              <w:rPr>
                                <w:rFonts w:hint="eastAsia" w:ascii="宋体" w:hAnsi="宋体"/>
                                <w:sz w:val="18"/>
                                <w:szCs w:val="18"/>
                              </w:rPr>
                              <w:t>本项目位置</w:t>
                            </w:r>
                          </w:p>
                        </w:txbxContent>
                      </wps:txbx>
                      <wps:bodyPr upright="1"/>
                    </wps:wsp>
                  </a:graphicData>
                </a:graphic>
              </wp:anchor>
            </w:drawing>
          </mc:Choice>
          <mc:Fallback>
            <w:pict>
              <v:shape id="文本框 6" o:spid="_x0000_s1026" o:spt="202" type="#_x0000_t202" style="position:absolute;left:0pt;margin-left:612.5pt;margin-top:335.4pt;height:86.25pt;width:86.95pt;z-index:251736064;mso-width-relative:page;mso-height-relative:page;" fillcolor="#FFFFFF" filled="t" stroked="t" coordsize="21600,21600" o:gfxdata="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Mx8C7doAAAANAQAADwAAAAAAAAABACAAAAAiAAAAZHJzL2Rvd25yZXYueG1s&#10;UEsBAhQAFAAAAAgAh07iQHXznRD2AQAA+QMAAA4AAAAAAAAAAQAgAAAAKQEAAGRycy9lMm9Eb2Mu&#10;eG1sUEsFBgAAAAAGAAYAWQEAAJEFAAAAAA==&#10;">
                <v:fill on="t" focussize="0,0"/>
                <v:stroke color="#000000" joinstyle="miter"/>
                <v:imagedata o:title=""/>
                <o:lock v:ext="edit" aspectratio="f"/>
                <v:textbox>
                  <w:txbxContent>
                    <w:p>
                      <w:pPr>
                        <w:spacing w:line="360" w:lineRule="auto"/>
                        <w:jc w:val="center"/>
                        <w:rPr>
                          <w:sz w:val="18"/>
                          <w:szCs w:val="18"/>
                        </w:rPr>
                      </w:pPr>
                      <w:r>
                        <w:rPr>
                          <w:rFonts w:hint="eastAsia" w:ascii="宋体" w:hAnsi="宋体"/>
                          <w:sz w:val="24"/>
                        </w:rPr>
                        <w:t>图例</w:t>
                      </w:r>
                    </w:p>
                    <w:p>
                      <w:pPr>
                        <w:spacing w:line="360" w:lineRule="auto"/>
                        <w:rPr>
                          <w:sz w:val="18"/>
                          <w:szCs w:val="18"/>
                        </w:rPr>
                      </w:pPr>
                      <w:r>
                        <w:rPr>
                          <w:rFonts w:hint="eastAsia" w:hAnsi="宋体"/>
                          <w:sz w:val="18"/>
                          <w:szCs w:val="18"/>
                        </w:rPr>
                        <w:t>比例尺</w:t>
                      </w:r>
                      <w:r>
                        <w:rPr>
                          <w:sz w:val="18"/>
                          <w:szCs w:val="18"/>
                        </w:rPr>
                        <w:t>1:</w:t>
                      </w:r>
                      <w:r>
                        <w:rPr>
                          <w:rFonts w:hint="eastAsia"/>
                          <w:sz w:val="18"/>
                          <w:szCs w:val="18"/>
                        </w:rPr>
                        <w:t>180000</w:t>
                      </w:r>
                    </w:p>
                    <w:p>
                      <w:pPr>
                        <w:spacing w:line="360" w:lineRule="auto"/>
                        <w:rPr>
                          <w:sz w:val="18"/>
                          <w:szCs w:val="18"/>
                        </w:rPr>
                      </w:pPr>
                      <w:r>
                        <w:rPr>
                          <w:sz w:val="18"/>
                          <w:szCs w:val="18"/>
                        </w:rPr>
                        <w:drawing>
                          <wp:inline distT="0" distB="0" distL="114300" distR="114300">
                            <wp:extent cx="213995" cy="213995"/>
                            <wp:effectExtent l="0" t="0" r="14605" b="1460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29"/>
                                    <a:stretch>
                                      <a:fillRect/>
                                    </a:stretch>
                                  </pic:blipFill>
                                  <pic:spPr>
                                    <a:xfrm>
                                      <a:off x="0" y="0"/>
                                      <a:ext cx="213995" cy="213995"/>
                                    </a:xfrm>
                                    <a:prstGeom prst="rect">
                                      <a:avLst/>
                                    </a:prstGeom>
                                    <a:noFill/>
                                    <a:ln>
                                      <a:noFill/>
                                    </a:ln>
                                  </pic:spPr>
                                </pic:pic>
                              </a:graphicData>
                            </a:graphic>
                          </wp:inline>
                        </w:drawing>
                      </w:r>
                      <w:r>
                        <w:rPr>
                          <w:rFonts w:hint="eastAsia" w:ascii="宋体" w:hAnsi="宋体"/>
                          <w:sz w:val="18"/>
                          <w:szCs w:val="18"/>
                        </w:rPr>
                        <w:t>本项目位置</w:t>
                      </w:r>
                    </w:p>
                  </w:txbxContent>
                </v:textbox>
              </v:shape>
            </w:pict>
          </mc:Fallback>
        </mc:AlternateContent>
      </w:r>
      <w:r>
        <w:drawing>
          <wp:inline distT="0" distB="0" distL="0" distR="0">
            <wp:extent cx="8863330" cy="5257165"/>
            <wp:effectExtent l="19050" t="19050" r="13970" b="19202"/>
            <wp:docPr id="2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9"/>
                    <pic:cNvPicPr>
                      <a:picLocks noChangeAspect="1" noChangeArrowheads="1"/>
                    </pic:cNvPicPr>
                  </pic:nvPicPr>
                  <pic:blipFill>
                    <a:blip r:embed="rId30"/>
                    <a:srcRect/>
                    <a:stretch>
                      <a:fillRect/>
                    </a:stretch>
                  </pic:blipFill>
                  <pic:spPr>
                    <a:xfrm>
                      <a:off x="0" y="0"/>
                      <a:ext cx="8863330" cy="5257648"/>
                    </a:xfrm>
                    <a:prstGeom prst="rect">
                      <a:avLst/>
                    </a:prstGeom>
                    <a:noFill/>
                    <a:ln w="9525">
                      <a:solidFill>
                        <a:schemeClr val="tx1"/>
                      </a:solidFill>
                      <a:miter lim="800000"/>
                      <a:headEnd/>
                      <a:tailEnd/>
                    </a:ln>
                  </pic:spPr>
                </pic:pic>
              </a:graphicData>
            </a:graphic>
          </wp:inline>
        </w:drawing>
      </w:r>
    </w:p>
    <w:p>
      <w:pPr>
        <w:spacing w:line="360" w:lineRule="auto"/>
        <w:jc w:val="center"/>
        <w:rPr>
          <w:b/>
          <w:sz w:val="24"/>
        </w:rPr>
      </w:pPr>
      <w:r>
        <w:rPr>
          <w:b/>
          <w:sz w:val="24"/>
        </w:rPr>
        <w:t>附图1 项目地理位置图</w:t>
      </w:r>
    </w:p>
    <w:p>
      <w:pPr>
        <w:widowControl/>
        <w:jc w:val="left"/>
        <w:rPr>
          <w:rFonts w:ascii="宋体" w:hAnsi="宋体" w:cs="宋体"/>
          <w:kern w:val="0"/>
          <w:sz w:val="24"/>
        </w:rPr>
        <w:sectPr>
          <w:footerReference r:id="rId7" w:type="default"/>
          <w:pgSz w:w="16838" w:h="11906" w:orient="landscape"/>
          <w:pgMar w:top="1236" w:right="1440" w:bottom="1236" w:left="1440" w:header="851" w:footer="992" w:gutter="0"/>
          <w:cols w:space="0" w:num="1"/>
          <w:docGrid w:type="lines" w:linePitch="319" w:charSpace="0"/>
        </w:sectPr>
      </w:pPr>
    </w:p>
    <w:p>
      <w:pPr>
        <w:spacing w:line="360" w:lineRule="auto"/>
        <w:jc w:val="center"/>
        <w:rPr>
          <w:b/>
          <w:sz w:val="24"/>
        </w:rPr>
      </w:pPr>
      <w:r>
        <w:rPr>
          <w:b/>
          <w:sz w:val="24"/>
        </w:rPr>
        <w:drawing>
          <wp:anchor distT="0" distB="0" distL="114300" distR="114300" simplePos="0" relativeHeight="251765760" behindDoc="0" locked="0" layoutInCell="1" allowOverlap="1">
            <wp:simplePos x="0" y="0"/>
            <wp:positionH relativeFrom="column">
              <wp:posOffset>5319395</wp:posOffset>
            </wp:positionH>
            <wp:positionV relativeFrom="paragraph">
              <wp:posOffset>157480</wp:posOffset>
            </wp:positionV>
            <wp:extent cx="611505" cy="835660"/>
            <wp:effectExtent l="19050" t="0" r="0" b="0"/>
            <wp:wrapNone/>
            <wp:docPr id="2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11570" cy="835572"/>
                    </a:xfrm>
                    <a:prstGeom prst="rect">
                      <a:avLst/>
                    </a:prstGeom>
                    <a:noFill/>
                    <a:ln>
                      <a:noFill/>
                    </a:ln>
                  </pic:spPr>
                </pic:pic>
              </a:graphicData>
            </a:graphic>
          </wp:anchor>
        </w:drawing>
      </w:r>
      <w:r>
        <w:rPr>
          <w:b/>
          <w:sz w:val="24"/>
        </w:rPr>
        <mc:AlternateContent>
          <mc:Choice Requires="wps">
            <w:drawing>
              <wp:anchor distT="0" distB="0" distL="114300" distR="114300" simplePos="0" relativeHeight="251664384" behindDoc="0" locked="0" layoutInCell="1" allowOverlap="1">
                <wp:simplePos x="0" y="0"/>
                <wp:positionH relativeFrom="column">
                  <wp:posOffset>-23495</wp:posOffset>
                </wp:positionH>
                <wp:positionV relativeFrom="paragraph">
                  <wp:posOffset>132715</wp:posOffset>
                </wp:positionV>
                <wp:extent cx="5983605" cy="7970520"/>
                <wp:effectExtent l="4445" t="5080" r="12700" b="6350"/>
                <wp:wrapNone/>
                <wp:docPr id="99" name="矩形 10"/>
                <wp:cNvGraphicFramePr/>
                <a:graphic xmlns:a="http://schemas.openxmlformats.org/drawingml/2006/main">
                  <a:graphicData uri="http://schemas.microsoft.com/office/word/2010/wordprocessingShape">
                    <wps:wsp>
                      <wps:cNvSpPr/>
                      <wps:spPr>
                        <a:xfrm>
                          <a:off x="0" y="0"/>
                          <a:ext cx="5983605" cy="797052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矩形 10" o:spid="_x0000_s1026" o:spt="1" style="position:absolute;left:0pt;margin-left:-1.85pt;margin-top:10.45pt;height:627.6pt;width:471.15pt;z-index:251664384;mso-width-relative:page;mso-height-relative:page;" filled="f" stroked="t" coordsize="21600,21600" o:gfxdata="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fBUhF2QAAAAoBAAAP&#10;AAAAAAAAAAEAIAAAACIAAABkcnMvZG93bnJldi54bWxQSwECFAAUAAAACACHTuJAeI0hlt4BAACq&#10;AwAADgAAAAAAAAABACAAAAAoAQAAZHJzL2Uyb0RvYy54bWxQSwUGAAAAAAYABgBZAQAAeAUAAAAA&#10;">
                <v:fill on="f" focussize="0,0"/>
                <v:stroke color="#000000" joinstyle="miter"/>
                <v:imagedata o:title=""/>
                <o:lock v:ext="edit" aspectratio="f"/>
              </v:rect>
            </w:pict>
          </mc:Fallback>
        </mc:AlternateContent>
      </w:r>
    </w:p>
    <w:p>
      <w:pPr>
        <w:spacing w:line="360" w:lineRule="auto"/>
        <w:jc w:val="center"/>
        <w:rPr>
          <w:b/>
          <w:sz w:val="24"/>
        </w:rPr>
      </w:pPr>
    </w:p>
    <w:p>
      <w:pPr>
        <w:spacing w:line="360" w:lineRule="auto"/>
        <w:jc w:val="center"/>
        <w:rPr>
          <w:b/>
          <w:sz w:val="24"/>
        </w:rPr>
      </w:pPr>
      <w:r>
        <w:rPr>
          <w:b/>
          <w:sz w:val="24"/>
        </w:rPr>
        <mc:AlternateContent>
          <mc:Choice Requires="wps">
            <w:drawing>
              <wp:anchor distT="0" distB="0" distL="114300" distR="114300" simplePos="0" relativeHeight="251672576" behindDoc="0" locked="0" layoutInCell="1" allowOverlap="1">
                <wp:simplePos x="0" y="0"/>
                <wp:positionH relativeFrom="column">
                  <wp:posOffset>2877185</wp:posOffset>
                </wp:positionH>
                <wp:positionV relativeFrom="paragraph">
                  <wp:posOffset>1018540</wp:posOffset>
                </wp:positionV>
                <wp:extent cx="1231900" cy="290830"/>
                <wp:effectExtent l="28575" t="144145" r="34925" b="155575"/>
                <wp:wrapNone/>
                <wp:docPr id="102" name="矩形 17"/>
                <wp:cNvGraphicFramePr/>
                <a:graphic xmlns:a="http://schemas.openxmlformats.org/drawingml/2006/main">
                  <a:graphicData uri="http://schemas.microsoft.com/office/word/2010/wordprocessingShape">
                    <wps:wsp>
                      <wps:cNvSpPr/>
                      <wps:spPr>
                        <a:xfrm rot="-767497">
                          <a:off x="0" y="0"/>
                          <a:ext cx="1231900" cy="290830"/>
                        </a:xfrm>
                        <a:prstGeom prst="rect">
                          <a:avLst/>
                        </a:prstGeom>
                        <a:noFill/>
                        <a:ln w="19050" cap="flat" cmpd="sng">
                          <a:solidFill>
                            <a:srgbClr val="000000"/>
                          </a:solidFill>
                          <a:prstDash val="solid"/>
                          <a:miter/>
                          <a:headEnd type="none" w="med" len="med"/>
                          <a:tailEnd type="none" w="med" len="med"/>
                        </a:ln>
                      </wps:spPr>
                      <wps:bodyPr upright="1"/>
                    </wps:wsp>
                  </a:graphicData>
                </a:graphic>
              </wp:anchor>
            </w:drawing>
          </mc:Choice>
          <mc:Fallback>
            <w:pict>
              <v:rect id="矩形 17" o:spid="_x0000_s1026" o:spt="1" style="position:absolute;left:0pt;margin-left:226.55pt;margin-top:80.2pt;height:22.9pt;width:97pt;rotation:-838311f;z-index:251672576;mso-width-relative:page;mso-height-relative:page;" filled="f" stroked="t" coordsize="21600,21600" o:gfxdata="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PWbuLbAAAACwEAAA8AAAAAAAAAAQAgAAAAIgAAAGRycy9kb3ducmV2LnhtbFBLAQIUABQAAAAI&#10;AIdO4kB0GCTi6gEAALkDAAAOAAAAAAAAAAEAIAAAACoBAABkcnMvZTJvRG9jLnhtbFBLBQYAAAAA&#10;BgAGAFkBAACGBQAAAAA=&#10;">
                <v:fill on="f" focussize="0,0"/>
                <v:stroke weight="1.5pt" color="#000000" joinstyle="miter"/>
                <v:imagedata o:title=""/>
                <o:lock v:ext="edit" aspectratio="f"/>
              </v:rect>
            </w:pict>
          </mc:Fallback>
        </mc:AlternateContent>
      </w:r>
      <w:r>
        <w:rPr>
          <w:b/>
          <w:sz w:val="24"/>
        </w:rPr>
        <mc:AlternateContent>
          <mc:Choice Requires="wps">
            <w:drawing>
              <wp:anchor distT="0" distB="0" distL="114300" distR="114300" simplePos="0" relativeHeight="251746304" behindDoc="0" locked="0" layoutInCell="1" allowOverlap="1">
                <wp:simplePos x="0" y="0"/>
                <wp:positionH relativeFrom="column">
                  <wp:posOffset>1001395</wp:posOffset>
                </wp:positionH>
                <wp:positionV relativeFrom="paragraph">
                  <wp:posOffset>508635</wp:posOffset>
                </wp:positionV>
                <wp:extent cx="3811905" cy="4975860"/>
                <wp:effectExtent l="9525" t="9525" r="26670" b="24765"/>
                <wp:wrapNone/>
                <wp:docPr id="145" name="任意多边形 182"/>
                <wp:cNvGraphicFramePr/>
                <a:graphic xmlns:a="http://schemas.openxmlformats.org/drawingml/2006/main">
                  <a:graphicData uri="http://schemas.microsoft.com/office/word/2010/wordprocessingShape">
                    <wps:wsp>
                      <wps:cNvSpPr/>
                      <wps:spPr>
                        <a:xfrm>
                          <a:off x="0" y="0"/>
                          <a:ext cx="3811905" cy="4975860"/>
                        </a:xfrm>
                        <a:custGeom>
                          <a:avLst/>
                          <a:gdLst/>
                          <a:ahLst/>
                          <a:cxnLst/>
                          <a:pathLst>
                            <a:path w="6003" h="7836">
                              <a:moveTo>
                                <a:pt x="0" y="1222"/>
                              </a:moveTo>
                              <a:lnTo>
                                <a:pt x="1894" y="7836"/>
                              </a:lnTo>
                              <a:lnTo>
                                <a:pt x="4856" y="7418"/>
                              </a:lnTo>
                              <a:lnTo>
                                <a:pt x="3961" y="4212"/>
                              </a:lnTo>
                              <a:lnTo>
                                <a:pt x="6003" y="3768"/>
                              </a:lnTo>
                              <a:lnTo>
                                <a:pt x="5079" y="0"/>
                              </a:lnTo>
                              <a:lnTo>
                                <a:pt x="0" y="1222"/>
                              </a:lnTo>
                              <a:close/>
                            </a:path>
                          </a:pathLst>
                        </a:custGeom>
                        <a:noFill/>
                        <a:ln w="19050" cap="flat" cmpd="sng">
                          <a:solidFill>
                            <a:srgbClr val="000000"/>
                          </a:solidFill>
                          <a:prstDash val="solid"/>
                          <a:headEnd type="none" w="med" len="med"/>
                          <a:tailEnd type="none" w="med" len="med"/>
                        </a:ln>
                      </wps:spPr>
                      <wps:bodyPr upright="1"/>
                    </wps:wsp>
                  </a:graphicData>
                </a:graphic>
              </wp:anchor>
            </w:drawing>
          </mc:Choice>
          <mc:Fallback>
            <w:pict>
              <v:shape id="任意多边形 182" o:spid="_x0000_s1026" o:spt="100" style="position:absolute;left:0pt;margin-left:78.85pt;margin-top:40.05pt;height:391.8pt;width:300.15pt;z-index:251746304;mso-width-relative:page;mso-height-relative:page;" filled="f" stroked="t" coordsize="6003,7836" o:gfxdata="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J9o0a9cAAAAKAQAADwAAAAAAAAABACAAAAAiAAAAZHJzL2Rvd25yZXYueG1s&#10;UEsBAhQAFAAAAAgAh07iQLedaIBrAgAAJAUAAA4AAAAAAAAAAQAgAAAAJgEAAGRycy9lMm9Eb2Mu&#10;eG1sUEsFBgAAAAAGAAYAWQEAAAMGAAAAAA==&#10;" path="m0,1222l1894,7836,4856,7418,3961,4212,6003,3768,5079,0,0,1222xe">
                <v:fill on="f" focussize="0,0"/>
                <v:stroke weight="1.5pt" color="#000000" joinstyle="round"/>
                <v:imagedata o:title=""/>
                <o:lock v:ext="edit" aspectratio="f"/>
              </v:shape>
            </w:pict>
          </mc:Fallback>
        </mc:AlternateContent>
      </w:r>
    </w:p>
    <w:p>
      <w:pPr>
        <w:spacing w:line="360" w:lineRule="auto"/>
        <w:jc w:val="center"/>
        <w:rPr>
          <w:b/>
          <w:sz w:val="24"/>
        </w:rPr>
      </w:pPr>
      <w:r>
        <w:rPr>
          <w:b/>
          <w:sz w:val="24"/>
        </w:rPr>
        <w:drawing>
          <wp:anchor distT="0" distB="0" distL="114300" distR="114300" simplePos="0" relativeHeight="251763712" behindDoc="0" locked="0" layoutInCell="1" allowOverlap="1">
            <wp:simplePos x="0" y="0"/>
            <wp:positionH relativeFrom="column">
              <wp:posOffset>8577580</wp:posOffset>
            </wp:positionH>
            <wp:positionV relativeFrom="paragraph">
              <wp:posOffset>-837565</wp:posOffset>
            </wp:positionV>
            <wp:extent cx="595630" cy="835660"/>
            <wp:effectExtent l="19050" t="0" r="0" b="0"/>
            <wp:wrapNone/>
            <wp:docPr id="2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5100" cy="832514"/>
                    </a:xfrm>
                    <a:prstGeom prst="rect">
                      <a:avLst/>
                    </a:prstGeom>
                    <a:noFill/>
                    <a:ln>
                      <a:noFill/>
                    </a:ln>
                  </pic:spPr>
                </pic:pic>
              </a:graphicData>
            </a:graphic>
          </wp:anchor>
        </w:drawing>
      </w:r>
    </w:p>
    <w:p>
      <w:pPr>
        <w:spacing w:line="360" w:lineRule="auto"/>
        <w:jc w:val="center"/>
        <w:rPr>
          <w:b/>
          <w:sz w:val="24"/>
        </w:rPr>
      </w:pPr>
      <w:r>
        <w:rPr>
          <w:b/>
          <w:sz w:val="24"/>
        </w:rPr>
        <mc:AlternateContent>
          <mc:Choice Requires="wps">
            <w:drawing>
              <wp:anchor distT="0" distB="0" distL="114300" distR="114300" simplePos="0" relativeHeight="251683840" behindDoc="0" locked="0" layoutInCell="1" allowOverlap="1">
                <wp:simplePos x="0" y="0"/>
                <wp:positionH relativeFrom="column">
                  <wp:posOffset>1936750</wp:posOffset>
                </wp:positionH>
                <wp:positionV relativeFrom="paragraph">
                  <wp:posOffset>241300</wp:posOffset>
                </wp:positionV>
                <wp:extent cx="563245" cy="289560"/>
                <wp:effectExtent l="0" t="0" r="8255" b="15240"/>
                <wp:wrapNone/>
                <wp:docPr id="109" name="文本框 28"/>
                <wp:cNvGraphicFramePr/>
                <a:graphic xmlns:a="http://schemas.openxmlformats.org/drawingml/2006/main">
                  <a:graphicData uri="http://schemas.microsoft.com/office/word/2010/wordprocessingShape">
                    <wps:wsp>
                      <wps:cNvSpPr txBox="1"/>
                      <wps:spPr>
                        <a:xfrm>
                          <a:off x="0" y="0"/>
                          <a:ext cx="563245" cy="289560"/>
                        </a:xfrm>
                        <a:prstGeom prst="rect">
                          <a:avLst/>
                        </a:prstGeom>
                        <a:solidFill>
                          <a:schemeClr val="bg1"/>
                        </a:solidFill>
                        <a:ln w="9525">
                          <a:noFill/>
                        </a:ln>
                      </wps:spPr>
                      <wps:txbx>
                        <w:txbxContent>
                          <w:p>
                            <w:pPr>
                              <w:rPr>
                                <w:b/>
                                <w:szCs w:val="21"/>
                              </w:rPr>
                            </w:pPr>
                            <w:r>
                              <w:rPr>
                                <w:rFonts w:hint="eastAsia"/>
                                <w:b/>
                                <w:szCs w:val="21"/>
                              </w:rPr>
                              <w:t>大门</w:t>
                            </w:r>
                          </w:p>
                        </w:txbxContent>
                      </wps:txbx>
                      <wps:bodyPr upright="1"/>
                    </wps:wsp>
                  </a:graphicData>
                </a:graphic>
              </wp:anchor>
            </w:drawing>
          </mc:Choice>
          <mc:Fallback>
            <w:pict>
              <v:shape id="文本框 28" o:spid="_x0000_s1026" o:spt="202" type="#_x0000_t202" style="position:absolute;left:0pt;margin-left:152.5pt;margin-top:19pt;height:22.8pt;width:44.35pt;z-index:251683840;mso-width-relative:page;mso-height-relative:page;" fillcolor="#FFFFFF [3212]" filled="t" stroked="f" coordsize="21600,21600" o:gfxdata="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6pfQ&#10;ldgAAAAJAQAADwAAAAAAAAABACAAAAAiAAAAZHJzL2Rvd25yZXYueG1sUEsBAhQAFAAAAAgAh07i&#10;QCduJdywAQAANAMAAA4AAAAAAAAAAQAgAAAAJwEAAGRycy9lMm9Eb2MueG1sUEsFBgAAAAAGAAYA&#10;WQEAAEkFAAAAAA==&#10;">
                <v:fill on="t" focussize="0,0"/>
                <v:stroke on="f"/>
                <v:imagedata o:title=""/>
                <o:lock v:ext="edit" aspectratio="f"/>
                <v:textbox>
                  <w:txbxContent>
                    <w:p>
                      <w:pPr>
                        <w:rPr>
                          <w:b/>
                          <w:szCs w:val="21"/>
                        </w:rPr>
                      </w:pPr>
                      <w:r>
                        <w:rPr>
                          <w:rFonts w:hint="eastAsia"/>
                          <w:b/>
                          <w:szCs w:val="21"/>
                        </w:rPr>
                        <w:t>大门</w:t>
                      </w:r>
                    </w:p>
                  </w:txbxContent>
                </v:textbox>
              </v:shape>
            </w:pict>
          </mc:Fallback>
        </mc:AlternateContent>
      </w:r>
    </w:p>
    <w:p>
      <w:pPr>
        <w:spacing w:line="360" w:lineRule="auto"/>
        <w:jc w:val="center"/>
        <w:rPr>
          <w:b/>
          <w:sz w:val="24"/>
        </w:rPr>
      </w:pPr>
      <w:r>
        <w:rPr>
          <w:b/>
          <w:sz w:val="24"/>
        </w:rPr>
        <mc:AlternateContent>
          <mc:Choice Requires="wps">
            <w:drawing>
              <wp:anchor distT="0" distB="0" distL="114300" distR="114300" simplePos="0" relativeHeight="251677696" behindDoc="0" locked="0" layoutInCell="1" allowOverlap="1">
                <wp:simplePos x="0" y="0"/>
                <wp:positionH relativeFrom="column">
                  <wp:posOffset>3058160</wp:posOffset>
                </wp:positionH>
                <wp:positionV relativeFrom="paragraph">
                  <wp:posOffset>98425</wp:posOffset>
                </wp:positionV>
                <wp:extent cx="1070610" cy="342900"/>
                <wp:effectExtent l="0" t="0" r="0" b="0"/>
                <wp:wrapNone/>
                <wp:docPr id="104" name="文本框 22"/>
                <wp:cNvGraphicFramePr/>
                <a:graphic xmlns:a="http://schemas.openxmlformats.org/drawingml/2006/main">
                  <a:graphicData uri="http://schemas.microsoft.com/office/word/2010/wordprocessingShape">
                    <wps:wsp>
                      <wps:cNvSpPr txBox="1"/>
                      <wps:spPr>
                        <a:xfrm>
                          <a:off x="0" y="0"/>
                          <a:ext cx="1070610" cy="342900"/>
                        </a:xfrm>
                        <a:prstGeom prst="rect">
                          <a:avLst/>
                        </a:prstGeom>
                        <a:noFill/>
                        <a:ln w="9525">
                          <a:noFill/>
                        </a:ln>
                      </wps:spPr>
                      <wps:txbx>
                        <w:txbxContent>
                          <w:p>
                            <w:pPr>
                              <w:spacing w:line="0" w:lineRule="atLeast"/>
                              <w:rPr>
                                <w:b/>
                                <w:sz w:val="28"/>
                                <w:szCs w:val="28"/>
                              </w:rPr>
                            </w:pPr>
                            <w:r>
                              <w:rPr>
                                <w:b/>
                                <w:sz w:val="28"/>
                                <w:szCs w:val="28"/>
                              </w:rPr>
                              <w:t>办公室</w:t>
                            </w:r>
                          </w:p>
                        </w:txbxContent>
                      </wps:txbx>
                      <wps:bodyPr upright="1"/>
                    </wps:wsp>
                  </a:graphicData>
                </a:graphic>
              </wp:anchor>
            </w:drawing>
          </mc:Choice>
          <mc:Fallback>
            <w:pict>
              <v:shape id="文本框 22" o:spid="_x0000_s1026" o:spt="202" type="#_x0000_t202" style="position:absolute;left:0pt;margin-left:240.8pt;margin-top:7.75pt;height:27pt;width:84.3pt;z-index:251677696;mso-width-relative:page;mso-height-relative:page;" filled="f" stroked="f" coordsize="21600,21600" o:gfxdata="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A4TXFX1gAAAAkBAAAPAAAAAAAAAAEAIAAAACIAAABk&#10;cnMvZG93bnJldi54bWxQSwECFAAUAAAACACHTuJAgRHrtpYBAAAMAwAADgAAAAAAAAABACAAAAAl&#10;AQAAZHJzL2Uyb0RvYy54bWxQSwUGAAAAAAYABgBZAQAALQUAAAAA&#10;">
                <v:fill on="f" focussize="0,0"/>
                <v:stroke on="f"/>
                <v:imagedata o:title=""/>
                <o:lock v:ext="edit" aspectratio="f"/>
                <v:textbox>
                  <w:txbxContent>
                    <w:p>
                      <w:pPr>
                        <w:spacing w:line="0" w:lineRule="atLeast"/>
                        <w:rPr>
                          <w:b/>
                          <w:sz w:val="28"/>
                          <w:szCs w:val="28"/>
                        </w:rPr>
                      </w:pPr>
                      <w:r>
                        <w:rPr>
                          <w:b/>
                          <w:sz w:val="28"/>
                          <w:szCs w:val="28"/>
                        </w:rPr>
                        <w:t>办公室</w:t>
                      </w:r>
                    </w:p>
                  </w:txbxContent>
                </v:textbox>
              </v:shape>
            </w:pict>
          </mc:Fallback>
        </mc:AlternateContent>
      </w:r>
    </w:p>
    <w:p>
      <w:pPr>
        <w:spacing w:line="360" w:lineRule="auto"/>
        <w:jc w:val="center"/>
        <w:rPr>
          <w:b/>
          <w:sz w:val="24"/>
        </w:rPr>
      </w:pPr>
      <w:r>
        <w:rPr>
          <w:b/>
          <w:sz w:val="24"/>
        </w:rPr>
        <mc:AlternateContent>
          <mc:Choice Requires="wps">
            <w:drawing>
              <wp:anchor distT="0" distB="0" distL="114300" distR="114300" simplePos="0" relativeHeight="251711488" behindDoc="0" locked="0" layoutInCell="1" allowOverlap="1">
                <wp:simplePos x="0" y="0"/>
                <wp:positionH relativeFrom="column">
                  <wp:posOffset>2967355</wp:posOffset>
                </wp:positionH>
                <wp:positionV relativeFrom="paragraph">
                  <wp:posOffset>294005</wp:posOffset>
                </wp:positionV>
                <wp:extent cx="1529715" cy="1409065"/>
                <wp:effectExtent l="172720" t="156845" r="189865" b="161290"/>
                <wp:wrapNone/>
                <wp:docPr id="116" name="矩形 104"/>
                <wp:cNvGraphicFramePr/>
                <a:graphic xmlns:a="http://schemas.openxmlformats.org/drawingml/2006/main">
                  <a:graphicData uri="http://schemas.microsoft.com/office/word/2010/wordprocessingShape">
                    <wps:wsp>
                      <wps:cNvSpPr/>
                      <wps:spPr>
                        <a:xfrm rot="4576556">
                          <a:off x="0" y="0"/>
                          <a:ext cx="1529715" cy="1409065"/>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矩形 104" o:spid="_x0000_s1026" o:spt="1" style="position:absolute;left:0pt;margin-left:233.65pt;margin-top:23.15pt;height:110.95pt;width:120.45pt;rotation:4998820f;z-index:251711488;mso-width-relative:page;mso-height-relative:page;" filled="f" stroked="t" coordsize="21600,21600" o:gfxdata="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YX/YDYAAAACgEAAA8AAAAAAAAAAQAgAAAAIgAAAGRycy9kb3ducmV2LnhtbFBLAQIUABQAAAAI&#10;AIdO4kBwHtmc7QEAALsDAAAOAAAAAAAAAAEAIAAAACcBAABkcnMvZTJvRG9jLnhtbFBLBQYAAAAA&#10;BgAGAFkBAACGBQAAAAA=&#10;">
                <v:fill on="f" focussize="0,0"/>
                <v:stroke weight="1.5pt" color="#FF0000" joinstyle="miter"/>
                <v:imagedata o:title=""/>
                <o:lock v:ext="edit" aspectratio="f"/>
              </v:rect>
            </w:pict>
          </mc:Fallback>
        </mc:AlternateContent>
      </w:r>
    </w:p>
    <w:p>
      <w:pPr>
        <w:spacing w:line="360" w:lineRule="auto"/>
        <w:jc w:val="center"/>
        <w:rPr>
          <w:b/>
          <w:sz w:val="24"/>
        </w:rPr>
      </w:pPr>
    </w:p>
    <w:p>
      <w:pPr>
        <w:spacing w:line="360" w:lineRule="auto"/>
        <w:jc w:val="center"/>
        <w:rPr>
          <w:b/>
          <w:sz w:val="24"/>
        </w:rPr>
      </w:pPr>
      <w:r>
        <w:rPr>
          <w:b/>
          <w:sz w:val="24"/>
        </w:rPr>
        <mc:AlternateContent>
          <mc:Choice Requires="wps">
            <w:drawing>
              <wp:anchor distT="0" distB="0" distL="114300" distR="114300" simplePos="0" relativeHeight="251673600" behindDoc="0" locked="0" layoutInCell="1" allowOverlap="1">
                <wp:simplePos x="0" y="0"/>
                <wp:positionH relativeFrom="column">
                  <wp:posOffset>1543685</wp:posOffset>
                </wp:positionH>
                <wp:positionV relativeFrom="paragraph">
                  <wp:posOffset>236855</wp:posOffset>
                </wp:positionV>
                <wp:extent cx="828040" cy="1445895"/>
                <wp:effectExtent l="167005" t="87630" r="167005" b="104775"/>
                <wp:wrapNone/>
                <wp:docPr id="103" name="矩形 18"/>
                <wp:cNvGraphicFramePr/>
                <a:graphic xmlns:a="http://schemas.openxmlformats.org/drawingml/2006/main">
                  <a:graphicData uri="http://schemas.microsoft.com/office/word/2010/wordprocessingShape">
                    <wps:wsp>
                      <wps:cNvSpPr/>
                      <wps:spPr>
                        <a:xfrm rot="-799428">
                          <a:off x="0" y="0"/>
                          <a:ext cx="828040" cy="1445895"/>
                        </a:xfrm>
                        <a:prstGeom prst="rect">
                          <a:avLst/>
                        </a:prstGeom>
                        <a:noFill/>
                        <a:ln w="19050" cap="flat" cmpd="sng">
                          <a:solidFill>
                            <a:srgbClr val="000000"/>
                          </a:solidFill>
                          <a:prstDash val="solid"/>
                          <a:miter/>
                          <a:headEnd type="none" w="med" len="med"/>
                          <a:tailEnd type="none" w="med" len="med"/>
                        </a:ln>
                      </wps:spPr>
                      <wps:bodyPr upright="1"/>
                    </wps:wsp>
                  </a:graphicData>
                </a:graphic>
              </wp:anchor>
            </w:drawing>
          </mc:Choice>
          <mc:Fallback>
            <w:pict>
              <v:rect id="矩形 18" o:spid="_x0000_s1026" o:spt="1" style="position:absolute;left:0pt;margin-left:121.55pt;margin-top:18.65pt;height:113.85pt;width:65.2pt;rotation:-873189f;z-index:251673600;mso-width-relative:page;mso-height-relative:page;" filled="f" stroked="t" coordsize="21600,21600" o:gfxdata="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vzz4/W&#10;AAAACgEAAA8AAAAAAAAAAQAgAAAAIgAAAGRycy9kb3ducmV2LnhtbFBLAQIUABQAAAAIAIdO4kCG&#10;pjQX6QEAALkDAAAOAAAAAAAAAAEAIAAAACUBAABkcnMvZTJvRG9jLnhtbFBLBQYAAAAABgAGAFkB&#10;AACABQAAAAA=&#10;">
                <v:fill on="f" focussize="0,0"/>
                <v:stroke weight="1.5pt" color="#000000" joinstyle="miter"/>
                <v:imagedata o:title=""/>
                <o:lock v:ext="edit" aspectratio="f"/>
              </v:rect>
            </w:pict>
          </mc:Fallback>
        </mc:AlternateContent>
      </w:r>
      <w:r>
        <w:rPr>
          <w:b/>
          <w:sz w:val="24"/>
        </w:rPr>
        <mc:AlternateContent>
          <mc:Choice Requires="wps">
            <w:drawing>
              <wp:anchor distT="0" distB="0" distL="114300" distR="114300" simplePos="0" relativeHeight="251710464" behindDoc="0" locked="0" layoutInCell="1" allowOverlap="1">
                <wp:simplePos x="0" y="0"/>
                <wp:positionH relativeFrom="column">
                  <wp:posOffset>1419860</wp:posOffset>
                </wp:positionH>
                <wp:positionV relativeFrom="paragraph">
                  <wp:posOffset>273685</wp:posOffset>
                </wp:positionV>
                <wp:extent cx="763905" cy="119380"/>
                <wp:effectExtent l="14605" t="100965" r="21590" b="103505"/>
                <wp:wrapNone/>
                <wp:docPr id="115" name="矩形 103"/>
                <wp:cNvGraphicFramePr/>
                <a:graphic xmlns:a="http://schemas.openxmlformats.org/drawingml/2006/main">
                  <a:graphicData uri="http://schemas.microsoft.com/office/word/2010/wordprocessingShape">
                    <wps:wsp>
                      <wps:cNvSpPr/>
                      <wps:spPr>
                        <a:xfrm rot="9970018">
                          <a:off x="0" y="0"/>
                          <a:ext cx="763905" cy="119380"/>
                        </a:xfrm>
                        <a:prstGeom prst="rect">
                          <a:avLst/>
                        </a:prstGeom>
                        <a:solidFill>
                          <a:srgbClr val="FF0000"/>
                        </a:solidFill>
                        <a:ln w="19050" cap="flat" cmpd="sng">
                          <a:solidFill>
                            <a:srgbClr val="FF0000"/>
                          </a:solidFill>
                          <a:prstDash val="solid"/>
                          <a:miter/>
                          <a:headEnd type="none" w="med" len="med"/>
                          <a:tailEnd type="none" w="med" len="med"/>
                        </a:ln>
                      </wps:spPr>
                      <wps:bodyPr upright="1"/>
                    </wps:wsp>
                  </a:graphicData>
                </a:graphic>
              </wp:anchor>
            </w:drawing>
          </mc:Choice>
          <mc:Fallback>
            <w:pict>
              <v:rect id="矩形 103" o:spid="_x0000_s1026" o:spt="1" style="position:absolute;left:0pt;margin-left:111.8pt;margin-top:21.55pt;height:9.4pt;width:60.15pt;rotation:10889918f;z-index:251710464;mso-width-relative:page;mso-height-relative:page;" fillcolor="#FF0000" filled="t" stroked="t" coordsize="21600,21600" o:gfxdata="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beuLvcAAAACQEAAA8AAAAAAAAAAQAgAAAAIgAAAGRycy9kb3ducmV2LnhtbFBLAQIUABQA&#10;AAAIAIdO4kCSWuIN7AEAAOIDAAAOAAAAAAAAAAEAIAAAACsBAABkcnMvZTJvRG9jLnhtbFBLBQYA&#10;AAAABgAGAFkBAACJBQAAAAA=&#10;">
                <v:fill on="t" focussize="0,0"/>
                <v:stroke weight="1.5pt" color="#FF0000" joinstyle="miter"/>
                <v:imagedata o:title=""/>
                <o:lock v:ext="edit" aspectratio="f"/>
              </v:rect>
            </w:pict>
          </mc:Fallback>
        </mc:AlternateContent>
      </w:r>
      <w:r>
        <w:rPr>
          <w:b/>
          <w:sz w:val="24"/>
        </w:rPr>
        <mc:AlternateContent>
          <mc:Choice Requires="wps">
            <w:drawing>
              <wp:anchor distT="0" distB="0" distL="114300" distR="114300" simplePos="0" relativeHeight="251680768" behindDoc="0" locked="0" layoutInCell="1" allowOverlap="1">
                <wp:simplePos x="0" y="0"/>
                <wp:positionH relativeFrom="column">
                  <wp:posOffset>3383915</wp:posOffset>
                </wp:positionH>
                <wp:positionV relativeFrom="paragraph">
                  <wp:posOffset>280670</wp:posOffset>
                </wp:positionV>
                <wp:extent cx="658495" cy="378460"/>
                <wp:effectExtent l="0" t="0" r="0" b="0"/>
                <wp:wrapNone/>
                <wp:docPr id="107" name="文本框 25"/>
                <wp:cNvGraphicFramePr/>
                <a:graphic xmlns:a="http://schemas.openxmlformats.org/drawingml/2006/main">
                  <a:graphicData uri="http://schemas.microsoft.com/office/word/2010/wordprocessingShape">
                    <wps:wsp>
                      <wps:cNvSpPr txBox="1"/>
                      <wps:spPr>
                        <a:xfrm>
                          <a:off x="0" y="0"/>
                          <a:ext cx="658495" cy="378460"/>
                        </a:xfrm>
                        <a:prstGeom prst="rect">
                          <a:avLst/>
                        </a:prstGeom>
                        <a:noFill/>
                        <a:ln w="9525">
                          <a:noFill/>
                        </a:ln>
                      </wps:spPr>
                      <wps:txbx>
                        <w:txbxContent>
                          <w:p>
                            <w:pPr>
                              <w:rPr>
                                <w:sz w:val="24"/>
                              </w:rPr>
                            </w:pPr>
                            <w:r>
                              <w:rPr>
                                <w:rFonts w:hint="eastAsia"/>
                                <w:b/>
                                <w:sz w:val="24"/>
                              </w:rPr>
                              <w:t>停车场</w:t>
                            </w:r>
                          </w:p>
                        </w:txbxContent>
                      </wps:txbx>
                      <wps:bodyPr upright="1"/>
                    </wps:wsp>
                  </a:graphicData>
                </a:graphic>
              </wp:anchor>
            </w:drawing>
          </mc:Choice>
          <mc:Fallback>
            <w:pict>
              <v:shape id="文本框 25" o:spid="_x0000_s1026" o:spt="202" type="#_x0000_t202" style="position:absolute;left:0pt;margin-left:266.45pt;margin-top:22.1pt;height:29.8pt;width:51.85pt;z-index:251680768;mso-width-relative:page;mso-height-relative:page;" filled="f" stroked="f" coordsize="21600,21600" o:gfxdata="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qFhHUdcAAAAKAQAADwAAAAAAAAABACAAAAAi&#10;AAAAZHJzL2Rvd25yZXYueG1sUEsBAhQAFAAAAAgAh07iQKZrU5aZAQAACwMAAA4AAAAAAAAAAQAg&#10;AAAAJgEAAGRycy9lMm9Eb2MueG1sUEsFBgAAAAAGAAYAWQEAADEFAAAAAA==&#10;">
                <v:fill on="f" focussize="0,0"/>
                <v:stroke on="f"/>
                <v:imagedata o:title=""/>
                <o:lock v:ext="edit" aspectratio="f"/>
                <v:textbox>
                  <w:txbxContent>
                    <w:p>
                      <w:pPr>
                        <w:rPr>
                          <w:sz w:val="24"/>
                        </w:rPr>
                      </w:pPr>
                      <w:r>
                        <w:rPr>
                          <w:rFonts w:hint="eastAsia"/>
                          <w:b/>
                          <w:sz w:val="24"/>
                        </w:rPr>
                        <w:t>停车场</w:t>
                      </w:r>
                    </w:p>
                  </w:txbxContent>
                </v:textbox>
              </v:shape>
            </w:pict>
          </mc:Fallback>
        </mc:AlternateContent>
      </w:r>
      <w:r>
        <w:rPr>
          <w:b/>
          <w:sz w:val="24"/>
        </w:rPr>
        <mc:AlternateContent>
          <mc:Choice Requires="wps">
            <w:drawing>
              <wp:anchor distT="0" distB="0" distL="114300" distR="114300" simplePos="0" relativeHeight="251750400" behindDoc="0" locked="0" layoutInCell="1" allowOverlap="1">
                <wp:simplePos x="0" y="0"/>
                <wp:positionH relativeFrom="column">
                  <wp:posOffset>1395095</wp:posOffset>
                </wp:positionH>
                <wp:positionV relativeFrom="paragraph">
                  <wp:posOffset>327025</wp:posOffset>
                </wp:positionV>
                <wp:extent cx="1007745" cy="802005"/>
                <wp:effectExtent l="119380" t="92075" r="126365" b="100330"/>
                <wp:wrapNone/>
                <wp:docPr id="148" name="矩形 186"/>
                <wp:cNvGraphicFramePr/>
                <a:graphic xmlns:a="http://schemas.openxmlformats.org/drawingml/2006/main">
                  <a:graphicData uri="http://schemas.microsoft.com/office/word/2010/wordprocessingShape">
                    <wps:wsp>
                      <wps:cNvSpPr/>
                      <wps:spPr>
                        <a:xfrm rot="4576556">
                          <a:off x="0" y="0"/>
                          <a:ext cx="1007745" cy="802005"/>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矩形 186" o:spid="_x0000_s1026" o:spt="1" style="position:absolute;left:0pt;margin-left:109.85pt;margin-top:25.75pt;height:63.15pt;width:79.35pt;rotation:4998820f;z-index:251750400;mso-width-relative:page;mso-height-relative:page;" filled="f" stroked="t" coordsize="21600,21600" o:gfxdata="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qm3HjZAAAACgEAAA8AAAAAAAAAAQAgAAAAIgAAAGRycy9kb3ducmV2LnhtbFBLAQIUABQAAAAI&#10;AIdO4kDF9EE07AEAALoDAAAOAAAAAAAAAAEAIAAAACgBAABkcnMvZTJvRG9jLnhtbFBLBQYAAAAA&#10;BgAGAFkBAACGBQAAAAA=&#10;">
                <v:fill on="f" focussize="0,0"/>
                <v:stroke weight="1.5pt" color="#FF0000" joinstyle="miter"/>
                <v:imagedata o:title=""/>
                <o:lock v:ext="edit" aspectratio="f"/>
              </v:rect>
            </w:pict>
          </mc:Fallback>
        </mc:AlternateContent>
      </w:r>
    </w:p>
    <w:p>
      <w:pPr>
        <w:tabs>
          <w:tab w:val="left" w:pos="3591"/>
          <w:tab w:val="center" w:pos="6979"/>
        </w:tabs>
        <w:spacing w:line="360" w:lineRule="auto"/>
        <w:jc w:val="left"/>
        <w:rPr>
          <w:b/>
          <w:sz w:val="24"/>
        </w:rPr>
      </w:pPr>
      <w:r>
        <w:rPr>
          <w:b/>
          <w:sz w:val="24"/>
        </w:rPr>
        <mc:AlternateContent>
          <mc:Choice Requires="wps">
            <w:drawing>
              <wp:anchor distT="0" distB="0" distL="114300" distR="114300" simplePos="0" relativeHeight="251759616" behindDoc="0" locked="0" layoutInCell="1" allowOverlap="1">
                <wp:simplePos x="0" y="0"/>
                <wp:positionH relativeFrom="column">
                  <wp:posOffset>2395855</wp:posOffset>
                </wp:positionH>
                <wp:positionV relativeFrom="paragraph">
                  <wp:posOffset>239395</wp:posOffset>
                </wp:positionV>
                <wp:extent cx="744855" cy="688975"/>
                <wp:effectExtent l="9525" t="9525" r="26670" b="25400"/>
                <wp:wrapNone/>
                <wp:docPr id="152" name="任意多边形 198"/>
                <wp:cNvGraphicFramePr/>
                <a:graphic xmlns:a="http://schemas.openxmlformats.org/drawingml/2006/main">
                  <a:graphicData uri="http://schemas.microsoft.com/office/word/2010/wordprocessingShape">
                    <wps:wsp>
                      <wps:cNvSpPr/>
                      <wps:spPr>
                        <a:xfrm>
                          <a:off x="0" y="0"/>
                          <a:ext cx="744855" cy="688975"/>
                        </a:xfrm>
                        <a:custGeom>
                          <a:avLst/>
                          <a:gdLst/>
                          <a:ahLst/>
                          <a:cxnLst/>
                          <a:pathLst>
                            <a:path w="1173" h="1085">
                              <a:moveTo>
                                <a:pt x="0" y="564"/>
                              </a:moveTo>
                              <a:lnTo>
                                <a:pt x="556" y="474"/>
                              </a:lnTo>
                              <a:lnTo>
                                <a:pt x="513" y="75"/>
                              </a:lnTo>
                              <a:lnTo>
                                <a:pt x="1001" y="0"/>
                              </a:lnTo>
                              <a:lnTo>
                                <a:pt x="1173" y="870"/>
                              </a:lnTo>
                              <a:lnTo>
                                <a:pt x="125" y="1085"/>
                              </a:lnTo>
                              <a:lnTo>
                                <a:pt x="0" y="564"/>
                              </a:lnTo>
                              <a:close/>
                            </a:path>
                          </a:pathLst>
                        </a:custGeom>
                        <a:noFill/>
                        <a:ln w="19050" cap="flat" cmpd="sng">
                          <a:solidFill>
                            <a:srgbClr val="FF0000"/>
                          </a:solidFill>
                          <a:prstDash val="solid"/>
                          <a:headEnd type="none" w="med" len="med"/>
                          <a:tailEnd type="none" w="med" len="med"/>
                        </a:ln>
                      </wps:spPr>
                      <wps:bodyPr upright="1"/>
                    </wps:wsp>
                  </a:graphicData>
                </a:graphic>
              </wp:anchor>
            </w:drawing>
          </mc:Choice>
          <mc:Fallback>
            <w:pict>
              <v:shape id="任意多边形 198" o:spid="_x0000_s1026" o:spt="100" style="position:absolute;left:0pt;margin-left:188.65pt;margin-top:18.85pt;height:54.25pt;width:58.65pt;z-index:251759616;mso-width-relative:page;mso-height-relative:page;" filled="f" stroked="t" coordsize="1173,1085" o:gfxdata="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JBR09cAAAAKAQAADwAAAAAAAAABACAAAAAiAAAAZHJzL2Rvd25yZXYueG1sUEsBAhQA&#10;FAAAAAgAh07iQHwoB1JlAgAAGQUAAA4AAAAAAAAAAQAgAAAAJgEAAGRycy9lMm9Eb2MueG1sUEsF&#10;BgAAAAAGAAYAWQEAAP0FAAAAAA==&#10;" path="m0,564l556,474,513,75,1001,0,1173,870,125,1085,0,564xe">
                <v:fill on="f" focussize="0,0"/>
                <v:stroke weight="1.5pt" color="#FF0000" joinstyle="round"/>
                <v:imagedata o:title=""/>
                <o:lock v:ext="edit" aspectratio="f"/>
              </v:shape>
            </w:pict>
          </mc:Fallback>
        </mc:AlternateContent>
      </w:r>
      <w:r>
        <w:rPr>
          <w:b/>
          <w:sz w:val="24"/>
        </w:rPr>
        <mc:AlternateContent>
          <mc:Choice Requires="wps">
            <w:drawing>
              <wp:anchor distT="0" distB="0" distL="114300" distR="114300" simplePos="0" relativeHeight="251712512" behindDoc="0" locked="0" layoutInCell="1" allowOverlap="1">
                <wp:simplePos x="0" y="0"/>
                <wp:positionH relativeFrom="column">
                  <wp:posOffset>1493520</wp:posOffset>
                </wp:positionH>
                <wp:positionV relativeFrom="paragraph">
                  <wp:posOffset>88265</wp:posOffset>
                </wp:positionV>
                <wp:extent cx="802005" cy="447675"/>
                <wp:effectExtent l="49530" t="90805" r="62865" b="90170"/>
                <wp:wrapNone/>
                <wp:docPr id="117" name="矩形 105"/>
                <wp:cNvGraphicFramePr/>
                <a:graphic xmlns:a="http://schemas.openxmlformats.org/drawingml/2006/main">
                  <a:graphicData uri="http://schemas.microsoft.com/office/word/2010/wordprocessingShape">
                    <wps:wsp>
                      <wps:cNvSpPr/>
                      <wps:spPr>
                        <a:xfrm rot="10071980">
                          <a:off x="0" y="0"/>
                          <a:ext cx="802005" cy="447675"/>
                        </a:xfrm>
                        <a:prstGeom prst="rect">
                          <a:avLst/>
                        </a:prstGeom>
                        <a:solidFill>
                          <a:srgbClr val="FFFF00"/>
                        </a:solidFill>
                        <a:ln w="19050" cap="flat" cmpd="sng">
                          <a:solidFill>
                            <a:srgbClr val="FFFF00"/>
                          </a:solidFill>
                          <a:prstDash val="solid"/>
                          <a:miter/>
                          <a:headEnd type="none" w="med" len="med"/>
                          <a:tailEnd type="none" w="med" len="med"/>
                        </a:ln>
                      </wps:spPr>
                      <wps:bodyPr upright="1"/>
                    </wps:wsp>
                  </a:graphicData>
                </a:graphic>
              </wp:anchor>
            </w:drawing>
          </mc:Choice>
          <mc:Fallback>
            <w:pict>
              <v:rect id="矩形 105" o:spid="_x0000_s1026" o:spt="1" style="position:absolute;left:0pt;margin-left:117.6pt;margin-top:6.95pt;height:35.25pt;width:63.15pt;rotation:11001288f;z-index:251712512;mso-width-relative:page;mso-height-relative:page;" fillcolor="#FFFF00" filled="t" stroked="t" coordsize="21600,21600" o:gfxdata="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2&#10;qkEg1wAAAAkBAAAPAAAAAAAAAAEAIAAAACIAAABkcnMvZG93bnJldi54bWxQSwECFAAUAAAACACH&#10;TuJApK9Ms+wBAADjAwAADgAAAAAAAAABACAAAAAmAQAAZHJzL2Uyb0RvYy54bWxQSwUGAAAAAAYA&#10;BgBZAQAAhAUAAAAA&#10;">
                <v:fill on="t" focussize="0,0"/>
                <v:stroke weight="1.5pt" color="#FFFF00" joinstyle="miter"/>
                <v:imagedata o:title=""/>
                <o:lock v:ext="edit" aspectratio="f"/>
              </v:rect>
            </w:pict>
          </mc:Fallback>
        </mc:AlternateContent>
      </w:r>
      <w:r>
        <w:rPr>
          <w:b/>
          <w:sz w:val="24"/>
        </w:rPr>
        <mc:AlternateContent>
          <mc:Choice Requires="wps">
            <w:drawing>
              <wp:anchor distT="0" distB="0" distL="114300" distR="114300" simplePos="0" relativeHeight="251709440" behindDoc="0" locked="0" layoutInCell="1" allowOverlap="1">
                <wp:simplePos x="0" y="0"/>
                <wp:positionH relativeFrom="column">
                  <wp:posOffset>2583180</wp:posOffset>
                </wp:positionH>
                <wp:positionV relativeFrom="paragraph">
                  <wp:posOffset>208915</wp:posOffset>
                </wp:positionV>
                <wp:extent cx="695325" cy="332740"/>
                <wp:effectExtent l="0" t="0" r="0" b="0"/>
                <wp:wrapNone/>
                <wp:docPr id="114" name="文本框 102"/>
                <wp:cNvGraphicFramePr/>
                <a:graphic xmlns:a="http://schemas.openxmlformats.org/drawingml/2006/main">
                  <a:graphicData uri="http://schemas.microsoft.com/office/word/2010/wordprocessingShape">
                    <wps:wsp>
                      <wps:cNvSpPr txBox="1"/>
                      <wps:spPr>
                        <a:xfrm>
                          <a:off x="0" y="0"/>
                          <a:ext cx="695325" cy="332740"/>
                        </a:xfrm>
                        <a:prstGeom prst="rect">
                          <a:avLst/>
                        </a:prstGeom>
                        <a:noFill/>
                        <a:ln w="9525">
                          <a:noFill/>
                        </a:ln>
                      </wps:spPr>
                      <wps:txbx>
                        <w:txbxContent>
                          <w:p>
                            <w:pPr>
                              <w:rPr>
                                <w:szCs w:val="21"/>
                              </w:rPr>
                            </w:pPr>
                            <w:r>
                              <w:rPr>
                                <w:rFonts w:hint="eastAsia"/>
                                <w:b/>
                                <w:szCs w:val="21"/>
                              </w:rPr>
                              <w:t>收集池</w:t>
                            </w:r>
                          </w:p>
                        </w:txbxContent>
                      </wps:txbx>
                      <wps:bodyPr upright="1"/>
                    </wps:wsp>
                  </a:graphicData>
                </a:graphic>
              </wp:anchor>
            </w:drawing>
          </mc:Choice>
          <mc:Fallback>
            <w:pict>
              <v:shape id="文本框 102" o:spid="_x0000_s1026" o:spt="202" type="#_x0000_t202" style="position:absolute;left:0pt;margin-left:203.4pt;margin-top:16.45pt;height:26.2pt;width:54.75pt;z-index:251709440;mso-width-relative:page;mso-height-relative:page;" filled="f" stroked="f" coordsize="21600,21600" o:gfxdata="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NAln7NcAAAAJAQAADwAAAAAAAAABACAA&#10;AAAiAAAAZHJzL2Rvd25yZXYueG1sUEsBAhQAFAAAAAgAh07iQKmy6TCcAQAADAMAAA4AAAAAAAAA&#10;AQAgAAAAJgEAAGRycy9lMm9Eb2MueG1sUEsFBgAAAAAGAAYAWQEAADQFAAAAAA==&#10;">
                <v:fill on="f" focussize="0,0"/>
                <v:stroke on="f"/>
                <v:imagedata o:title=""/>
                <o:lock v:ext="edit" aspectratio="f"/>
                <v:textbox>
                  <w:txbxContent>
                    <w:p>
                      <w:pPr>
                        <w:rPr>
                          <w:szCs w:val="21"/>
                        </w:rPr>
                      </w:pPr>
                      <w:r>
                        <w:rPr>
                          <w:rFonts w:hint="eastAsia"/>
                          <w:b/>
                          <w:szCs w:val="21"/>
                        </w:rPr>
                        <w:t>收集池</w:t>
                      </w:r>
                    </w:p>
                  </w:txbxContent>
                </v:textbox>
              </v:shape>
            </w:pict>
          </mc:Fallback>
        </mc:AlternateContent>
      </w:r>
      <w:r>
        <w:rPr>
          <w:b/>
          <w:sz w:val="24"/>
        </w:rPr>
        <mc:AlternateContent>
          <mc:Choice Requires="wps">
            <w:drawing>
              <wp:anchor distT="0" distB="0" distL="114300" distR="114300" simplePos="0" relativeHeight="251708416" behindDoc="0" locked="0" layoutInCell="1" allowOverlap="1">
                <wp:simplePos x="0" y="0"/>
                <wp:positionH relativeFrom="column">
                  <wp:posOffset>2794635</wp:posOffset>
                </wp:positionH>
                <wp:positionV relativeFrom="paragraph">
                  <wp:posOffset>220345</wp:posOffset>
                </wp:positionV>
                <wp:extent cx="234950" cy="326390"/>
                <wp:effectExtent l="30480" t="40005" r="43180" b="48895"/>
                <wp:wrapNone/>
                <wp:docPr id="113" name="矩形 101"/>
                <wp:cNvGraphicFramePr/>
                <a:graphic xmlns:a="http://schemas.openxmlformats.org/drawingml/2006/main">
                  <a:graphicData uri="http://schemas.microsoft.com/office/word/2010/wordprocessingShape">
                    <wps:wsp>
                      <wps:cNvSpPr/>
                      <wps:spPr>
                        <a:xfrm rot="4745361">
                          <a:off x="0" y="0"/>
                          <a:ext cx="234950" cy="326390"/>
                        </a:xfrm>
                        <a:prstGeom prst="rect">
                          <a:avLst/>
                        </a:prstGeom>
                        <a:noFill/>
                        <a:ln w="19050" cap="flat" cmpd="sng">
                          <a:solidFill>
                            <a:srgbClr val="000000"/>
                          </a:solidFill>
                          <a:prstDash val="solid"/>
                          <a:miter/>
                          <a:headEnd type="none" w="med" len="med"/>
                          <a:tailEnd type="none" w="med" len="med"/>
                        </a:ln>
                      </wps:spPr>
                      <wps:bodyPr upright="1"/>
                    </wps:wsp>
                  </a:graphicData>
                </a:graphic>
              </wp:anchor>
            </w:drawing>
          </mc:Choice>
          <mc:Fallback>
            <w:pict>
              <v:rect id="矩形 101" o:spid="_x0000_s1026" o:spt="1" style="position:absolute;left:0pt;margin-left:220.05pt;margin-top:17.35pt;height:25.7pt;width:18.5pt;rotation:5183200f;z-index:251708416;mso-width-relative:page;mso-height-relative:page;" filled="f" stroked="t" coordsize="21600,21600" o:gfxdata="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m&#10;glFB2gAAAAkBAAAPAAAAAAAAAAEAIAAAACIAAABkcnMvZG93bnJldi54bWxQSwECFAAUAAAACACH&#10;TuJAozPvqukBAAC5AwAADgAAAAAAAAABACAAAAApAQAAZHJzL2Uyb0RvYy54bWxQSwUGAAAAAAYA&#10;BgBZAQAAhAUAAAAA&#10;">
                <v:fill on="f" focussize="0,0"/>
                <v:stroke weight="1.5pt" color="#000000" joinstyle="miter"/>
                <v:imagedata o:title=""/>
                <o:lock v:ext="edit" aspectratio="f"/>
              </v:rect>
            </w:pict>
          </mc:Fallback>
        </mc:AlternateContent>
      </w:r>
      <w:r>
        <w:rPr>
          <w:b/>
          <w:sz w:val="24"/>
        </w:rPr>
        <w:tab/>
      </w:r>
      <w:r>
        <w:rPr>
          <w:b/>
          <w:sz w:val="24"/>
        </w:rPr>
        <w:tab/>
      </w:r>
    </w:p>
    <w:p>
      <w:pPr>
        <w:spacing w:line="360" w:lineRule="auto"/>
        <w:jc w:val="center"/>
        <w:rPr>
          <w:b/>
          <w:sz w:val="24"/>
        </w:rPr>
      </w:pPr>
      <w:r>
        <w:rPr>
          <w:b/>
          <w:sz w:val="24"/>
        </w:rPr>
        <mc:AlternateContent>
          <mc:Choice Requires="wps">
            <w:drawing>
              <wp:anchor distT="0" distB="0" distL="114300" distR="114300" simplePos="0" relativeHeight="251724800" behindDoc="0" locked="0" layoutInCell="1" allowOverlap="1">
                <wp:simplePos x="0" y="0"/>
                <wp:positionH relativeFrom="column">
                  <wp:posOffset>1169670</wp:posOffset>
                </wp:positionH>
                <wp:positionV relativeFrom="paragraph">
                  <wp:posOffset>237490</wp:posOffset>
                </wp:positionV>
                <wp:extent cx="370840" cy="289560"/>
                <wp:effectExtent l="0" t="0" r="0" b="0"/>
                <wp:wrapNone/>
                <wp:docPr id="128" name="文本框 133"/>
                <wp:cNvGraphicFramePr/>
                <a:graphic xmlns:a="http://schemas.openxmlformats.org/drawingml/2006/main">
                  <a:graphicData uri="http://schemas.microsoft.com/office/word/2010/wordprocessingShape">
                    <wps:wsp>
                      <wps:cNvSpPr txBox="1"/>
                      <wps:spPr>
                        <a:xfrm>
                          <a:off x="0" y="0"/>
                          <a:ext cx="370840" cy="289560"/>
                        </a:xfrm>
                        <a:prstGeom prst="rect">
                          <a:avLst/>
                        </a:prstGeom>
                        <a:noFill/>
                        <a:ln w="9525">
                          <a:noFill/>
                        </a:ln>
                      </wps:spPr>
                      <wps:txbx>
                        <w:txbxContent>
                          <w:p>
                            <w:pPr>
                              <w:rPr>
                                <w:b/>
                                <w:szCs w:val="21"/>
                              </w:rPr>
                            </w:pPr>
                            <w:r>
                              <w:rPr>
                                <w:rFonts w:hint="eastAsia"/>
                                <w:b/>
                                <w:szCs w:val="21"/>
                              </w:rPr>
                              <w:t>1#</w:t>
                            </w:r>
                          </w:p>
                        </w:txbxContent>
                      </wps:txbx>
                      <wps:bodyPr upright="1"/>
                    </wps:wsp>
                  </a:graphicData>
                </a:graphic>
              </wp:anchor>
            </w:drawing>
          </mc:Choice>
          <mc:Fallback>
            <w:pict>
              <v:shape id="文本框 133" o:spid="_x0000_s1026" o:spt="202" type="#_x0000_t202" style="position:absolute;left:0pt;margin-left:92.1pt;margin-top:18.7pt;height:22.8pt;width:29.2pt;z-index:251724800;mso-width-relative:page;mso-height-relative:page;" filled="f" stroked="f" coordsize="21600,21600" o:gfxdata="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Cf6x9t1wAAAAkBAAAPAAAAAAAAAAEAIAAA&#10;ACIAAABkcnMvZG93bnJldi54bWxQSwECFAAUAAAACACHTuJAWCcXA5sBAAAMAwAADgAAAAAAAAAB&#10;ACAAAAAmAQAAZHJzL2Uyb0RvYy54bWxQSwUGAAAAAAYABgBZAQAAMwUAAAAA&#10;">
                <v:fill on="f" focussize="0,0"/>
                <v:stroke on="f"/>
                <v:imagedata o:title=""/>
                <o:lock v:ext="edit" aspectratio="f"/>
                <v:textbox>
                  <w:txbxContent>
                    <w:p>
                      <w:pPr>
                        <w:rPr>
                          <w:b/>
                          <w:szCs w:val="21"/>
                        </w:rPr>
                      </w:pPr>
                      <w:r>
                        <w:rPr>
                          <w:rFonts w:hint="eastAsia"/>
                          <w:b/>
                          <w:szCs w:val="21"/>
                        </w:rPr>
                        <w:t>1#</w:t>
                      </w:r>
                    </w:p>
                  </w:txbxContent>
                </v:textbox>
              </v:shape>
            </w:pict>
          </mc:Fallback>
        </mc:AlternateContent>
      </w:r>
      <w:r>
        <w:rPr>
          <w:b/>
          <w:sz w:val="24"/>
        </w:rPr>
        <mc:AlternateContent>
          <mc:Choice Requires="wps">
            <w:drawing>
              <wp:anchor distT="0" distB="0" distL="114300" distR="114300" simplePos="0" relativeHeight="251713536" behindDoc="0" locked="0" layoutInCell="1" allowOverlap="1">
                <wp:simplePos x="0" y="0"/>
                <wp:positionH relativeFrom="column">
                  <wp:posOffset>1568450</wp:posOffset>
                </wp:positionH>
                <wp:positionV relativeFrom="paragraph">
                  <wp:posOffset>236220</wp:posOffset>
                </wp:positionV>
                <wp:extent cx="777240" cy="134620"/>
                <wp:effectExtent l="16510" t="92075" r="25400" b="97155"/>
                <wp:wrapNone/>
                <wp:docPr id="118" name="矩形 106"/>
                <wp:cNvGraphicFramePr/>
                <a:graphic xmlns:a="http://schemas.openxmlformats.org/drawingml/2006/main">
                  <a:graphicData uri="http://schemas.microsoft.com/office/word/2010/wordprocessingShape">
                    <wps:wsp>
                      <wps:cNvSpPr/>
                      <wps:spPr>
                        <a:xfrm rot="10068519">
                          <a:off x="0" y="0"/>
                          <a:ext cx="777240" cy="134620"/>
                        </a:xfrm>
                        <a:prstGeom prst="rect">
                          <a:avLst/>
                        </a:prstGeom>
                        <a:solidFill>
                          <a:srgbClr val="00B050"/>
                        </a:solidFill>
                        <a:ln w="19050" cap="flat" cmpd="sng">
                          <a:solidFill>
                            <a:srgbClr val="00B050"/>
                          </a:solidFill>
                          <a:prstDash val="solid"/>
                          <a:miter/>
                          <a:headEnd type="none" w="med" len="med"/>
                          <a:tailEnd type="none" w="med" len="med"/>
                        </a:ln>
                      </wps:spPr>
                      <wps:bodyPr upright="1"/>
                    </wps:wsp>
                  </a:graphicData>
                </a:graphic>
              </wp:anchor>
            </w:drawing>
          </mc:Choice>
          <mc:Fallback>
            <w:pict>
              <v:rect id="矩形 106" o:spid="_x0000_s1026" o:spt="1" style="position:absolute;left:0pt;margin-left:123.5pt;margin-top:18.6pt;height:10.6pt;width:61.2pt;rotation:10997508f;z-index:251713536;mso-width-relative:page;mso-height-relative:page;" fillcolor="#00B050" filled="t" stroked="t" coordsize="21600,21600" o:gfxdata="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9tKqPNoAAAAJAQAADwAAAAAAAAABACAAAAAiAAAAZHJzL2Rvd25yZXYueG1sUEsBAhQAFAAAAAgA&#10;h07iQLSpr4HqAQAA4wMAAA4AAAAAAAAAAQAgAAAAKQEAAGRycy9lMm9Eb2MueG1sUEsFBgAAAAAG&#10;AAYAWQEAAIUFAAAAAA==&#10;">
                <v:fill on="t" focussize="0,0"/>
                <v:stroke weight="1.5pt" color="#00B050" joinstyle="miter"/>
                <v:imagedata o:title=""/>
                <o:lock v:ext="edit" aspectratio="f"/>
              </v:rect>
            </w:pict>
          </mc:Fallback>
        </mc:AlternateContent>
      </w:r>
      <w:r>
        <w:rPr>
          <w:b/>
          <w:sz w:val="24"/>
        </w:rPr>
        <mc:AlternateContent>
          <mc:Choice Requires="wps">
            <w:drawing>
              <wp:anchor distT="0" distB="0" distL="114300" distR="114300" simplePos="0" relativeHeight="251714560" behindDoc="0" locked="0" layoutInCell="1" allowOverlap="1">
                <wp:simplePos x="0" y="0"/>
                <wp:positionH relativeFrom="column">
                  <wp:posOffset>1416685</wp:posOffset>
                </wp:positionH>
                <wp:positionV relativeFrom="paragraph">
                  <wp:posOffset>284480</wp:posOffset>
                </wp:positionV>
                <wp:extent cx="146050" cy="123190"/>
                <wp:effectExtent l="4445" t="4445" r="20955" b="5715"/>
                <wp:wrapNone/>
                <wp:docPr id="119" name="自选图形 107"/>
                <wp:cNvGraphicFramePr/>
                <a:graphic xmlns:a="http://schemas.openxmlformats.org/drawingml/2006/main">
                  <a:graphicData uri="http://schemas.microsoft.com/office/word/2010/wordprocessingShape">
                    <wps:wsp>
                      <wps:cNvSpPr/>
                      <wps:spPr>
                        <a:xfrm>
                          <a:off x="0" y="0"/>
                          <a:ext cx="146050" cy="12319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107" o:spid="_x0000_s1026" o:spt="100" style="position:absolute;left:0pt;margin-left:111.55pt;margin-top:22.4pt;height:9.7pt;width:11.5pt;z-index:251714560;mso-width-relative:page;mso-height-relative:page;" fillcolor="#FFFFFF" filled="t" stroked="t" coordsize="21600,21600" o:gfxdata="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b/>
          <w:sz w:val="24"/>
        </w:rPr>
        <mc:AlternateContent>
          <mc:Choice Requires="wps">
            <w:drawing>
              <wp:anchor distT="0" distB="0" distL="114300" distR="114300" simplePos="0" relativeHeight="251681792" behindDoc="0" locked="0" layoutInCell="1" allowOverlap="1">
                <wp:simplePos x="0" y="0"/>
                <wp:positionH relativeFrom="column">
                  <wp:posOffset>2475230</wp:posOffset>
                </wp:positionH>
                <wp:positionV relativeFrom="paragraph">
                  <wp:posOffset>237490</wp:posOffset>
                </wp:positionV>
                <wp:extent cx="600075" cy="330835"/>
                <wp:effectExtent l="0" t="0" r="0" b="0"/>
                <wp:wrapNone/>
                <wp:docPr id="108" name="文本框 26"/>
                <wp:cNvGraphicFramePr/>
                <a:graphic xmlns:a="http://schemas.openxmlformats.org/drawingml/2006/main">
                  <a:graphicData uri="http://schemas.microsoft.com/office/word/2010/wordprocessingShape">
                    <wps:wsp>
                      <wps:cNvSpPr txBox="1"/>
                      <wps:spPr>
                        <a:xfrm>
                          <a:off x="0" y="0"/>
                          <a:ext cx="600075" cy="330835"/>
                        </a:xfrm>
                        <a:prstGeom prst="rect">
                          <a:avLst/>
                        </a:prstGeom>
                        <a:noFill/>
                        <a:ln w="9525">
                          <a:noFill/>
                        </a:ln>
                      </wps:spPr>
                      <wps:txbx>
                        <w:txbxContent>
                          <w:p>
                            <w:pPr>
                              <w:rPr>
                                <w:szCs w:val="21"/>
                              </w:rPr>
                            </w:pPr>
                            <w:r>
                              <w:rPr>
                                <w:rFonts w:hint="eastAsia"/>
                                <w:b/>
                                <w:szCs w:val="21"/>
                              </w:rPr>
                              <w:t>暂存池</w:t>
                            </w:r>
                          </w:p>
                        </w:txbxContent>
                      </wps:txbx>
                      <wps:bodyPr upright="1"/>
                    </wps:wsp>
                  </a:graphicData>
                </a:graphic>
              </wp:anchor>
            </w:drawing>
          </mc:Choice>
          <mc:Fallback>
            <w:pict>
              <v:shape id="文本框 26" o:spid="_x0000_s1026" o:spt="202" type="#_x0000_t202" style="position:absolute;left:0pt;margin-left:194.9pt;margin-top:18.7pt;height:26.05pt;width:47.25pt;z-index:251681792;mso-width-relative:page;mso-height-relative:page;" filled="f" stroked="f" coordsize="21600,21600" o:gfxdata="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FUkKC7XAAAACQEAAA8AAAAAAAAAAQAgAAAA&#10;IgAAAGRycy9kb3ducmV2LnhtbFBLAQIUABQAAAAIAIdO4kBdMyI0mgEAAAsDAAAOAAAAAAAAAAEA&#10;IAAAACYBAABkcnMvZTJvRG9jLnhtbFBLBQYAAAAABgAGAFkBAAAyBQAAAAA=&#10;">
                <v:fill on="f" focussize="0,0"/>
                <v:stroke on="f"/>
                <v:imagedata o:title=""/>
                <o:lock v:ext="edit" aspectratio="f"/>
                <v:textbox>
                  <w:txbxContent>
                    <w:p>
                      <w:pPr>
                        <w:rPr>
                          <w:szCs w:val="21"/>
                        </w:rPr>
                      </w:pPr>
                      <w:r>
                        <w:rPr>
                          <w:rFonts w:hint="eastAsia"/>
                          <w:b/>
                          <w:szCs w:val="21"/>
                        </w:rPr>
                        <w:t>暂存池</w:t>
                      </w:r>
                    </w:p>
                  </w:txbxContent>
                </v:textbox>
              </v:shape>
            </w:pict>
          </mc:Fallback>
        </mc:AlternateContent>
      </w:r>
      <w:r>
        <w:rPr>
          <w:b/>
          <w:sz w:val="24"/>
        </w:rPr>
        <mc:AlternateContent>
          <mc:Choice Requires="wps">
            <w:drawing>
              <wp:anchor distT="0" distB="0" distL="114300" distR="114300" simplePos="0" relativeHeight="251719680" behindDoc="0" locked="0" layoutInCell="1" allowOverlap="1">
                <wp:simplePos x="0" y="0"/>
                <wp:positionH relativeFrom="column">
                  <wp:posOffset>2416810</wp:posOffset>
                </wp:positionH>
                <wp:positionV relativeFrom="paragraph">
                  <wp:posOffset>232410</wp:posOffset>
                </wp:positionV>
                <wp:extent cx="723900" cy="314325"/>
                <wp:effectExtent l="35560" t="80645" r="40640" b="81280"/>
                <wp:wrapNone/>
                <wp:docPr id="124" name="矩形 112"/>
                <wp:cNvGraphicFramePr/>
                <a:graphic xmlns:a="http://schemas.openxmlformats.org/drawingml/2006/main">
                  <a:graphicData uri="http://schemas.microsoft.com/office/word/2010/wordprocessingShape">
                    <wps:wsp>
                      <wps:cNvSpPr/>
                      <wps:spPr>
                        <a:xfrm rot="-693576">
                          <a:off x="0" y="0"/>
                          <a:ext cx="723900" cy="314325"/>
                        </a:xfrm>
                        <a:prstGeom prst="rect">
                          <a:avLst/>
                        </a:prstGeom>
                        <a:noFill/>
                        <a:ln w="19050" cap="flat" cmpd="sng">
                          <a:solidFill>
                            <a:srgbClr val="000000"/>
                          </a:solidFill>
                          <a:prstDash val="solid"/>
                          <a:miter/>
                          <a:headEnd type="none" w="med" len="med"/>
                          <a:tailEnd type="none" w="med" len="med"/>
                        </a:ln>
                      </wps:spPr>
                      <wps:bodyPr upright="1"/>
                    </wps:wsp>
                  </a:graphicData>
                </a:graphic>
              </wp:anchor>
            </w:drawing>
          </mc:Choice>
          <mc:Fallback>
            <w:pict>
              <v:rect id="矩形 112" o:spid="_x0000_s1026" o:spt="1" style="position:absolute;left:0pt;margin-left:190.3pt;margin-top:18.3pt;height:24.75pt;width:57pt;rotation:-757570f;z-index:251719680;mso-width-relative:page;mso-height-relative:page;" filled="f" stroked="t" coordsize="21600,21600" o:gfxdata="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WVU&#10;dNgAAAAJAQAADwAAAAAAAAABACAAAAAiAAAAZHJzL2Rvd25yZXYueG1sUEsBAhQAFAAAAAgAh07i&#10;QABOzRTpAQAAuQMAAA4AAAAAAAAAAQAgAAAAJwEAAGRycy9lMm9Eb2MueG1sUEsFBgAAAAAGAAYA&#10;WQEAAIIFAAAAAA==&#10;">
                <v:fill on="f" focussize="0,0"/>
                <v:stroke weight="1.5pt" color="#000000" joinstyle="miter"/>
                <v:imagedata o:title=""/>
                <o:lock v:ext="edit" aspectratio="f"/>
              </v:rect>
            </w:pict>
          </mc:Fallback>
        </mc:AlternateContent>
      </w:r>
    </w:p>
    <w:p>
      <w:pPr>
        <w:tabs>
          <w:tab w:val="left" w:pos="6222"/>
          <w:tab w:val="center" w:pos="6979"/>
        </w:tabs>
        <w:spacing w:line="360" w:lineRule="auto"/>
        <w:jc w:val="left"/>
        <w:rPr>
          <w:b/>
          <w:sz w:val="24"/>
        </w:rPr>
      </w:pPr>
      <w:r>
        <w:rPr>
          <w:b/>
          <w:sz w:val="24"/>
        </w:rPr>
        <mc:AlternateContent>
          <mc:Choice Requires="wps">
            <w:drawing>
              <wp:anchor distT="0" distB="0" distL="114300" distR="114300" simplePos="0" relativeHeight="251773952" behindDoc="0" locked="0" layoutInCell="1" allowOverlap="1">
                <wp:simplePos x="0" y="0"/>
                <wp:positionH relativeFrom="column">
                  <wp:posOffset>1581150</wp:posOffset>
                </wp:positionH>
                <wp:positionV relativeFrom="paragraph">
                  <wp:posOffset>10160</wp:posOffset>
                </wp:positionV>
                <wp:extent cx="133350" cy="97155"/>
                <wp:effectExtent l="18415" t="12065" r="19685" b="24130"/>
                <wp:wrapNone/>
                <wp:docPr id="161" name="自选图形 213"/>
                <wp:cNvGraphicFramePr/>
                <a:graphic xmlns:a="http://schemas.openxmlformats.org/drawingml/2006/main">
                  <a:graphicData uri="http://schemas.microsoft.com/office/word/2010/wordprocessingShape">
                    <wps:wsp>
                      <wps:cNvSpPr/>
                      <wps:spPr>
                        <a:xfrm>
                          <a:off x="0" y="0"/>
                          <a:ext cx="133350" cy="97155"/>
                        </a:xfrm>
                        <a:prstGeom prst="star5">
                          <a:avLst/>
                        </a:prstGeom>
                        <a:solidFill>
                          <a:srgbClr val="7030A0"/>
                        </a:solidFill>
                        <a:ln w="9525" cap="flat" cmpd="sng">
                          <a:solidFill>
                            <a:srgbClr val="7030A0"/>
                          </a:solidFill>
                          <a:prstDash val="solid"/>
                          <a:miter/>
                          <a:headEnd type="none" w="med" len="med"/>
                          <a:tailEnd type="none" w="med" len="med"/>
                        </a:ln>
                      </wps:spPr>
                      <wps:bodyPr upright="1"/>
                    </wps:wsp>
                  </a:graphicData>
                </a:graphic>
              </wp:anchor>
            </w:drawing>
          </mc:Choice>
          <mc:Fallback>
            <w:pict>
              <v:shape id="自选图形 213" o:spid="_x0000_s1026" style="position:absolute;left:0pt;margin-left:124.5pt;margin-top:0.8pt;height:7.65pt;width:10.5pt;z-index:251773952;mso-width-relative:page;mso-height-relative:page;" fillcolor="#7030A0" filled="t" stroked="t" coordsize="133350,97155" o:gfxdata="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u&#10;iIov1QAAAAgBAAAPAAAAAAAAAAEAIAAAACIAAABkcnMvZG93bnJldi54bWxQSwECFAAUAAAACACH&#10;TuJASsi0Fu4BAADZAwAADgAAAAAAAAABACAAAAAkAQAAZHJzL2Uyb0RvYy54bWxQSwUGAAAAAAYA&#10;BgBZAQAAhAUAAAAA&#10;" path="m0,37109l50935,37110,66675,0,82414,37110,133349,37109,92142,60044,107882,97154,66675,74219,25467,97154,41207,60044xe">
                <v:path o:connectlocs="66675,0;0,37109;25467,97154;107882,97154;133349,37109" o:connectangles="247,164,82,82,0"/>
                <v:fill on="t" focussize="0,0"/>
                <v:stroke color="#7030A0" joinstyle="miter"/>
                <v:imagedata o:title=""/>
                <o:lock v:ext="edit" aspectratio="f"/>
              </v:shape>
            </w:pict>
          </mc:Fallback>
        </mc:AlternateContent>
      </w:r>
      <w:r>
        <w:rPr>
          <w:b/>
          <w:sz w:val="24"/>
        </w:rPr>
        <mc:AlternateContent>
          <mc:Choice Requires="wps">
            <w:drawing>
              <wp:anchor distT="0" distB="0" distL="114300" distR="114300" simplePos="0" relativeHeight="251771904" behindDoc="0" locked="0" layoutInCell="1" allowOverlap="1">
                <wp:simplePos x="0" y="0"/>
                <wp:positionH relativeFrom="column">
                  <wp:posOffset>1567815</wp:posOffset>
                </wp:positionH>
                <wp:positionV relativeFrom="paragraph">
                  <wp:posOffset>223520</wp:posOffset>
                </wp:positionV>
                <wp:extent cx="133350" cy="97155"/>
                <wp:effectExtent l="18415" t="12065" r="19685" b="24130"/>
                <wp:wrapNone/>
                <wp:docPr id="159" name="自选图形 211"/>
                <wp:cNvGraphicFramePr/>
                <a:graphic xmlns:a="http://schemas.openxmlformats.org/drawingml/2006/main">
                  <a:graphicData uri="http://schemas.microsoft.com/office/word/2010/wordprocessingShape">
                    <wps:wsp>
                      <wps:cNvSpPr/>
                      <wps:spPr>
                        <a:xfrm>
                          <a:off x="0" y="0"/>
                          <a:ext cx="133350" cy="9715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211" o:spid="_x0000_s1026" style="position:absolute;left:0pt;margin-left:123.45pt;margin-top:17.6pt;height:7.65pt;width:10.5pt;z-index:251771904;mso-width-relative:page;mso-height-relative:page;" fillcolor="#FF0000" filled="t" stroked="t" coordsize="133350,97155" o:gfxdata="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hIzbm&#10;1QAAAAkBAAAPAAAAAAAAAAEAIAAAACIAAABkcnMvZG93bnJldi54bWxQSwECFAAUAAAACACHTuJA&#10;JP133+sBAADZAwAADgAAAAAAAAABACAAAAAkAQAAZHJzL2Uyb0RvYy54bWxQSwUGAAAAAAYABgBZ&#10;AQAAgQUAAAAA&#10;" path="m0,37109l50935,37110,66675,0,82414,37110,133349,37109,92142,60044,107882,97154,66675,74219,25467,97154,41207,60044xe">
                <v:path o:connectlocs="66675,0;0,37109;25467,97154;107882,97154;133349,37109" o:connectangles="247,164,82,82,0"/>
                <v:fill on="t" focussize="0,0"/>
                <v:stroke color="#FF0000" joinstyle="miter"/>
                <v:imagedata o:title=""/>
                <o:lock v:ext="edit" aspectratio="f"/>
              </v:shape>
            </w:pict>
          </mc:Fallback>
        </mc:AlternateContent>
      </w:r>
      <w:r>
        <w:rPr>
          <w:b/>
          <w:sz w:val="24"/>
        </w:rPr>
        <mc:AlternateContent>
          <mc:Choice Requires="wps">
            <w:drawing>
              <wp:anchor distT="0" distB="0" distL="114300" distR="114300" simplePos="0" relativeHeight="251723776" behindDoc="0" locked="0" layoutInCell="1" allowOverlap="1">
                <wp:simplePos x="0" y="0"/>
                <wp:positionH relativeFrom="column">
                  <wp:posOffset>1223645</wp:posOffset>
                </wp:positionH>
                <wp:positionV relativeFrom="paragraph">
                  <wp:posOffset>184150</wp:posOffset>
                </wp:positionV>
                <wp:extent cx="370840" cy="289560"/>
                <wp:effectExtent l="0" t="0" r="0" b="0"/>
                <wp:wrapNone/>
                <wp:docPr id="127" name="文本框 132"/>
                <wp:cNvGraphicFramePr/>
                <a:graphic xmlns:a="http://schemas.openxmlformats.org/drawingml/2006/main">
                  <a:graphicData uri="http://schemas.microsoft.com/office/word/2010/wordprocessingShape">
                    <wps:wsp>
                      <wps:cNvSpPr txBox="1"/>
                      <wps:spPr>
                        <a:xfrm>
                          <a:off x="0" y="0"/>
                          <a:ext cx="370840" cy="289560"/>
                        </a:xfrm>
                        <a:prstGeom prst="rect">
                          <a:avLst/>
                        </a:prstGeom>
                        <a:noFill/>
                        <a:ln w="9525">
                          <a:noFill/>
                        </a:ln>
                      </wps:spPr>
                      <wps:txbx>
                        <w:txbxContent>
                          <w:p>
                            <w:pPr>
                              <w:rPr>
                                <w:b/>
                                <w:szCs w:val="21"/>
                              </w:rPr>
                            </w:pPr>
                            <w:r>
                              <w:rPr>
                                <w:rFonts w:hint="eastAsia"/>
                                <w:b/>
                                <w:szCs w:val="21"/>
                              </w:rPr>
                              <w:t>2#</w:t>
                            </w:r>
                          </w:p>
                        </w:txbxContent>
                      </wps:txbx>
                      <wps:bodyPr upright="1"/>
                    </wps:wsp>
                  </a:graphicData>
                </a:graphic>
              </wp:anchor>
            </w:drawing>
          </mc:Choice>
          <mc:Fallback>
            <w:pict>
              <v:shape id="文本框 132" o:spid="_x0000_s1026" o:spt="202" type="#_x0000_t202" style="position:absolute;left:0pt;margin-left:96.35pt;margin-top:14.5pt;height:22.8pt;width:29.2pt;z-index:251723776;mso-width-relative:page;mso-height-relative:page;" filled="f" stroked="f" coordsize="21600,21600" o:gfxdata="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CyY9bHXAAAACQEAAA8AAAAAAAAAAQAg&#10;AAAAIgAAAGRycy9kb3ducmV2LnhtbFBLAQIUABQAAAAIAIdO4kBYVpYknQEAAAwDAAAOAAAAAAAA&#10;AAEAIAAAACYBAABkcnMvZTJvRG9jLnhtbFBLBQYAAAAABgAGAFkBAAA1BQAAAAA=&#10;">
                <v:fill on="f" focussize="0,0"/>
                <v:stroke on="f"/>
                <v:imagedata o:title=""/>
                <o:lock v:ext="edit" aspectratio="f"/>
                <v:textbox>
                  <w:txbxContent>
                    <w:p>
                      <w:pPr>
                        <w:rPr>
                          <w:b/>
                          <w:szCs w:val="21"/>
                        </w:rPr>
                      </w:pPr>
                      <w:r>
                        <w:rPr>
                          <w:rFonts w:hint="eastAsia"/>
                          <w:b/>
                          <w:szCs w:val="21"/>
                        </w:rPr>
                        <w:t>2#</w:t>
                      </w:r>
                    </w:p>
                  </w:txbxContent>
                </v:textbox>
              </v:shape>
            </w:pict>
          </mc:Fallback>
        </mc:AlternateContent>
      </w:r>
      <w:r>
        <w:rPr>
          <w:b/>
          <w:sz w:val="24"/>
        </w:rPr>
        <mc:AlternateContent>
          <mc:Choice Requires="wps">
            <w:drawing>
              <wp:anchor distT="0" distB="0" distL="114300" distR="114300" simplePos="0" relativeHeight="251722752" behindDoc="0" locked="0" layoutInCell="1" allowOverlap="1">
                <wp:simplePos x="0" y="0"/>
                <wp:positionH relativeFrom="column">
                  <wp:posOffset>1448435</wp:posOffset>
                </wp:positionH>
                <wp:positionV relativeFrom="paragraph">
                  <wp:posOffset>223520</wp:posOffset>
                </wp:positionV>
                <wp:extent cx="146050" cy="123190"/>
                <wp:effectExtent l="4445" t="4445" r="20955" b="5715"/>
                <wp:wrapNone/>
                <wp:docPr id="126" name="自选图形 131"/>
                <wp:cNvGraphicFramePr/>
                <a:graphic xmlns:a="http://schemas.openxmlformats.org/drawingml/2006/main">
                  <a:graphicData uri="http://schemas.microsoft.com/office/word/2010/wordprocessingShape">
                    <wps:wsp>
                      <wps:cNvSpPr/>
                      <wps:spPr>
                        <a:xfrm>
                          <a:off x="0" y="0"/>
                          <a:ext cx="146050" cy="12319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131" o:spid="_x0000_s1026" o:spt="100" style="position:absolute;left:0pt;margin-left:114.05pt;margin-top:17.6pt;height:9.7pt;width:11.5pt;z-index:251722752;mso-width-relative:page;mso-height-relative:page;" fillcolor="#FFFFFF" filled="t" stroked="t" coordsize="21600,21600" o:gfxdata="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2792n9cAAAAJAQAADwAAAAAAAAABACAA&#10;AAAiAAAAZHJzL2Rvd25yZXYueG1sUEsBAhQAFAAAAAgAh07iQOU9gzYrAwAA+ggAAA4AAAAAAAAA&#10;AQAgAAAAJgEAAGRycy9lMm9Eb2MueG1sUEsFBgAAAAAGAAYAWQEAAMM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b/>
          <w:sz w:val="24"/>
        </w:rPr>
        <mc:AlternateContent>
          <mc:Choice Requires="wps">
            <w:drawing>
              <wp:anchor distT="0" distB="0" distL="114300" distR="114300" simplePos="0" relativeHeight="251715584" behindDoc="0" locked="0" layoutInCell="1" allowOverlap="1">
                <wp:simplePos x="0" y="0"/>
                <wp:positionH relativeFrom="column">
                  <wp:posOffset>1594485</wp:posOffset>
                </wp:positionH>
                <wp:positionV relativeFrom="paragraph">
                  <wp:posOffset>77470</wp:posOffset>
                </wp:positionV>
                <wp:extent cx="807720" cy="220345"/>
                <wp:effectExtent l="26035" t="98425" r="42545" b="100330"/>
                <wp:wrapNone/>
                <wp:docPr id="120" name="矩形 108"/>
                <wp:cNvGraphicFramePr/>
                <a:graphic xmlns:a="http://schemas.openxmlformats.org/drawingml/2006/main">
                  <a:graphicData uri="http://schemas.microsoft.com/office/word/2010/wordprocessingShape">
                    <wps:wsp>
                      <wps:cNvSpPr/>
                      <wps:spPr>
                        <a:xfrm rot="10030235">
                          <a:off x="0" y="0"/>
                          <a:ext cx="807720" cy="220345"/>
                        </a:xfrm>
                        <a:prstGeom prst="rect">
                          <a:avLst/>
                        </a:prstGeom>
                        <a:solidFill>
                          <a:srgbClr val="00B0F0"/>
                        </a:solidFill>
                        <a:ln w="19050" cap="flat" cmpd="sng">
                          <a:solidFill>
                            <a:srgbClr val="00B0F0"/>
                          </a:solidFill>
                          <a:prstDash val="solid"/>
                          <a:miter/>
                          <a:headEnd type="none" w="med" len="med"/>
                          <a:tailEnd type="none" w="med" len="med"/>
                        </a:ln>
                      </wps:spPr>
                      <wps:bodyPr upright="1"/>
                    </wps:wsp>
                  </a:graphicData>
                </a:graphic>
              </wp:anchor>
            </w:drawing>
          </mc:Choice>
          <mc:Fallback>
            <w:pict>
              <v:rect id="矩形 108" o:spid="_x0000_s1026" o:spt="1" style="position:absolute;left:0pt;margin-left:125.55pt;margin-top:6.1pt;height:17.35pt;width:63.6pt;rotation:10955691f;z-index:251715584;mso-width-relative:page;mso-height-relative:page;" fillcolor="#00B0F0" filled="t" stroked="t" coordsize="21600,21600" o:gfxdata="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Z6zZNoAAAAJAQAADwAAAAAAAAABACAAAAAiAAAAZHJzL2Rvd25yZXYueG1sUEsBAhQAFAAAAAgA&#10;h07iQIRdesjqAQAA4wMAAA4AAAAAAAAAAQAgAAAAKQEAAGRycy9lMm9Eb2MueG1sUEsFBgAAAAAG&#10;AAYAWQEAAIUFAAAAAA==&#10;">
                <v:fill on="t" focussize="0,0"/>
                <v:stroke weight="1.5pt" color="#00B0F0" joinstyle="miter"/>
                <v:imagedata o:title=""/>
                <o:lock v:ext="edit" aspectratio="f"/>
              </v:rect>
            </w:pict>
          </mc:Fallback>
        </mc:AlternateContent>
      </w:r>
      <w:r>
        <w:rPr>
          <w:b/>
          <w:sz w:val="24"/>
        </w:rPr>
        <w:tab/>
      </w:r>
      <w:r>
        <w:rPr>
          <w:b/>
          <w:sz w:val="24"/>
        </w:rPr>
        <w:tab/>
      </w:r>
    </w:p>
    <w:p>
      <w:pPr>
        <w:tabs>
          <w:tab w:val="center" w:pos="6979"/>
          <w:tab w:val="left" w:pos="7864"/>
        </w:tabs>
        <w:spacing w:line="360" w:lineRule="auto"/>
        <w:jc w:val="left"/>
        <w:rPr>
          <w:b/>
          <w:sz w:val="24"/>
        </w:rPr>
      </w:pPr>
      <w:r>
        <w:rPr>
          <w:b/>
          <w:sz w:val="24"/>
        </w:rPr>
        <mc:AlternateContent>
          <mc:Choice Requires="wps">
            <w:drawing>
              <wp:anchor distT="0" distB="0" distL="114300" distR="114300" simplePos="0" relativeHeight="251772928" behindDoc="0" locked="0" layoutInCell="1" allowOverlap="1">
                <wp:simplePos x="0" y="0"/>
                <wp:positionH relativeFrom="column">
                  <wp:posOffset>1633855</wp:posOffset>
                </wp:positionH>
                <wp:positionV relativeFrom="paragraph">
                  <wp:posOffset>222885</wp:posOffset>
                </wp:positionV>
                <wp:extent cx="133350" cy="97155"/>
                <wp:effectExtent l="18415" t="12065" r="19685" b="24130"/>
                <wp:wrapNone/>
                <wp:docPr id="160" name="自选图形 212"/>
                <wp:cNvGraphicFramePr/>
                <a:graphic xmlns:a="http://schemas.openxmlformats.org/drawingml/2006/main">
                  <a:graphicData uri="http://schemas.microsoft.com/office/word/2010/wordprocessingShape">
                    <wps:wsp>
                      <wps:cNvSpPr/>
                      <wps:spPr>
                        <a:xfrm>
                          <a:off x="0" y="0"/>
                          <a:ext cx="133350" cy="97155"/>
                        </a:xfrm>
                        <a:prstGeom prst="star5">
                          <a:avLst/>
                        </a:prstGeom>
                        <a:solidFill>
                          <a:srgbClr val="7030A0"/>
                        </a:solidFill>
                        <a:ln w="9525" cap="flat" cmpd="sng">
                          <a:solidFill>
                            <a:srgbClr val="7030A0"/>
                          </a:solidFill>
                          <a:prstDash val="solid"/>
                          <a:miter/>
                          <a:headEnd type="none" w="med" len="med"/>
                          <a:tailEnd type="none" w="med" len="med"/>
                        </a:ln>
                      </wps:spPr>
                      <wps:bodyPr upright="1"/>
                    </wps:wsp>
                  </a:graphicData>
                </a:graphic>
              </wp:anchor>
            </w:drawing>
          </mc:Choice>
          <mc:Fallback>
            <w:pict>
              <v:shape id="自选图形 212" o:spid="_x0000_s1026" style="position:absolute;left:0pt;margin-left:128.65pt;margin-top:17.55pt;height:7.65pt;width:10.5pt;z-index:251772928;mso-width-relative:page;mso-height-relative:page;" fillcolor="#7030A0" filled="t" stroked="t" coordsize="133350,97155" o:gfxdata="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mMTnTYAAAACQEAAA8AAAAAAAAAAQAgAAAAIgAAAGRycy9kb3ducmV2LnhtbFBLAQIUABQAAAAI&#10;AIdO4kBb//Cf7QEAANkDAAAOAAAAAAAAAAEAIAAAACcBAABkcnMvZTJvRG9jLnhtbFBLBQYAAAAA&#10;BgAGAFkBAACGBQAAAAA=&#10;" path="m0,37109l50935,37110,66675,0,82414,37110,133349,37109,92142,60044,107882,97154,66675,74219,25467,97154,41207,60044xe">
                <v:path o:connectlocs="66675,0;0,37109;25467,97154;107882,97154;133349,37109" o:connectangles="247,164,82,82,0"/>
                <v:fill on="t" focussize="0,0"/>
                <v:stroke color="#7030A0" joinstyle="miter"/>
                <v:imagedata o:title=""/>
                <o:lock v:ext="edit" aspectratio="f"/>
              </v:shape>
            </w:pict>
          </mc:Fallback>
        </mc:AlternateContent>
      </w:r>
      <w:r>
        <w:rPr>
          <w:b/>
          <w:sz w:val="24"/>
        </w:rPr>
        <mc:AlternateContent>
          <mc:Choice Requires="wps">
            <w:drawing>
              <wp:anchor distT="0" distB="0" distL="114300" distR="114300" simplePos="0" relativeHeight="251766784" behindDoc="0" locked="0" layoutInCell="1" allowOverlap="1">
                <wp:simplePos x="0" y="0"/>
                <wp:positionH relativeFrom="column">
                  <wp:posOffset>1309370</wp:posOffset>
                </wp:positionH>
                <wp:positionV relativeFrom="paragraph">
                  <wp:posOffset>196850</wp:posOffset>
                </wp:positionV>
                <wp:extent cx="370840" cy="289560"/>
                <wp:effectExtent l="0" t="0" r="0" b="0"/>
                <wp:wrapNone/>
                <wp:docPr id="154" name="文本框 206"/>
                <wp:cNvGraphicFramePr/>
                <a:graphic xmlns:a="http://schemas.openxmlformats.org/drawingml/2006/main">
                  <a:graphicData uri="http://schemas.microsoft.com/office/word/2010/wordprocessingShape">
                    <wps:wsp>
                      <wps:cNvSpPr txBox="1"/>
                      <wps:spPr>
                        <a:xfrm>
                          <a:off x="0" y="0"/>
                          <a:ext cx="370840" cy="289560"/>
                        </a:xfrm>
                        <a:prstGeom prst="rect">
                          <a:avLst/>
                        </a:prstGeom>
                        <a:noFill/>
                        <a:ln w="9525">
                          <a:noFill/>
                        </a:ln>
                      </wps:spPr>
                      <wps:txbx>
                        <w:txbxContent>
                          <w:p>
                            <w:pPr>
                              <w:rPr>
                                <w:b/>
                                <w:szCs w:val="21"/>
                              </w:rPr>
                            </w:pPr>
                            <w:r>
                              <w:rPr>
                                <w:rFonts w:hint="eastAsia"/>
                                <w:b/>
                                <w:szCs w:val="21"/>
                              </w:rPr>
                              <w:t>3#</w:t>
                            </w:r>
                          </w:p>
                        </w:txbxContent>
                      </wps:txbx>
                      <wps:bodyPr upright="1"/>
                    </wps:wsp>
                  </a:graphicData>
                </a:graphic>
              </wp:anchor>
            </w:drawing>
          </mc:Choice>
          <mc:Fallback>
            <w:pict>
              <v:shape id="文本框 206" o:spid="_x0000_s1026" o:spt="202" type="#_x0000_t202" style="position:absolute;left:0pt;margin-left:103.1pt;margin-top:15.5pt;height:22.8pt;width:29.2pt;z-index:251766784;mso-width-relative:page;mso-height-relative:page;" filled="f" stroked="f" coordsize="21600,21600" o:gfxdata="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gL4Ft9YAAAAJAQAADwAAAAAAAAABACAAAAAi&#10;AAAAZHJzL2Rvd25yZXYueG1sUEsBAhQAFAAAAAgAh07iQM1urtmaAQAADAMAAA4AAAAAAAAAAQAg&#10;AAAAJQEAAGRycy9lMm9Eb2MueG1sUEsFBgAAAAAGAAYAWQEAADEFAAAAAA==&#10;">
                <v:fill on="f" focussize="0,0"/>
                <v:stroke on="f"/>
                <v:imagedata o:title=""/>
                <o:lock v:ext="edit" aspectratio="f"/>
                <v:textbox>
                  <w:txbxContent>
                    <w:p>
                      <w:pPr>
                        <w:rPr>
                          <w:b/>
                          <w:szCs w:val="21"/>
                        </w:rPr>
                      </w:pPr>
                      <w:r>
                        <w:rPr>
                          <w:rFonts w:hint="eastAsia"/>
                          <w:b/>
                          <w:szCs w:val="21"/>
                        </w:rPr>
                        <w:t>3#</w:t>
                      </w:r>
                    </w:p>
                  </w:txbxContent>
                </v:textbox>
              </v:shape>
            </w:pict>
          </mc:Fallback>
        </mc:AlternateContent>
      </w:r>
      <w:r>
        <w:rPr>
          <w:b/>
          <w:sz w:val="24"/>
        </w:rPr>
        <mc:AlternateContent>
          <mc:Choice Requires="wps">
            <w:drawing>
              <wp:anchor distT="0" distB="0" distL="114300" distR="114300" simplePos="0" relativeHeight="251767808" behindDoc="0" locked="0" layoutInCell="1" allowOverlap="1">
                <wp:simplePos x="0" y="0"/>
                <wp:positionH relativeFrom="column">
                  <wp:posOffset>1540510</wp:posOffset>
                </wp:positionH>
                <wp:positionV relativeFrom="paragraph">
                  <wp:posOffset>248285</wp:posOffset>
                </wp:positionV>
                <wp:extent cx="146050" cy="123190"/>
                <wp:effectExtent l="4445" t="4445" r="20955" b="5715"/>
                <wp:wrapNone/>
                <wp:docPr id="155" name="自选图形 207"/>
                <wp:cNvGraphicFramePr/>
                <a:graphic xmlns:a="http://schemas.openxmlformats.org/drawingml/2006/main">
                  <a:graphicData uri="http://schemas.microsoft.com/office/word/2010/wordprocessingShape">
                    <wps:wsp>
                      <wps:cNvSpPr/>
                      <wps:spPr>
                        <a:xfrm>
                          <a:off x="0" y="0"/>
                          <a:ext cx="146050" cy="12319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207" o:spid="_x0000_s1026" o:spt="100" style="position:absolute;left:0pt;margin-left:121.3pt;margin-top:19.55pt;height:9.7pt;width:11.5pt;z-index:251767808;mso-width-relative:page;mso-height-relative:page;" fillcolor="#FFFFFF" filled="t" stroked="t" coordsize="21600,21600" o:gfxdata="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BDrK7F2AAAAAkBAAAPAAAAAAAAAAEA&#10;IAAAACIAAABkcnMvZG93bnJldi54bWxQSwECFAAUAAAACACHTuJAB/z9wCwDAAD6CAAADgAAAAAA&#10;AAABACAAAAAnAQAAZHJzL2Uyb0RvYy54bWxQSwUGAAAAAAYABgBZAQAAxQ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b/>
          <w:sz w:val="24"/>
        </w:rPr>
        <mc:AlternateContent>
          <mc:Choice Requires="wps">
            <w:drawing>
              <wp:anchor distT="0" distB="0" distL="114300" distR="114300" simplePos="0" relativeHeight="251679744" behindDoc="0" locked="0" layoutInCell="1" allowOverlap="1">
                <wp:simplePos x="0" y="0"/>
                <wp:positionH relativeFrom="column">
                  <wp:posOffset>1562735</wp:posOffset>
                </wp:positionH>
                <wp:positionV relativeFrom="paragraph">
                  <wp:posOffset>5080</wp:posOffset>
                </wp:positionV>
                <wp:extent cx="807720" cy="516255"/>
                <wp:effectExtent l="0" t="0" r="0" b="0"/>
                <wp:wrapNone/>
                <wp:docPr id="106" name="文本框 24"/>
                <wp:cNvGraphicFramePr/>
                <a:graphic xmlns:a="http://schemas.openxmlformats.org/drawingml/2006/main">
                  <a:graphicData uri="http://schemas.microsoft.com/office/word/2010/wordprocessingShape">
                    <wps:wsp>
                      <wps:cNvSpPr txBox="1"/>
                      <wps:spPr>
                        <a:xfrm>
                          <a:off x="0" y="0"/>
                          <a:ext cx="807720" cy="516255"/>
                        </a:xfrm>
                        <a:prstGeom prst="rect">
                          <a:avLst/>
                        </a:prstGeom>
                        <a:noFill/>
                        <a:ln w="9525">
                          <a:noFill/>
                        </a:ln>
                      </wps:spPr>
                      <wps:txbx>
                        <w:txbxContent>
                          <w:p>
                            <w:pPr>
                              <w:spacing w:line="0" w:lineRule="atLeast"/>
                              <w:rPr>
                                <w:sz w:val="28"/>
                                <w:szCs w:val="28"/>
                              </w:rPr>
                            </w:pPr>
                            <w:r>
                              <w:rPr>
                                <w:rFonts w:hint="eastAsia"/>
                                <w:b/>
                                <w:sz w:val="28"/>
                                <w:szCs w:val="28"/>
                              </w:rPr>
                              <w:t>危废暂存间</w:t>
                            </w:r>
                          </w:p>
                        </w:txbxContent>
                      </wps:txbx>
                      <wps:bodyPr upright="1"/>
                    </wps:wsp>
                  </a:graphicData>
                </a:graphic>
              </wp:anchor>
            </w:drawing>
          </mc:Choice>
          <mc:Fallback>
            <w:pict>
              <v:shape id="文本框 24" o:spid="_x0000_s1026" o:spt="202" type="#_x0000_t202" style="position:absolute;left:0pt;margin-left:123.05pt;margin-top:0.4pt;height:40.65pt;width:63.6pt;z-index:251679744;mso-width-relative:page;mso-height-relative:page;" filled="f" stroked="f" coordsize="21600,21600" o:gfxdata="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ByCxrM1QAAAAcBAAAPAAAAAAAAAAEAIAAAACIA&#10;AABkcnMvZG93bnJldi54bWxQSwECFAAUAAAACACHTuJA1snZdZoBAAALAwAADgAAAAAAAAABACAA&#10;AAAkAQAAZHJzL2Uyb0RvYy54bWxQSwUGAAAAAAYABgBZAQAAMAUAAAAA&#10;">
                <v:fill on="f" focussize="0,0"/>
                <v:stroke on="f"/>
                <v:imagedata o:title=""/>
                <o:lock v:ext="edit" aspectratio="f"/>
                <v:textbox>
                  <w:txbxContent>
                    <w:p>
                      <w:pPr>
                        <w:spacing w:line="0" w:lineRule="atLeast"/>
                        <w:rPr>
                          <w:sz w:val="28"/>
                          <w:szCs w:val="28"/>
                        </w:rPr>
                      </w:pPr>
                      <w:r>
                        <w:rPr>
                          <w:rFonts w:hint="eastAsia"/>
                          <w:b/>
                          <w:sz w:val="28"/>
                          <w:szCs w:val="28"/>
                        </w:rPr>
                        <w:t>危废暂存间</w:t>
                      </w:r>
                    </w:p>
                  </w:txbxContent>
                </v:textbox>
              </v:shape>
            </w:pict>
          </mc:Fallback>
        </mc:AlternateContent>
      </w:r>
      <w:r>
        <w:rPr>
          <w:b/>
          <w:sz w:val="24"/>
        </w:rPr>
        <mc:AlternateContent>
          <mc:Choice Requires="wps">
            <w:drawing>
              <wp:anchor distT="0" distB="0" distL="114300" distR="114300" simplePos="0" relativeHeight="251749376" behindDoc="0" locked="0" layoutInCell="1" allowOverlap="1">
                <wp:simplePos x="0" y="0"/>
                <wp:positionH relativeFrom="column">
                  <wp:posOffset>1685925</wp:posOffset>
                </wp:positionH>
                <wp:positionV relativeFrom="paragraph">
                  <wp:posOffset>52070</wp:posOffset>
                </wp:positionV>
                <wp:extent cx="411480" cy="419100"/>
                <wp:effectExtent l="54610" t="55245" r="59690" b="66675"/>
                <wp:wrapNone/>
                <wp:docPr id="147" name="矩形 185"/>
                <wp:cNvGraphicFramePr/>
                <a:graphic xmlns:a="http://schemas.openxmlformats.org/drawingml/2006/main">
                  <a:graphicData uri="http://schemas.microsoft.com/office/word/2010/wordprocessingShape">
                    <wps:wsp>
                      <wps:cNvSpPr/>
                      <wps:spPr>
                        <a:xfrm rot="4576556">
                          <a:off x="0" y="0"/>
                          <a:ext cx="411480" cy="419100"/>
                        </a:xfrm>
                        <a:prstGeom prst="rect">
                          <a:avLst/>
                        </a:prstGeom>
                        <a:noFill/>
                        <a:ln w="19050" cap="flat" cmpd="sng">
                          <a:solidFill>
                            <a:schemeClr val="tx1"/>
                          </a:solidFill>
                          <a:prstDash val="solid"/>
                          <a:miter/>
                          <a:headEnd type="none" w="med" len="med"/>
                          <a:tailEnd type="none" w="med" len="med"/>
                        </a:ln>
                      </wps:spPr>
                      <wps:bodyPr upright="1"/>
                    </wps:wsp>
                  </a:graphicData>
                </a:graphic>
              </wp:anchor>
            </w:drawing>
          </mc:Choice>
          <mc:Fallback>
            <w:pict>
              <v:rect id="矩形 185" o:spid="_x0000_s1026" o:spt="1" style="position:absolute;left:0pt;margin-left:132.75pt;margin-top:4.1pt;height:33pt;width:32.4pt;rotation:4998820f;z-index:251749376;mso-width-relative:page;mso-height-relative:page;" filled="f" stroked="t" coordsize="21600,21600" o:gfxdata="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8ZUttoAAAAIAQAADwAAAAAAAAABACAAAAAiAAAAZHJzL2Rvd25yZXYueG1sUEsBAhQAFAAAAAgA&#10;h07iQGyz4c3qAQAAuQMAAA4AAAAAAAAAAQAgAAAAKQEAAGRycy9lMm9Eb2MueG1sUEsFBgAAAAAG&#10;AAYAWQEAAIUFAAAAAA==&#10;">
                <v:fill on="f" focussize="0,0"/>
                <v:stroke weight="1.5pt" color="#000000 [3213]" joinstyle="miter"/>
                <v:imagedata o:title=""/>
                <o:lock v:ext="edit" aspectratio="f"/>
              </v:rect>
            </w:pict>
          </mc:Fallback>
        </mc:AlternateContent>
      </w:r>
      <w:r>
        <w:rPr>
          <w:b/>
          <w:sz w:val="24"/>
        </w:rPr>
        <w:tab/>
      </w:r>
      <w:r>
        <w:rPr>
          <w:b/>
          <w:sz w:val="24"/>
        </w:rPr>
        <w:tab/>
      </w:r>
    </w:p>
    <w:p>
      <w:pPr>
        <w:tabs>
          <w:tab w:val="left" w:pos="6795"/>
          <w:tab w:val="left" w:pos="7455"/>
        </w:tabs>
        <w:spacing w:line="360" w:lineRule="auto"/>
        <w:jc w:val="left"/>
        <w:rPr>
          <w:b/>
          <w:sz w:val="24"/>
        </w:rPr>
      </w:pPr>
      <w:r>
        <w:rPr>
          <w:b/>
          <w:sz w:val="24"/>
        </w:rPr>
        <mc:AlternateContent>
          <mc:Choice Requires="wps">
            <w:drawing>
              <wp:anchor distT="0" distB="0" distL="114300" distR="114300" simplePos="0" relativeHeight="251747328" behindDoc="0" locked="0" layoutInCell="1" allowOverlap="1">
                <wp:simplePos x="0" y="0"/>
                <wp:positionH relativeFrom="column">
                  <wp:posOffset>1885315</wp:posOffset>
                </wp:positionH>
                <wp:positionV relativeFrom="paragraph">
                  <wp:posOffset>72390</wp:posOffset>
                </wp:positionV>
                <wp:extent cx="1936115" cy="1810385"/>
                <wp:effectExtent l="215265" t="198755" r="222250" b="208280"/>
                <wp:wrapNone/>
                <wp:docPr id="146" name="矩形 183"/>
                <wp:cNvGraphicFramePr/>
                <a:graphic xmlns:a="http://schemas.openxmlformats.org/drawingml/2006/main">
                  <a:graphicData uri="http://schemas.microsoft.com/office/word/2010/wordprocessingShape">
                    <wps:wsp>
                      <wps:cNvSpPr/>
                      <wps:spPr>
                        <a:xfrm rot="4576556">
                          <a:off x="0" y="0"/>
                          <a:ext cx="1936115" cy="1810385"/>
                        </a:xfrm>
                        <a:prstGeom prst="rect">
                          <a:avLst/>
                        </a:prstGeom>
                        <a:noFill/>
                        <a:ln w="19050" cap="flat" cmpd="sng">
                          <a:solidFill>
                            <a:schemeClr val="tx1"/>
                          </a:solidFill>
                          <a:prstDash val="solid"/>
                          <a:miter/>
                          <a:headEnd type="none" w="med" len="med"/>
                          <a:tailEnd type="none" w="med" len="med"/>
                        </a:ln>
                      </wps:spPr>
                      <wps:bodyPr upright="1"/>
                    </wps:wsp>
                  </a:graphicData>
                </a:graphic>
              </wp:anchor>
            </w:drawing>
          </mc:Choice>
          <mc:Fallback>
            <w:pict>
              <v:rect id="矩形 183" o:spid="_x0000_s1026" o:spt="1" style="position:absolute;left:0pt;margin-left:148.45pt;margin-top:5.7pt;height:142.55pt;width:152.45pt;rotation:4998820f;z-index:251747328;mso-width-relative:page;mso-height-relative:page;" filled="f" stroked="t" coordsize="21600,21600" o:gfxdata="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SE2tkAAAAKAQAADwAAAAAAAAABACAAAAAiAAAAZHJzL2Rvd25yZXYueG1sUEsBAhQAFAAAAAgA&#10;h07iQM5pGM7rAQAAuwMAAA4AAAAAAAAAAQAgAAAAKAEAAGRycy9lMm9Eb2MueG1sUEsFBgAAAAAG&#10;AAYAWQEAAIUFAAAAAA==&#10;">
                <v:fill on="f" focussize="0,0"/>
                <v:stroke weight="1.5pt" color="#000000 [3213]" joinstyle="miter"/>
                <v:imagedata o:title=""/>
                <o:lock v:ext="edit" aspectratio="f"/>
              </v:rect>
            </w:pict>
          </mc:Fallback>
        </mc:AlternateContent>
      </w:r>
      <w:r>
        <w:rPr>
          <w:b/>
          <w:sz w:val="24"/>
        </w:rPr>
        <w:tab/>
      </w:r>
    </w:p>
    <w:p>
      <w:pPr>
        <w:spacing w:line="360" w:lineRule="auto"/>
        <w:jc w:val="center"/>
        <w:rPr>
          <w:b/>
          <w:sz w:val="24"/>
        </w:rPr>
      </w:pPr>
    </w:p>
    <w:p>
      <w:pPr>
        <w:tabs>
          <w:tab w:val="left" w:pos="8661"/>
          <w:tab w:val="left" w:pos="10804"/>
        </w:tabs>
        <w:spacing w:line="360" w:lineRule="auto"/>
        <w:jc w:val="left"/>
        <w:rPr>
          <w:b/>
          <w:sz w:val="24"/>
        </w:rPr>
      </w:pPr>
      <w:r>
        <w:rPr>
          <w:b/>
          <w:sz w:val="24"/>
        </w:rPr>
        <mc:AlternateContent>
          <mc:Choice Requires="wps">
            <w:drawing>
              <wp:anchor distT="0" distB="0" distL="114300" distR="114300" simplePos="0" relativeHeight="251678720" behindDoc="0" locked="0" layoutInCell="1" allowOverlap="1">
                <wp:simplePos x="0" y="0"/>
                <wp:positionH relativeFrom="column">
                  <wp:posOffset>2475230</wp:posOffset>
                </wp:positionH>
                <wp:positionV relativeFrom="paragraph">
                  <wp:posOffset>125095</wp:posOffset>
                </wp:positionV>
                <wp:extent cx="927100" cy="508000"/>
                <wp:effectExtent l="0" t="0" r="0" b="0"/>
                <wp:wrapNone/>
                <wp:docPr id="105" name="文本框 23"/>
                <wp:cNvGraphicFramePr/>
                <a:graphic xmlns:a="http://schemas.openxmlformats.org/drawingml/2006/main">
                  <a:graphicData uri="http://schemas.microsoft.com/office/word/2010/wordprocessingShape">
                    <wps:wsp>
                      <wps:cNvSpPr txBox="1"/>
                      <wps:spPr>
                        <a:xfrm>
                          <a:off x="0" y="0"/>
                          <a:ext cx="927100" cy="508000"/>
                        </a:xfrm>
                        <a:prstGeom prst="rect">
                          <a:avLst/>
                        </a:prstGeom>
                        <a:noFill/>
                        <a:ln w="9525">
                          <a:noFill/>
                        </a:ln>
                      </wps:spPr>
                      <wps:txbx>
                        <w:txbxContent>
                          <w:p>
                            <w:pPr>
                              <w:spacing w:line="0" w:lineRule="atLeast"/>
                              <w:rPr>
                                <w:sz w:val="28"/>
                                <w:szCs w:val="28"/>
                              </w:rPr>
                            </w:pPr>
                            <w:r>
                              <w:rPr>
                                <w:rFonts w:hint="eastAsia"/>
                                <w:b/>
                                <w:sz w:val="28"/>
                                <w:szCs w:val="28"/>
                              </w:rPr>
                              <w:t>产品贮存间</w:t>
                            </w:r>
                          </w:p>
                        </w:txbxContent>
                      </wps:txbx>
                      <wps:bodyPr upright="1"/>
                    </wps:wsp>
                  </a:graphicData>
                </a:graphic>
              </wp:anchor>
            </w:drawing>
          </mc:Choice>
          <mc:Fallback>
            <w:pict>
              <v:shape id="文本框 23" o:spid="_x0000_s1026" o:spt="202" type="#_x0000_t202" style="position:absolute;left:0pt;margin-left:194.9pt;margin-top:9.85pt;height:40pt;width:73pt;z-index:251678720;mso-width-relative:page;mso-height-relative:page;" filled="f" stroked="f" coordsize="21600,21600" o:gfxdata="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G2/tU7VAAAACQEAAA8AAAAAAAAAAQAgAAAAIgAA&#10;AGRycy9kb3ducmV2LnhtbFBLAQIUABQAAAAIAIdO4kB1TpevmQEAAAsDAAAOAAAAAAAAAAEAIAAA&#10;ACQBAABkcnMvZTJvRG9jLnhtbFBLBQYAAAAABgAGAFkBAAAvBQAAAAA=&#10;">
                <v:fill on="f" focussize="0,0"/>
                <v:stroke on="f"/>
                <v:imagedata o:title=""/>
                <o:lock v:ext="edit" aspectratio="f"/>
                <v:textbox>
                  <w:txbxContent>
                    <w:p>
                      <w:pPr>
                        <w:spacing w:line="0" w:lineRule="atLeast"/>
                        <w:rPr>
                          <w:sz w:val="28"/>
                          <w:szCs w:val="28"/>
                        </w:rPr>
                      </w:pPr>
                      <w:r>
                        <w:rPr>
                          <w:rFonts w:hint="eastAsia"/>
                          <w:b/>
                          <w:sz w:val="28"/>
                          <w:szCs w:val="28"/>
                        </w:rPr>
                        <w:t>产品贮存间</w:t>
                      </w:r>
                    </w:p>
                  </w:txbxContent>
                </v:textbox>
              </v:shape>
            </w:pict>
          </mc:Fallback>
        </mc:AlternateContent>
      </w:r>
      <w:r>
        <w:rPr>
          <w:b/>
          <w:sz w:val="24"/>
        </w:rPr>
        <w:tab/>
      </w:r>
    </w:p>
    <w:p>
      <w:pPr>
        <w:tabs>
          <w:tab w:val="left" w:pos="8661"/>
          <w:tab w:val="left" w:pos="10804"/>
        </w:tabs>
        <w:spacing w:line="360" w:lineRule="auto"/>
        <w:jc w:val="left"/>
        <w:rPr>
          <w:b/>
          <w:sz w:val="24"/>
        </w:rPr>
      </w:pPr>
    </w:p>
    <w:p>
      <w:pPr>
        <w:tabs>
          <w:tab w:val="left" w:pos="8661"/>
          <w:tab w:val="left" w:pos="10804"/>
        </w:tabs>
        <w:spacing w:line="360" w:lineRule="auto"/>
        <w:jc w:val="left"/>
        <w:rPr>
          <w:b/>
          <w:sz w:val="24"/>
        </w:rPr>
      </w:pPr>
    </w:p>
    <w:p>
      <w:pPr>
        <w:tabs>
          <w:tab w:val="left" w:pos="8661"/>
          <w:tab w:val="left" w:pos="10804"/>
        </w:tabs>
        <w:spacing w:line="360" w:lineRule="auto"/>
        <w:jc w:val="left"/>
        <w:rPr>
          <w:b/>
          <w:sz w:val="24"/>
        </w:rPr>
      </w:pPr>
    </w:p>
    <w:p>
      <w:pPr>
        <w:tabs>
          <w:tab w:val="left" w:pos="8661"/>
          <w:tab w:val="left" w:pos="10804"/>
        </w:tabs>
        <w:spacing w:line="360" w:lineRule="auto"/>
        <w:jc w:val="left"/>
        <w:rPr>
          <w:b/>
          <w:sz w:val="24"/>
        </w:rPr>
      </w:pPr>
    </w:p>
    <w:p>
      <w:pPr>
        <w:tabs>
          <w:tab w:val="left" w:pos="8661"/>
          <w:tab w:val="left" w:pos="10804"/>
        </w:tabs>
        <w:spacing w:line="360" w:lineRule="auto"/>
        <w:jc w:val="left"/>
        <w:rPr>
          <w:b/>
          <w:sz w:val="24"/>
        </w:rPr>
      </w:pPr>
      <w:r>
        <w:rPr>
          <w:b/>
          <w:sz w:val="24"/>
        </w:rPr>
        <mc:AlternateContent>
          <mc:Choice Requires="wps">
            <w:drawing>
              <wp:anchor distT="0" distB="0" distL="114300" distR="114300" simplePos="0" relativeHeight="251688960" behindDoc="0" locked="0" layoutInCell="1" allowOverlap="1">
                <wp:simplePos x="0" y="0"/>
                <wp:positionH relativeFrom="column">
                  <wp:posOffset>4042410</wp:posOffset>
                </wp:positionH>
                <wp:positionV relativeFrom="paragraph">
                  <wp:posOffset>292100</wp:posOffset>
                </wp:positionV>
                <wp:extent cx="1917065" cy="1732915"/>
                <wp:effectExtent l="4445" t="4445" r="21590" b="15240"/>
                <wp:wrapNone/>
                <wp:docPr id="110" name="文本框 33"/>
                <wp:cNvGraphicFramePr/>
                <a:graphic xmlns:a="http://schemas.openxmlformats.org/drawingml/2006/main">
                  <a:graphicData uri="http://schemas.microsoft.com/office/word/2010/wordprocessingShape">
                    <wps:wsp>
                      <wps:cNvSpPr txBox="1"/>
                      <wps:spPr>
                        <a:xfrm>
                          <a:off x="0" y="0"/>
                          <a:ext cx="1917065" cy="1732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jc w:val="center"/>
                              <w:rPr>
                                <w:rFonts w:hAnsi="宋体"/>
                                <w:color w:val="000000"/>
                                <w:kern w:val="0"/>
                                <w:sz w:val="28"/>
                                <w:szCs w:val="28"/>
                              </w:rPr>
                            </w:pPr>
                            <w:r>
                              <w:rPr>
                                <w:rFonts w:hAnsi="宋体"/>
                                <w:color w:val="000000"/>
                                <w:kern w:val="0"/>
                                <w:sz w:val="28"/>
                                <w:szCs w:val="28"/>
                              </w:rPr>
                              <w:t>图例</w:t>
                            </w:r>
                          </w:p>
                          <w:p>
                            <w:pPr>
                              <w:spacing w:line="0" w:lineRule="atLeast"/>
                              <w:rPr>
                                <w:rFonts w:hAnsi="宋体"/>
                                <w:color w:val="000000"/>
                                <w:kern w:val="0"/>
                                <w:szCs w:val="21"/>
                              </w:rPr>
                            </w:pPr>
                            <w:r>
                              <w:rPr>
                                <w:rFonts w:hint="eastAsia" w:hAnsi="宋体"/>
                                <w:color w:val="000000"/>
                                <w:kern w:val="0"/>
                                <w:szCs w:val="21"/>
                              </w:rPr>
                              <w:t>污染区面积、雨水导流沟</w:t>
                            </w:r>
                          </w:p>
                          <w:p>
                            <w:pPr>
                              <w:spacing w:line="0" w:lineRule="atLeast"/>
                              <w:rPr>
                                <w:rFonts w:hAnsi="宋体"/>
                                <w:color w:val="000000"/>
                                <w:kern w:val="0"/>
                                <w:szCs w:val="21"/>
                              </w:rPr>
                            </w:pPr>
                            <w:r>
                              <w:rPr>
                                <w:rFonts w:hint="eastAsia" w:hAnsi="宋体"/>
                                <w:color w:val="000000"/>
                                <w:kern w:val="0"/>
                                <w:szCs w:val="21"/>
                              </w:rPr>
                              <w:t>排气筒</w:t>
                            </w:r>
                          </w:p>
                          <w:p>
                            <w:pPr>
                              <w:spacing w:line="0" w:lineRule="atLeast"/>
                              <w:rPr>
                                <w:rFonts w:hAnsi="宋体"/>
                                <w:color w:val="000000"/>
                                <w:kern w:val="0"/>
                                <w:szCs w:val="21"/>
                              </w:rPr>
                            </w:pPr>
                            <w:r>
                              <w:rPr>
                                <w:rFonts w:hint="eastAsia" w:hAnsi="宋体"/>
                                <w:color w:val="000000"/>
                                <w:kern w:val="0"/>
                                <w:szCs w:val="21"/>
                              </w:rPr>
                              <w:t>铅蓄电池拆卸区</w:t>
                            </w:r>
                          </w:p>
                          <w:p>
                            <w:pPr>
                              <w:spacing w:line="0" w:lineRule="atLeast"/>
                              <w:rPr>
                                <w:rFonts w:hAnsi="宋体"/>
                                <w:color w:val="000000"/>
                                <w:kern w:val="0"/>
                                <w:szCs w:val="21"/>
                              </w:rPr>
                            </w:pPr>
                            <w:r>
                              <w:rPr>
                                <w:rFonts w:hint="eastAsia" w:hAnsi="宋体"/>
                                <w:color w:val="000000"/>
                                <w:kern w:val="0"/>
                                <w:szCs w:val="21"/>
                              </w:rPr>
                              <w:t>拆解区</w:t>
                            </w:r>
                          </w:p>
                          <w:p>
                            <w:pPr>
                              <w:spacing w:line="0" w:lineRule="atLeast"/>
                              <w:rPr>
                                <w:rFonts w:hAnsi="宋体"/>
                                <w:color w:val="000000"/>
                                <w:kern w:val="0"/>
                                <w:szCs w:val="21"/>
                              </w:rPr>
                            </w:pPr>
                            <w:r>
                              <w:rPr>
                                <w:rFonts w:hint="eastAsia" w:hAnsi="宋体"/>
                                <w:color w:val="000000"/>
                                <w:kern w:val="0"/>
                                <w:szCs w:val="21"/>
                              </w:rPr>
                              <w:t>油液排空区</w:t>
                            </w:r>
                          </w:p>
                          <w:p>
                            <w:pPr>
                              <w:spacing w:line="0" w:lineRule="atLeast"/>
                              <w:rPr>
                                <w:rFonts w:hAnsi="宋体"/>
                                <w:kern w:val="0"/>
                                <w:szCs w:val="21"/>
                              </w:rPr>
                            </w:pPr>
                            <w:r>
                              <w:rPr>
                                <w:rFonts w:hint="eastAsia" w:hAnsi="宋体"/>
                                <w:kern w:val="0"/>
                                <w:szCs w:val="21"/>
                              </w:rPr>
                              <w:t>切割区</w:t>
                            </w:r>
                          </w:p>
                          <w:p>
                            <w:pPr>
                              <w:spacing w:line="0" w:lineRule="atLeast"/>
                              <w:rPr>
                                <w:rFonts w:eastAsiaTheme="minorEastAsia"/>
                                <w:szCs w:val="21"/>
                              </w:rPr>
                            </w:pPr>
                            <w:r>
                              <w:rPr>
                                <w:rFonts w:hint="eastAsia" w:eastAsiaTheme="minorEastAsia"/>
                                <w:szCs w:val="21"/>
                              </w:rPr>
                              <w:t>布袋除尘器</w:t>
                            </w:r>
                          </w:p>
                          <w:p>
                            <w:pPr>
                              <w:spacing w:line="0" w:lineRule="atLeast"/>
                              <w:rPr>
                                <w:rFonts w:hAnsi="宋体"/>
                                <w:kern w:val="0"/>
                                <w:szCs w:val="21"/>
                              </w:rPr>
                            </w:pPr>
                            <w:r>
                              <w:rPr>
                                <w:rFonts w:eastAsiaTheme="minorEastAsia"/>
                                <w:bCs/>
                                <w:kern w:val="0"/>
                                <w:szCs w:val="21"/>
                              </w:rPr>
                              <w:t>活性炭吸附装置</w:t>
                            </w:r>
                          </w:p>
                        </w:txbxContent>
                      </wps:txbx>
                      <wps:bodyPr upright="1"/>
                    </wps:wsp>
                  </a:graphicData>
                </a:graphic>
              </wp:anchor>
            </w:drawing>
          </mc:Choice>
          <mc:Fallback>
            <w:pict>
              <v:shape id="文本框 33" o:spid="_x0000_s1026" o:spt="202" type="#_x0000_t202" style="position:absolute;left:0pt;margin-left:318.3pt;margin-top:23pt;height:136.45pt;width:150.95pt;z-index:251688960;mso-width-relative:page;mso-height-relative:page;" fillcolor="#FFFFFF" filled="t" stroked="t" coordsize="21600,21600" o:gfxdata="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N6RBe2QAAAAoBAAAPAAAAAAAAAAEAIAAAACIAAABkcnMvZG93bnJldi54bWxQSwEC&#10;FAAUAAAACACHTuJA23nq+vMBAADsAwAADgAAAAAAAAABACAAAAAoAQAAZHJzL2Uyb0RvYy54bWxQ&#10;SwUGAAAAAAYABgBZAQAAjQUAAAAA&#10;">
                <v:fill on="t" focussize="0,0"/>
                <v:stroke color="#000000" joinstyle="miter"/>
                <v:imagedata o:title=""/>
                <o:lock v:ext="edit" aspectratio="f"/>
                <v:textbox>
                  <w:txbxContent>
                    <w:p>
                      <w:pPr>
                        <w:spacing w:line="0" w:lineRule="atLeast"/>
                        <w:jc w:val="center"/>
                        <w:rPr>
                          <w:rFonts w:hAnsi="宋体"/>
                          <w:color w:val="000000"/>
                          <w:kern w:val="0"/>
                          <w:sz w:val="28"/>
                          <w:szCs w:val="28"/>
                        </w:rPr>
                      </w:pPr>
                      <w:r>
                        <w:rPr>
                          <w:rFonts w:hAnsi="宋体"/>
                          <w:color w:val="000000"/>
                          <w:kern w:val="0"/>
                          <w:sz w:val="28"/>
                          <w:szCs w:val="28"/>
                        </w:rPr>
                        <w:t>图例</w:t>
                      </w:r>
                    </w:p>
                    <w:p>
                      <w:pPr>
                        <w:spacing w:line="0" w:lineRule="atLeast"/>
                        <w:rPr>
                          <w:rFonts w:hAnsi="宋体"/>
                          <w:color w:val="000000"/>
                          <w:kern w:val="0"/>
                          <w:szCs w:val="21"/>
                        </w:rPr>
                      </w:pPr>
                      <w:r>
                        <w:rPr>
                          <w:rFonts w:hint="eastAsia" w:hAnsi="宋体"/>
                          <w:color w:val="000000"/>
                          <w:kern w:val="0"/>
                          <w:szCs w:val="21"/>
                        </w:rPr>
                        <w:t>污染区面积、雨水导流沟</w:t>
                      </w:r>
                    </w:p>
                    <w:p>
                      <w:pPr>
                        <w:spacing w:line="0" w:lineRule="atLeast"/>
                        <w:rPr>
                          <w:rFonts w:hAnsi="宋体"/>
                          <w:color w:val="000000"/>
                          <w:kern w:val="0"/>
                          <w:szCs w:val="21"/>
                        </w:rPr>
                      </w:pPr>
                      <w:r>
                        <w:rPr>
                          <w:rFonts w:hint="eastAsia" w:hAnsi="宋体"/>
                          <w:color w:val="000000"/>
                          <w:kern w:val="0"/>
                          <w:szCs w:val="21"/>
                        </w:rPr>
                        <w:t>排气筒</w:t>
                      </w:r>
                    </w:p>
                    <w:p>
                      <w:pPr>
                        <w:spacing w:line="0" w:lineRule="atLeast"/>
                        <w:rPr>
                          <w:rFonts w:hAnsi="宋体"/>
                          <w:color w:val="000000"/>
                          <w:kern w:val="0"/>
                          <w:szCs w:val="21"/>
                        </w:rPr>
                      </w:pPr>
                      <w:r>
                        <w:rPr>
                          <w:rFonts w:hint="eastAsia" w:hAnsi="宋体"/>
                          <w:color w:val="000000"/>
                          <w:kern w:val="0"/>
                          <w:szCs w:val="21"/>
                        </w:rPr>
                        <w:t>铅蓄电池拆卸区</w:t>
                      </w:r>
                    </w:p>
                    <w:p>
                      <w:pPr>
                        <w:spacing w:line="0" w:lineRule="atLeast"/>
                        <w:rPr>
                          <w:rFonts w:hAnsi="宋体"/>
                          <w:color w:val="000000"/>
                          <w:kern w:val="0"/>
                          <w:szCs w:val="21"/>
                        </w:rPr>
                      </w:pPr>
                      <w:r>
                        <w:rPr>
                          <w:rFonts w:hint="eastAsia" w:hAnsi="宋体"/>
                          <w:color w:val="000000"/>
                          <w:kern w:val="0"/>
                          <w:szCs w:val="21"/>
                        </w:rPr>
                        <w:t>拆解区</w:t>
                      </w:r>
                    </w:p>
                    <w:p>
                      <w:pPr>
                        <w:spacing w:line="0" w:lineRule="atLeast"/>
                        <w:rPr>
                          <w:rFonts w:hAnsi="宋体"/>
                          <w:color w:val="000000"/>
                          <w:kern w:val="0"/>
                          <w:szCs w:val="21"/>
                        </w:rPr>
                      </w:pPr>
                      <w:r>
                        <w:rPr>
                          <w:rFonts w:hint="eastAsia" w:hAnsi="宋体"/>
                          <w:color w:val="000000"/>
                          <w:kern w:val="0"/>
                          <w:szCs w:val="21"/>
                        </w:rPr>
                        <w:t>油液排空区</w:t>
                      </w:r>
                    </w:p>
                    <w:p>
                      <w:pPr>
                        <w:spacing w:line="0" w:lineRule="atLeast"/>
                        <w:rPr>
                          <w:rFonts w:hAnsi="宋体"/>
                          <w:kern w:val="0"/>
                          <w:szCs w:val="21"/>
                        </w:rPr>
                      </w:pPr>
                      <w:r>
                        <w:rPr>
                          <w:rFonts w:hint="eastAsia" w:hAnsi="宋体"/>
                          <w:kern w:val="0"/>
                          <w:szCs w:val="21"/>
                        </w:rPr>
                        <w:t>切割区</w:t>
                      </w:r>
                    </w:p>
                    <w:p>
                      <w:pPr>
                        <w:spacing w:line="0" w:lineRule="atLeast"/>
                        <w:rPr>
                          <w:rFonts w:eastAsiaTheme="minorEastAsia"/>
                          <w:szCs w:val="21"/>
                        </w:rPr>
                      </w:pPr>
                      <w:r>
                        <w:rPr>
                          <w:rFonts w:hint="eastAsia" w:eastAsiaTheme="minorEastAsia"/>
                          <w:szCs w:val="21"/>
                        </w:rPr>
                        <w:t>布袋除尘器</w:t>
                      </w:r>
                    </w:p>
                    <w:p>
                      <w:pPr>
                        <w:spacing w:line="0" w:lineRule="atLeast"/>
                        <w:rPr>
                          <w:rFonts w:hAnsi="宋体"/>
                          <w:kern w:val="0"/>
                          <w:szCs w:val="21"/>
                        </w:rPr>
                      </w:pPr>
                      <w:r>
                        <w:rPr>
                          <w:rFonts w:eastAsiaTheme="minorEastAsia"/>
                          <w:bCs/>
                          <w:kern w:val="0"/>
                          <w:szCs w:val="21"/>
                        </w:rPr>
                        <w:t>活性炭吸附装置</w:t>
                      </w:r>
                    </w:p>
                  </w:txbxContent>
                </v:textbox>
              </v:shape>
            </w:pict>
          </mc:Fallback>
        </mc:AlternateContent>
      </w:r>
    </w:p>
    <w:p>
      <w:pPr>
        <w:tabs>
          <w:tab w:val="left" w:pos="8661"/>
          <w:tab w:val="left" w:pos="10804"/>
        </w:tabs>
        <w:spacing w:line="360" w:lineRule="auto"/>
        <w:jc w:val="left"/>
        <w:rPr>
          <w:b/>
          <w:sz w:val="24"/>
        </w:rPr>
      </w:pPr>
      <w:r>
        <w:rPr>
          <w:b/>
          <w:sz w:val="24"/>
        </w:rPr>
        <mc:AlternateContent>
          <mc:Choice Requires="wps">
            <w:drawing>
              <wp:anchor distT="0" distB="0" distL="114300" distR="114300" simplePos="0" relativeHeight="251721728" behindDoc="0" locked="0" layoutInCell="1" allowOverlap="1">
                <wp:simplePos x="0" y="0"/>
                <wp:positionH relativeFrom="column">
                  <wp:posOffset>5740400</wp:posOffset>
                </wp:positionH>
                <wp:positionV relativeFrom="paragraph">
                  <wp:posOffset>274955</wp:posOffset>
                </wp:positionV>
                <wp:extent cx="129540" cy="118745"/>
                <wp:effectExtent l="5080" t="4445" r="17780" b="10160"/>
                <wp:wrapNone/>
                <wp:docPr id="125" name="矩形 114"/>
                <wp:cNvGraphicFramePr/>
                <a:graphic xmlns:a="http://schemas.openxmlformats.org/drawingml/2006/main">
                  <a:graphicData uri="http://schemas.microsoft.com/office/word/2010/wordprocessingShape">
                    <wps:wsp>
                      <wps:cNvSpPr/>
                      <wps:spPr>
                        <a:xfrm>
                          <a:off x="0" y="0"/>
                          <a:ext cx="129540" cy="11874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114" o:spid="_x0000_s1026" o:spt="1" style="position:absolute;left:0pt;margin-left:452pt;margin-top:21.65pt;height:9.35pt;width:10.2pt;z-index:251721728;mso-width-relative:page;mso-height-relative:page;" filled="f" stroked="t" coordsize="21600,21600" o:gfxdata="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gAzUJ2gAAAAkB&#10;AAAPAAAAAAAAAAEAIAAAACIAAABkcnMvZG93bnJldi54bWxQSwECFAAUAAAACACHTuJA2LC/a+AB&#10;AACqAwAADgAAAAAAAAABACAAAAApAQAAZHJzL2Uyb0RvYy54bWxQSwUGAAAAAAYABgBZAQAAewUA&#10;AAAA&#10;">
                <v:fill on="f" focussize="0,0"/>
                <v:stroke color="#FF0000" joinstyle="miter"/>
                <v:imagedata o:title=""/>
                <o:lock v:ext="edit" aspectratio="f"/>
              </v:rect>
            </w:pict>
          </mc:Fallback>
        </mc:AlternateContent>
      </w:r>
    </w:p>
    <w:p>
      <w:pPr>
        <w:tabs>
          <w:tab w:val="left" w:pos="8661"/>
          <w:tab w:val="left" w:pos="10804"/>
        </w:tabs>
        <w:spacing w:line="360" w:lineRule="auto"/>
        <w:jc w:val="left"/>
        <w:rPr>
          <w:b/>
          <w:sz w:val="24"/>
        </w:rPr>
      </w:pPr>
      <w:r>
        <w:rPr>
          <w:b/>
          <w:sz w:val="24"/>
        </w:rPr>
        <mc:AlternateContent>
          <mc:Choice Requires="wps">
            <w:drawing>
              <wp:anchor distT="0" distB="0" distL="114300" distR="114300" simplePos="0" relativeHeight="251689984" behindDoc="0" locked="0" layoutInCell="1" allowOverlap="1">
                <wp:simplePos x="0" y="0"/>
                <wp:positionH relativeFrom="column">
                  <wp:posOffset>4720590</wp:posOffset>
                </wp:positionH>
                <wp:positionV relativeFrom="paragraph">
                  <wp:posOffset>130175</wp:posOffset>
                </wp:positionV>
                <wp:extent cx="146050" cy="123190"/>
                <wp:effectExtent l="4445" t="4445" r="20955" b="5715"/>
                <wp:wrapNone/>
                <wp:docPr id="111" name="自选图形 34"/>
                <wp:cNvGraphicFramePr/>
                <a:graphic xmlns:a="http://schemas.openxmlformats.org/drawingml/2006/main">
                  <a:graphicData uri="http://schemas.microsoft.com/office/word/2010/wordprocessingShape">
                    <wps:wsp>
                      <wps:cNvSpPr/>
                      <wps:spPr>
                        <a:xfrm>
                          <a:off x="0" y="0"/>
                          <a:ext cx="146050" cy="12319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34" o:spid="_x0000_s1026" o:spt="100" style="position:absolute;left:0pt;margin-left:371.7pt;margin-top:10.25pt;height:9.7pt;width:11.5pt;z-index:251689984;mso-width-relative:page;mso-height-relative:page;" fillcolor="#FFFFFF" filled="t" stroked="t" coordsize="21600,21600" o:gfxdata="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p>
    <w:p>
      <w:pPr>
        <w:tabs>
          <w:tab w:val="left" w:pos="8661"/>
          <w:tab w:val="left" w:pos="10804"/>
        </w:tabs>
        <w:spacing w:line="360" w:lineRule="auto"/>
        <w:jc w:val="left"/>
        <w:rPr>
          <w:b/>
          <w:sz w:val="24"/>
        </w:rPr>
      </w:pPr>
      <w:r>
        <w:rPr>
          <w:b/>
          <w:sz w:val="24"/>
        </w:rPr>
        <mc:AlternateContent>
          <mc:Choice Requires="wps">
            <w:drawing>
              <wp:anchor distT="0" distB="0" distL="114300" distR="114300" simplePos="0" relativeHeight="251716608" behindDoc="0" locked="0" layoutInCell="1" allowOverlap="1">
                <wp:simplePos x="0" y="0"/>
                <wp:positionH relativeFrom="column">
                  <wp:posOffset>5198745</wp:posOffset>
                </wp:positionH>
                <wp:positionV relativeFrom="paragraph">
                  <wp:posOffset>187960</wp:posOffset>
                </wp:positionV>
                <wp:extent cx="277495" cy="118745"/>
                <wp:effectExtent l="4445" t="4445" r="22860" b="10160"/>
                <wp:wrapNone/>
                <wp:docPr id="121" name="矩形 109"/>
                <wp:cNvGraphicFramePr/>
                <a:graphic xmlns:a="http://schemas.openxmlformats.org/drawingml/2006/main">
                  <a:graphicData uri="http://schemas.microsoft.com/office/word/2010/wordprocessingShape">
                    <wps:wsp>
                      <wps:cNvSpPr/>
                      <wps:spPr>
                        <a:xfrm>
                          <a:off x="0" y="0"/>
                          <a:ext cx="277495" cy="118745"/>
                        </a:xfrm>
                        <a:prstGeom prst="rect">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rect id="矩形 109" o:spid="_x0000_s1026" o:spt="1" style="position:absolute;left:0pt;margin-left:409.35pt;margin-top:14.8pt;height:9.35pt;width:21.85pt;z-index:251716608;mso-width-relative:page;mso-height-relative:page;" fillcolor="#FFFF00" filled="t" stroked="t" coordsize="21600,21600" o:gfxdata="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0L0jnYAAAACQEA&#10;AA8AAAAAAAAAAQAgAAAAIgAAAGRycy9kb3ducmV2LnhtbFBLAQIUABQAAAAIAIdO4kB5YDnN4QEA&#10;ANMDAAAOAAAAAAAAAAEAIAAAACcBAABkcnMvZTJvRG9jLnhtbFBLBQYAAAAABgAGAFkBAAB6BQAA&#10;AAA=&#10;">
                <v:fill on="t" focussize="0,0"/>
                <v:stroke color="#FFFF00" joinstyle="miter"/>
                <v:imagedata o:title=""/>
                <o:lock v:ext="edit" aspectratio="f"/>
              </v:rect>
            </w:pict>
          </mc:Fallback>
        </mc:AlternateContent>
      </w:r>
      <w:r>
        <w:rPr>
          <w:b/>
          <w:sz w:val="24"/>
        </w:rPr>
        <mc:AlternateContent>
          <mc:Choice Requires="wps">
            <w:drawing>
              <wp:anchor distT="0" distB="0" distL="114300" distR="114300" simplePos="0" relativeHeight="251691008" behindDoc="0" locked="0" layoutInCell="1" allowOverlap="1">
                <wp:simplePos x="0" y="0"/>
                <wp:positionH relativeFrom="column">
                  <wp:posOffset>5187950</wp:posOffset>
                </wp:positionH>
                <wp:positionV relativeFrom="paragraph">
                  <wp:posOffset>29210</wp:posOffset>
                </wp:positionV>
                <wp:extent cx="277495" cy="118745"/>
                <wp:effectExtent l="4445" t="4445" r="22860" b="10160"/>
                <wp:wrapNone/>
                <wp:docPr id="112" name="矩形 35"/>
                <wp:cNvGraphicFramePr/>
                <a:graphic xmlns:a="http://schemas.openxmlformats.org/drawingml/2006/main">
                  <a:graphicData uri="http://schemas.microsoft.com/office/word/2010/wordprocessingShape">
                    <wps:wsp>
                      <wps:cNvSpPr/>
                      <wps:spPr>
                        <a:xfrm>
                          <a:off x="0" y="0"/>
                          <a:ext cx="277495" cy="118745"/>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rect id="矩形 35" o:spid="_x0000_s1026" o:spt="1" style="position:absolute;left:0pt;margin-left:408.5pt;margin-top:2.3pt;height:9.35pt;width:21.85pt;z-index:251691008;mso-width-relative:page;mso-height-relative:page;" fillcolor="#FF0000" filled="t" stroked="t" coordsize="21600,21600" o:gfxdata="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XdKES2QAAAAgB&#10;AAAPAAAAAAAAAAEAIAAAACIAAABkcnMvZG93bnJldi54bWxQSwECFAAUAAAACACHTuJAZQENjuEB&#10;AADSAwAADgAAAAAAAAABACAAAAAoAQAAZHJzL2Uyb0RvYy54bWxQSwUGAAAAAAYABgBZAQAAewUA&#10;AAAA&#10;">
                <v:fill on="t" focussize="0,0"/>
                <v:stroke color="#FF0000" joinstyle="miter"/>
                <v:imagedata o:title=""/>
                <o:lock v:ext="edit" aspectratio="f"/>
              </v:rect>
            </w:pict>
          </mc:Fallback>
        </mc:AlternateContent>
      </w:r>
    </w:p>
    <w:p>
      <w:pPr>
        <w:tabs>
          <w:tab w:val="left" w:pos="8661"/>
          <w:tab w:val="left" w:pos="10804"/>
        </w:tabs>
        <w:spacing w:line="360" w:lineRule="auto"/>
        <w:jc w:val="left"/>
        <w:rPr>
          <w:b/>
          <w:sz w:val="24"/>
        </w:rPr>
      </w:pPr>
      <w:r>
        <w:rPr>
          <w:b/>
          <w:sz w:val="24"/>
        </w:rPr>
        <mc:AlternateContent>
          <mc:Choice Requires="wps">
            <w:drawing>
              <wp:anchor distT="0" distB="0" distL="114300" distR="114300" simplePos="0" relativeHeight="251717632" behindDoc="0" locked="0" layoutInCell="1" allowOverlap="1">
                <wp:simplePos x="0" y="0"/>
                <wp:positionH relativeFrom="column">
                  <wp:posOffset>5198745</wp:posOffset>
                </wp:positionH>
                <wp:positionV relativeFrom="paragraph">
                  <wp:posOffset>52705</wp:posOffset>
                </wp:positionV>
                <wp:extent cx="277495" cy="118745"/>
                <wp:effectExtent l="4445" t="4445" r="22860" b="10160"/>
                <wp:wrapNone/>
                <wp:docPr id="122" name="矩形 110"/>
                <wp:cNvGraphicFramePr/>
                <a:graphic xmlns:a="http://schemas.openxmlformats.org/drawingml/2006/main">
                  <a:graphicData uri="http://schemas.microsoft.com/office/word/2010/wordprocessingShape">
                    <wps:wsp>
                      <wps:cNvSpPr/>
                      <wps:spPr>
                        <a:xfrm>
                          <a:off x="0" y="0"/>
                          <a:ext cx="277495" cy="118745"/>
                        </a:xfrm>
                        <a:prstGeom prst="rect">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rect id="矩形 110" o:spid="_x0000_s1026" o:spt="1" style="position:absolute;left:0pt;margin-left:409.35pt;margin-top:4.15pt;height:9.35pt;width:21.85pt;z-index:251717632;mso-width-relative:page;mso-height-relative:page;" fillcolor="#00B050" filled="t" stroked="t" coordsize="21600,21600" o:gfxdata="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jGiN8NkAAAAIAQAA&#10;DwAAAAAAAAABACAAAAAiAAAAZHJzL2Rvd25yZXYueG1sUEsBAhQAFAAAAAgAh07iQCTCwgTfAQAA&#10;0wMAAA4AAAAAAAAAAQAgAAAAKAEAAGRycy9lMm9Eb2MueG1sUEsFBgAAAAAGAAYAWQEAAHkFAAAA&#10;AA==&#10;">
                <v:fill on="t" focussize="0,0"/>
                <v:stroke color="#00B050" joinstyle="miter"/>
                <v:imagedata o:title=""/>
                <o:lock v:ext="edit" aspectratio="f"/>
              </v:rect>
            </w:pict>
          </mc:Fallback>
        </mc:AlternateContent>
      </w:r>
      <w:r>
        <w:rPr>
          <w:b/>
          <w:sz w:val="24"/>
        </w:rPr>
        <mc:AlternateContent>
          <mc:Choice Requires="wps">
            <w:drawing>
              <wp:anchor distT="0" distB="0" distL="114300" distR="114300" simplePos="0" relativeHeight="251718656" behindDoc="0" locked="0" layoutInCell="1" allowOverlap="1">
                <wp:simplePos x="0" y="0"/>
                <wp:positionH relativeFrom="column">
                  <wp:posOffset>5198745</wp:posOffset>
                </wp:positionH>
                <wp:positionV relativeFrom="paragraph">
                  <wp:posOffset>222250</wp:posOffset>
                </wp:positionV>
                <wp:extent cx="277495" cy="118745"/>
                <wp:effectExtent l="4445" t="4445" r="22860" b="10160"/>
                <wp:wrapNone/>
                <wp:docPr id="123" name="矩形 111"/>
                <wp:cNvGraphicFramePr/>
                <a:graphic xmlns:a="http://schemas.openxmlformats.org/drawingml/2006/main">
                  <a:graphicData uri="http://schemas.microsoft.com/office/word/2010/wordprocessingShape">
                    <wps:wsp>
                      <wps:cNvSpPr/>
                      <wps:spPr>
                        <a:xfrm>
                          <a:off x="0" y="0"/>
                          <a:ext cx="277495" cy="118745"/>
                        </a:xfrm>
                        <a:prstGeom prst="rect">
                          <a:avLst/>
                        </a:prstGeom>
                        <a:solidFill>
                          <a:srgbClr val="00B0F0"/>
                        </a:solidFill>
                        <a:ln w="9525" cap="flat" cmpd="sng">
                          <a:solidFill>
                            <a:srgbClr val="00B0F0"/>
                          </a:solidFill>
                          <a:prstDash val="solid"/>
                          <a:miter/>
                          <a:headEnd type="none" w="med" len="med"/>
                          <a:tailEnd type="none" w="med" len="med"/>
                        </a:ln>
                      </wps:spPr>
                      <wps:bodyPr upright="1"/>
                    </wps:wsp>
                  </a:graphicData>
                </a:graphic>
              </wp:anchor>
            </w:drawing>
          </mc:Choice>
          <mc:Fallback>
            <w:pict>
              <v:rect id="矩形 111" o:spid="_x0000_s1026" o:spt="1" style="position:absolute;left:0pt;margin-left:409.35pt;margin-top:17.5pt;height:9.35pt;width:21.85pt;z-index:251718656;mso-width-relative:page;mso-height-relative:page;" fillcolor="#00B0F0" filled="t" stroked="t" coordsize="21600,21600" o:gfxdata="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F4UBdoAAAAJ&#10;AQAADwAAAAAAAAABACAAAAAiAAAAZHJzL2Rvd25yZXYueG1sUEsBAhQAFAAAAAgAh07iQF4AaVzh&#10;AQAA0wMAAA4AAAAAAAAAAQAgAAAAKQEAAGRycy9lMm9Eb2MueG1sUEsFBgAAAAAGAAYAWQEAAHwF&#10;AAAAAA==&#10;">
                <v:fill on="t" focussize="0,0"/>
                <v:stroke color="#00B0F0" joinstyle="miter"/>
                <v:imagedata o:title=""/>
                <o:lock v:ext="edit" aspectratio="f"/>
              </v:rect>
            </w:pict>
          </mc:Fallback>
        </mc:AlternateContent>
      </w:r>
    </w:p>
    <w:p>
      <w:pPr>
        <w:tabs>
          <w:tab w:val="left" w:pos="8661"/>
          <w:tab w:val="left" w:pos="10804"/>
        </w:tabs>
        <w:spacing w:line="360" w:lineRule="auto"/>
        <w:jc w:val="left"/>
        <w:rPr>
          <w:b/>
          <w:sz w:val="24"/>
        </w:rPr>
      </w:pPr>
      <w:r>
        <w:rPr>
          <w:b/>
          <w:sz w:val="24"/>
        </w:rPr>
        <mc:AlternateContent>
          <mc:Choice Requires="wps">
            <w:drawing>
              <wp:anchor distT="0" distB="0" distL="114300" distR="114300" simplePos="0" relativeHeight="251776000" behindDoc="0" locked="0" layoutInCell="1" allowOverlap="1">
                <wp:simplePos x="0" y="0"/>
                <wp:positionH relativeFrom="column">
                  <wp:posOffset>5187950</wp:posOffset>
                </wp:positionH>
                <wp:positionV relativeFrom="paragraph">
                  <wp:posOffset>143510</wp:posOffset>
                </wp:positionV>
                <wp:extent cx="133350" cy="97155"/>
                <wp:effectExtent l="18415" t="12065" r="19685" b="24130"/>
                <wp:wrapNone/>
                <wp:docPr id="163" name="自选图形 215"/>
                <wp:cNvGraphicFramePr/>
                <a:graphic xmlns:a="http://schemas.openxmlformats.org/drawingml/2006/main">
                  <a:graphicData uri="http://schemas.microsoft.com/office/word/2010/wordprocessingShape">
                    <wps:wsp>
                      <wps:cNvSpPr/>
                      <wps:spPr>
                        <a:xfrm>
                          <a:off x="0" y="0"/>
                          <a:ext cx="133350" cy="9715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215" o:spid="_x0000_s1026" style="position:absolute;left:0pt;margin-left:408.5pt;margin-top:11.3pt;height:7.65pt;width:10.5pt;z-index:251776000;mso-width-relative:page;mso-height-relative:page;" fillcolor="#FF0000" filled="t" stroked="t" coordsize="133350,97155" o:gfxdata="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s&#10;jtI21gAAAAkBAAAPAAAAAAAAAAEAIAAAACIAAABkcnMvZG93bnJldi54bWxQSwECFAAUAAAACACH&#10;TuJABtLMPe0BAADZAwAADgAAAAAAAAABACAAAAAlAQAAZHJzL2Uyb0RvYy54bWxQSwUGAAAAAAYA&#10;BgBZAQAAhAUAAAAA&#10;" path="m0,37109l50935,37110,66675,0,82414,37110,133349,37109,92142,60044,107882,97154,66675,74219,25467,97154,41207,60044xe">
                <v:path o:connectlocs="66675,0;0,37109;25467,97154;107882,97154;133349,37109" o:connectangles="247,164,82,82,0"/>
                <v:fill on="t" focussize="0,0"/>
                <v:stroke color="#FF0000" joinstyle="miter"/>
                <v:imagedata o:title=""/>
                <o:lock v:ext="edit" aspectratio="f"/>
              </v:shape>
            </w:pict>
          </mc:Fallback>
        </mc:AlternateContent>
      </w:r>
      <w:r>
        <w:rPr>
          <w:b/>
          <w:sz w:val="24"/>
        </w:rPr>
        <w:tab/>
      </w:r>
    </w:p>
    <w:p>
      <w:pPr>
        <w:spacing w:line="360" w:lineRule="auto"/>
        <w:jc w:val="center"/>
        <w:rPr>
          <w:b/>
          <w:sz w:val="24"/>
        </w:rPr>
      </w:pPr>
      <w:r>
        <w:rPr>
          <w:b/>
          <w:sz w:val="24"/>
        </w:rPr>
        <mc:AlternateContent>
          <mc:Choice Requires="wps">
            <w:drawing>
              <wp:anchor distT="0" distB="0" distL="114300" distR="114300" simplePos="0" relativeHeight="251774976" behindDoc="0" locked="0" layoutInCell="1" allowOverlap="1">
                <wp:simplePos x="0" y="0"/>
                <wp:positionH relativeFrom="column">
                  <wp:posOffset>5198745</wp:posOffset>
                </wp:positionH>
                <wp:positionV relativeFrom="paragraph">
                  <wp:posOffset>10795</wp:posOffset>
                </wp:positionV>
                <wp:extent cx="133350" cy="97155"/>
                <wp:effectExtent l="18415" t="12065" r="19685" b="24130"/>
                <wp:wrapNone/>
                <wp:docPr id="162" name="自选图形 214"/>
                <wp:cNvGraphicFramePr/>
                <a:graphic xmlns:a="http://schemas.openxmlformats.org/drawingml/2006/main">
                  <a:graphicData uri="http://schemas.microsoft.com/office/word/2010/wordprocessingShape">
                    <wps:wsp>
                      <wps:cNvSpPr/>
                      <wps:spPr>
                        <a:xfrm>
                          <a:off x="0" y="0"/>
                          <a:ext cx="133350" cy="97155"/>
                        </a:xfrm>
                        <a:prstGeom prst="star5">
                          <a:avLst/>
                        </a:prstGeom>
                        <a:solidFill>
                          <a:srgbClr val="7030A0"/>
                        </a:solidFill>
                        <a:ln w="9525" cap="flat" cmpd="sng">
                          <a:solidFill>
                            <a:srgbClr val="7030A0"/>
                          </a:solidFill>
                          <a:prstDash val="solid"/>
                          <a:miter/>
                          <a:headEnd type="none" w="med" len="med"/>
                          <a:tailEnd type="none" w="med" len="med"/>
                        </a:ln>
                      </wps:spPr>
                      <wps:bodyPr upright="1"/>
                    </wps:wsp>
                  </a:graphicData>
                </a:graphic>
              </wp:anchor>
            </w:drawing>
          </mc:Choice>
          <mc:Fallback>
            <w:pict>
              <v:shape id="自选图形 214" o:spid="_x0000_s1026" style="position:absolute;left:0pt;margin-left:409.35pt;margin-top:0.85pt;height:7.65pt;width:10.5pt;z-index:251774976;mso-width-relative:page;mso-height-relative:page;" fillcolor="#7030A0" filled="t" stroked="t" coordsize="133350,97155" o:gfxdata="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omKG9YAAAAIAQAADwAAAAAAAAABACAAAAAiAAAAZHJzL2Rvd25yZXYueG1sUEsBAhQAFAAAAAgA&#10;h07iQEoTBHXuAQAA2QMAAA4AAAAAAAAAAQAgAAAAJQEAAGRycy9lMm9Eb2MueG1sUEsFBgAAAAAG&#10;AAYAWQEAAIUFAAAAAA==&#10;" path="m0,37109l50935,37110,66675,0,82414,37110,133349,37109,92142,60044,107882,97154,66675,74219,25467,97154,41207,60044xe">
                <v:path o:connectlocs="66675,0;0,37109;25467,97154;107882,97154;133349,37109" o:connectangles="247,164,82,82,0"/>
                <v:fill on="t" focussize="0,0"/>
                <v:stroke color="#7030A0" joinstyle="miter"/>
                <v:imagedata o:title=""/>
                <o:lock v:ext="edit" aspectratio="f"/>
              </v:shape>
            </w:pict>
          </mc:Fallback>
        </mc:AlternateContent>
      </w:r>
    </w:p>
    <w:p>
      <w:pPr>
        <w:spacing w:line="360" w:lineRule="auto"/>
        <w:jc w:val="center"/>
        <w:rPr>
          <w:b/>
          <w:sz w:val="24"/>
        </w:rPr>
      </w:pPr>
      <w:r>
        <w:rPr>
          <w:b/>
          <w:sz w:val="24"/>
        </w:rPr>
        <w:t>附图</w:t>
      </w:r>
      <w:r>
        <w:rPr>
          <w:rFonts w:hint="eastAsia"/>
          <w:b/>
          <w:sz w:val="24"/>
        </w:rPr>
        <w:t>2 项目</w:t>
      </w:r>
      <w:r>
        <w:rPr>
          <w:b/>
          <w:sz w:val="24"/>
        </w:rPr>
        <w:t>平面布置图</w:t>
      </w:r>
    </w:p>
    <w:p>
      <w:pPr>
        <w:spacing w:line="360" w:lineRule="auto"/>
        <w:jc w:val="center"/>
        <w:rPr>
          <w:b/>
          <w:sz w:val="24"/>
        </w:rPr>
        <w:sectPr>
          <w:pgSz w:w="11906" w:h="16838"/>
          <w:pgMar w:top="1440" w:right="1236" w:bottom="1440" w:left="1236" w:header="851" w:footer="992" w:gutter="0"/>
          <w:cols w:space="0" w:num="1"/>
          <w:docGrid w:type="lines" w:linePitch="319" w:charSpace="0"/>
        </w:sectPr>
      </w:pPr>
    </w:p>
    <w:p>
      <w:pPr>
        <w:spacing w:line="360" w:lineRule="auto"/>
        <w:jc w:val="center"/>
        <w:rPr>
          <w:b/>
          <w:sz w:val="24"/>
        </w:rPr>
      </w:pPr>
      <w:r>
        <w:rPr>
          <w:b/>
          <w:sz w:val="24"/>
        </w:rPr>
        <mc:AlternateContent>
          <mc:Choice Requires="wps">
            <w:drawing>
              <wp:anchor distT="0" distB="0" distL="114300" distR="114300" simplePos="0" relativeHeight="251783168" behindDoc="0" locked="0" layoutInCell="1" allowOverlap="1">
                <wp:simplePos x="0" y="0"/>
                <wp:positionH relativeFrom="column">
                  <wp:posOffset>5149850</wp:posOffset>
                </wp:positionH>
                <wp:positionV relativeFrom="paragraph">
                  <wp:posOffset>716915</wp:posOffset>
                </wp:positionV>
                <wp:extent cx="660400" cy="304800"/>
                <wp:effectExtent l="0" t="0" r="0" b="0"/>
                <wp:wrapNone/>
                <wp:docPr id="170" name="文本框 287"/>
                <wp:cNvGraphicFramePr/>
                <a:graphic xmlns:a="http://schemas.openxmlformats.org/drawingml/2006/main">
                  <a:graphicData uri="http://schemas.microsoft.com/office/word/2010/wordprocessingShape">
                    <wps:wsp>
                      <wps:cNvSpPr txBox="1"/>
                      <wps:spPr>
                        <a:xfrm>
                          <a:off x="0" y="0"/>
                          <a:ext cx="660400" cy="304800"/>
                        </a:xfrm>
                        <a:prstGeom prst="rect">
                          <a:avLst/>
                        </a:prstGeom>
                        <a:noFill/>
                        <a:ln w="9525">
                          <a:noFill/>
                        </a:ln>
                      </wps:spPr>
                      <wps:txbx>
                        <w:txbxContent>
                          <w:p>
                            <w:pPr>
                              <w:rPr>
                                <w:b/>
                              </w:rPr>
                            </w:pPr>
                            <w:r>
                              <w:rPr>
                                <w:b/>
                              </w:rPr>
                              <w:t>东风村</w:t>
                            </w:r>
                          </w:p>
                        </w:txbxContent>
                      </wps:txbx>
                      <wps:bodyPr upright="1"/>
                    </wps:wsp>
                  </a:graphicData>
                </a:graphic>
              </wp:anchor>
            </w:drawing>
          </mc:Choice>
          <mc:Fallback>
            <w:pict>
              <v:shape id="文本框 287" o:spid="_x0000_s1026" o:spt="202" type="#_x0000_t202" style="position:absolute;left:0pt;margin-left:405.5pt;margin-top:56.45pt;height:24pt;width:52pt;z-index:251783168;mso-width-relative:page;mso-height-relative:page;" filled="f" stroked="f" coordsize="21600,21600" o:gfxdata="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pIL08dcAAAALAQAADwAAAAAAAAABACAAAAAiAAAA&#10;ZHJzL2Rvd25yZXYueG1sUEsBAhQAFAAAAAgAh07iQIbdmaCWAQAADAMAAA4AAAAAAAAAAQAgAAAA&#10;JgEAAGRycy9lMm9Eb2MueG1sUEsFBgAAAAAGAAYAWQEAAC4FAAAAAA==&#10;">
                <v:fill on="f" focussize="0,0"/>
                <v:stroke on="f"/>
                <v:imagedata o:title=""/>
                <o:lock v:ext="edit" aspectratio="f"/>
                <v:textbox>
                  <w:txbxContent>
                    <w:p>
                      <w:pPr>
                        <w:rPr>
                          <w:b/>
                        </w:rPr>
                      </w:pPr>
                      <w:r>
                        <w:rPr>
                          <w:b/>
                        </w:rPr>
                        <w:t>东风村</w:t>
                      </w:r>
                    </w:p>
                  </w:txbxContent>
                </v:textbox>
              </v:shape>
            </w:pict>
          </mc:Fallback>
        </mc:AlternateContent>
      </w:r>
      <w:r>
        <w:rPr>
          <w:b/>
          <w:sz w:val="24"/>
        </w:rPr>
        <mc:AlternateContent>
          <mc:Choice Requires="wps">
            <w:drawing>
              <wp:anchor distT="0" distB="0" distL="114300" distR="114300" simplePos="0" relativeHeight="251770880" behindDoc="0" locked="0" layoutInCell="1" allowOverlap="1">
                <wp:simplePos x="0" y="0"/>
                <wp:positionH relativeFrom="column">
                  <wp:posOffset>5454015</wp:posOffset>
                </wp:positionH>
                <wp:positionV relativeFrom="paragraph">
                  <wp:posOffset>1021715</wp:posOffset>
                </wp:positionV>
                <wp:extent cx="179705" cy="182880"/>
                <wp:effectExtent l="7620" t="10795" r="22225" b="15875"/>
                <wp:wrapNone/>
                <wp:docPr id="158" name="自选图形 210"/>
                <wp:cNvGraphicFramePr/>
                <a:graphic xmlns:a="http://schemas.openxmlformats.org/drawingml/2006/main">
                  <a:graphicData uri="http://schemas.microsoft.com/office/word/2010/wordprocessingShape">
                    <wps:wsp>
                      <wps:cNvSpPr/>
                      <wps:spPr>
                        <a:xfrm>
                          <a:off x="0" y="0"/>
                          <a:ext cx="179705" cy="182880"/>
                        </a:xfrm>
                        <a:prstGeom prst="triangle">
                          <a:avLst>
                            <a:gd name="adj" fmla="val 50000"/>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210" o:spid="_x0000_s1026" o:spt="5" type="#_x0000_t5" style="position:absolute;left:0pt;margin-left:429.45pt;margin-top:80.45pt;height:14.4pt;width:14.15pt;z-index:251770880;mso-width-relative:page;mso-height-relative:page;" fillcolor="#00B0F0" filled="t" stroked="t" coordsize="21600,21600" o:gfxdata="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dQvaAAAACwEAAA8AAAAAAAAAAQAgAAAAIgAA&#10;AGRycy9kb3ducmV2LnhtbFBLAQIUABQAAAAIAIdO4kB0ttUbBgIAAAkEAAAOAAAAAAAAAAEAIAAA&#10;ACkBAABkcnMvZTJvRG9jLnhtbFBLBQYAAAAABgAGAFkBAAChBQAAAAA=&#10;" adj="10800">
                <v:fill on="t" focussize="0,0"/>
                <v:stroke color="#000000" joinstyle="miter"/>
                <v:imagedata o:title=""/>
                <o:lock v:ext="edit" aspectratio="f"/>
              </v:shape>
            </w:pict>
          </mc:Fallback>
        </mc:AlternateContent>
      </w:r>
      <w:r>
        <w:rPr>
          <w:b/>
          <w:sz w:val="24"/>
        </w:rPr>
        <mc:AlternateContent>
          <mc:Choice Requires="wps">
            <w:drawing>
              <wp:anchor distT="0" distB="0" distL="114300" distR="114300" simplePos="0" relativeHeight="251769856" behindDoc="0" locked="0" layoutInCell="1" allowOverlap="1">
                <wp:simplePos x="0" y="0"/>
                <wp:positionH relativeFrom="column">
                  <wp:posOffset>1553845</wp:posOffset>
                </wp:positionH>
                <wp:positionV relativeFrom="paragraph">
                  <wp:posOffset>4678045</wp:posOffset>
                </wp:positionV>
                <wp:extent cx="179705" cy="182880"/>
                <wp:effectExtent l="7620" t="10795" r="22225" b="15875"/>
                <wp:wrapNone/>
                <wp:docPr id="157" name="自选图形 209"/>
                <wp:cNvGraphicFramePr/>
                <a:graphic xmlns:a="http://schemas.openxmlformats.org/drawingml/2006/main">
                  <a:graphicData uri="http://schemas.microsoft.com/office/word/2010/wordprocessingShape">
                    <wps:wsp>
                      <wps:cNvSpPr/>
                      <wps:spPr>
                        <a:xfrm>
                          <a:off x="0" y="0"/>
                          <a:ext cx="179705" cy="182880"/>
                        </a:xfrm>
                        <a:prstGeom prst="triangle">
                          <a:avLst>
                            <a:gd name="adj" fmla="val 50000"/>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209" o:spid="_x0000_s1026" o:spt="5" type="#_x0000_t5" style="position:absolute;left:0pt;margin-left:122.35pt;margin-top:368.35pt;height:14.4pt;width:14.15pt;z-index:251769856;mso-width-relative:page;mso-height-relative:page;" fillcolor="#00B0F0" filled="t" stroked="t" coordsize="21600,21600" o:gfxdata="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60Dv+2gAAAAsBAAAPAAAAAAAAAAEAIAAAACIA&#10;AABkcnMvZG93bnJldi54bWxQSwECFAAUAAAACACHTuJASnoODwcCAAAJBAAADgAAAAAAAAABACAA&#10;AAApAQAAZHJzL2Uyb0RvYy54bWxQSwUGAAAAAAYABgBZAQAAogUAAAAA&#10;" adj="10800">
                <v:fill on="t" focussize="0,0"/>
                <v:stroke color="#000000" joinstyle="miter"/>
                <v:imagedata o:title=""/>
                <o:lock v:ext="edit" aspectratio="f"/>
              </v:shape>
            </w:pict>
          </mc:Fallback>
        </mc:AlternateContent>
      </w:r>
      <w:r>
        <w:rPr>
          <w:b/>
          <w:sz w:val="24"/>
        </w:rPr>
        <mc:AlternateContent>
          <mc:Choice Requires="wps">
            <w:drawing>
              <wp:anchor distT="0" distB="0" distL="114300" distR="114300" simplePos="0" relativeHeight="251743232" behindDoc="0" locked="0" layoutInCell="1" allowOverlap="1">
                <wp:simplePos x="0" y="0"/>
                <wp:positionH relativeFrom="column">
                  <wp:posOffset>1553845</wp:posOffset>
                </wp:positionH>
                <wp:positionV relativeFrom="paragraph">
                  <wp:posOffset>4472940</wp:posOffset>
                </wp:positionV>
                <wp:extent cx="247650" cy="88900"/>
                <wp:effectExtent l="6350" t="6350" r="12700" b="19050"/>
                <wp:wrapNone/>
                <wp:docPr id="142" name="矩形 11"/>
                <wp:cNvGraphicFramePr/>
                <a:graphic xmlns:a="http://schemas.openxmlformats.org/drawingml/2006/main">
                  <a:graphicData uri="http://schemas.microsoft.com/office/word/2010/wordprocessingShape">
                    <wps:wsp>
                      <wps:cNvSpPr/>
                      <wps:spPr>
                        <a:xfrm>
                          <a:off x="0" y="0"/>
                          <a:ext cx="247650" cy="88900"/>
                        </a:xfrm>
                        <a:prstGeom prst="rect">
                          <a:avLst/>
                        </a:prstGeom>
                        <a:solidFill>
                          <a:srgbClr val="FFFF00"/>
                        </a:solidFill>
                        <a:ln w="12700" cap="flat" cmpd="sng">
                          <a:solidFill>
                            <a:srgbClr val="FFFF00"/>
                          </a:solidFill>
                          <a:prstDash val="solid"/>
                          <a:miter/>
                          <a:headEnd type="none" w="med" len="med"/>
                          <a:tailEnd type="none" w="med" len="med"/>
                        </a:ln>
                        <a:effectLst/>
                      </wps:spPr>
                      <wps:bodyPr upright="1"/>
                    </wps:wsp>
                  </a:graphicData>
                </a:graphic>
              </wp:anchor>
            </w:drawing>
          </mc:Choice>
          <mc:Fallback>
            <w:pict>
              <v:rect id="矩形 11" o:spid="_x0000_s1026" o:spt="1" style="position:absolute;left:0pt;margin-left:122.35pt;margin-top:352.2pt;height:7pt;width:19.5pt;z-index:251743232;mso-width-relative:page;mso-height-relative:page;" fillcolor="#FFFF00" filled="t" stroked="t" coordsize="21600,21600" o:gfxdata="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TPNTA2wAA&#10;AAsBAAAPAAAAAAAAAAEAIAAAACIAAABkcnMvZG93bnJldi54bWxQSwECFAAUAAAACACHTuJA1u+x&#10;ZuIBAADgAwAADgAAAAAAAAABACAAAAAqAQAAZHJzL2Uyb0RvYy54bWxQSwUGAAAAAAYABgBZAQAA&#10;fgUAAAAA&#10;">
                <v:fill on="t" focussize="0,0"/>
                <v:stroke weight="1pt" color="#FFFF00" joinstyle="miter"/>
                <v:imagedata o:title=""/>
                <o:lock v:ext="edit" aspectratio="f"/>
              </v:rect>
            </w:pict>
          </mc:Fallback>
        </mc:AlternateContent>
      </w:r>
      <w:r>
        <w:rPr>
          <w:b/>
          <w:sz w:val="24"/>
        </w:rPr>
        <mc:AlternateContent>
          <mc:Choice Requires="wps">
            <w:drawing>
              <wp:anchor distT="0" distB="0" distL="114300" distR="114300" simplePos="0" relativeHeight="251739136" behindDoc="0" locked="0" layoutInCell="1" allowOverlap="1">
                <wp:simplePos x="0" y="0"/>
                <wp:positionH relativeFrom="column">
                  <wp:posOffset>24765</wp:posOffset>
                </wp:positionH>
                <wp:positionV relativeFrom="paragraph">
                  <wp:posOffset>3087370</wp:posOffset>
                </wp:positionV>
                <wp:extent cx="1915160" cy="1927225"/>
                <wp:effectExtent l="4445" t="4445" r="23495" b="11430"/>
                <wp:wrapNone/>
                <wp:docPr id="138" name="矩形 14"/>
                <wp:cNvGraphicFramePr/>
                <a:graphic xmlns:a="http://schemas.openxmlformats.org/drawingml/2006/main">
                  <a:graphicData uri="http://schemas.microsoft.com/office/word/2010/wordprocessingShape">
                    <wps:wsp>
                      <wps:cNvSpPr/>
                      <wps:spPr>
                        <a:xfrm>
                          <a:off x="1239520" y="5125720"/>
                          <a:ext cx="1763395" cy="131889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360" w:lineRule="auto"/>
                              <w:jc w:val="center"/>
                              <w:rPr>
                                <w:rFonts w:ascii="宋体" w:hAnsi="宋体"/>
                              </w:rPr>
                            </w:pPr>
                            <w:r>
                              <w:rPr>
                                <w:rFonts w:hint="eastAsia" w:ascii="宋体" w:hAnsi="宋体"/>
                              </w:rPr>
                              <w:t>图例</w:t>
                            </w:r>
                          </w:p>
                          <w:p>
                            <w:pPr>
                              <w:spacing w:line="360" w:lineRule="auto"/>
                              <w:rPr>
                                <w:rFonts w:ascii="宋体" w:hAnsi="宋体"/>
                              </w:rPr>
                            </w:pPr>
                            <w:r>
                              <w:rPr>
                                <w:rFonts w:ascii="宋体" w:hAnsi="宋体"/>
                              </w:rPr>
                              <w:t>本项目</w:t>
                            </w:r>
                            <w:r>
                              <w:rPr>
                                <w:rFonts w:hint="eastAsia" w:ascii="宋体" w:hAnsi="宋体"/>
                              </w:rPr>
                              <w:t>厂界：</w:t>
                            </w:r>
                          </w:p>
                          <w:p>
                            <w:pPr>
                              <w:spacing w:line="360" w:lineRule="auto"/>
                              <w:rPr>
                                <w:rFonts w:hAnsi="宋体"/>
                              </w:rPr>
                            </w:pPr>
                            <w:r>
                              <w:rPr>
                                <w:rFonts w:hint="eastAsia" w:hAnsi="宋体"/>
                              </w:rPr>
                              <w:t>大气调查范围</w:t>
                            </w:r>
                            <w:r>
                              <w:rPr>
                                <w:rFonts w:hAnsi="宋体"/>
                              </w:rPr>
                              <w:t>：</w:t>
                            </w:r>
                          </w:p>
                          <w:p>
                            <w:pPr>
                              <w:spacing w:line="360" w:lineRule="auto"/>
                              <w:rPr>
                                <w:rFonts w:hAnsi="宋体"/>
                              </w:rPr>
                            </w:pPr>
                            <w:r>
                              <w:rPr>
                                <w:rFonts w:hint="eastAsia" w:hAnsi="宋体"/>
                              </w:rPr>
                              <w:t>声环境调查范围：</w:t>
                            </w:r>
                          </w:p>
                          <w:p>
                            <w:pPr>
                              <w:spacing w:line="360" w:lineRule="auto"/>
                              <w:rPr>
                                <w:rFonts w:hAnsi="宋体"/>
                              </w:rPr>
                            </w:pPr>
                            <w:r>
                              <w:rPr>
                                <w:rFonts w:hint="eastAsia" w:hAnsi="宋体"/>
                              </w:rPr>
                              <w:t>大气及声环境敏感目标：</w:t>
                            </w:r>
                          </w:p>
                          <w:p>
                            <w:pPr>
                              <w:spacing w:line="360" w:lineRule="auto"/>
                              <w:rPr>
                                <w:rFonts w:hAnsi="宋体"/>
                              </w:rPr>
                            </w:pPr>
                            <w:r>
                              <w:rPr>
                                <w:rFonts w:hint="eastAsia" w:hAnsi="宋体"/>
                              </w:rPr>
                              <w:t>地下水环境保护目标：</w:t>
                            </w:r>
                          </w:p>
                        </w:txbxContent>
                      </wps:txbx>
                      <wps:bodyPr upright="1"/>
                    </wps:wsp>
                  </a:graphicData>
                </a:graphic>
              </wp:anchor>
            </w:drawing>
          </mc:Choice>
          <mc:Fallback>
            <w:pict>
              <v:rect id="矩形 14" o:spid="_x0000_s1026" o:spt="1" style="position:absolute;left:0pt;margin-left:1.95pt;margin-top:243.1pt;height:151.75pt;width:150.8pt;z-index:251739136;mso-width-relative:page;mso-height-relative:page;" fillcolor="#FFFFFF" filled="t" stroked="t" coordsize="21600,21600" o:gfxdata="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b4Ag72QAAAAkBAAAPAAAAAAAAAAEAIAAAACIAAABkcnMvZG93bnJldi54bWxQ&#10;SwECFAAUAAAACACHTuJAwUmp8fYBAAD5AwAADgAAAAAAAAABACAAAAAoAQAAZHJzL2Uyb0RvYy54&#10;bWxQSwUGAAAAAAYABgBZAQAAkAUAAAAA&#10;">
                <v:fill on="t" focussize="0,0"/>
                <v:stroke color="#000000" joinstyle="miter"/>
                <v:imagedata o:title=""/>
                <o:lock v:ext="edit" aspectratio="f"/>
                <v:textbox>
                  <w:txbxContent>
                    <w:p>
                      <w:pPr>
                        <w:spacing w:line="360" w:lineRule="auto"/>
                        <w:jc w:val="center"/>
                        <w:rPr>
                          <w:rFonts w:ascii="宋体" w:hAnsi="宋体"/>
                        </w:rPr>
                      </w:pPr>
                      <w:r>
                        <w:rPr>
                          <w:rFonts w:hint="eastAsia" w:ascii="宋体" w:hAnsi="宋体"/>
                        </w:rPr>
                        <w:t>图例</w:t>
                      </w:r>
                    </w:p>
                    <w:p>
                      <w:pPr>
                        <w:spacing w:line="360" w:lineRule="auto"/>
                        <w:rPr>
                          <w:rFonts w:ascii="宋体" w:hAnsi="宋体"/>
                        </w:rPr>
                      </w:pPr>
                      <w:r>
                        <w:rPr>
                          <w:rFonts w:ascii="宋体" w:hAnsi="宋体"/>
                        </w:rPr>
                        <w:t>本项目</w:t>
                      </w:r>
                      <w:r>
                        <w:rPr>
                          <w:rFonts w:hint="eastAsia" w:ascii="宋体" w:hAnsi="宋体"/>
                        </w:rPr>
                        <w:t>厂界：</w:t>
                      </w:r>
                    </w:p>
                    <w:p>
                      <w:pPr>
                        <w:spacing w:line="360" w:lineRule="auto"/>
                        <w:rPr>
                          <w:rFonts w:hAnsi="宋体"/>
                        </w:rPr>
                      </w:pPr>
                      <w:r>
                        <w:rPr>
                          <w:rFonts w:hint="eastAsia" w:hAnsi="宋体"/>
                        </w:rPr>
                        <w:t>大气调查范围</w:t>
                      </w:r>
                      <w:r>
                        <w:rPr>
                          <w:rFonts w:hAnsi="宋体"/>
                        </w:rPr>
                        <w:t>：</w:t>
                      </w:r>
                    </w:p>
                    <w:p>
                      <w:pPr>
                        <w:spacing w:line="360" w:lineRule="auto"/>
                        <w:rPr>
                          <w:rFonts w:hAnsi="宋体"/>
                        </w:rPr>
                      </w:pPr>
                      <w:r>
                        <w:rPr>
                          <w:rFonts w:hint="eastAsia" w:hAnsi="宋体"/>
                        </w:rPr>
                        <w:t>声环境调查范围：</w:t>
                      </w:r>
                    </w:p>
                    <w:p>
                      <w:pPr>
                        <w:spacing w:line="360" w:lineRule="auto"/>
                        <w:rPr>
                          <w:rFonts w:hAnsi="宋体"/>
                        </w:rPr>
                      </w:pPr>
                      <w:r>
                        <w:rPr>
                          <w:rFonts w:hint="eastAsia" w:hAnsi="宋体"/>
                        </w:rPr>
                        <w:t>大气及声环境敏感目标：</w:t>
                      </w:r>
                    </w:p>
                    <w:p>
                      <w:pPr>
                        <w:spacing w:line="360" w:lineRule="auto"/>
                        <w:rPr>
                          <w:rFonts w:hAnsi="宋体"/>
                        </w:rPr>
                      </w:pPr>
                      <w:r>
                        <w:rPr>
                          <w:rFonts w:hint="eastAsia" w:hAnsi="宋体"/>
                        </w:rPr>
                        <w:t>地下水环境保护目标：</w:t>
                      </w:r>
                    </w:p>
                  </w:txbxContent>
                </v:textbox>
              </v:rect>
            </w:pict>
          </mc:Fallback>
        </mc:AlternateContent>
      </w:r>
      <w:r>
        <w:rPr>
          <w:b/>
          <w:sz w:val="24"/>
        </w:rPr>
        <mc:AlternateContent>
          <mc:Choice Requires="wps">
            <w:drawing>
              <wp:anchor distT="0" distB="0" distL="114300" distR="114300" simplePos="0" relativeHeight="251742208" behindDoc="0" locked="0" layoutInCell="1" allowOverlap="1">
                <wp:simplePos x="0" y="0"/>
                <wp:positionH relativeFrom="column">
                  <wp:posOffset>1181100</wp:posOffset>
                </wp:positionH>
                <wp:positionV relativeFrom="paragraph">
                  <wp:posOffset>4144645</wp:posOffset>
                </wp:positionV>
                <wp:extent cx="247650" cy="104775"/>
                <wp:effectExtent l="6350" t="6350" r="12700" b="22225"/>
                <wp:wrapNone/>
                <wp:docPr id="141" name="矩形 24"/>
                <wp:cNvGraphicFramePr/>
                <a:graphic xmlns:a="http://schemas.openxmlformats.org/drawingml/2006/main">
                  <a:graphicData uri="http://schemas.microsoft.com/office/word/2010/wordprocessingShape">
                    <wps:wsp>
                      <wps:cNvSpPr/>
                      <wps:spPr>
                        <a:xfrm>
                          <a:off x="2440305" y="6167755"/>
                          <a:ext cx="247650" cy="104775"/>
                        </a:xfrm>
                        <a:prstGeom prst="rect">
                          <a:avLst/>
                        </a:prstGeom>
                        <a:noFill/>
                        <a:ln w="12700" cap="flat" cmpd="sng">
                          <a:solidFill>
                            <a:srgbClr val="FFFF00"/>
                          </a:solidFill>
                          <a:prstDash val="solid"/>
                          <a:miter/>
                          <a:headEnd type="none" w="med" len="med"/>
                          <a:tailEnd type="none" w="med" len="med"/>
                        </a:ln>
                        <a:effectLst/>
                      </wps:spPr>
                      <wps:bodyPr upright="1"/>
                    </wps:wsp>
                  </a:graphicData>
                </a:graphic>
              </wp:anchor>
            </w:drawing>
          </mc:Choice>
          <mc:Fallback>
            <w:pict>
              <v:rect id="矩形 24" o:spid="_x0000_s1026" o:spt="1" style="position:absolute;left:0pt;margin-left:93pt;margin-top:326.35pt;height:8.25pt;width:19.5pt;z-index:251742208;mso-width-relative:page;mso-height-relative:page;" filled="f" stroked="t" coordsize="21600,21600" o:gfxdata="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zGY1/ZAAAACwEAAA8AAAAAAAAAAQAgAAAAIgAAAGRycy9kb3ducmV2LnhtbFBLAQIUABQAAAAI&#10;AIdO4kBwGpbO7AEAAMQDAAAOAAAAAAAAAAEAIAAAACgBAABkcnMvZTJvRG9jLnhtbFBLBQYAAAAA&#10;BgAGAFkBAACGBQAAAAA=&#10;">
                <v:fill on="f" focussize="0,0"/>
                <v:stroke weight="1pt" color="#FFFF00" joinstyle="miter"/>
                <v:imagedata o:title=""/>
                <o:lock v:ext="edit" aspectratio="f"/>
              </v:rect>
            </w:pict>
          </mc:Fallback>
        </mc:AlternateContent>
      </w:r>
      <w:r>
        <w:rPr>
          <w:b/>
          <w:sz w:val="24"/>
        </w:rPr>
        <mc:AlternateContent>
          <mc:Choice Requires="wps">
            <w:drawing>
              <wp:anchor distT="0" distB="0" distL="114300" distR="114300" simplePos="0" relativeHeight="251741184" behindDoc="0" locked="0" layoutInCell="1" allowOverlap="1">
                <wp:simplePos x="0" y="0"/>
                <wp:positionH relativeFrom="column">
                  <wp:posOffset>1112520</wp:posOffset>
                </wp:positionH>
                <wp:positionV relativeFrom="paragraph">
                  <wp:posOffset>3818890</wp:posOffset>
                </wp:positionV>
                <wp:extent cx="247650" cy="104775"/>
                <wp:effectExtent l="6350" t="6350" r="12700" b="22225"/>
                <wp:wrapNone/>
                <wp:docPr id="140" name="矩形 171"/>
                <wp:cNvGraphicFramePr/>
                <a:graphic xmlns:a="http://schemas.openxmlformats.org/drawingml/2006/main">
                  <a:graphicData uri="http://schemas.microsoft.com/office/word/2010/wordprocessingShape">
                    <wps:wsp>
                      <wps:cNvSpPr/>
                      <wps:spPr>
                        <a:xfrm>
                          <a:off x="0" y="0"/>
                          <a:ext cx="247650" cy="104775"/>
                        </a:xfrm>
                        <a:prstGeom prst="rect">
                          <a:avLst/>
                        </a:prstGeom>
                        <a:noFill/>
                        <a:ln w="12700" cap="flat" cmpd="sng">
                          <a:solidFill>
                            <a:srgbClr val="F90BDD"/>
                          </a:solidFill>
                          <a:prstDash val="solid"/>
                          <a:miter/>
                          <a:headEnd type="none" w="med" len="med"/>
                          <a:tailEnd type="none" w="med" len="med"/>
                        </a:ln>
                      </wps:spPr>
                      <wps:bodyPr upright="1"/>
                    </wps:wsp>
                  </a:graphicData>
                </a:graphic>
              </wp:anchor>
            </w:drawing>
          </mc:Choice>
          <mc:Fallback>
            <w:pict>
              <v:rect id="矩形 171" o:spid="_x0000_s1026" o:spt="1" style="position:absolute;left:0pt;margin-left:87.6pt;margin-top:300.7pt;height:8.25pt;width:19.5pt;z-index:251741184;mso-width-relative:page;mso-height-relative:page;" filled="f" stroked="t" coordsize="21600,21600" o:gfxdata="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5Ew3zaAAAACwEA&#10;AA8AAAAAAAAAAQAgAAAAIgAAAGRycy9kb3ducmV2LnhtbFBLAQIUABQAAAAIAIdO4kAFvddmGAIA&#10;ADMEAAAOAAAAAAAAAAEAIAAAACkBAABkcnMvZTJvRG9jLnhtbFBLBQYAAAAABgAGAFkBAACzBQAA&#10;AAA=&#10;">
                <v:fill on="f" focussize="0,0"/>
                <v:stroke weight="1pt" color="#F90BDD" joinstyle="miter"/>
                <v:imagedata o:title=""/>
                <o:lock v:ext="edit" aspectratio="f"/>
              </v:rect>
            </w:pict>
          </mc:Fallback>
        </mc:AlternateContent>
      </w:r>
      <w:r>
        <w:rPr>
          <w:b/>
          <w:sz w:val="24"/>
        </w:rPr>
        <mc:AlternateContent>
          <mc:Choice Requires="wps">
            <w:drawing>
              <wp:anchor distT="0" distB="0" distL="114300" distR="114300" simplePos="0" relativeHeight="251740160" behindDoc="0" locked="0" layoutInCell="1" allowOverlap="1">
                <wp:simplePos x="0" y="0"/>
                <wp:positionH relativeFrom="column">
                  <wp:posOffset>988695</wp:posOffset>
                </wp:positionH>
                <wp:positionV relativeFrom="paragraph">
                  <wp:posOffset>3532505</wp:posOffset>
                </wp:positionV>
                <wp:extent cx="247650" cy="104775"/>
                <wp:effectExtent l="6350" t="6350" r="12700" b="22225"/>
                <wp:wrapNone/>
                <wp:docPr id="139" name="矩形 23"/>
                <wp:cNvGraphicFramePr/>
                <a:graphic xmlns:a="http://schemas.openxmlformats.org/drawingml/2006/main">
                  <a:graphicData uri="http://schemas.microsoft.com/office/word/2010/wordprocessingShape">
                    <wps:wsp>
                      <wps:cNvSpPr/>
                      <wps:spPr>
                        <a:xfrm>
                          <a:off x="2152650" y="5560695"/>
                          <a:ext cx="247650" cy="104775"/>
                        </a:xfrm>
                        <a:prstGeom prst="rect">
                          <a:avLst/>
                        </a:prstGeom>
                        <a:noFill/>
                        <a:ln w="12700" cap="flat" cmpd="sng">
                          <a:solidFill>
                            <a:srgbClr val="FF0000"/>
                          </a:solidFill>
                          <a:prstDash val="solid"/>
                          <a:miter/>
                          <a:headEnd type="none" w="med" len="med"/>
                          <a:tailEnd type="none" w="med" len="med"/>
                        </a:ln>
                        <a:effectLst/>
                      </wps:spPr>
                      <wps:bodyPr upright="1"/>
                    </wps:wsp>
                  </a:graphicData>
                </a:graphic>
              </wp:anchor>
            </w:drawing>
          </mc:Choice>
          <mc:Fallback>
            <w:pict>
              <v:rect id="矩形 23" o:spid="_x0000_s1026" o:spt="1" style="position:absolute;left:0pt;margin-left:77.85pt;margin-top:278.15pt;height:8.25pt;width:19.5pt;z-index:251740160;mso-width-relative:page;mso-height-relative:page;" filled="f" stroked="t" coordsize="21600,21600" o:gfxdata="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dCg6naAAAACwEAAA8AAAAAAAAAAQAgAAAAIgAAAGRycy9kb3ducmV2LnhtbFBLAQIU&#10;ABQAAAAIAIdO4kDRV8p18QEAAMQDAAAOAAAAAAAAAAEAIAAAACkBAABkcnMvZTJvRG9jLnhtbFBL&#10;BQYAAAAABgAGAFkBAACMBQAAAAA=&#10;">
                <v:fill on="f" focussize="0,0"/>
                <v:stroke weight="1pt" color="#FF0000" joinstyle="miter"/>
                <v:imagedata o:title=""/>
                <o:lock v:ext="edit" aspectratio="f"/>
              </v:rect>
            </w:pict>
          </mc:Fallback>
        </mc:AlternateContent>
      </w:r>
      <w:r>
        <w:rPr>
          <w:b/>
          <w:sz w:val="24"/>
        </w:rPr>
        <mc:AlternateContent>
          <mc:Choice Requires="wps">
            <w:drawing>
              <wp:anchor distT="0" distB="0" distL="114300" distR="114300" simplePos="0" relativeHeight="251768832" behindDoc="0" locked="0" layoutInCell="1" allowOverlap="1">
                <wp:simplePos x="0" y="0"/>
                <wp:positionH relativeFrom="column">
                  <wp:posOffset>5114925</wp:posOffset>
                </wp:positionH>
                <wp:positionV relativeFrom="paragraph">
                  <wp:posOffset>582930</wp:posOffset>
                </wp:positionV>
                <wp:extent cx="895985" cy="922020"/>
                <wp:effectExtent l="4445" t="4445" r="13970" b="6985"/>
                <wp:wrapNone/>
                <wp:docPr id="156" name="任意多边形 208"/>
                <wp:cNvGraphicFramePr/>
                <a:graphic xmlns:a="http://schemas.openxmlformats.org/drawingml/2006/main">
                  <a:graphicData uri="http://schemas.microsoft.com/office/word/2010/wordprocessingShape">
                    <wps:wsp>
                      <wps:cNvSpPr/>
                      <wps:spPr>
                        <a:xfrm>
                          <a:off x="0" y="0"/>
                          <a:ext cx="895985" cy="922020"/>
                        </a:xfrm>
                        <a:custGeom>
                          <a:avLst/>
                          <a:gdLst/>
                          <a:ahLst/>
                          <a:cxnLst/>
                          <a:pathLst>
                            <a:path w="1411" h="1452">
                              <a:moveTo>
                                <a:pt x="159" y="100"/>
                              </a:moveTo>
                              <a:lnTo>
                                <a:pt x="460" y="0"/>
                              </a:lnTo>
                              <a:lnTo>
                                <a:pt x="823" y="325"/>
                              </a:lnTo>
                              <a:lnTo>
                                <a:pt x="1048" y="651"/>
                              </a:lnTo>
                              <a:lnTo>
                                <a:pt x="1123" y="776"/>
                              </a:lnTo>
                              <a:lnTo>
                                <a:pt x="1261" y="976"/>
                              </a:lnTo>
                              <a:lnTo>
                                <a:pt x="1274" y="1014"/>
                              </a:lnTo>
                              <a:lnTo>
                                <a:pt x="1411" y="1152"/>
                              </a:lnTo>
                              <a:lnTo>
                                <a:pt x="967" y="1270"/>
                              </a:lnTo>
                              <a:lnTo>
                                <a:pt x="828" y="1385"/>
                              </a:lnTo>
                              <a:lnTo>
                                <a:pt x="785" y="1340"/>
                              </a:lnTo>
                              <a:lnTo>
                                <a:pt x="646" y="1358"/>
                              </a:lnTo>
                              <a:lnTo>
                                <a:pt x="598" y="1427"/>
                              </a:lnTo>
                              <a:lnTo>
                                <a:pt x="510" y="1415"/>
                              </a:lnTo>
                              <a:lnTo>
                                <a:pt x="372" y="1452"/>
                              </a:lnTo>
                              <a:lnTo>
                                <a:pt x="65" y="1334"/>
                              </a:lnTo>
                              <a:lnTo>
                                <a:pt x="0" y="1154"/>
                              </a:lnTo>
                              <a:lnTo>
                                <a:pt x="6" y="1073"/>
                              </a:lnTo>
                              <a:lnTo>
                                <a:pt x="100" y="1022"/>
                              </a:lnTo>
                              <a:lnTo>
                                <a:pt x="142" y="1022"/>
                              </a:lnTo>
                              <a:lnTo>
                                <a:pt x="193" y="913"/>
                              </a:lnTo>
                              <a:lnTo>
                                <a:pt x="182" y="820"/>
                              </a:lnTo>
                              <a:lnTo>
                                <a:pt x="114" y="773"/>
                              </a:lnTo>
                              <a:lnTo>
                                <a:pt x="111" y="666"/>
                              </a:lnTo>
                              <a:lnTo>
                                <a:pt x="122" y="588"/>
                              </a:lnTo>
                              <a:lnTo>
                                <a:pt x="134" y="463"/>
                              </a:lnTo>
                              <a:lnTo>
                                <a:pt x="109" y="375"/>
                              </a:lnTo>
                              <a:lnTo>
                                <a:pt x="159" y="100"/>
                              </a:lnTo>
                              <a:close/>
                            </a:path>
                          </a:pathLst>
                        </a:custGeom>
                        <a:gradFill rotWithShape="1">
                          <a:gsLst>
                            <a:gs pos="0">
                              <a:srgbClr val="FFFF00">
                                <a:alpha val="50000"/>
                              </a:srgbClr>
                            </a:gs>
                            <a:gs pos="100000">
                              <a:srgbClr val="FFFF00">
                                <a:alpha val="50000"/>
                              </a:srgbClr>
                            </a:gs>
                          </a:gsLst>
                          <a:lin ang="5400000" scaled="1"/>
                          <a:tileRect/>
                        </a:gradFill>
                        <a:ln w="9525" cap="flat" cmpd="sng">
                          <a:solidFill>
                            <a:srgbClr val="FFFF00"/>
                          </a:solidFill>
                          <a:prstDash val="solid"/>
                          <a:headEnd type="none" w="med" len="med"/>
                          <a:tailEnd type="none" w="med" len="med"/>
                        </a:ln>
                      </wps:spPr>
                      <wps:bodyPr upright="1"/>
                    </wps:wsp>
                  </a:graphicData>
                </a:graphic>
              </wp:anchor>
            </w:drawing>
          </mc:Choice>
          <mc:Fallback>
            <w:pict>
              <v:shape id="任意多边形 208" o:spid="_x0000_s1026" o:spt="100" style="position:absolute;left:0pt;margin-left:402.75pt;margin-top:45.9pt;height:72.6pt;width:70.55pt;z-index:251768832;mso-width-relative:page;mso-height-relative:page;" fillcolor="#FFFF00" filled="t" stroked="t" coordsize="1411,1452" o:gfxdata="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" path="m159,100l460,0,823,325,1048,651,1123,776,1261,976,1274,1014,1411,1152,967,1270,828,1385,785,1340,646,1358,598,1427,510,1415,372,1452,65,1334,0,1154,6,1073,100,1022,142,1022,193,913,182,820,114,773,111,666,122,588,134,463,109,375,159,100xe">
                <v:fill type="gradient" on="t" color2="#FFFF00" opacity="32768f" o:opacity2="32768f" focus="100%" focussize="0f,0f" focusposition="0f,0f" rotate="t"/>
                <v:stroke color="#FFFF00" joinstyle="round"/>
                <v:imagedata o:title=""/>
                <o:lock v:ext="edit" aspectratio="f"/>
              </v:shape>
            </w:pict>
          </mc:Fallback>
        </mc:AlternateContent>
      </w:r>
      <w:r>
        <w:rPr>
          <w:b/>
          <w:sz w:val="24"/>
        </w:rPr>
        <w:drawing>
          <wp:anchor distT="0" distB="0" distL="114300" distR="114300" simplePos="0" relativeHeight="251758592" behindDoc="0" locked="0" layoutInCell="1" allowOverlap="1">
            <wp:simplePos x="0" y="0"/>
            <wp:positionH relativeFrom="column">
              <wp:posOffset>8289290</wp:posOffset>
            </wp:positionH>
            <wp:positionV relativeFrom="paragraph">
              <wp:posOffset>53975</wp:posOffset>
            </wp:positionV>
            <wp:extent cx="594995" cy="832485"/>
            <wp:effectExtent l="19050" t="0" r="0" b="0"/>
            <wp:wrapNone/>
            <wp:docPr id="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5100" cy="832514"/>
                    </a:xfrm>
                    <a:prstGeom prst="rect">
                      <a:avLst/>
                    </a:prstGeom>
                    <a:noFill/>
                    <a:ln>
                      <a:noFill/>
                    </a:ln>
                  </pic:spPr>
                </pic:pic>
              </a:graphicData>
            </a:graphic>
          </wp:anchor>
        </w:drawing>
      </w:r>
      <w:r>
        <w:rPr>
          <w:b/>
          <w:sz w:val="24"/>
        </w:rPr>
        <mc:AlternateContent>
          <mc:Choice Requires="wps">
            <w:drawing>
              <wp:anchor distT="0" distB="0" distL="114300" distR="114300" simplePos="0" relativeHeight="251745280" behindDoc="0" locked="0" layoutInCell="1" allowOverlap="1">
                <wp:simplePos x="0" y="0"/>
                <wp:positionH relativeFrom="column">
                  <wp:posOffset>4114800</wp:posOffset>
                </wp:positionH>
                <wp:positionV relativeFrom="paragraph">
                  <wp:posOffset>3147695</wp:posOffset>
                </wp:positionV>
                <wp:extent cx="660400" cy="304800"/>
                <wp:effectExtent l="0" t="0" r="0" b="0"/>
                <wp:wrapNone/>
                <wp:docPr id="144" name="文本框 181"/>
                <wp:cNvGraphicFramePr/>
                <a:graphic xmlns:a="http://schemas.openxmlformats.org/drawingml/2006/main">
                  <a:graphicData uri="http://schemas.microsoft.com/office/word/2010/wordprocessingShape">
                    <wps:wsp>
                      <wps:cNvSpPr txBox="1"/>
                      <wps:spPr>
                        <a:xfrm>
                          <a:off x="0" y="0"/>
                          <a:ext cx="660400" cy="304800"/>
                        </a:xfrm>
                        <a:prstGeom prst="rect">
                          <a:avLst/>
                        </a:prstGeom>
                        <a:noFill/>
                        <a:ln w="9525">
                          <a:noFill/>
                        </a:ln>
                      </wps:spPr>
                      <wps:txbx>
                        <w:txbxContent>
                          <w:p>
                            <w:pPr>
                              <w:rPr>
                                <w:b/>
                              </w:rPr>
                            </w:pPr>
                            <w:r>
                              <w:rPr>
                                <w:b/>
                              </w:rPr>
                              <w:t>东风村</w:t>
                            </w:r>
                          </w:p>
                        </w:txbxContent>
                      </wps:txbx>
                      <wps:bodyPr upright="1"/>
                    </wps:wsp>
                  </a:graphicData>
                </a:graphic>
              </wp:anchor>
            </w:drawing>
          </mc:Choice>
          <mc:Fallback>
            <w:pict>
              <v:shape id="文本框 181" o:spid="_x0000_s1026" o:spt="202" type="#_x0000_t202" style="position:absolute;left:0pt;margin-left:324pt;margin-top:247.85pt;height:24pt;width:52pt;z-index:251745280;mso-width-relative:page;mso-height-relative:page;" filled="f" stroked="f" coordsize="21600,21600" o:gfxdata="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GLSHVPZAAAACwEAAA8AAAAAAAAAAQAg&#10;AAAAIgAAAGRycy9kb3ducmV2LnhtbFBLAQIUABQAAAAIAIdO4kAxq1o+mwEAAAwDAAAOAAAAAAAA&#10;AAEAIAAAACgBAABkcnMvZTJvRG9jLnhtbFBLBQYAAAAABgAGAFkBAAA1BQAAAAA=&#10;">
                <v:fill on="f" focussize="0,0"/>
                <v:stroke on="f"/>
                <v:imagedata o:title=""/>
                <o:lock v:ext="edit" aspectratio="f"/>
                <v:textbox>
                  <w:txbxContent>
                    <w:p>
                      <w:pPr>
                        <w:rPr>
                          <w:b/>
                        </w:rPr>
                      </w:pPr>
                      <w:r>
                        <w:rPr>
                          <w:b/>
                        </w:rPr>
                        <w:t>东风村</w:t>
                      </w:r>
                    </w:p>
                  </w:txbxContent>
                </v:textbox>
              </v:shape>
            </w:pict>
          </mc:Fallback>
        </mc:AlternateContent>
      </w:r>
      <w:r>
        <w:rPr>
          <w:b/>
          <w:sz w:val="24"/>
        </w:rPr>
        <mc:AlternateContent>
          <mc:Choice Requires="wps">
            <w:drawing>
              <wp:anchor distT="0" distB="0" distL="114300" distR="114300" simplePos="0" relativeHeight="251744256" behindDoc="0" locked="0" layoutInCell="1" allowOverlap="1">
                <wp:simplePos x="0" y="0"/>
                <wp:positionH relativeFrom="column">
                  <wp:posOffset>3365500</wp:posOffset>
                </wp:positionH>
                <wp:positionV relativeFrom="paragraph">
                  <wp:posOffset>1750695</wp:posOffset>
                </wp:positionV>
                <wp:extent cx="2444750" cy="2819400"/>
                <wp:effectExtent l="4445" t="4445" r="8255" b="14605"/>
                <wp:wrapNone/>
                <wp:docPr id="143" name="任意多边形 180"/>
                <wp:cNvGraphicFramePr/>
                <a:graphic xmlns:a="http://schemas.openxmlformats.org/drawingml/2006/main">
                  <a:graphicData uri="http://schemas.microsoft.com/office/word/2010/wordprocessingShape">
                    <wps:wsp>
                      <wps:cNvSpPr/>
                      <wps:spPr>
                        <a:xfrm>
                          <a:off x="0" y="0"/>
                          <a:ext cx="2444750" cy="2819400"/>
                        </a:xfrm>
                        <a:custGeom>
                          <a:avLst/>
                          <a:gdLst/>
                          <a:ahLst/>
                          <a:cxnLst/>
                          <a:pathLst>
                            <a:path w="3850" h="4440">
                              <a:moveTo>
                                <a:pt x="1500" y="480"/>
                              </a:moveTo>
                              <a:lnTo>
                                <a:pt x="2860" y="0"/>
                              </a:lnTo>
                              <a:lnTo>
                                <a:pt x="3450" y="2520"/>
                              </a:lnTo>
                              <a:lnTo>
                                <a:pt x="3710" y="2463"/>
                              </a:lnTo>
                              <a:lnTo>
                                <a:pt x="3850" y="3186"/>
                              </a:lnTo>
                              <a:lnTo>
                                <a:pt x="3590" y="3186"/>
                              </a:lnTo>
                              <a:lnTo>
                                <a:pt x="3670" y="3674"/>
                              </a:lnTo>
                              <a:lnTo>
                                <a:pt x="3400" y="3980"/>
                              </a:lnTo>
                              <a:lnTo>
                                <a:pt x="2910" y="4348"/>
                              </a:lnTo>
                              <a:lnTo>
                                <a:pt x="2540" y="4440"/>
                              </a:lnTo>
                              <a:lnTo>
                                <a:pt x="2270" y="4260"/>
                              </a:lnTo>
                              <a:lnTo>
                                <a:pt x="2180" y="3920"/>
                              </a:lnTo>
                              <a:lnTo>
                                <a:pt x="1710" y="4020"/>
                              </a:lnTo>
                              <a:lnTo>
                                <a:pt x="880" y="4348"/>
                              </a:lnTo>
                              <a:lnTo>
                                <a:pt x="230" y="4183"/>
                              </a:lnTo>
                              <a:lnTo>
                                <a:pt x="0" y="3610"/>
                              </a:lnTo>
                              <a:lnTo>
                                <a:pt x="20" y="3351"/>
                              </a:lnTo>
                              <a:lnTo>
                                <a:pt x="350" y="3186"/>
                              </a:lnTo>
                              <a:lnTo>
                                <a:pt x="500" y="3186"/>
                              </a:lnTo>
                              <a:lnTo>
                                <a:pt x="680" y="2840"/>
                              </a:lnTo>
                              <a:lnTo>
                                <a:pt x="640" y="2540"/>
                              </a:lnTo>
                              <a:lnTo>
                                <a:pt x="400" y="2390"/>
                              </a:lnTo>
                              <a:lnTo>
                                <a:pt x="390" y="2050"/>
                              </a:lnTo>
                              <a:lnTo>
                                <a:pt x="1450" y="1880"/>
                              </a:lnTo>
                              <a:lnTo>
                                <a:pt x="1350" y="1270"/>
                              </a:lnTo>
                              <a:lnTo>
                                <a:pt x="1610" y="1190"/>
                              </a:lnTo>
                              <a:lnTo>
                                <a:pt x="1500" y="480"/>
                              </a:lnTo>
                              <a:close/>
                            </a:path>
                          </a:pathLst>
                        </a:custGeom>
                        <a:gradFill rotWithShape="1">
                          <a:gsLst>
                            <a:gs pos="0">
                              <a:srgbClr val="FFFF00">
                                <a:alpha val="50000"/>
                              </a:srgbClr>
                            </a:gs>
                            <a:gs pos="100000">
                              <a:srgbClr val="FFFF00">
                                <a:alpha val="50000"/>
                              </a:srgbClr>
                            </a:gs>
                          </a:gsLst>
                          <a:lin ang="5400000" scaled="1"/>
                          <a:tileRect/>
                        </a:gradFill>
                        <a:ln w="9525" cap="flat" cmpd="sng">
                          <a:solidFill>
                            <a:srgbClr val="FFFF00"/>
                          </a:solidFill>
                          <a:prstDash val="solid"/>
                          <a:headEnd type="none" w="med" len="med"/>
                          <a:tailEnd type="none" w="med" len="med"/>
                        </a:ln>
                      </wps:spPr>
                      <wps:bodyPr upright="1"/>
                    </wps:wsp>
                  </a:graphicData>
                </a:graphic>
              </wp:anchor>
            </w:drawing>
          </mc:Choice>
          <mc:Fallback>
            <w:pict>
              <v:shape id="任意多边形 180" o:spid="_x0000_s1026" o:spt="100" style="position:absolute;left:0pt;margin-left:265pt;margin-top:137.85pt;height:222pt;width:192.5pt;z-index:251744256;mso-width-relative:page;mso-height-relative:page;" fillcolor="#FFFF00" filled="t" stroked="t" coordsize="3850,4440" o:gfxdata="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D8K+Ky1gAAAAsBAAAPAAAAAAAAAAEAIAAAACIAAABkcnMvZG93bnJldi54bWxQ&#10;SwECFAAUAAAACACHTuJALPCJEk8DAABlCQAADgAAAAAAAAABACAAAAAlAQAAZHJzL2Uyb0RvYy54&#10;bWxQSwUGAAAAAAYABgBZAQAA5gYAAAAA&#10;" path="m1500,480l2860,0,3450,2520,3710,2463,3850,3186,3590,3186,3670,3674,3400,3980,2910,4348,2540,4440,2270,4260,2180,3920,1710,4020,880,4348,230,4183,0,3610,20,3351,350,3186,500,3186,680,2840,640,2540,400,2390,390,2050,1450,1880,1350,1270,1610,1190,1500,480xe">
                <v:fill type="gradient" on="t" color2="#FFFF00" opacity="32768f" o:opacity2="32768f" focus="100%" focussize="0f,0f" focusposition="0f,0f" rotate="t"/>
                <v:stroke color="#FFFF00" joinstyle="round"/>
                <v:imagedata o:title=""/>
                <o:lock v:ext="edit" aspectratio="f"/>
              </v:shape>
            </w:pict>
          </mc:Fallback>
        </mc:AlternateContent>
      </w:r>
      <w:r>
        <w:rPr>
          <w:b/>
          <w:sz w:val="24"/>
        </w:rPr>
        <w:drawing>
          <wp:inline distT="0" distB="0" distL="0" distR="0">
            <wp:extent cx="8863330" cy="4966970"/>
            <wp:effectExtent l="19050" t="19050" r="13970" b="23804"/>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noChangeArrowheads="1"/>
                    </pic:cNvPicPr>
                  </pic:nvPicPr>
                  <pic:blipFill>
                    <a:blip r:embed="rId31"/>
                    <a:srcRect/>
                    <a:stretch>
                      <a:fillRect/>
                    </a:stretch>
                  </pic:blipFill>
                  <pic:spPr>
                    <a:xfrm>
                      <a:off x="0" y="0"/>
                      <a:ext cx="8863330" cy="4967296"/>
                    </a:xfrm>
                    <a:prstGeom prst="rect">
                      <a:avLst/>
                    </a:prstGeom>
                    <a:noFill/>
                    <a:ln w="9525">
                      <a:solidFill>
                        <a:schemeClr val="tx1"/>
                      </a:solidFill>
                      <a:miter lim="800000"/>
                      <a:headEnd/>
                      <a:tailEnd/>
                    </a:ln>
                  </pic:spPr>
                </pic:pic>
              </a:graphicData>
            </a:graphic>
          </wp:inline>
        </w:drawing>
      </w:r>
    </w:p>
    <w:p>
      <w:pPr>
        <w:spacing w:line="360" w:lineRule="auto"/>
        <w:jc w:val="center"/>
        <w:rPr>
          <w:b/>
          <w:sz w:val="24"/>
        </w:rPr>
      </w:pPr>
      <w:r>
        <w:rPr>
          <w:b/>
          <w:sz w:val="24"/>
        </w:rPr>
        <w:t>附图</w:t>
      </w:r>
      <w:r>
        <w:rPr>
          <w:rFonts w:hint="eastAsia"/>
          <w:b/>
          <w:sz w:val="24"/>
        </w:rPr>
        <w:t>3敏感目标分布</w:t>
      </w:r>
      <w:r>
        <w:rPr>
          <w:b/>
          <w:sz w:val="24"/>
        </w:rPr>
        <w:t>图</w:t>
      </w:r>
    </w:p>
    <w:p>
      <w:pPr>
        <w:spacing w:line="360" w:lineRule="auto"/>
        <w:jc w:val="center"/>
        <w:rPr>
          <w:b/>
          <w:sz w:val="24"/>
        </w:rPr>
        <w:sectPr>
          <w:pgSz w:w="16838" w:h="11906" w:orient="landscape"/>
          <w:pgMar w:top="1236" w:right="1440" w:bottom="1236" w:left="1440" w:header="851" w:footer="992" w:gutter="0"/>
          <w:cols w:space="0" w:num="1"/>
          <w:docGrid w:type="lines" w:linePitch="319" w:charSpace="0"/>
        </w:sectPr>
      </w:pPr>
    </w:p>
    <w:p>
      <w:pPr>
        <w:spacing w:line="0" w:lineRule="atLeast"/>
        <w:ind w:firstLine="723" w:firstLineChars="300"/>
        <w:rPr>
          <w:b/>
          <w:bCs/>
          <w:kern w:val="0"/>
          <w:sz w:val="24"/>
          <w:szCs w:val="21"/>
        </w:rPr>
      </w:pPr>
      <w:r>
        <w:rPr>
          <w:rFonts w:hint="eastAsia"/>
          <w:b/>
          <w:bCs/>
          <w:kern w:val="0"/>
          <w:sz w:val="24"/>
          <w:szCs w:val="21"/>
        </w:rPr>
        <w:drawing>
          <wp:inline distT="0" distB="0" distL="0" distR="0">
            <wp:extent cx="3669030" cy="2366645"/>
            <wp:effectExtent l="19050" t="19050" r="26367" b="14257"/>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pic:cNvPicPr>
                      <a:picLocks noChangeAspect="1" noChangeArrowheads="1"/>
                    </pic:cNvPicPr>
                  </pic:nvPicPr>
                  <pic:blipFill>
                    <a:blip r:embed="rId32"/>
                    <a:srcRect/>
                    <a:stretch>
                      <a:fillRect/>
                    </a:stretch>
                  </pic:blipFill>
                  <pic:spPr>
                    <a:xfrm>
                      <a:off x="0" y="0"/>
                      <a:ext cx="3669010" cy="2366785"/>
                    </a:xfrm>
                    <a:prstGeom prst="rect">
                      <a:avLst/>
                    </a:prstGeom>
                    <a:noFill/>
                    <a:ln w="9525">
                      <a:solidFill>
                        <a:schemeClr val="tx1"/>
                      </a:solidFill>
                      <a:miter lim="800000"/>
                      <a:headEnd/>
                      <a:tailEnd/>
                    </a:ln>
                  </pic:spPr>
                </pic:pic>
              </a:graphicData>
            </a:graphic>
          </wp:inline>
        </w:drawing>
      </w:r>
      <w:r>
        <w:rPr>
          <w:rFonts w:hint="eastAsia"/>
          <w:b/>
          <w:bCs/>
          <w:kern w:val="0"/>
          <w:sz w:val="24"/>
          <w:szCs w:val="21"/>
        </w:rPr>
        <w:drawing>
          <wp:inline distT="0" distB="0" distL="0" distR="0">
            <wp:extent cx="3663950" cy="2371725"/>
            <wp:effectExtent l="19050" t="19050" r="12222" b="28461"/>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noChangeArrowheads="1"/>
                    </pic:cNvPicPr>
                  </pic:nvPicPr>
                  <pic:blipFill>
                    <a:blip r:embed="rId33"/>
                    <a:srcRect/>
                    <a:stretch>
                      <a:fillRect/>
                    </a:stretch>
                  </pic:blipFill>
                  <pic:spPr>
                    <a:xfrm>
                      <a:off x="0" y="0"/>
                      <a:ext cx="3664428" cy="2371839"/>
                    </a:xfrm>
                    <a:prstGeom prst="rect">
                      <a:avLst/>
                    </a:prstGeom>
                    <a:noFill/>
                    <a:ln w="9525">
                      <a:solidFill>
                        <a:schemeClr val="tx1"/>
                      </a:solidFill>
                      <a:miter lim="800000"/>
                      <a:headEnd/>
                      <a:tailEnd/>
                    </a:ln>
                  </pic:spPr>
                </pic:pic>
              </a:graphicData>
            </a:graphic>
          </wp:inline>
        </w:drawing>
      </w:r>
    </w:p>
    <w:p>
      <w:pPr>
        <w:spacing w:line="0" w:lineRule="atLeast"/>
        <w:ind w:firstLine="2520" w:firstLineChars="1050"/>
        <w:rPr>
          <w:bCs/>
          <w:kern w:val="0"/>
          <w:sz w:val="24"/>
          <w:szCs w:val="21"/>
        </w:rPr>
      </w:pPr>
      <w:r>
        <w:rPr>
          <w:rFonts w:hint="eastAsia" w:eastAsiaTheme="minorEastAsia"/>
          <w:bCs/>
          <w:kern w:val="0"/>
          <w:sz w:val="24"/>
          <w:szCs w:val="21"/>
        </w:rPr>
        <w:t>东侧为东风村居民                                  南侧为东风村居民</w:t>
      </w:r>
    </w:p>
    <w:p>
      <w:pPr>
        <w:spacing w:line="0" w:lineRule="atLeast"/>
        <w:ind w:firstLine="723" w:firstLineChars="300"/>
        <w:rPr>
          <w:b/>
          <w:bCs/>
          <w:kern w:val="0"/>
          <w:sz w:val="24"/>
          <w:szCs w:val="21"/>
        </w:rPr>
      </w:pPr>
      <w:r>
        <w:rPr>
          <w:rFonts w:hint="eastAsia"/>
          <w:b/>
          <w:bCs/>
          <w:kern w:val="0"/>
          <w:sz w:val="24"/>
          <w:szCs w:val="21"/>
        </w:rPr>
        <w:drawing>
          <wp:inline distT="0" distB="0" distL="0" distR="0">
            <wp:extent cx="3661410" cy="2334260"/>
            <wp:effectExtent l="19050" t="19050" r="14982" b="274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4"/>
                    <a:srcRect/>
                    <a:stretch>
                      <a:fillRect/>
                    </a:stretch>
                  </pic:blipFill>
                  <pic:spPr>
                    <a:xfrm>
                      <a:off x="0" y="0"/>
                      <a:ext cx="3687338" cy="2351082"/>
                    </a:xfrm>
                    <a:prstGeom prst="rect">
                      <a:avLst/>
                    </a:prstGeom>
                    <a:noFill/>
                    <a:ln w="9525">
                      <a:solidFill>
                        <a:schemeClr val="tx1"/>
                      </a:solidFill>
                      <a:miter lim="800000"/>
                      <a:headEnd/>
                      <a:tailEnd/>
                    </a:ln>
                  </pic:spPr>
                </pic:pic>
              </a:graphicData>
            </a:graphic>
          </wp:inline>
        </w:drawing>
      </w:r>
      <w:r>
        <w:rPr>
          <w:rFonts w:hint="eastAsia"/>
          <w:b/>
          <w:bCs/>
          <w:kern w:val="0"/>
          <w:sz w:val="24"/>
          <w:szCs w:val="21"/>
        </w:rPr>
        <w:drawing>
          <wp:inline distT="0" distB="0" distL="0" distR="0">
            <wp:extent cx="3682365" cy="2332990"/>
            <wp:effectExtent l="19050" t="19050" r="12719" b="9879"/>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5"/>
                    <a:srcRect/>
                    <a:stretch>
                      <a:fillRect/>
                    </a:stretch>
                  </pic:blipFill>
                  <pic:spPr>
                    <a:xfrm>
                      <a:off x="0" y="0"/>
                      <a:ext cx="3703878" cy="2346510"/>
                    </a:xfrm>
                    <a:prstGeom prst="rect">
                      <a:avLst/>
                    </a:prstGeom>
                    <a:noFill/>
                    <a:ln w="9525">
                      <a:solidFill>
                        <a:schemeClr val="tx1"/>
                      </a:solidFill>
                      <a:miter lim="800000"/>
                      <a:headEnd/>
                      <a:tailEnd/>
                    </a:ln>
                  </pic:spPr>
                </pic:pic>
              </a:graphicData>
            </a:graphic>
          </wp:inline>
        </w:drawing>
      </w:r>
    </w:p>
    <w:p>
      <w:pPr>
        <w:spacing w:line="0" w:lineRule="atLeast"/>
        <w:ind w:firstLine="1800" w:firstLineChars="750"/>
        <w:rPr>
          <w:bCs/>
          <w:kern w:val="0"/>
          <w:sz w:val="24"/>
          <w:szCs w:val="21"/>
        </w:rPr>
      </w:pPr>
      <w:r>
        <w:rPr>
          <w:rFonts w:hint="eastAsia"/>
          <w:bCs/>
          <w:kern w:val="0"/>
          <w:sz w:val="24"/>
          <w:szCs w:val="21"/>
        </w:rPr>
        <w:t>西侧为</w:t>
      </w:r>
      <w:r>
        <w:rPr>
          <w:rFonts w:hint="eastAsia" w:eastAsiaTheme="minorEastAsia"/>
          <w:bCs/>
          <w:kern w:val="0"/>
          <w:sz w:val="24"/>
          <w:szCs w:val="21"/>
        </w:rPr>
        <w:t xml:space="preserve">虎林市高信芽豆有限公司               </w:t>
      </w:r>
      <w:r>
        <w:rPr>
          <w:rFonts w:hint="eastAsia"/>
          <w:bCs/>
          <w:kern w:val="0"/>
          <w:sz w:val="24"/>
          <w:szCs w:val="21"/>
        </w:rPr>
        <w:t>北侧为</w:t>
      </w:r>
      <w:r>
        <w:rPr>
          <w:rFonts w:hint="eastAsia" w:eastAsiaTheme="minorEastAsia"/>
          <w:bCs/>
          <w:kern w:val="0"/>
          <w:sz w:val="24"/>
          <w:szCs w:val="21"/>
        </w:rPr>
        <w:t>S201省道，隔路为虎林市鼎卓汽车修配厂</w:t>
      </w:r>
    </w:p>
    <w:p>
      <w:pPr>
        <w:spacing w:line="360" w:lineRule="auto"/>
        <w:jc w:val="center"/>
        <w:rPr>
          <w:b/>
          <w:bCs/>
          <w:kern w:val="0"/>
          <w:sz w:val="24"/>
          <w:szCs w:val="21"/>
        </w:rPr>
      </w:pPr>
      <w:r>
        <w:rPr>
          <w:b/>
          <w:bCs/>
          <w:kern w:val="0"/>
          <w:sz w:val="24"/>
          <w:szCs w:val="21"/>
        </w:rPr>
        <w:t>附图</w:t>
      </w:r>
      <w:r>
        <w:rPr>
          <w:rFonts w:hint="eastAsia"/>
          <w:b/>
          <w:bCs/>
          <w:kern w:val="0"/>
          <w:sz w:val="24"/>
          <w:szCs w:val="21"/>
        </w:rPr>
        <w:t>4厂区</w:t>
      </w:r>
      <w:r>
        <w:rPr>
          <w:b/>
          <w:bCs/>
          <w:kern w:val="0"/>
          <w:sz w:val="24"/>
          <w:szCs w:val="21"/>
        </w:rPr>
        <w:t>四周情况图</w:t>
      </w:r>
    </w:p>
    <w:p>
      <w:pPr>
        <w:spacing w:line="360" w:lineRule="auto"/>
        <w:contextualSpacing/>
        <w:jc w:val="center"/>
        <w:rPr>
          <w:rFonts w:hAnsi="宋体"/>
          <w:b/>
          <w:sz w:val="24"/>
        </w:rPr>
      </w:pPr>
      <w:r>
        <w:rPr>
          <w:rFonts w:hAnsi="宋体"/>
          <w:sz w:val="24"/>
        </w:rPr>
        <mc:AlternateContent>
          <mc:Choice Requires="wps">
            <w:drawing>
              <wp:anchor distT="0" distB="0" distL="114300" distR="114300" simplePos="0" relativeHeight="251667456" behindDoc="0" locked="0" layoutInCell="1" allowOverlap="1">
                <wp:simplePos x="0" y="0"/>
                <wp:positionH relativeFrom="column">
                  <wp:posOffset>5059045</wp:posOffset>
                </wp:positionH>
                <wp:positionV relativeFrom="paragraph">
                  <wp:posOffset>2553970</wp:posOffset>
                </wp:positionV>
                <wp:extent cx="105410" cy="107315"/>
                <wp:effectExtent l="13970" t="16510" r="13970" b="28575"/>
                <wp:wrapNone/>
                <wp:docPr id="100" name="自选图形 13"/>
                <wp:cNvGraphicFramePr/>
                <a:graphic xmlns:a="http://schemas.openxmlformats.org/drawingml/2006/main">
                  <a:graphicData uri="http://schemas.microsoft.com/office/word/2010/wordprocessingShape">
                    <wps:wsp>
                      <wps:cNvSpPr/>
                      <wps:spPr>
                        <a:xfrm>
                          <a:off x="0" y="0"/>
                          <a:ext cx="105410" cy="107315"/>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13" o:spid="_x0000_s1026" style="position:absolute;left:0pt;margin-left:398.35pt;margin-top:201.1pt;height:8.45pt;width:8.3pt;z-index:251667456;mso-width-relative:page;mso-height-relative:page;" fillcolor="#FF0000" filled="t" stroked="t" coordsize="105410,107315" o:gfxdata="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PGGWwdsAAAALAQAADwAAAAAAAAABACAAAAAiAAAAZHJzL2Rvd25yZXYueG1sUEsBAhQA&#10;FAAAAAgAh07iQNY+T4TvAQAA2QMAAA4AAAAAAAAAAQAgAAAAKgEAAGRycy9lMm9Eb2MueG1sUEsF&#10;BgAAAAAGAAYAWQEAAIsFAAAAAA==&#10;" path="m0,40990l40263,40990,52705,0,65146,40990,105409,40990,72836,66324,85278,107314,52705,81980,20131,107314,32573,66324xe">
                <v:path o:connectlocs="52705,0;0,40990;20131,107314;85278,107314;105409,40990" o:connectangles="247,164,82,82,0"/>
                <v:fill on="t" focussize="0,0"/>
                <v:stroke color="#000000" joinstyle="miter"/>
                <v:imagedata o:title=""/>
                <o:lock v:ext="edit" aspectratio="f"/>
              </v:shape>
            </w:pict>
          </mc:Fallback>
        </mc:AlternateContent>
      </w:r>
      <w:r>
        <w:rPr>
          <w:rFonts w:hAnsi="宋体"/>
          <w:b/>
          <w:sz w:val="24"/>
        </w:rPr>
        <mc:AlternateContent>
          <mc:Choice Requires="wps">
            <w:drawing>
              <wp:anchor distT="0" distB="0" distL="114300" distR="114300" simplePos="0" relativeHeight="251668480" behindDoc="0" locked="0" layoutInCell="1" allowOverlap="1">
                <wp:simplePos x="0" y="0"/>
                <wp:positionH relativeFrom="column">
                  <wp:posOffset>4084320</wp:posOffset>
                </wp:positionH>
                <wp:positionV relativeFrom="paragraph">
                  <wp:posOffset>1880870</wp:posOffset>
                </wp:positionV>
                <wp:extent cx="828040" cy="363855"/>
                <wp:effectExtent l="4445" t="4445" r="215265" b="374650"/>
                <wp:wrapNone/>
                <wp:docPr id="101" name="自选图形 14"/>
                <wp:cNvGraphicFramePr/>
                <a:graphic xmlns:a="http://schemas.openxmlformats.org/drawingml/2006/main">
                  <a:graphicData uri="http://schemas.microsoft.com/office/word/2010/wordprocessingShape">
                    <wps:wsp>
                      <wps:cNvSpPr/>
                      <wps:spPr>
                        <a:xfrm>
                          <a:off x="0" y="0"/>
                          <a:ext cx="828040" cy="363855"/>
                        </a:xfrm>
                        <a:prstGeom prst="wedgeRoundRectCallout">
                          <a:avLst>
                            <a:gd name="adj1" fmla="val 72162"/>
                            <a:gd name="adj2" fmla="val 143542"/>
                            <a:gd name="adj3" fmla="val 16667"/>
                          </a:avLst>
                        </a:prstGeom>
                        <a:solidFill>
                          <a:srgbClr val="FFFFFF"/>
                        </a:solidFill>
                        <a:ln w="9525" cap="flat" cmpd="sng">
                          <a:solidFill>
                            <a:srgbClr val="FF0000"/>
                          </a:solidFill>
                          <a:prstDash val="solid"/>
                          <a:miter/>
                          <a:headEnd type="none" w="med" len="med"/>
                          <a:tailEnd type="none" w="med" len="med"/>
                        </a:ln>
                      </wps:spPr>
                      <wps:txbx>
                        <w:txbxContent>
                          <w:p>
                            <w:pPr>
                              <w:rPr>
                                <w:b/>
                                <w:color w:val="FF0000"/>
                                <w:sz w:val="28"/>
                                <w:szCs w:val="28"/>
                              </w:rPr>
                            </w:pPr>
                            <w:r>
                              <w:rPr>
                                <w:rFonts w:hAnsi="宋体"/>
                                <w:b/>
                                <w:color w:val="FF0000"/>
                                <w:sz w:val="28"/>
                                <w:szCs w:val="28"/>
                              </w:rPr>
                              <w:t>本项目</w:t>
                            </w:r>
                          </w:p>
                        </w:txbxContent>
                      </wps:txbx>
                      <wps:bodyPr upright="1"/>
                    </wps:wsp>
                  </a:graphicData>
                </a:graphic>
              </wp:anchor>
            </w:drawing>
          </mc:Choice>
          <mc:Fallback>
            <w:pict>
              <v:shape id="自选图形 14" o:spid="_x0000_s1026" o:spt="62" type="#_x0000_t62" style="position:absolute;left:0pt;margin-left:321.6pt;margin-top:148.1pt;height:28.65pt;width:65.2pt;z-index:251668480;mso-width-relative:page;mso-height-relative:page;" fillcolor="#FFFFFF" filled="t" stroked="t" coordsize="21600,21600" o:gfxdata="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7kFTB2wAAAAsBAAAPAAAAAAAAAAEAIAAAACIAAABkcnMvZG93bnJldi54bWxQ&#10;SwECFAAUAAAACACHTuJAKxRpJy0CAABqBAAADgAAAAAAAAABACAAAAAqAQAAZHJzL2Uyb0RvYy54&#10;bWxQSwUGAAAAAAYABgBZAQAAyQUAAAAA&#10;" adj="26387,41805,14400">
                <v:fill on="t" focussize="0,0"/>
                <v:stroke color="#FF0000" joinstyle="miter"/>
                <v:imagedata o:title=""/>
                <o:lock v:ext="edit" aspectratio="f"/>
                <v:textbox>
                  <w:txbxContent>
                    <w:p>
                      <w:pPr>
                        <w:rPr>
                          <w:b/>
                          <w:color w:val="FF0000"/>
                          <w:sz w:val="28"/>
                          <w:szCs w:val="28"/>
                        </w:rPr>
                      </w:pPr>
                      <w:r>
                        <w:rPr>
                          <w:rFonts w:hAnsi="宋体"/>
                          <w:b/>
                          <w:color w:val="FF0000"/>
                          <w:sz w:val="28"/>
                          <w:szCs w:val="28"/>
                        </w:rPr>
                        <w:t>本项目</w:t>
                      </w:r>
                    </w:p>
                  </w:txbxContent>
                </v:textbox>
              </v:shape>
            </w:pict>
          </mc:Fallback>
        </mc:AlternateContent>
      </w:r>
      <w:r>
        <w:rPr>
          <w:rFonts w:hint="eastAsia" w:hAnsi="宋体"/>
          <w:b/>
          <w:sz w:val="24"/>
        </w:rPr>
        <w:drawing>
          <wp:inline distT="0" distB="0" distL="0" distR="0">
            <wp:extent cx="7574280" cy="5229225"/>
            <wp:effectExtent l="19050" t="19050" r="26456"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36" cstate="print"/>
                    <a:srcRect/>
                    <a:stretch>
                      <a:fillRect/>
                    </a:stretch>
                  </pic:blipFill>
                  <pic:spPr>
                    <a:xfrm>
                      <a:off x="0" y="0"/>
                      <a:ext cx="7588984" cy="5239228"/>
                    </a:xfrm>
                    <a:prstGeom prst="rect">
                      <a:avLst/>
                    </a:prstGeom>
                    <a:noFill/>
                    <a:ln w="9525">
                      <a:solidFill>
                        <a:schemeClr val="tx1"/>
                      </a:solidFill>
                      <a:miter lim="800000"/>
                      <a:headEnd/>
                      <a:tailEnd/>
                    </a:ln>
                  </pic:spPr>
                </pic:pic>
              </a:graphicData>
            </a:graphic>
          </wp:inline>
        </w:drawing>
      </w:r>
    </w:p>
    <w:p>
      <w:pPr>
        <w:spacing w:line="360" w:lineRule="auto"/>
        <w:contextualSpacing/>
        <w:jc w:val="center"/>
        <w:rPr>
          <w:rFonts w:hAnsi="宋体"/>
          <w:b/>
          <w:sz w:val="24"/>
        </w:rPr>
        <w:sectPr>
          <w:pgSz w:w="16838" w:h="11906" w:orient="landscape"/>
          <w:pgMar w:top="1531" w:right="1701" w:bottom="1531" w:left="1701" w:header="851" w:footer="851" w:gutter="0"/>
          <w:cols w:space="720" w:num="1"/>
          <w:docGrid w:linePitch="312" w:charSpace="0"/>
        </w:sectPr>
      </w:pPr>
      <w:r>
        <w:rPr>
          <w:rFonts w:hAnsi="宋体"/>
          <w:b/>
          <w:sz w:val="24"/>
        </w:rPr>
        <w:t>附图</w:t>
      </w:r>
      <w:r>
        <w:rPr>
          <w:rFonts w:hint="eastAsia"/>
          <w:b/>
          <w:sz w:val="24"/>
        </w:rPr>
        <w:t>5</w:t>
      </w:r>
      <w:r>
        <w:rPr>
          <w:rFonts w:hint="eastAsia" w:hAnsi="宋体"/>
          <w:b/>
          <w:sz w:val="24"/>
        </w:rPr>
        <w:t>鸡西市环境管控单元分布图</w:t>
      </w:r>
    </w:p>
    <w:p>
      <w:pPr>
        <w:spacing w:line="360" w:lineRule="auto"/>
        <w:contextualSpacing/>
        <w:jc w:val="center"/>
        <w:rPr>
          <w:rFonts w:hAnsi="宋体"/>
          <w:b/>
          <w:sz w:val="24"/>
        </w:rPr>
      </w:pPr>
      <w:r>
        <w:rPr>
          <w:rFonts w:hAnsi="宋体"/>
          <w:sz w:val="24"/>
        </w:rPr>
        <mc:AlternateContent>
          <mc:Choice Requires="wps">
            <w:drawing>
              <wp:anchor distT="0" distB="0" distL="114300" distR="114300" simplePos="0" relativeHeight="251778048" behindDoc="0" locked="0" layoutInCell="1" allowOverlap="1">
                <wp:simplePos x="0" y="0"/>
                <wp:positionH relativeFrom="column">
                  <wp:posOffset>3580130</wp:posOffset>
                </wp:positionH>
                <wp:positionV relativeFrom="paragraph">
                  <wp:posOffset>4946650</wp:posOffset>
                </wp:positionV>
                <wp:extent cx="196215" cy="170180"/>
                <wp:effectExtent l="4445" t="4445" r="8890" b="15875"/>
                <wp:wrapNone/>
                <wp:docPr id="165" name="自选图形 223"/>
                <wp:cNvGraphicFramePr/>
                <a:graphic xmlns:a="http://schemas.openxmlformats.org/drawingml/2006/main">
                  <a:graphicData uri="http://schemas.microsoft.com/office/word/2010/wordprocessingShape">
                    <wps:wsp>
                      <wps:cNvSpPr/>
                      <wps:spPr>
                        <a:xfrm>
                          <a:off x="0" y="0"/>
                          <a:ext cx="196215" cy="170180"/>
                        </a:xfrm>
                        <a:prstGeom prst="flowChartConnector">
                          <a:avLst/>
                        </a:prstGeom>
                        <a:solidFill>
                          <a:srgbClr val="0070C0"/>
                        </a:solidFill>
                        <a:ln w="9525" cap="flat" cmpd="sng">
                          <a:solidFill>
                            <a:srgbClr val="00B0F0"/>
                          </a:solidFill>
                          <a:prstDash val="solid"/>
                          <a:headEnd type="none" w="med" len="med"/>
                          <a:tailEnd type="none" w="med" len="med"/>
                        </a:ln>
                      </wps:spPr>
                      <wps:bodyPr upright="1"/>
                    </wps:wsp>
                  </a:graphicData>
                </a:graphic>
              </wp:anchor>
            </w:drawing>
          </mc:Choice>
          <mc:Fallback>
            <w:pict>
              <v:shape id="自选图形 223" o:spid="_x0000_s1026" o:spt="120" type="#_x0000_t120" style="position:absolute;left:0pt;margin-left:281.9pt;margin-top:389.5pt;height:13.4pt;width:15.45pt;z-index:251778048;mso-width-relative:page;mso-height-relative:page;" fillcolor="#0070C0" filled="t" stroked="t" coordsize="21600,21600" o:gfxdata="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GQdILcAAAACwEAAA8AAAAAAAAAAQAgAAAAIgAAAGRycy9kb3ducmV2Lnht&#10;bFBLAQIUABQAAAAIAIdO4kBoiWpZ9QEAAN0DAAAOAAAAAAAAAAEAIAAAACsBAABkcnMvZTJvRG9j&#10;LnhtbFBLBQYAAAAABgAGAFkBAACSBQAAAAA=&#10;">
                <v:fill on="t" focussize="0,0"/>
                <v:stroke color="#00B0F0" joinstyle="round"/>
                <v:imagedata o:title=""/>
                <o:lock v:ext="edit" aspectratio="f"/>
              </v:shape>
            </w:pict>
          </mc:Fallback>
        </mc:AlternateContent>
      </w:r>
      <w:r>
        <w:rPr>
          <w:rFonts w:hAnsi="宋体"/>
          <w:sz w:val="24"/>
        </w:rPr>
        <mc:AlternateContent>
          <mc:Choice Requires="wps">
            <w:drawing>
              <wp:anchor distT="0" distB="0" distL="114300" distR="114300" simplePos="0" relativeHeight="251777024" behindDoc="0" locked="0" layoutInCell="1" allowOverlap="1">
                <wp:simplePos x="0" y="0"/>
                <wp:positionH relativeFrom="column">
                  <wp:posOffset>337185</wp:posOffset>
                </wp:positionH>
                <wp:positionV relativeFrom="paragraph">
                  <wp:posOffset>6766560</wp:posOffset>
                </wp:positionV>
                <wp:extent cx="196215" cy="170180"/>
                <wp:effectExtent l="4445" t="4445" r="8890" b="15875"/>
                <wp:wrapNone/>
                <wp:docPr id="164" name="自选图形 222"/>
                <wp:cNvGraphicFramePr/>
                <a:graphic xmlns:a="http://schemas.openxmlformats.org/drawingml/2006/main">
                  <a:graphicData uri="http://schemas.microsoft.com/office/word/2010/wordprocessingShape">
                    <wps:wsp>
                      <wps:cNvSpPr/>
                      <wps:spPr>
                        <a:xfrm>
                          <a:off x="0" y="0"/>
                          <a:ext cx="196215" cy="170180"/>
                        </a:xfrm>
                        <a:prstGeom prst="flowChartConnector">
                          <a:avLst/>
                        </a:prstGeom>
                        <a:solidFill>
                          <a:srgbClr val="0070C0"/>
                        </a:solidFill>
                        <a:ln w="9525" cap="flat" cmpd="sng">
                          <a:solidFill>
                            <a:srgbClr val="00B0F0"/>
                          </a:solidFill>
                          <a:prstDash val="solid"/>
                          <a:headEnd type="none" w="med" len="med"/>
                          <a:tailEnd type="none" w="med" len="med"/>
                        </a:ln>
                      </wps:spPr>
                      <wps:bodyPr upright="1"/>
                    </wps:wsp>
                  </a:graphicData>
                </a:graphic>
              </wp:anchor>
            </w:drawing>
          </mc:Choice>
          <mc:Fallback>
            <w:pict>
              <v:shape id="自选图形 222" o:spid="_x0000_s1026" o:spt="120" type="#_x0000_t120" style="position:absolute;left:0pt;margin-left:26.55pt;margin-top:532.8pt;height:13.4pt;width:15.45pt;z-index:251777024;mso-width-relative:page;mso-height-relative:page;" fillcolor="#0070C0" filled="t" stroked="t" coordsize="21600,21600" o:gfxdata="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Msr53ZAAAACwEAAA8AAAAAAAAAAQAgAAAAIgAAAGRycy9kb3ducmV2LnhtbFBL&#10;AQIUABQAAAAIAIdO4kAC+5qQ9QEAAN0DAAAOAAAAAAAAAAEAIAAAACgBAABkcnMvZTJvRG9jLnht&#10;bFBLBQYAAAAABgAGAFkBAACPBQAAAAA=&#10;">
                <v:fill on="t" focussize="0,0"/>
                <v:stroke color="#00B0F0" joinstyle="round"/>
                <v:imagedata o:title=""/>
                <o:lock v:ext="edit" aspectratio="f"/>
              </v:shape>
            </w:pict>
          </mc:Fallback>
        </mc:AlternateContent>
      </w:r>
      <w:r>
        <w:rPr>
          <w:rFonts w:hAnsi="宋体"/>
          <w:sz w:val="24"/>
        </w:rPr>
        <mc:AlternateContent>
          <mc:Choice Requires="wps">
            <w:drawing>
              <wp:anchor distT="0" distB="0" distL="114300" distR="114300" simplePos="0" relativeHeight="251728896" behindDoc="0" locked="0" layoutInCell="1" allowOverlap="1">
                <wp:simplePos x="0" y="0"/>
                <wp:positionH relativeFrom="column">
                  <wp:posOffset>343535</wp:posOffset>
                </wp:positionH>
                <wp:positionV relativeFrom="paragraph">
                  <wp:posOffset>6394450</wp:posOffset>
                </wp:positionV>
                <wp:extent cx="211455" cy="106045"/>
                <wp:effectExtent l="4445" t="4445" r="12700" b="22860"/>
                <wp:wrapNone/>
                <wp:docPr id="131" name="矩形 137"/>
                <wp:cNvGraphicFramePr/>
                <a:graphic xmlns:a="http://schemas.openxmlformats.org/drawingml/2006/main">
                  <a:graphicData uri="http://schemas.microsoft.com/office/word/2010/wordprocessingShape">
                    <wps:wsp>
                      <wps:cNvSpPr/>
                      <wps:spPr>
                        <a:xfrm>
                          <a:off x="0" y="0"/>
                          <a:ext cx="211455" cy="106045"/>
                        </a:xfrm>
                        <a:prstGeom prst="rect">
                          <a:avLst/>
                        </a:prstGeom>
                        <a:solidFill>
                          <a:srgbClr val="FFFF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37" o:spid="_x0000_s1026" o:spt="1" style="position:absolute;left:0pt;margin-left:27.05pt;margin-top:503.5pt;height:8.35pt;width:16.65pt;z-index:251728896;mso-width-relative:page;mso-height-relative:page;" fillcolor="#FFFF00" filled="t" stroked="t" coordsize="21600,21600" o:gfxdata="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e6a2ktkAAAALAQAADwAAAAAAAAABACAAAAAiAAAAZHJzL2Rvd25yZXYueG1sUEsB&#10;AhQAFAAAAAgAh07iQBpZgP30AQAA9AMAAA4AAAAAAAAAAQAgAAAAKAEAAGRycy9lMm9Eb2MueG1s&#10;UEsFBgAAAAAGAAYAWQEAAI4FA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29920" behindDoc="0" locked="0" layoutInCell="1" allowOverlap="1">
                <wp:simplePos x="0" y="0"/>
                <wp:positionH relativeFrom="column">
                  <wp:posOffset>343535</wp:posOffset>
                </wp:positionH>
                <wp:positionV relativeFrom="paragraph">
                  <wp:posOffset>6596380</wp:posOffset>
                </wp:positionV>
                <wp:extent cx="211455" cy="106045"/>
                <wp:effectExtent l="4445" t="4445" r="12700" b="22860"/>
                <wp:wrapNone/>
                <wp:docPr id="132" name="矩形 138"/>
                <wp:cNvGraphicFramePr/>
                <a:graphic xmlns:a="http://schemas.openxmlformats.org/drawingml/2006/main">
                  <a:graphicData uri="http://schemas.microsoft.com/office/word/2010/wordprocessingShape">
                    <wps:wsp>
                      <wps:cNvSpPr/>
                      <wps:spPr>
                        <a:xfrm>
                          <a:off x="0" y="0"/>
                          <a:ext cx="211455" cy="106045"/>
                        </a:xfrm>
                        <a:prstGeom prst="rect">
                          <a:avLst/>
                        </a:prstGeom>
                        <a:solidFill>
                          <a:srgbClr val="92D05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38" o:spid="_x0000_s1026" o:spt="1" style="position:absolute;left:0pt;margin-left:27.05pt;margin-top:519.4pt;height:8.35pt;width:16.65pt;z-index:251729920;mso-width-relative:page;mso-height-relative:page;" fillcolor="#92D050" filled="t" stroked="t" coordsize="21600,21600" o:gfxdata="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3ah05NoAAAALAQAADwAAAAAAAAABACAAAAAiAAAAZHJzL2Rvd25yZXYueG1s&#10;UEsBAhQAFAAAAAgAh07iQHub17r2AQAA9AMAAA4AAAAAAAAAAQAgAAAAKQEAAGRycy9lMm9Eb2Mu&#10;eG1sUEsFBgAAAAAGAAYAWQEAAJEFA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26848" behindDoc="0" locked="0" layoutInCell="1" allowOverlap="1">
                <wp:simplePos x="0" y="0"/>
                <wp:positionH relativeFrom="column">
                  <wp:posOffset>343535</wp:posOffset>
                </wp:positionH>
                <wp:positionV relativeFrom="paragraph">
                  <wp:posOffset>6192520</wp:posOffset>
                </wp:positionV>
                <wp:extent cx="211455" cy="106045"/>
                <wp:effectExtent l="4445" t="4445" r="12700" b="22860"/>
                <wp:wrapNone/>
                <wp:docPr id="130" name="矩形 135"/>
                <wp:cNvGraphicFramePr/>
                <a:graphic xmlns:a="http://schemas.openxmlformats.org/drawingml/2006/main">
                  <a:graphicData uri="http://schemas.microsoft.com/office/word/2010/wordprocessingShape">
                    <wps:wsp>
                      <wps:cNvSpPr/>
                      <wps:spPr>
                        <a:xfrm>
                          <a:off x="0" y="0"/>
                          <a:ext cx="211455" cy="106045"/>
                        </a:xfrm>
                        <a:prstGeom prst="rect">
                          <a:avLst/>
                        </a:prstGeom>
                        <a:solidFill>
                          <a:srgbClr val="FF00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35" o:spid="_x0000_s1026" o:spt="1" style="position:absolute;left:0pt;margin-left:27.05pt;margin-top:487.6pt;height:8.35pt;width:16.65pt;z-index:251726848;mso-width-relative:page;mso-height-relative:page;" fillcolor="#FF0000" filled="t" stroked="t" coordsize="21600,21600" o:gfxdata="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4zWnjYAAAACQEAAA8AAAAAAAAAAQAgAAAAIgAAAGRycy9kb3ducmV2LnhtbFBLAQIU&#10;ABQAAAAIAIdO4kCsJeMY8wEAAPQDAAAOAAAAAAAAAAEAIAAAACcBAABkcnMvZTJvRG9jLnhtbFBL&#10;BQYAAAAABgAGAFkBAACMBQ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25824" behindDoc="0" locked="0" layoutInCell="1" allowOverlap="1">
                <wp:simplePos x="0" y="0"/>
                <wp:positionH relativeFrom="column">
                  <wp:posOffset>213995</wp:posOffset>
                </wp:positionH>
                <wp:positionV relativeFrom="paragraph">
                  <wp:posOffset>5894705</wp:posOffset>
                </wp:positionV>
                <wp:extent cx="1338580" cy="1189355"/>
                <wp:effectExtent l="4445" t="5080" r="9525" b="5715"/>
                <wp:wrapNone/>
                <wp:docPr id="129" name="矩形 134"/>
                <wp:cNvGraphicFramePr/>
                <a:graphic xmlns:a="http://schemas.openxmlformats.org/drawingml/2006/main">
                  <a:graphicData uri="http://schemas.microsoft.com/office/word/2010/wordprocessingShape">
                    <wps:wsp>
                      <wps:cNvSpPr/>
                      <wps:spPr>
                        <a:xfrm>
                          <a:off x="0" y="0"/>
                          <a:ext cx="1338580" cy="11893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jc w:val="center"/>
                              <w:rPr>
                                <w:sz w:val="24"/>
                              </w:rPr>
                            </w:pPr>
                            <w:r>
                              <w:rPr>
                                <w:rFonts w:hint="eastAsia"/>
                                <w:sz w:val="24"/>
                              </w:rPr>
                              <w:t>图例</w:t>
                            </w:r>
                          </w:p>
                          <w:p>
                            <w:pPr>
                              <w:spacing w:line="0" w:lineRule="atLeast"/>
                              <w:jc w:val="right"/>
                              <w:rPr>
                                <w:sz w:val="24"/>
                              </w:rPr>
                            </w:pPr>
                            <w:r>
                              <w:rPr>
                                <w:rFonts w:hint="eastAsia"/>
                                <w:sz w:val="24"/>
                              </w:rPr>
                              <w:t>重点防渗区</w:t>
                            </w:r>
                          </w:p>
                          <w:p>
                            <w:pPr>
                              <w:spacing w:line="0" w:lineRule="atLeast"/>
                              <w:jc w:val="right"/>
                              <w:rPr>
                                <w:sz w:val="24"/>
                              </w:rPr>
                            </w:pPr>
                            <w:r>
                              <w:rPr>
                                <w:rFonts w:hint="eastAsia"/>
                                <w:sz w:val="24"/>
                              </w:rPr>
                              <w:t>一般防渗区</w:t>
                            </w:r>
                          </w:p>
                          <w:p>
                            <w:pPr>
                              <w:spacing w:line="0" w:lineRule="atLeast"/>
                              <w:jc w:val="right"/>
                              <w:rPr>
                                <w:sz w:val="24"/>
                              </w:rPr>
                            </w:pPr>
                            <w:r>
                              <w:rPr>
                                <w:rFonts w:hint="eastAsia"/>
                                <w:sz w:val="24"/>
                              </w:rPr>
                              <w:t>简单防渗区</w:t>
                            </w:r>
                          </w:p>
                          <w:p>
                            <w:pPr>
                              <w:spacing w:line="0" w:lineRule="atLeast"/>
                              <w:jc w:val="right"/>
                            </w:pPr>
                            <w:r>
                              <w:rPr>
                                <w:rFonts w:hint="eastAsia"/>
                                <w:sz w:val="24"/>
                              </w:rPr>
                              <w:t>地下水监测井</w:t>
                            </w:r>
                          </w:p>
                          <w:p>
                            <w:pPr>
                              <w:spacing w:line="0" w:lineRule="atLeast"/>
                              <w:jc w:val="right"/>
                            </w:pPr>
                          </w:p>
                        </w:txbxContent>
                      </wps:txbx>
                      <wps:bodyPr upright="1"/>
                    </wps:wsp>
                  </a:graphicData>
                </a:graphic>
              </wp:anchor>
            </w:drawing>
          </mc:Choice>
          <mc:Fallback>
            <w:pict>
              <v:rect id="矩形 134" o:spid="_x0000_s1026" o:spt="1" style="position:absolute;left:0pt;margin-left:16.85pt;margin-top:464.15pt;height:93.65pt;width:105.4pt;z-index:251725824;mso-width-relative:page;mso-height-relative:page;" fillcolor="#FFFFFF" filled="t" stroked="t" coordsize="21600,21600" o:gfxdata="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591xzaAAAACwEAAA8AAAAAAAAAAQAgAAAAIgAAAGRycy9kb3ducmV2LnhtbFBLAQIUABQAAAAI&#10;AIdO4kBD7IO56wEAAOADAAAOAAAAAAAAAAEAIAAAACkBAABkcnMvZTJvRG9jLnhtbFBLBQYAAAAA&#10;BgAGAFkBAACGBQAAAAA=&#10;">
                <v:fill on="t" focussize="0,0"/>
                <v:stroke color="#000000" joinstyle="miter"/>
                <v:imagedata o:title=""/>
                <o:lock v:ext="edit" aspectratio="f"/>
                <v:textbox>
                  <w:txbxContent>
                    <w:p>
                      <w:pPr>
                        <w:spacing w:line="0" w:lineRule="atLeast"/>
                        <w:jc w:val="center"/>
                        <w:rPr>
                          <w:sz w:val="24"/>
                        </w:rPr>
                      </w:pPr>
                      <w:r>
                        <w:rPr>
                          <w:rFonts w:hint="eastAsia"/>
                          <w:sz w:val="24"/>
                        </w:rPr>
                        <w:t>图例</w:t>
                      </w:r>
                    </w:p>
                    <w:p>
                      <w:pPr>
                        <w:spacing w:line="0" w:lineRule="atLeast"/>
                        <w:jc w:val="right"/>
                        <w:rPr>
                          <w:sz w:val="24"/>
                        </w:rPr>
                      </w:pPr>
                      <w:r>
                        <w:rPr>
                          <w:rFonts w:hint="eastAsia"/>
                          <w:sz w:val="24"/>
                        </w:rPr>
                        <w:t>重点防渗区</w:t>
                      </w:r>
                    </w:p>
                    <w:p>
                      <w:pPr>
                        <w:spacing w:line="0" w:lineRule="atLeast"/>
                        <w:jc w:val="right"/>
                        <w:rPr>
                          <w:sz w:val="24"/>
                        </w:rPr>
                      </w:pPr>
                      <w:r>
                        <w:rPr>
                          <w:rFonts w:hint="eastAsia"/>
                          <w:sz w:val="24"/>
                        </w:rPr>
                        <w:t>一般防渗区</w:t>
                      </w:r>
                    </w:p>
                    <w:p>
                      <w:pPr>
                        <w:spacing w:line="0" w:lineRule="atLeast"/>
                        <w:jc w:val="right"/>
                        <w:rPr>
                          <w:sz w:val="24"/>
                        </w:rPr>
                      </w:pPr>
                      <w:r>
                        <w:rPr>
                          <w:rFonts w:hint="eastAsia"/>
                          <w:sz w:val="24"/>
                        </w:rPr>
                        <w:t>简单防渗区</w:t>
                      </w:r>
                    </w:p>
                    <w:p>
                      <w:pPr>
                        <w:spacing w:line="0" w:lineRule="atLeast"/>
                        <w:jc w:val="right"/>
                      </w:pPr>
                      <w:r>
                        <w:rPr>
                          <w:rFonts w:hint="eastAsia"/>
                          <w:sz w:val="24"/>
                        </w:rPr>
                        <w:t>地下水监测井</w:t>
                      </w:r>
                    </w:p>
                    <w:p>
                      <w:pPr>
                        <w:spacing w:line="0" w:lineRule="atLeast"/>
                        <w:jc w:val="right"/>
                      </w:pPr>
                    </w:p>
                  </w:txbxContent>
                </v:textbox>
              </v:rect>
            </w:pict>
          </mc:Fallback>
        </mc:AlternateContent>
      </w:r>
      <w:r>
        <w:rPr>
          <w:rFonts w:hAnsi="宋体"/>
          <w:sz w:val="24"/>
        </w:rPr>
        <mc:AlternateContent>
          <mc:Choice Requires="wps">
            <w:drawing>
              <wp:anchor distT="0" distB="0" distL="114300" distR="114300" simplePos="0" relativeHeight="251754496" behindDoc="0" locked="0" layoutInCell="1" allowOverlap="1">
                <wp:simplePos x="0" y="0"/>
                <wp:positionH relativeFrom="column">
                  <wp:posOffset>1383030</wp:posOffset>
                </wp:positionH>
                <wp:positionV relativeFrom="paragraph">
                  <wp:posOffset>2359660</wp:posOffset>
                </wp:positionV>
                <wp:extent cx="901700" cy="738505"/>
                <wp:effectExtent l="101600" t="80010" r="112395" b="85090"/>
                <wp:wrapNone/>
                <wp:docPr id="151" name="矩形 190"/>
                <wp:cNvGraphicFramePr/>
                <a:graphic xmlns:a="http://schemas.openxmlformats.org/drawingml/2006/main">
                  <a:graphicData uri="http://schemas.microsoft.com/office/word/2010/wordprocessingShape">
                    <wps:wsp>
                      <wps:cNvSpPr/>
                      <wps:spPr>
                        <a:xfrm rot="4583305">
                          <a:off x="0" y="0"/>
                          <a:ext cx="901700" cy="738505"/>
                        </a:xfrm>
                        <a:prstGeom prst="rect">
                          <a:avLst/>
                        </a:prstGeom>
                        <a:solidFill>
                          <a:srgbClr val="FFFF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90" o:spid="_x0000_s1026" o:spt="1" style="position:absolute;left:0pt;margin-left:108.9pt;margin-top:185.8pt;height:58.15pt;width:71pt;rotation:5006191f;z-index:251754496;mso-width-relative:page;mso-height-relative:page;" fillcolor="#FFFF00" filled="t" stroked="t" coordsize="21600,21600" o:gfxdata="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vtabI3QAAAAsBAAAPAAAAAAAAAAEAIAAAACIAAABkcnMv&#10;ZG93bnJldi54bWxQSwECFAAUAAAACACHTuJAGGeQdf4BAAACBAAADgAAAAAAAAABACAAAAAsAQAA&#10;ZHJzL2Uyb0RvYy54bWxQSwUGAAAAAAYABgBZAQAAnAU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31968" behindDoc="0" locked="0" layoutInCell="1" allowOverlap="1">
                <wp:simplePos x="0" y="0"/>
                <wp:positionH relativeFrom="column">
                  <wp:posOffset>1616075</wp:posOffset>
                </wp:positionH>
                <wp:positionV relativeFrom="paragraph">
                  <wp:posOffset>3233420</wp:posOffset>
                </wp:positionV>
                <wp:extent cx="410210" cy="340995"/>
                <wp:effectExtent l="40005" t="49530" r="45085" b="66675"/>
                <wp:wrapNone/>
                <wp:docPr id="133" name="矩形 136"/>
                <wp:cNvGraphicFramePr/>
                <a:graphic xmlns:a="http://schemas.openxmlformats.org/drawingml/2006/main">
                  <a:graphicData uri="http://schemas.microsoft.com/office/word/2010/wordprocessingShape">
                    <wps:wsp>
                      <wps:cNvSpPr/>
                      <wps:spPr>
                        <a:xfrm rot="-819355">
                          <a:off x="0" y="0"/>
                          <a:ext cx="410210" cy="340995"/>
                        </a:xfrm>
                        <a:prstGeom prst="rect">
                          <a:avLst/>
                        </a:prstGeom>
                        <a:solidFill>
                          <a:srgbClr val="FF00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36" o:spid="_x0000_s1026" o:spt="1" style="position:absolute;left:0pt;margin-left:127.25pt;margin-top:254.6pt;height:26.85pt;width:32.3pt;rotation:-894954f;z-index:251731968;mso-width-relative:page;mso-height-relative:page;" fillcolor="#FF0000" filled="t" stroked="t" coordsize="21600,21600" o:gfxdata="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46BCtsAAAALAQAADwAAAAAAAAABACAAAAAiAAAAZHJz&#10;L2Rvd25yZXYueG1sUEsBAhQAFAAAAAgAh07iQEhIXkkBAgAAAgQAAA4AAAAAAAAAAQAgAAAAKgEA&#10;AGRycy9lMm9Eb2MueG1sUEsFBgAAAAAGAAYAWQEAAJ0FA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52448" behindDoc="0" locked="0" layoutInCell="1" allowOverlap="1">
                <wp:simplePos x="0" y="0"/>
                <wp:positionH relativeFrom="column">
                  <wp:posOffset>2590165</wp:posOffset>
                </wp:positionH>
                <wp:positionV relativeFrom="paragraph">
                  <wp:posOffset>2520315</wp:posOffset>
                </wp:positionV>
                <wp:extent cx="207645" cy="278765"/>
                <wp:effectExtent l="26035" t="35560" r="38100" b="42545"/>
                <wp:wrapNone/>
                <wp:docPr id="149" name="矩形 188"/>
                <wp:cNvGraphicFramePr/>
                <a:graphic xmlns:a="http://schemas.openxmlformats.org/drawingml/2006/main">
                  <a:graphicData uri="http://schemas.microsoft.com/office/word/2010/wordprocessingShape">
                    <wps:wsp>
                      <wps:cNvSpPr/>
                      <wps:spPr>
                        <a:xfrm rot="4583305">
                          <a:off x="0" y="0"/>
                          <a:ext cx="207645" cy="278765"/>
                        </a:xfrm>
                        <a:prstGeom prst="rect">
                          <a:avLst/>
                        </a:prstGeom>
                        <a:solidFill>
                          <a:srgbClr val="FFFF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88" o:spid="_x0000_s1026" o:spt="1" style="position:absolute;left:0pt;margin-left:203.95pt;margin-top:198.45pt;height:21.95pt;width:16.35pt;rotation:5006191f;z-index:251752448;mso-width-relative:page;mso-height-relative:page;" fillcolor="#FFFF00" filled="t" stroked="t" coordsize="21600,21600" o:gfxdata="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&#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DVDlTcAAAACwEAAA8AAAAAAAAAAQAgAAAAIgAAAGRy&#10;cy9kb3ducmV2LnhtbFBLAQIUABQAAAAIAIdO4kAyQezaAQIAAAIEAAAOAAAAAAAAAAEAIAAAACsB&#10;AABkcnMvZTJvRG9jLnhtbFBLBQYAAAAABgAGAFkBAACeBQ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53472" behindDoc="0" locked="0" layoutInCell="1" allowOverlap="1">
                <wp:simplePos x="0" y="0"/>
                <wp:positionH relativeFrom="column">
                  <wp:posOffset>2796540</wp:posOffset>
                </wp:positionH>
                <wp:positionV relativeFrom="paragraph">
                  <wp:posOffset>1791335</wp:posOffset>
                </wp:positionV>
                <wp:extent cx="1363980" cy="1270635"/>
                <wp:effectExtent l="148590" t="136525" r="161925" b="137795"/>
                <wp:wrapNone/>
                <wp:docPr id="150" name="矩形 189"/>
                <wp:cNvGraphicFramePr/>
                <a:graphic xmlns:a="http://schemas.openxmlformats.org/drawingml/2006/main">
                  <a:graphicData uri="http://schemas.microsoft.com/office/word/2010/wordprocessingShape">
                    <wps:wsp>
                      <wps:cNvSpPr/>
                      <wps:spPr>
                        <a:xfrm rot="4583305">
                          <a:off x="0" y="0"/>
                          <a:ext cx="1363980" cy="1270635"/>
                        </a:xfrm>
                        <a:prstGeom prst="rect">
                          <a:avLst/>
                        </a:prstGeom>
                        <a:solidFill>
                          <a:srgbClr val="FFFF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89" o:spid="_x0000_s1026" o:spt="1" style="position:absolute;left:0pt;margin-left:220.2pt;margin-top:141.05pt;height:100.05pt;width:107.4pt;rotation:5006191f;z-index:251753472;mso-width-relative:page;mso-height-relative:page;" fillcolor="#FFFF00" filled="t" stroked="t" coordsize="21600,21600" o:gfxdata="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rp/2B3AAAAAsBAAAPAAAAAAAAAAEAIAAAACIAAABk&#10;cnMvZG93bnJldi54bWxQSwECFAAUAAAACACHTuJADO8CJwICAAAEBAAADgAAAAAAAAABACAAAAAr&#10;AQAAZHJzL2Uyb0RvYy54bWxQSwUGAAAAAAYABgBZAQAAnwU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61664" behindDoc="0" locked="0" layoutInCell="1" allowOverlap="1">
                <wp:simplePos x="0" y="0"/>
                <wp:positionH relativeFrom="column">
                  <wp:posOffset>2467610</wp:posOffset>
                </wp:positionH>
                <wp:positionV relativeFrom="paragraph">
                  <wp:posOffset>2584450</wp:posOffset>
                </wp:positionV>
                <wp:extent cx="267970" cy="701040"/>
                <wp:effectExtent l="27305" t="84455" r="33655" b="85725"/>
                <wp:wrapNone/>
                <wp:docPr id="153" name="矩形 187"/>
                <wp:cNvGraphicFramePr/>
                <a:graphic xmlns:a="http://schemas.openxmlformats.org/drawingml/2006/main">
                  <a:graphicData uri="http://schemas.microsoft.com/office/word/2010/wordprocessingShape">
                    <wps:wsp>
                      <wps:cNvSpPr/>
                      <wps:spPr>
                        <a:xfrm rot="4583305">
                          <a:off x="0" y="0"/>
                          <a:ext cx="267970" cy="701040"/>
                        </a:xfrm>
                        <a:prstGeom prst="rect">
                          <a:avLst/>
                        </a:prstGeom>
                        <a:solidFill>
                          <a:srgbClr val="FFFF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87" o:spid="_x0000_s1026" o:spt="1" style="position:absolute;left:0pt;margin-left:194.3pt;margin-top:203.5pt;height:55.2pt;width:21.1pt;rotation:5006191f;z-index:251761664;mso-width-relative:page;mso-height-relative:page;" fillcolor="#FFFF00" filled="t" stroked="t" coordsize="21600,21600" o:gfxdata="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&#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x8wv23QAAAAsBAAAPAAAAAAAAAAEAIAAAACIAAABk&#10;cnMvZG93bnJldi54bWxQSwECFAAUAAAACACHTuJA1601DAECAAACBAAADgAAAAAAAAABACAAAAAs&#10;AQAAZHJzL2Uyb0RvYy54bWxQSwUGAAAAAAYABgBZAQAAnwU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734016" behindDoc="0" locked="0" layoutInCell="1" allowOverlap="1">
                <wp:simplePos x="0" y="0"/>
                <wp:positionH relativeFrom="column">
                  <wp:posOffset>1835785</wp:posOffset>
                </wp:positionH>
                <wp:positionV relativeFrom="paragraph">
                  <wp:posOffset>3512185</wp:posOffset>
                </wp:positionV>
                <wp:extent cx="1703070" cy="1592580"/>
                <wp:effectExtent l="183515" t="169545" r="186055" b="184785"/>
                <wp:wrapNone/>
                <wp:docPr id="134" name="矩形 141"/>
                <wp:cNvGraphicFramePr/>
                <a:graphic xmlns:a="http://schemas.openxmlformats.org/drawingml/2006/main">
                  <a:graphicData uri="http://schemas.microsoft.com/office/word/2010/wordprocessingShape">
                    <wps:wsp>
                      <wps:cNvSpPr/>
                      <wps:spPr>
                        <a:xfrm rot="4583305">
                          <a:off x="0" y="0"/>
                          <a:ext cx="1703070" cy="1592580"/>
                        </a:xfrm>
                        <a:prstGeom prst="rect">
                          <a:avLst/>
                        </a:prstGeom>
                        <a:solidFill>
                          <a:srgbClr val="FFFF00">
                            <a:alpha val="5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41" o:spid="_x0000_s1026" o:spt="1" style="position:absolute;left:0pt;margin-left:144.55pt;margin-top:276.55pt;height:125.4pt;width:134.1pt;rotation:5006191f;z-index:251734016;mso-width-relative:page;mso-height-relative:page;" fillcolor="#FFFF00" filled="t" stroked="t" coordsize="21600,21600" o:gfxdata="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LJZsB3QAAAAsBAAAPAAAAAAAAAAEAIAAAACIAAABk&#10;cnMvZG93bnJldi54bWxQSwECFAAUAAAACACHTuJAVLg1uQECAAAEBAAADgAAAAAAAAABACAAAAAs&#10;AQAAZHJzL2Uyb0RvYy54bWxQSwUGAAAAAAYABgBZAQAAnwUAAAAA&#10;">
                <v:fill on="t" opacity="36045f" focussize="0,0"/>
                <v:stroke color="#000000" joinstyle="miter"/>
                <v:imagedata o:title=""/>
                <o:lock v:ext="edit" aspectratio="f"/>
              </v:rect>
            </w:pict>
          </mc:Fallback>
        </mc:AlternateContent>
      </w:r>
      <w:r>
        <w:rPr>
          <w:rFonts w:hAnsi="宋体"/>
          <w:sz w:val="24"/>
        </w:rPr>
        <mc:AlternateContent>
          <mc:Choice Requires="wps">
            <w:drawing>
              <wp:anchor distT="0" distB="0" distL="114300" distR="114300" simplePos="0" relativeHeight="251657216" behindDoc="0" locked="0" layoutInCell="1" allowOverlap="1">
                <wp:simplePos x="0" y="0"/>
                <wp:positionH relativeFrom="column">
                  <wp:posOffset>1032510</wp:posOffset>
                </wp:positionH>
                <wp:positionV relativeFrom="paragraph">
                  <wp:posOffset>866775</wp:posOffset>
                </wp:positionV>
                <wp:extent cx="3413125" cy="4465320"/>
                <wp:effectExtent l="4445" t="4445" r="11430" b="6985"/>
                <wp:wrapNone/>
                <wp:docPr id="41" name="任意多边形 191"/>
                <wp:cNvGraphicFramePr/>
                <a:graphic xmlns:a="http://schemas.openxmlformats.org/drawingml/2006/main">
                  <a:graphicData uri="http://schemas.microsoft.com/office/word/2010/wordprocessingShape">
                    <wps:wsp>
                      <wps:cNvSpPr/>
                      <wps:spPr>
                        <a:xfrm>
                          <a:off x="0" y="0"/>
                          <a:ext cx="3413125" cy="4465320"/>
                        </a:xfrm>
                        <a:custGeom>
                          <a:avLst/>
                          <a:gdLst/>
                          <a:ahLst/>
                          <a:cxnLst/>
                          <a:pathLst>
                            <a:path w="5375" h="7032">
                              <a:moveTo>
                                <a:pt x="0" y="1055"/>
                              </a:moveTo>
                              <a:lnTo>
                                <a:pt x="4554" y="0"/>
                              </a:lnTo>
                              <a:lnTo>
                                <a:pt x="5375" y="3333"/>
                              </a:lnTo>
                              <a:lnTo>
                                <a:pt x="3533" y="3768"/>
                              </a:lnTo>
                              <a:lnTo>
                                <a:pt x="4337" y="6648"/>
                              </a:lnTo>
                              <a:lnTo>
                                <a:pt x="1708" y="7032"/>
                              </a:lnTo>
                              <a:lnTo>
                                <a:pt x="0" y="1055"/>
                              </a:lnTo>
                              <a:close/>
                            </a:path>
                          </a:pathLst>
                        </a:custGeom>
                        <a:gradFill rotWithShape="1">
                          <a:gsLst>
                            <a:gs pos="0">
                              <a:srgbClr val="92D050">
                                <a:alpha val="30000"/>
                              </a:srgbClr>
                            </a:gs>
                            <a:gs pos="100000">
                              <a:srgbClr val="92D050">
                                <a:alpha val="30000"/>
                              </a:srgbClr>
                            </a:gs>
                          </a:gsLst>
                          <a:lin ang="5400000" scaled="1"/>
                          <a:tileRect/>
                        </a:gradFill>
                        <a:ln w="9525" cap="flat" cmpd="sng">
                          <a:solidFill>
                            <a:schemeClr val="tx1"/>
                          </a:solidFill>
                          <a:prstDash val="solid"/>
                          <a:headEnd type="none" w="med" len="med"/>
                          <a:tailEnd type="none" w="med" len="med"/>
                        </a:ln>
                      </wps:spPr>
                      <wps:bodyPr upright="1"/>
                    </wps:wsp>
                  </a:graphicData>
                </a:graphic>
              </wp:anchor>
            </w:drawing>
          </mc:Choice>
          <mc:Fallback>
            <w:pict>
              <v:shape id="任意多边形 191" o:spid="_x0000_s1026" o:spt="100" style="position:absolute;left:0pt;margin-left:81.3pt;margin-top:68.25pt;height:351.6pt;width:268.75pt;z-index:251657216;mso-width-relative:page;mso-height-relative:page;" fillcolor="#92D050" filled="t" stroked="t" coordsize="5375,7032" o:gfxdata="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8ls1ytgAAAALAQAADwAA&#10;AAAAAAABACAAAAAiAAAAZHJzL2Rvd25yZXYueG1sUEsBAhQAFAAAAAgAh07iQARg/sfBAgAAJQYA&#10;AA4AAAAAAAAAAQAgAAAAJwEAAGRycy9lMm9Eb2MueG1sUEsFBgAAAAAGAAYAWQEAAFoGAAAAAA==&#10;" path="m0,1055l4554,0,5375,3333,3533,3768,4337,6648,1708,7032,0,1055xe">
                <v:fill type="gradient" on="t" color2="#92D050" opacity="19661f" o:opacity2="19661f" focus="100%" focussize="0f,0f" focusposition="0f,0f" rotate="t"/>
                <v:stroke color="#000000 [3213]" joinstyle="round"/>
                <v:imagedata o:title=""/>
                <o:lock v:ext="edit" aspectratio="f"/>
              </v:shape>
            </w:pict>
          </mc:Fallback>
        </mc:AlternateContent>
      </w:r>
      <w:r>
        <w:rPr>
          <w:rFonts w:hAnsi="宋体"/>
          <w:sz w:val="24"/>
        </w:rPr>
        <mc:AlternateContent>
          <mc:Choice Requires="wps">
            <w:drawing>
              <wp:anchor distT="0" distB="0" distL="114300" distR="114300" simplePos="0" relativeHeight="251656192" behindDoc="0" locked="0" layoutInCell="1" allowOverlap="1">
                <wp:simplePos x="0" y="0"/>
                <wp:positionH relativeFrom="column">
                  <wp:posOffset>2226945</wp:posOffset>
                </wp:positionH>
                <wp:positionV relativeFrom="paragraph">
                  <wp:posOffset>2507615</wp:posOffset>
                </wp:positionV>
                <wp:extent cx="701040" cy="588010"/>
                <wp:effectExtent l="9525" t="9525" r="13335" b="12065"/>
                <wp:wrapNone/>
                <wp:docPr id="38" name="任意多边形 199"/>
                <wp:cNvGraphicFramePr/>
                <a:graphic xmlns:a="http://schemas.openxmlformats.org/drawingml/2006/main">
                  <a:graphicData uri="http://schemas.microsoft.com/office/word/2010/wordprocessingShape">
                    <wps:wsp>
                      <wps:cNvSpPr/>
                      <wps:spPr>
                        <a:xfrm>
                          <a:off x="0" y="0"/>
                          <a:ext cx="701040" cy="588010"/>
                        </a:xfrm>
                        <a:custGeom>
                          <a:avLst/>
                          <a:gdLst/>
                          <a:ahLst/>
                          <a:cxnLst/>
                          <a:pathLst>
                            <a:path w="1173" h="1085">
                              <a:moveTo>
                                <a:pt x="0" y="564"/>
                              </a:moveTo>
                              <a:lnTo>
                                <a:pt x="556" y="474"/>
                              </a:lnTo>
                              <a:lnTo>
                                <a:pt x="513" y="75"/>
                              </a:lnTo>
                              <a:lnTo>
                                <a:pt x="1001" y="0"/>
                              </a:lnTo>
                              <a:lnTo>
                                <a:pt x="1173" y="870"/>
                              </a:lnTo>
                              <a:lnTo>
                                <a:pt x="125" y="1085"/>
                              </a:lnTo>
                              <a:lnTo>
                                <a:pt x="0" y="564"/>
                              </a:lnTo>
                              <a:close/>
                            </a:path>
                          </a:pathLst>
                        </a:custGeom>
                        <a:noFill/>
                        <a:ln w="19050" cap="flat" cmpd="sng">
                          <a:solidFill>
                            <a:srgbClr val="FF0000"/>
                          </a:solidFill>
                          <a:prstDash val="solid"/>
                          <a:headEnd type="none" w="med" len="med"/>
                          <a:tailEnd type="none" w="med" len="med"/>
                        </a:ln>
                      </wps:spPr>
                      <wps:bodyPr upright="1"/>
                    </wps:wsp>
                  </a:graphicData>
                </a:graphic>
              </wp:anchor>
            </w:drawing>
          </mc:Choice>
          <mc:Fallback>
            <w:pict>
              <v:shape id="任意多边形 199" o:spid="_x0000_s1026" o:spt="100" style="position:absolute;left:0pt;margin-left:175.35pt;margin-top:197.45pt;height:46.3pt;width:55.2pt;z-index:251656192;mso-width-relative:page;mso-height-relative:page;" filled="f" stroked="t" coordsize="1173,1085" o:gfxdata="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9Iid2gAAAAsBAAAPAAAAAAAAAAEAIAAAACIAAABkcnMvZG93bnJldi54bWxQSwEC&#10;FAAUAAAACACHTuJALyzzW2QCAAAYBQAADgAAAAAAAAABACAAAAApAQAAZHJzL2Uyb0RvYy54bWxQ&#10;SwUGAAAAAAYABgBZAQAA/wUAAAAA&#10;" path="m0,564l556,474,513,75,1001,0,1173,870,125,1085,0,564xe">
                <v:fill on="f" focussize="0,0"/>
                <v:stroke weight="1.5pt" color="#FF0000" joinstyle="round"/>
                <v:imagedata o:title=""/>
                <o:lock v:ext="edit" aspectratio="f"/>
              </v:shape>
            </w:pict>
          </mc:Fallback>
        </mc:AlternateContent>
      </w:r>
      <w:r>
        <w:rPr>
          <w:rFonts w:hAnsi="宋体"/>
          <w:b/>
          <w:sz w:val="24"/>
        </w:rPr>
        <w:drawing>
          <wp:inline distT="0" distB="0" distL="0" distR="0">
            <wp:extent cx="5328285" cy="7117715"/>
            <wp:effectExtent l="19050" t="19050" r="24636" b="25730"/>
            <wp:docPr id="2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0"/>
                    <pic:cNvPicPr>
                      <a:picLocks noChangeAspect="1" noChangeArrowheads="1"/>
                    </pic:cNvPicPr>
                  </pic:nvPicPr>
                  <pic:blipFill>
                    <a:blip r:embed="rId37"/>
                    <a:srcRect/>
                    <a:stretch>
                      <a:fillRect/>
                    </a:stretch>
                  </pic:blipFill>
                  <pic:spPr>
                    <a:xfrm>
                      <a:off x="0" y="0"/>
                      <a:ext cx="5340132" cy="7133674"/>
                    </a:xfrm>
                    <a:prstGeom prst="rect">
                      <a:avLst/>
                    </a:prstGeom>
                    <a:noFill/>
                    <a:ln w="9525">
                      <a:solidFill>
                        <a:schemeClr val="tx1"/>
                      </a:solidFill>
                      <a:miter lim="800000"/>
                      <a:headEnd/>
                      <a:tailEnd/>
                    </a:ln>
                  </pic:spPr>
                </pic:pic>
              </a:graphicData>
            </a:graphic>
          </wp:inline>
        </w:drawing>
      </w:r>
    </w:p>
    <w:p>
      <w:pPr>
        <w:spacing w:line="360" w:lineRule="auto"/>
        <w:contextualSpacing/>
        <w:jc w:val="center"/>
        <w:rPr>
          <w:rFonts w:hAnsi="宋体"/>
          <w:b/>
          <w:sz w:val="24"/>
        </w:rPr>
      </w:pPr>
      <w:r>
        <w:rPr>
          <w:rFonts w:hAnsi="宋体"/>
          <w:b/>
          <w:sz w:val="24"/>
        </w:rPr>
        <w:t>附图</w:t>
      </w:r>
      <w:r>
        <w:rPr>
          <w:rFonts w:hint="eastAsia"/>
          <w:b/>
          <w:sz w:val="24"/>
        </w:rPr>
        <w:t>6</w:t>
      </w:r>
      <w:r>
        <w:rPr>
          <w:rFonts w:hint="eastAsia" w:hAnsi="宋体"/>
          <w:b/>
          <w:sz w:val="24"/>
        </w:rPr>
        <w:t>分区防渗及地下水跟踪监测布点图</w:t>
      </w:r>
    </w:p>
    <w:p>
      <w:pPr>
        <w:spacing w:line="360" w:lineRule="auto"/>
        <w:contextualSpacing/>
        <w:jc w:val="center"/>
        <w:rPr>
          <w:rFonts w:hAnsi="宋体"/>
          <w:b/>
          <w:sz w:val="24"/>
        </w:rPr>
        <w:sectPr>
          <w:pgSz w:w="11906" w:h="16838"/>
          <w:pgMar w:top="1701" w:right="1531" w:bottom="1701" w:left="1531" w:header="851" w:footer="851" w:gutter="0"/>
          <w:cols w:space="720" w:num="1"/>
          <w:docGrid w:linePitch="312" w:charSpace="0"/>
        </w:sectPr>
      </w:pPr>
    </w:p>
    <w:p>
      <w:pPr>
        <w:spacing w:line="360" w:lineRule="auto"/>
        <w:ind w:firstLine="1063" w:firstLineChars="441"/>
        <w:contextualSpacing/>
        <w:rPr>
          <w:rFonts w:hAnsi="宋体"/>
          <w:b/>
          <w:sz w:val="24"/>
        </w:rPr>
      </w:pPr>
      <w:r>
        <w:rPr>
          <w:rFonts w:hAnsi="宋体"/>
          <w:b/>
          <w:sz w:val="24"/>
        </w:rPr>
        <mc:AlternateContent>
          <mc:Choice Requires="wps">
            <w:drawing>
              <wp:anchor distT="0" distB="0" distL="114300" distR="114300" simplePos="0" relativeHeight="251780096" behindDoc="0" locked="0" layoutInCell="1" allowOverlap="1">
                <wp:simplePos x="0" y="0"/>
                <wp:positionH relativeFrom="column">
                  <wp:posOffset>4505960</wp:posOffset>
                </wp:positionH>
                <wp:positionV relativeFrom="paragraph">
                  <wp:posOffset>2311400</wp:posOffset>
                </wp:positionV>
                <wp:extent cx="814705" cy="306705"/>
                <wp:effectExtent l="4445" t="4445" r="19050" b="12700"/>
                <wp:wrapNone/>
                <wp:docPr id="167" name="矩形 225"/>
                <wp:cNvGraphicFramePr/>
                <a:graphic xmlns:a="http://schemas.openxmlformats.org/drawingml/2006/main">
                  <a:graphicData uri="http://schemas.microsoft.com/office/word/2010/wordprocessingShape">
                    <wps:wsp>
                      <wps:cNvSpPr/>
                      <wps:spPr>
                        <a:xfrm>
                          <a:off x="0" y="0"/>
                          <a:ext cx="814705" cy="3067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rPr>
                                <w:sz w:val="24"/>
                              </w:rPr>
                            </w:pPr>
                            <w:r>
                              <w:rPr>
                                <w:rFonts w:hint="eastAsia"/>
                                <w:sz w:val="24"/>
                              </w:rPr>
                              <w:t>环境空气</w:t>
                            </w:r>
                          </w:p>
                          <w:p>
                            <w:pPr>
                              <w:spacing w:line="0" w:lineRule="atLeast"/>
                              <w:ind w:right="120"/>
                              <w:jc w:val="right"/>
                            </w:pPr>
                          </w:p>
                        </w:txbxContent>
                      </wps:txbx>
                      <wps:bodyPr upright="1"/>
                    </wps:wsp>
                  </a:graphicData>
                </a:graphic>
              </wp:anchor>
            </w:drawing>
          </mc:Choice>
          <mc:Fallback>
            <w:pict>
              <v:rect id="矩形 225" o:spid="_x0000_s1026" o:spt="1" style="position:absolute;left:0pt;margin-left:354.8pt;margin-top:182pt;height:24.15pt;width:64.15pt;z-index:251780096;mso-width-relative:page;mso-height-relative:page;" fillcolor="#FFFFFF" filled="t" stroked="t" coordsize="21600,21600" o:gfxdata="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XdXe&#10;itoAAAALAQAADwAAAAAAAAABACAAAAAiAAAAZHJzL2Rvd25yZXYueG1sUEsBAhQAFAAAAAgAh07i&#10;QHzHoOjnAQAA3gMAAA4AAAAAAAAAAQAgAAAAKQEAAGRycy9lMm9Eb2MueG1sUEsFBgAAAAAGAAYA&#10;WQEAAIIFAAAAAA==&#10;">
                <v:fill on="t" focussize="0,0"/>
                <v:stroke color="#000000" joinstyle="miter"/>
                <v:imagedata o:title=""/>
                <o:lock v:ext="edit" aspectratio="f"/>
                <v:textbox>
                  <w:txbxContent>
                    <w:p>
                      <w:pPr>
                        <w:spacing w:line="0" w:lineRule="atLeast"/>
                        <w:rPr>
                          <w:sz w:val="24"/>
                        </w:rPr>
                      </w:pPr>
                      <w:r>
                        <w:rPr>
                          <w:rFonts w:hint="eastAsia"/>
                          <w:sz w:val="24"/>
                        </w:rPr>
                        <w:t>环境空气</w:t>
                      </w:r>
                    </w:p>
                    <w:p>
                      <w:pPr>
                        <w:spacing w:line="0" w:lineRule="atLeast"/>
                        <w:ind w:right="120"/>
                        <w:jc w:val="right"/>
                      </w:pPr>
                    </w:p>
                  </w:txbxContent>
                </v:textbox>
              </v:rect>
            </w:pict>
          </mc:Fallback>
        </mc:AlternateContent>
      </w:r>
      <w:r>
        <w:rPr>
          <w:rFonts w:hAnsi="宋体"/>
          <w:b/>
          <w:sz w:val="24"/>
        </w:rPr>
        <mc:AlternateContent>
          <mc:Choice Requires="wps">
            <w:drawing>
              <wp:anchor distT="0" distB="0" distL="114300" distR="114300" simplePos="0" relativeHeight="251779072" behindDoc="0" locked="0" layoutInCell="1" allowOverlap="1">
                <wp:simplePos x="0" y="0"/>
                <wp:positionH relativeFrom="column">
                  <wp:posOffset>703580</wp:posOffset>
                </wp:positionH>
                <wp:positionV relativeFrom="paragraph">
                  <wp:posOffset>2327910</wp:posOffset>
                </wp:positionV>
                <wp:extent cx="569595" cy="306705"/>
                <wp:effectExtent l="5080" t="4445" r="15875" b="12700"/>
                <wp:wrapNone/>
                <wp:docPr id="166" name="矩形 224"/>
                <wp:cNvGraphicFramePr/>
                <a:graphic xmlns:a="http://schemas.openxmlformats.org/drawingml/2006/main">
                  <a:graphicData uri="http://schemas.microsoft.com/office/word/2010/wordprocessingShape">
                    <wps:wsp>
                      <wps:cNvSpPr/>
                      <wps:spPr>
                        <a:xfrm>
                          <a:off x="0" y="0"/>
                          <a:ext cx="569595" cy="3067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rPr>
                                <w:sz w:val="24"/>
                              </w:rPr>
                            </w:pPr>
                            <w:r>
                              <w:rPr>
                                <w:rFonts w:hint="eastAsia"/>
                                <w:sz w:val="24"/>
                              </w:rPr>
                              <w:t>土壤</w:t>
                            </w:r>
                          </w:p>
                          <w:p>
                            <w:pPr>
                              <w:spacing w:line="0" w:lineRule="atLeast"/>
                              <w:ind w:right="120"/>
                              <w:jc w:val="right"/>
                            </w:pPr>
                          </w:p>
                        </w:txbxContent>
                      </wps:txbx>
                      <wps:bodyPr upright="1"/>
                    </wps:wsp>
                  </a:graphicData>
                </a:graphic>
              </wp:anchor>
            </w:drawing>
          </mc:Choice>
          <mc:Fallback>
            <w:pict>
              <v:rect id="矩形 224" o:spid="_x0000_s1026" o:spt="1" style="position:absolute;left:0pt;margin-left:55.4pt;margin-top:183.3pt;height:24.15pt;width:44.85pt;z-index:251779072;mso-width-relative:page;mso-height-relative:page;" fillcolor="#FFFFFF" filled="t" stroked="t" coordsize="21600,21600" o:gfxdata="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gpr9/&#10;2AAAAAsBAAAPAAAAAAAAAAEAIAAAACIAAABkcnMvZG93bnJldi54bWxQSwECFAAUAAAACACHTuJA&#10;unoBQugBAADeAwAADgAAAAAAAAABACAAAAAnAQAAZHJzL2Uyb0RvYy54bWxQSwUGAAAAAAYABgBZ&#10;AQAAgQUAAAAA&#10;">
                <v:fill on="t" focussize="0,0"/>
                <v:stroke color="#000000" joinstyle="miter"/>
                <v:imagedata o:title=""/>
                <o:lock v:ext="edit" aspectratio="f"/>
                <v:textbox>
                  <w:txbxContent>
                    <w:p>
                      <w:pPr>
                        <w:spacing w:line="0" w:lineRule="atLeast"/>
                        <w:rPr>
                          <w:sz w:val="24"/>
                        </w:rPr>
                      </w:pPr>
                      <w:r>
                        <w:rPr>
                          <w:rFonts w:hint="eastAsia"/>
                          <w:sz w:val="24"/>
                        </w:rPr>
                        <w:t>土壤</w:t>
                      </w:r>
                    </w:p>
                    <w:p>
                      <w:pPr>
                        <w:spacing w:line="0" w:lineRule="atLeast"/>
                        <w:ind w:right="120"/>
                        <w:jc w:val="right"/>
                      </w:pPr>
                    </w:p>
                  </w:txbxContent>
                </v:textbox>
              </v:rect>
            </w:pict>
          </mc:Fallback>
        </mc:AlternateContent>
      </w:r>
      <w:r>
        <w:rPr>
          <w:rFonts w:hAnsi="宋体"/>
          <w:b/>
          <w:sz w:val="24"/>
        </w:rPr>
        <w:drawing>
          <wp:inline distT="0" distB="0" distL="0" distR="0">
            <wp:extent cx="3619500" cy="2615565"/>
            <wp:effectExtent l="19050" t="19050" r="19050" b="13039"/>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noChangeArrowheads="1"/>
                    </pic:cNvPicPr>
                  </pic:nvPicPr>
                  <pic:blipFill>
                    <a:blip r:embed="rId38"/>
                    <a:srcRect/>
                    <a:stretch>
                      <a:fillRect/>
                    </a:stretch>
                  </pic:blipFill>
                  <pic:spPr>
                    <a:xfrm>
                      <a:off x="0" y="0"/>
                      <a:ext cx="3619500" cy="2615861"/>
                    </a:xfrm>
                    <a:prstGeom prst="rect">
                      <a:avLst/>
                    </a:prstGeom>
                    <a:noFill/>
                    <a:ln w="9525">
                      <a:solidFill>
                        <a:schemeClr val="tx1"/>
                      </a:solidFill>
                      <a:miter lim="800000"/>
                      <a:headEnd/>
                      <a:tailEnd/>
                    </a:ln>
                  </pic:spPr>
                </pic:pic>
              </a:graphicData>
            </a:graphic>
          </wp:inline>
        </w:drawing>
      </w:r>
      <w:r>
        <w:rPr>
          <w:rFonts w:hint="eastAsia" w:hAnsi="宋体"/>
          <w:b/>
          <w:sz w:val="24"/>
        </w:rPr>
        <w:t xml:space="preserve">  </w:t>
      </w:r>
      <w:r>
        <w:rPr>
          <w:rFonts w:hint="eastAsia" w:hAnsi="宋体"/>
          <w:b/>
          <w:sz w:val="24"/>
        </w:rPr>
        <w:drawing>
          <wp:inline distT="0" distB="0" distL="0" distR="0">
            <wp:extent cx="3448050" cy="2601595"/>
            <wp:effectExtent l="19050" t="19050" r="19050" b="2725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noChangeArrowheads="1"/>
                    </pic:cNvPicPr>
                  </pic:nvPicPr>
                  <pic:blipFill>
                    <a:blip r:embed="rId39"/>
                    <a:srcRect/>
                    <a:stretch>
                      <a:fillRect/>
                    </a:stretch>
                  </pic:blipFill>
                  <pic:spPr>
                    <a:xfrm>
                      <a:off x="0" y="0"/>
                      <a:ext cx="3448050" cy="2601650"/>
                    </a:xfrm>
                    <a:prstGeom prst="rect">
                      <a:avLst/>
                    </a:prstGeom>
                    <a:noFill/>
                    <a:ln w="9525">
                      <a:solidFill>
                        <a:schemeClr val="tx1"/>
                      </a:solidFill>
                      <a:miter lim="800000"/>
                      <a:headEnd/>
                      <a:tailEnd/>
                    </a:ln>
                  </pic:spPr>
                </pic:pic>
              </a:graphicData>
            </a:graphic>
          </wp:inline>
        </w:drawing>
      </w:r>
    </w:p>
    <w:p>
      <w:pPr>
        <w:spacing w:line="360" w:lineRule="auto"/>
        <w:ind w:firstLine="1063" w:firstLineChars="441"/>
        <w:contextualSpacing/>
        <w:rPr>
          <w:rFonts w:hAnsi="宋体"/>
          <w:sz w:val="24"/>
        </w:rPr>
      </w:pPr>
      <w:r>
        <w:rPr>
          <w:rFonts w:hAnsi="宋体"/>
          <w:b/>
          <w:sz w:val="24"/>
        </w:rPr>
        <mc:AlternateContent>
          <mc:Choice Requires="wps">
            <w:drawing>
              <wp:anchor distT="0" distB="0" distL="114300" distR="114300" simplePos="0" relativeHeight="251782144" behindDoc="0" locked="0" layoutInCell="1" allowOverlap="1">
                <wp:simplePos x="0" y="0"/>
                <wp:positionH relativeFrom="column">
                  <wp:posOffset>4516755</wp:posOffset>
                </wp:positionH>
                <wp:positionV relativeFrom="paragraph">
                  <wp:posOffset>2252345</wp:posOffset>
                </wp:positionV>
                <wp:extent cx="569595" cy="306705"/>
                <wp:effectExtent l="5080" t="4445" r="15875" b="12700"/>
                <wp:wrapNone/>
                <wp:docPr id="169" name="矩形 227"/>
                <wp:cNvGraphicFramePr/>
                <a:graphic xmlns:a="http://schemas.openxmlformats.org/drawingml/2006/main">
                  <a:graphicData uri="http://schemas.microsoft.com/office/word/2010/wordprocessingShape">
                    <wps:wsp>
                      <wps:cNvSpPr/>
                      <wps:spPr>
                        <a:xfrm>
                          <a:off x="0" y="0"/>
                          <a:ext cx="569595" cy="3067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rPr>
                                <w:sz w:val="24"/>
                              </w:rPr>
                            </w:pPr>
                            <w:r>
                              <w:rPr>
                                <w:rFonts w:hint="eastAsia"/>
                                <w:sz w:val="24"/>
                              </w:rPr>
                              <w:t>噪声</w:t>
                            </w:r>
                          </w:p>
                          <w:p>
                            <w:pPr>
                              <w:spacing w:line="0" w:lineRule="atLeast"/>
                              <w:ind w:right="120"/>
                              <w:jc w:val="right"/>
                            </w:pPr>
                          </w:p>
                        </w:txbxContent>
                      </wps:txbx>
                      <wps:bodyPr upright="1"/>
                    </wps:wsp>
                  </a:graphicData>
                </a:graphic>
              </wp:anchor>
            </w:drawing>
          </mc:Choice>
          <mc:Fallback>
            <w:pict>
              <v:rect id="矩形 227" o:spid="_x0000_s1026" o:spt="1" style="position:absolute;left:0pt;margin-left:355.65pt;margin-top:177.35pt;height:24.15pt;width:44.85pt;z-index:251782144;mso-width-relative:page;mso-height-relative:page;" fillcolor="#FFFFFF" filled="t" stroked="t" coordsize="21600,21600" o:gfxdata="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lDZD&#10;dtkAAAALAQAADwAAAAAAAAABACAAAAAiAAAAZHJzL2Rvd25yZXYueG1sUEsBAhQAFAAAAAgAh07i&#10;QFsi6KfoAQAA3gMAAA4AAAAAAAAAAQAgAAAAKAEAAGRycy9lMm9Eb2MueG1sUEsFBgAAAAAGAAYA&#10;WQEAAIIFAAAAAA==&#10;">
                <v:fill on="t" focussize="0,0"/>
                <v:stroke color="#000000" joinstyle="miter"/>
                <v:imagedata o:title=""/>
                <o:lock v:ext="edit" aspectratio="f"/>
                <v:textbox>
                  <w:txbxContent>
                    <w:p>
                      <w:pPr>
                        <w:spacing w:line="0" w:lineRule="atLeast"/>
                        <w:rPr>
                          <w:sz w:val="24"/>
                        </w:rPr>
                      </w:pPr>
                      <w:r>
                        <w:rPr>
                          <w:rFonts w:hint="eastAsia"/>
                          <w:sz w:val="24"/>
                        </w:rPr>
                        <w:t>噪声</w:t>
                      </w:r>
                    </w:p>
                    <w:p>
                      <w:pPr>
                        <w:spacing w:line="0" w:lineRule="atLeast"/>
                        <w:ind w:right="120"/>
                        <w:jc w:val="right"/>
                      </w:pPr>
                    </w:p>
                  </w:txbxContent>
                </v:textbox>
              </v:rect>
            </w:pict>
          </mc:Fallback>
        </mc:AlternateContent>
      </w:r>
      <w:r>
        <w:rPr>
          <w:rFonts w:hAnsi="宋体"/>
          <w:b/>
          <w:sz w:val="24"/>
        </w:rPr>
        <mc:AlternateContent>
          <mc:Choice Requires="wps">
            <w:drawing>
              <wp:anchor distT="0" distB="0" distL="114300" distR="114300" simplePos="0" relativeHeight="251781120" behindDoc="0" locked="0" layoutInCell="1" allowOverlap="1">
                <wp:simplePos x="0" y="0"/>
                <wp:positionH relativeFrom="column">
                  <wp:posOffset>708660</wp:posOffset>
                </wp:positionH>
                <wp:positionV relativeFrom="paragraph">
                  <wp:posOffset>2263140</wp:posOffset>
                </wp:positionV>
                <wp:extent cx="668020" cy="306705"/>
                <wp:effectExtent l="4445" t="4445" r="13335" b="12700"/>
                <wp:wrapNone/>
                <wp:docPr id="168" name="矩形 226"/>
                <wp:cNvGraphicFramePr/>
                <a:graphic xmlns:a="http://schemas.openxmlformats.org/drawingml/2006/main">
                  <a:graphicData uri="http://schemas.microsoft.com/office/word/2010/wordprocessingShape">
                    <wps:wsp>
                      <wps:cNvSpPr/>
                      <wps:spPr>
                        <a:xfrm>
                          <a:off x="0" y="0"/>
                          <a:ext cx="668020" cy="3067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rPr>
                                <w:sz w:val="24"/>
                              </w:rPr>
                            </w:pPr>
                            <w:r>
                              <w:rPr>
                                <w:rFonts w:hint="eastAsia"/>
                                <w:sz w:val="24"/>
                              </w:rPr>
                              <w:t>地下水</w:t>
                            </w:r>
                          </w:p>
                          <w:p>
                            <w:pPr>
                              <w:spacing w:line="0" w:lineRule="atLeast"/>
                              <w:ind w:right="120"/>
                              <w:jc w:val="right"/>
                            </w:pPr>
                          </w:p>
                        </w:txbxContent>
                      </wps:txbx>
                      <wps:bodyPr upright="1"/>
                    </wps:wsp>
                  </a:graphicData>
                </a:graphic>
              </wp:anchor>
            </w:drawing>
          </mc:Choice>
          <mc:Fallback>
            <w:pict>
              <v:rect id="矩形 226" o:spid="_x0000_s1026" o:spt="1" style="position:absolute;left:0pt;margin-left:55.8pt;margin-top:178.2pt;height:24.15pt;width:52.6pt;z-index:251781120;mso-width-relative:page;mso-height-relative:page;" fillcolor="#FFFFFF" filled="t" stroked="t" coordsize="21600,21600" o:gfxdata="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hRzSDY&#10;AAAACwEAAA8AAAAAAAAAAQAgAAAAIgAAAGRycy9kb3ducmV2LnhtbFBLAQIUABQAAAAIAIdO4kC9&#10;/RoC5wEAAN4DAAAOAAAAAAAAAAEAIAAAACcBAABkcnMvZTJvRG9jLnhtbFBLBQYAAAAABgAGAFkB&#10;AACABQAAAAA=&#10;">
                <v:fill on="t" focussize="0,0"/>
                <v:stroke color="#000000" joinstyle="miter"/>
                <v:imagedata o:title=""/>
                <o:lock v:ext="edit" aspectratio="f"/>
                <v:textbox>
                  <w:txbxContent>
                    <w:p>
                      <w:pPr>
                        <w:spacing w:line="0" w:lineRule="atLeast"/>
                        <w:rPr>
                          <w:sz w:val="24"/>
                        </w:rPr>
                      </w:pPr>
                      <w:r>
                        <w:rPr>
                          <w:rFonts w:hint="eastAsia"/>
                          <w:sz w:val="24"/>
                        </w:rPr>
                        <w:t>地下水</w:t>
                      </w:r>
                    </w:p>
                    <w:p>
                      <w:pPr>
                        <w:spacing w:line="0" w:lineRule="atLeast"/>
                        <w:ind w:right="120"/>
                        <w:jc w:val="right"/>
                      </w:pPr>
                    </w:p>
                  </w:txbxContent>
                </v:textbox>
              </v:rect>
            </w:pict>
          </mc:Fallback>
        </mc:AlternateContent>
      </w:r>
      <w:r>
        <w:rPr>
          <w:rFonts w:hAnsi="宋体"/>
          <w:b/>
          <w:sz w:val="24"/>
        </w:rPr>
        <w:drawing>
          <wp:inline distT="0" distB="0" distL="0" distR="0">
            <wp:extent cx="3619500" cy="2546350"/>
            <wp:effectExtent l="19050" t="19050" r="19050" b="25355"/>
            <wp:docPr id="2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
                    <pic:cNvPicPr>
                      <a:picLocks noChangeAspect="1" noChangeArrowheads="1"/>
                    </pic:cNvPicPr>
                  </pic:nvPicPr>
                  <pic:blipFill>
                    <a:blip r:embed="rId40"/>
                    <a:srcRect/>
                    <a:stretch>
                      <a:fillRect/>
                    </a:stretch>
                  </pic:blipFill>
                  <pic:spPr>
                    <a:xfrm>
                      <a:off x="0" y="0"/>
                      <a:ext cx="3616689" cy="2544417"/>
                    </a:xfrm>
                    <a:prstGeom prst="rect">
                      <a:avLst/>
                    </a:prstGeom>
                    <a:noFill/>
                    <a:ln w="9525">
                      <a:solidFill>
                        <a:schemeClr val="tx1"/>
                      </a:solidFill>
                      <a:miter lim="800000"/>
                      <a:headEnd/>
                      <a:tailEnd/>
                    </a:ln>
                  </pic:spPr>
                </pic:pic>
              </a:graphicData>
            </a:graphic>
          </wp:inline>
        </w:drawing>
      </w:r>
      <w:r>
        <w:rPr>
          <w:rFonts w:hint="eastAsia" w:hAnsi="宋体"/>
          <w:b/>
          <w:sz w:val="24"/>
        </w:rPr>
        <w:t xml:space="preserve">  </w:t>
      </w:r>
      <w:r>
        <w:rPr>
          <w:rFonts w:hint="eastAsia" w:hAnsi="宋体"/>
          <w:b/>
          <w:sz w:val="24"/>
        </w:rPr>
        <w:drawing>
          <wp:inline distT="0" distB="0" distL="0" distR="0">
            <wp:extent cx="3441700" cy="2526665"/>
            <wp:effectExtent l="19050" t="19050" r="25021" b="25656"/>
            <wp:docPr id="2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6"/>
                    <pic:cNvPicPr>
                      <a:picLocks noChangeAspect="1" noChangeArrowheads="1"/>
                    </pic:cNvPicPr>
                  </pic:nvPicPr>
                  <pic:blipFill>
                    <a:blip r:embed="rId41"/>
                    <a:srcRect/>
                    <a:stretch>
                      <a:fillRect/>
                    </a:stretch>
                  </pic:blipFill>
                  <pic:spPr>
                    <a:xfrm>
                      <a:off x="0" y="0"/>
                      <a:ext cx="3454304" cy="2536019"/>
                    </a:xfrm>
                    <a:prstGeom prst="rect">
                      <a:avLst/>
                    </a:prstGeom>
                    <a:noFill/>
                    <a:ln w="9525">
                      <a:solidFill>
                        <a:schemeClr val="tx1"/>
                      </a:solidFill>
                      <a:miter lim="800000"/>
                      <a:headEnd/>
                      <a:tailEnd/>
                    </a:ln>
                  </pic:spPr>
                </pic:pic>
              </a:graphicData>
            </a:graphic>
          </wp:inline>
        </w:drawing>
      </w:r>
    </w:p>
    <w:p>
      <w:pPr>
        <w:spacing w:line="360" w:lineRule="auto"/>
        <w:contextualSpacing/>
        <w:jc w:val="center"/>
        <w:rPr>
          <w:rFonts w:hAnsi="宋体"/>
          <w:b/>
          <w:sz w:val="24"/>
        </w:rPr>
      </w:pPr>
      <w:r>
        <w:rPr>
          <w:rFonts w:hint="eastAsia" w:hAnsi="宋体"/>
          <w:b/>
          <w:sz w:val="24"/>
        </w:rPr>
        <w:t>附图7现状监测布点图</w:t>
      </w:r>
    </w:p>
    <w:p>
      <w:pPr>
        <w:spacing w:line="360" w:lineRule="auto"/>
        <w:contextualSpacing/>
        <w:jc w:val="center"/>
        <w:rPr>
          <w:rFonts w:hAnsi="宋体"/>
          <w:b/>
          <w:sz w:val="24"/>
        </w:rPr>
        <w:sectPr>
          <w:pgSz w:w="16838" w:h="11906" w:orient="landscape"/>
          <w:pgMar w:top="1531" w:right="1701" w:bottom="1531" w:left="1701" w:header="851" w:footer="851" w:gutter="0"/>
          <w:cols w:space="720" w:num="1"/>
          <w:docGrid w:linePitch="312" w:charSpace="0"/>
        </w:sectPr>
      </w:pPr>
    </w:p>
    <w:p>
      <w:pPr>
        <w:rPr>
          <w:sz w:val="24"/>
        </w:rPr>
      </w:pPr>
      <w:r>
        <w:rPr>
          <w:sz w:val="24"/>
        </w:rPr>
        <w:t xml:space="preserve">附件1 </w:t>
      </w:r>
      <w:r>
        <w:rPr>
          <w:rFonts w:hint="eastAsia"/>
          <w:sz w:val="24"/>
        </w:rPr>
        <w:t>营业执照</w:t>
      </w:r>
    </w:p>
    <w:p>
      <w:pPr>
        <w:jc w:val="center"/>
        <w:rPr>
          <w:b/>
        </w:rPr>
      </w:pPr>
      <w:r>
        <w:rPr>
          <w:b/>
        </w:rPr>
        <w:drawing>
          <wp:inline distT="0" distB="0" distL="0" distR="0">
            <wp:extent cx="5274310" cy="7339330"/>
            <wp:effectExtent l="38100" t="19050" r="21590" b="13784"/>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noChangeArrowheads="1"/>
                    </pic:cNvPicPr>
                  </pic:nvPicPr>
                  <pic:blipFill>
                    <a:blip r:embed="rId42"/>
                    <a:srcRect/>
                    <a:stretch>
                      <a:fillRect/>
                    </a:stretch>
                  </pic:blipFill>
                  <pic:spPr>
                    <a:xfrm>
                      <a:off x="0" y="0"/>
                      <a:ext cx="5274310" cy="7339516"/>
                    </a:xfrm>
                    <a:prstGeom prst="rect">
                      <a:avLst/>
                    </a:prstGeom>
                    <a:noFill/>
                    <a:ln w="9525">
                      <a:solidFill>
                        <a:schemeClr val="tx1"/>
                      </a:solidFill>
                      <a:miter lim="800000"/>
                      <a:headEnd/>
                      <a:tailEnd/>
                    </a:ln>
                  </pic:spPr>
                </pic:pic>
              </a:graphicData>
            </a:graphic>
          </wp:inline>
        </w:drawing>
      </w:r>
    </w:p>
    <w:p>
      <w:pPr>
        <w:sectPr>
          <w:pgSz w:w="11906" w:h="16838"/>
          <w:pgMar w:top="1440" w:right="1800" w:bottom="1440" w:left="1800" w:header="851" w:footer="992" w:gutter="0"/>
          <w:cols w:space="425" w:num="1"/>
          <w:docGrid w:type="lines" w:linePitch="312" w:charSpace="0"/>
        </w:sectPr>
      </w:pPr>
    </w:p>
    <w:p>
      <w:pPr>
        <w:rPr>
          <w:sz w:val="24"/>
        </w:rPr>
      </w:pPr>
      <w:r>
        <w:rPr>
          <w:sz w:val="24"/>
        </w:rPr>
        <w:t>附件</w:t>
      </w:r>
      <w:r>
        <w:rPr>
          <w:rFonts w:hint="eastAsia"/>
          <w:sz w:val="24"/>
        </w:rPr>
        <w:t>2土地证及租赁协议</w:t>
      </w:r>
    </w:p>
    <w:p>
      <w:pPr>
        <w:rPr>
          <w:sz w:val="24"/>
        </w:rPr>
      </w:pPr>
      <w:r>
        <w:rPr>
          <w:sz w:val="24"/>
        </w:rPr>
        <w:drawing>
          <wp:inline distT="0" distB="0" distL="0" distR="0">
            <wp:extent cx="5274310" cy="7482205"/>
            <wp:effectExtent l="38100" t="19050" r="21590" b="23175"/>
            <wp:docPr id="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8"/>
                    <pic:cNvPicPr>
                      <a:picLocks noChangeAspect="1" noChangeArrowheads="1"/>
                    </pic:cNvPicPr>
                  </pic:nvPicPr>
                  <pic:blipFill>
                    <a:blip r:embed="rId43"/>
                    <a:srcRect/>
                    <a:stretch>
                      <a:fillRect/>
                    </a:stretch>
                  </pic:blipFill>
                  <pic:spPr>
                    <a:xfrm>
                      <a:off x="0" y="0"/>
                      <a:ext cx="5274310" cy="7482525"/>
                    </a:xfrm>
                    <a:prstGeom prst="rect">
                      <a:avLst/>
                    </a:prstGeom>
                    <a:noFill/>
                    <a:ln w="9525">
                      <a:solidFill>
                        <a:schemeClr val="tx1"/>
                      </a:solidFill>
                      <a:miter lim="800000"/>
                      <a:headEnd/>
                      <a:tailEnd/>
                    </a:ln>
                  </pic:spPr>
                </pic:pic>
              </a:graphicData>
            </a:graphic>
          </wp:inline>
        </w:drawing>
      </w:r>
    </w:p>
    <w:p>
      <w:r>
        <w:drawing>
          <wp:inline distT="0" distB="0" distL="0" distR="0">
            <wp:extent cx="5274310" cy="7151370"/>
            <wp:effectExtent l="38100" t="19050" r="21590" b="11233"/>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noChangeArrowheads="1"/>
                    </pic:cNvPicPr>
                  </pic:nvPicPr>
                  <pic:blipFill>
                    <a:blip r:embed="rId44"/>
                    <a:srcRect/>
                    <a:stretch>
                      <a:fillRect/>
                    </a:stretch>
                  </pic:blipFill>
                  <pic:spPr>
                    <a:xfrm>
                      <a:off x="0" y="0"/>
                      <a:ext cx="5274310" cy="7151567"/>
                    </a:xfrm>
                    <a:prstGeom prst="rect">
                      <a:avLst/>
                    </a:prstGeom>
                    <a:noFill/>
                    <a:ln w="9525">
                      <a:solidFill>
                        <a:schemeClr val="tx1"/>
                      </a:solidFill>
                      <a:miter lim="800000"/>
                      <a:headEnd/>
                      <a:tailEnd/>
                    </a:ln>
                  </pic:spPr>
                </pic:pic>
              </a:graphicData>
            </a:graphic>
          </wp:inline>
        </w:drawing>
      </w:r>
    </w:p>
    <w:p>
      <w:r>
        <w:drawing>
          <wp:inline distT="0" distB="0" distL="0" distR="0">
            <wp:extent cx="5274310" cy="7353935"/>
            <wp:effectExtent l="19050" t="19050" r="21590" b="1839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noChangeArrowheads="1"/>
                    </pic:cNvPicPr>
                  </pic:nvPicPr>
                  <pic:blipFill>
                    <a:blip r:embed="rId45"/>
                    <a:srcRect/>
                    <a:stretch>
                      <a:fillRect/>
                    </a:stretch>
                  </pic:blipFill>
                  <pic:spPr>
                    <a:xfrm>
                      <a:off x="0" y="0"/>
                      <a:ext cx="5274310" cy="7353960"/>
                    </a:xfrm>
                    <a:prstGeom prst="rect">
                      <a:avLst/>
                    </a:prstGeom>
                    <a:noFill/>
                    <a:ln w="9525">
                      <a:solidFill>
                        <a:schemeClr val="tx1"/>
                      </a:solidFill>
                      <a:miter lim="800000"/>
                      <a:headEnd/>
                      <a:tailEnd/>
                    </a:ln>
                  </pic:spPr>
                </pic:pic>
              </a:graphicData>
            </a:graphic>
          </wp:inline>
        </w:drawing>
      </w:r>
    </w:p>
    <w:p/>
    <w:p>
      <w:pPr>
        <w:sectPr>
          <w:pgSz w:w="11906" w:h="16838"/>
          <w:pgMar w:top="1440" w:right="1800" w:bottom="1440" w:left="1800" w:header="851" w:footer="992" w:gutter="0"/>
          <w:cols w:space="425" w:num="1"/>
          <w:docGrid w:type="lines" w:linePitch="312" w:charSpace="0"/>
        </w:sectPr>
      </w:pPr>
    </w:p>
    <w:p>
      <w:pPr>
        <w:rPr>
          <w:sz w:val="24"/>
        </w:rPr>
      </w:pPr>
      <w:r>
        <w:rPr>
          <w:sz w:val="24"/>
        </w:rPr>
        <w:t>附件</w:t>
      </w:r>
      <w:r>
        <w:rPr>
          <w:rFonts w:hint="eastAsia"/>
          <w:sz w:val="24"/>
        </w:rPr>
        <w:t>3现状检测报告</w:t>
      </w:r>
    </w:p>
    <w:p>
      <w:r>
        <w:drawing>
          <wp:inline distT="0" distB="0" distL="0" distR="0">
            <wp:extent cx="5486400" cy="7327265"/>
            <wp:effectExtent l="19050" t="19050" r="19050" b="26035"/>
            <wp:docPr id="2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1"/>
                    <pic:cNvPicPr>
                      <a:picLocks noChangeAspect="1" noChangeArrowheads="1"/>
                    </pic:cNvPicPr>
                  </pic:nvPicPr>
                  <pic:blipFill>
                    <a:blip r:embed="rId46"/>
                    <a:srcRect/>
                    <a:stretch>
                      <a:fillRect/>
                    </a:stretch>
                  </pic:blipFill>
                  <pic:spPr>
                    <a:xfrm>
                      <a:off x="0" y="0"/>
                      <a:ext cx="5486400" cy="7327265"/>
                    </a:xfrm>
                    <a:prstGeom prst="rect">
                      <a:avLst/>
                    </a:prstGeom>
                    <a:noFill/>
                    <a:ln w="9525">
                      <a:solidFill>
                        <a:schemeClr val="tx1"/>
                      </a:solidFill>
                      <a:miter lim="800000"/>
                      <a:headEnd/>
                      <a:tailEnd/>
                    </a:ln>
                  </pic:spPr>
                </pic:pic>
              </a:graphicData>
            </a:graphic>
          </wp:inline>
        </w:drawing>
      </w:r>
    </w:p>
    <w:p/>
    <w:p/>
    <w:p/>
    <w:p/>
    <w:p>
      <w:r>
        <w:drawing>
          <wp:inline distT="0" distB="0" distL="0" distR="0">
            <wp:extent cx="5479415" cy="7830820"/>
            <wp:effectExtent l="38100" t="19050" r="25969" b="17344"/>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noChangeArrowheads="1"/>
                    </pic:cNvPicPr>
                  </pic:nvPicPr>
                  <pic:blipFill>
                    <a:blip r:embed="rId47"/>
                    <a:srcRect/>
                    <a:stretch>
                      <a:fillRect/>
                    </a:stretch>
                  </pic:blipFill>
                  <pic:spPr>
                    <a:xfrm>
                      <a:off x="0" y="0"/>
                      <a:ext cx="5476832" cy="7827470"/>
                    </a:xfrm>
                    <a:prstGeom prst="rect">
                      <a:avLst/>
                    </a:prstGeom>
                    <a:noFill/>
                    <a:ln w="9525">
                      <a:solidFill>
                        <a:schemeClr val="tx1"/>
                      </a:solidFill>
                      <a:miter lim="800000"/>
                      <a:headEnd/>
                      <a:tailEnd/>
                    </a:ln>
                  </pic:spPr>
                </pic:pic>
              </a:graphicData>
            </a:graphic>
          </wp:inline>
        </w:drawing>
      </w:r>
    </w:p>
    <w:p/>
    <w:p/>
    <w:p/>
    <w:p>
      <w:r>
        <w:drawing>
          <wp:inline distT="0" distB="0" distL="0" distR="0">
            <wp:extent cx="5485765" cy="7892415"/>
            <wp:effectExtent l="38100" t="19050" r="19548" b="13029"/>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noChangeArrowheads="1"/>
                    </pic:cNvPicPr>
                  </pic:nvPicPr>
                  <pic:blipFill>
                    <a:blip r:embed="rId48"/>
                    <a:srcRect/>
                    <a:stretch>
                      <a:fillRect/>
                    </a:stretch>
                  </pic:blipFill>
                  <pic:spPr>
                    <a:xfrm>
                      <a:off x="0" y="0"/>
                      <a:ext cx="5485648" cy="7892355"/>
                    </a:xfrm>
                    <a:prstGeom prst="rect">
                      <a:avLst/>
                    </a:prstGeom>
                    <a:noFill/>
                    <a:ln w="9525">
                      <a:solidFill>
                        <a:schemeClr val="tx1"/>
                      </a:solidFill>
                      <a:miter lim="800000"/>
                      <a:headEnd/>
                      <a:tailEnd/>
                    </a:ln>
                  </pic:spPr>
                </pic:pic>
              </a:graphicData>
            </a:graphic>
          </wp:inline>
        </w:drawing>
      </w:r>
    </w:p>
    <w:p/>
    <w:p/>
    <w:p>
      <w:r>
        <w:drawing>
          <wp:inline distT="0" distB="0" distL="0" distR="0">
            <wp:extent cx="5507355" cy="7987030"/>
            <wp:effectExtent l="38100" t="19050" r="16824" b="13338"/>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noChangeArrowheads="1"/>
                    </pic:cNvPicPr>
                  </pic:nvPicPr>
                  <pic:blipFill>
                    <a:blip r:embed="rId49"/>
                    <a:srcRect/>
                    <a:stretch>
                      <a:fillRect/>
                    </a:stretch>
                  </pic:blipFill>
                  <pic:spPr>
                    <a:xfrm>
                      <a:off x="0" y="0"/>
                      <a:ext cx="5507158" cy="7986910"/>
                    </a:xfrm>
                    <a:prstGeom prst="rect">
                      <a:avLst/>
                    </a:prstGeom>
                    <a:noFill/>
                    <a:ln w="9525">
                      <a:solidFill>
                        <a:schemeClr val="tx1"/>
                      </a:solidFill>
                      <a:miter lim="800000"/>
                      <a:headEnd/>
                      <a:tailEnd/>
                    </a:ln>
                  </pic:spPr>
                </pic:pic>
              </a:graphicData>
            </a:graphic>
          </wp:inline>
        </w:drawing>
      </w:r>
    </w:p>
    <w:p/>
    <w:p/>
    <w:p>
      <w:r>
        <w:drawing>
          <wp:inline distT="0" distB="0" distL="0" distR="0">
            <wp:extent cx="5578475" cy="8113395"/>
            <wp:effectExtent l="38100" t="19050" r="21772" b="2035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noChangeArrowheads="1"/>
                    </pic:cNvPicPr>
                  </pic:nvPicPr>
                  <pic:blipFill>
                    <a:blip r:embed="rId50"/>
                    <a:srcRect/>
                    <a:stretch>
                      <a:fillRect/>
                    </a:stretch>
                  </pic:blipFill>
                  <pic:spPr>
                    <a:xfrm>
                      <a:off x="0" y="0"/>
                      <a:ext cx="5579476" cy="8114797"/>
                    </a:xfrm>
                    <a:prstGeom prst="rect">
                      <a:avLst/>
                    </a:prstGeom>
                    <a:noFill/>
                    <a:ln w="9525">
                      <a:solidFill>
                        <a:schemeClr val="tx1"/>
                      </a:solidFill>
                      <a:miter lim="800000"/>
                      <a:headEnd/>
                      <a:tailEnd/>
                    </a:ln>
                  </pic:spPr>
                </pic:pic>
              </a:graphicData>
            </a:graphic>
          </wp:inline>
        </w:drawing>
      </w:r>
    </w:p>
    <w:p/>
    <w:p>
      <w:r>
        <w:drawing>
          <wp:inline distT="0" distB="0" distL="0" distR="0">
            <wp:extent cx="5600065" cy="7910195"/>
            <wp:effectExtent l="38100" t="19050" r="19611" b="14377"/>
            <wp:docPr id="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pic:cNvPicPr>
                      <a:picLocks noChangeAspect="1" noChangeArrowheads="1"/>
                    </pic:cNvPicPr>
                  </pic:nvPicPr>
                  <pic:blipFill>
                    <a:blip r:embed="rId51"/>
                    <a:srcRect/>
                    <a:stretch>
                      <a:fillRect/>
                    </a:stretch>
                  </pic:blipFill>
                  <pic:spPr>
                    <a:xfrm>
                      <a:off x="0" y="0"/>
                      <a:ext cx="5602233" cy="7913381"/>
                    </a:xfrm>
                    <a:prstGeom prst="rect">
                      <a:avLst/>
                    </a:prstGeom>
                    <a:noFill/>
                    <a:ln w="9525">
                      <a:solidFill>
                        <a:schemeClr val="tx1"/>
                      </a:solidFill>
                      <a:miter lim="800000"/>
                      <a:headEnd/>
                      <a:tailEnd/>
                    </a:ln>
                  </pic:spPr>
                </pic:pic>
              </a:graphicData>
            </a:graphic>
          </wp:inline>
        </w:drawing>
      </w:r>
    </w:p>
    <w:p/>
    <w:p>
      <w:r>
        <w:drawing>
          <wp:inline distT="0" distB="0" distL="0" distR="0">
            <wp:extent cx="5614035" cy="7976235"/>
            <wp:effectExtent l="38100" t="19050" r="24246" b="24233"/>
            <wp:docPr id="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5"/>
                    <pic:cNvPicPr>
                      <a:picLocks noChangeAspect="1" noChangeArrowheads="1"/>
                    </pic:cNvPicPr>
                  </pic:nvPicPr>
                  <pic:blipFill>
                    <a:blip r:embed="rId52"/>
                    <a:srcRect/>
                    <a:stretch>
                      <a:fillRect/>
                    </a:stretch>
                  </pic:blipFill>
                  <pic:spPr>
                    <a:xfrm>
                      <a:off x="0" y="0"/>
                      <a:ext cx="5616874" cy="7980063"/>
                    </a:xfrm>
                    <a:prstGeom prst="rect">
                      <a:avLst/>
                    </a:prstGeom>
                    <a:noFill/>
                    <a:ln w="9525">
                      <a:solidFill>
                        <a:schemeClr val="tx1"/>
                      </a:solidFill>
                      <a:miter lim="800000"/>
                      <a:headEnd/>
                      <a:tailEnd/>
                    </a:ln>
                  </pic:spPr>
                </pic:pic>
              </a:graphicData>
            </a:graphic>
          </wp:inline>
        </w:drawing>
      </w:r>
    </w:p>
    <w:p/>
    <w:p/>
    <w:p/>
    <w:p>
      <w:r>
        <w:drawing>
          <wp:inline distT="0" distB="0" distL="0" distR="0">
            <wp:extent cx="5561965" cy="8004175"/>
            <wp:effectExtent l="38100" t="19050" r="19298" b="15515"/>
            <wp:docPr id="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pic:cNvPicPr>
                      <a:picLocks noChangeAspect="1" noChangeArrowheads="1"/>
                    </pic:cNvPicPr>
                  </pic:nvPicPr>
                  <pic:blipFill>
                    <a:blip r:embed="rId53"/>
                    <a:srcRect/>
                    <a:stretch>
                      <a:fillRect/>
                    </a:stretch>
                  </pic:blipFill>
                  <pic:spPr>
                    <a:xfrm>
                      <a:off x="0" y="0"/>
                      <a:ext cx="5559155" cy="7999934"/>
                    </a:xfrm>
                    <a:prstGeom prst="rect">
                      <a:avLst/>
                    </a:prstGeom>
                    <a:noFill/>
                    <a:ln w="9525">
                      <a:solidFill>
                        <a:schemeClr val="tx1"/>
                      </a:solidFill>
                      <a:miter lim="800000"/>
                      <a:headEnd/>
                      <a:tailEnd/>
                    </a:ln>
                  </pic:spPr>
                </pic:pic>
              </a:graphicData>
            </a:graphic>
          </wp:inline>
        </w:drawing>
      </w:r>
    </w:p>
    <w:p/>
    <w:p/>
    <w:p/>
    <w:p>
      <w:r>
        <w:drawing>
          <wp:inline distT="0" distB="0" distL="0" distR="0">
            <wp:extent cx="5559425" cy="7920990"/>
            <wp:effectExtent l="38100" t="19050" r="21772" b="22748"/>
            <wp:docPr id="2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4"/>
                    <pic:cNvPicPr>
                      <a:picLocks noChangeAspect="1" noChangeArrowheads="1"/>
                    </pic:cNvPicPr>
                  </pic:nvPicPr>
                  <pic:blipFill>
                    <a:blip r:embed="rId54"/>
                    <a:srcRect/>
                    <a:stretch>
                      <a:fillRect/>
                    </a:stretch>
                  </pic:blipFill>
                  <pic:spPr>
                    <a:xfrm>
                      <a:off x="0" y="0"/>
                      <a:ext cx="5564182" cy="7927234"/>
                    </a:xfrm>
                    <a:prstGeom prst="rect">
                      <a:avLst/>
                    </a:prstGeom>
                    <a:noFill/>
                    <a:ln w="9525">
                      <a:solidFill>
                        <a:schemeClr val="tx1"/>
                      </a:solidFill>
                      <a:miter lim="800000"/>
                      <a:headEnd/>
                      <a:tailEnd/>
                    </a:ln>
                  </pic:spPr>
                </pic:pic>
              </a:graphicData>
            </a:graphic>
          </wp:inline>
        </w:drawing>
      </w:r>
    </w:p>
    <w:p/>
    <w:p/>
    <w:p/>
    <w:p>
      <w:r>
        <w:drawing>
          <wp:inline distT="0" distB="0" distL="0" distR="0">
            <wp:extent cx="5467350" cy="8124825"/>
            <wp:effectExtent l="38100" t="19050" r="19050" b="28508"/>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noChangeArrowheads="1"/>
                    </pic:cNvPicPr>
                  </pic:nvPicPr>
                  <pic:blipFill>
                    <a:blip r:embed="rId55"/>
                    <a:srcRect/>
                    <a:stretch>
                      <a:fillRect/>
                    </a:stretch>
                  </pic:blipFill>
                  <pic:spPr>
                    <a:xfrm>
                      <a:off x="0" y="0"/>
                      <a:ext cx="5466286" cy="8123311"/>
                    </a:xfrm>
                    <a:prstGeom prst="rect">
                      <a:avLst/>
                    </a:prstGeom>
                    <a:noFill/>
                    <a:ln w="9525">
                      <a:solidFill>
                        <a:schemeClr val="tx1"/>
                      </a:solidFill>
                      <a:miter lim="800000"/>
                      <a:headEnd/>
                      <a:tailEnd/>
                    </a:ln>
                  </pic:spPr>
                </pic:pic>
              </a:graphicData>
            </a:graphic>
          </wp:inline>
        </w:drawing>
      </w:r>
    </w:p>
    <w:p/>
    <w:p>
      <w:r>
        <w:drawing>
          <wp:inline distT="0" distB="0" distL="0" distR="0">
            <wp:extent cx="5483860" cy="8023860"/>
            <wp:effectExtent l="19050" t="19050" r="21524" b="14974"/>
            <wp:docPr id="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
                    <pic:cNvPicPr>
                      <a:picLocks noChangeAspect="1" noChangeArrowheads="1"/>
                    </pic:cNvPicPr>
                  </pic:nvPicPr>
                  <pic:blipFill>
                    <a:blip r:embed="rId56"/>
                    <a:srcRect/>
                    <a:stretch>
                      <a:fillRect/>
                    </a:stretch>
                  </pic:blipFill>
                  <pic:spPr>
                    <a:xfrm>
                      <a:off x="0" y="0"/>
                      <a:ext cx="5481063" cy="8019936"/>
                    </a:xfrm>
                    <a:prstGeom prst="rect">
                      <a:avLst/>
                    </a:prstGeom>
                    <a:noFill/>
                    <a:ln w="9525">
                      <a:solidFill>
                        <a:schemeClr val="tx1"/>
                      </a:solidFill>
                      <a:miter lim="800000"/>
                      <a:headEnd/>
                      <a:tailEnd/>
                    </a:ln>
                  </pic:spPr>
                </pic:pic>
              </a:graphicData>
            </a:graphic>
          </wp:inline>
        </w:drawing>
      </w:r>
    </w:p>
    <w:p/>
    <w:p/>
    <w:p/>
    <w:p>
      <w:r>
        <w:drawing>
          <wp:inline distT="0" distB="0" distL="0" distR="0">
            <wp:extent cx="5589905" cy="7842885"/>
            <wp:effectExtent l="19050" t="19050" r="10510" b="24464"/>
            <wp:docPr id="2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7"/>
                    <pic:cNvPicPr>
                      <a:picLocks noChangeAspect="1" noChangeArrowheads="1"/>
                    </pic:cNvPicPr>
                  </pic:nvPicPr>
                  <pic:blipFill>
                    <a:blip r:embed="rId57"/>
                    <a:srcRect/>
                    <a:stretch>
                      <a:fillRect/>
                    </a:stretch>
                  </pic:blipFill>
                  <pic:spPr>
                    <a:xfrm>
                      <a:off x="0" y="0"/>
                      <a:ext cx="5599220" cy="7855856"/>
                    </a:xfrm>
                    <a:prstGeom prst="rect">
                      <a:avLst/>
                    </a:prstGeom>
                    <a:noFill/>
                    <a:ln w="9525">
                      <a:solidFill>
                        <a:schemeClr val="tx1"/>
                      </a:solidFill>
                      <a:miter lim="800000"/>
                      <a:headEnd/>
                      <a:tailEnd/>
                    </a:ln>
                  </pic:spPr>
                </pic:pic>
              </a:graphicData>
            </a:graphic>
          </wp:inline>
        </w:drawing>
      </w:r>
    </w:p>
    <w:p/>
    <w:p/>
    <w:p/>
    <w:p/>
    <w:p>
      <w:pPr>
        <w:sectPr>
          <w:pgSz w:w="11906" w:h="16838"/>
          <w:pgMar w:top="1701" w:right="1531" w:bottom="1701" w:left="1531" w:header="851" w:footer="851" w:gutter="0"/>
          <w:cols w:space="720" w:num="1"/>
          <w:docGrid w:linePitch="312" w:charSpace="0"/>
        </w:sectPr>
      </w:pPr>
    </w:p>
    <w:p>
      <w:r>
        <w:rPr>
          <w:sz w:val="24"/>
        </w:rPr>
        <w:t>附件</w:t>
      </w:r>
      <w:r>
        <w:rPr>
          <w:rFonts w:hint="eastAsia"/>
          <w:sz w:val="24"/>
        </w:rPr>
        <w:t>4生态环境分区管控分析报告</w:t>
      </w:r>
    </w:p>
    <w:p>
      <w:pPr>
        <w:jc w:val="center"/>
      </w:pPr>
      <w:r>
        <w:drawing>
          <wp:inline distT="0" distB="0" distL="0" distR="0">
            <wp:extent cx="7774940" cy="5229225"/>
            <wp:effectExtent l="19050" t="19050" r="16226" b="27956"/>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noChangeArrowheads="1"/>
                    </pic:cNvPicPr>
                  </pic:nvPicPr>
                  <pic:blipFill>
                    <a:blip r:embed="rId58"/>
                    <a:srcRect/>
                    <a:stretch>
                      <a:fillRect/>
                    </a:stretch>
                  </pic:blipFill>
                  <pic:spPr>
                    <a:xfrm>
                      <a:off x="0" y="0"/>
                      <a:ext cx="7775181" cy="5229815"/>
                    </a:xfrm>
                    <a:prstGeom prst="rect">
                      <a:avLst/>
                    </a:prstGeom>
                    <a:noFill/>
                    <a:ln w="9525">
                      <a:solidFill>
                        <a:schemeClr val="tx1"/>
                      </a:solidFill>
                      <a:miter lim="800000"/>
                      <a:headEnd/>
                      <a:tailEnd/>
                    </a:ln>
                  </pic:spPr>
                </pic:pic>
              </a:graphicData>
            </a:graphic>
          </wp:inline>
        </w:drawing>
      </w:r>
    </w:p>
    <w:p>
      <w:pPr>
        <w:jc w:val="center"/>
      </w:pPr>
      <w:r>
        <w:drawing>
          <wp:inline distT="0" distB="0" distL="0" distR="0">
            <wp:extent cx="8155940" cy="5356860"/>
            <wp:effectExtent l="19050" t="19050" r="16491" b="1466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9"/>
                    <a:srcRect/>
                    <a:stretch>
                      <a:fillRect/>
                    </a:stretch>
                  </pic:blipFill>
                  <pic:spPr>
                    <a:xfrm>
                      <a:off x="0" y="0"/>
                      <a:ext cx="8160682" cy="5360542"/>
                    </a:xfrm>
                    <a:prstGeom prst="rect">
                      <a:avLst/>
                    </a:prstGeom>
                    <a:noFill/>
                    <a:ln w="9525">
                      <a:solidFill>
                        <a:schemeClr val="tx1"/>
                      </a:solidFill>
                      <a:miter lim="800000"/>
                      <a:headEnd/>
                      <a:tailEnd/>
                    </a:ln>
                  </pic:spPr>
                </pic:pic>
              </a:graphicData>
            </a:graphic>
          </wp:inline>
        </w:drawing>
      </w:r>
    </w:p>
    <w:p/>
    <w:p>
      <w:pPr>
        <w:jc w:val="center"/>
      </w:pPr>
      <w:r>
        <w:drawing>
          <wp:inline distT="0" distB="0" distL="0" distR="0">
            <wp:extent cx="8330565" cy="4979035"/>
            <wp:effectExtent l="19050" t="19050" r="12747" b="12022"/>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noChangeArrowheads="1"/>
                    </pic:cNvPicPr>
                  </pic:nvPicPr>
                  <pic:blipFill>
                    <a:blip r:embed="rId60"/>
                    <a:srcRect/>
                    <a:stretch>
                      <a:fillRect/>
                    </a:stretch>
                  </pic:blipFill>
                  <pic:spPr>
                    <a:xfrm>
                      <a:off x="0" y="0"/>
                      <a:ext cx="8335996" cy="4981972"/>
                    </a:xfrm>
                    <a:prstGeom prst="rect">
                      <a:avLst/>
                    </a:prstGeom>
                    <a:noFill/>
                    <a:ln w="9525">
                      <a:solidFill>
                        <a:schemeClr val="tx1"/>
                      </a:solidFill>
                      <a:miter lim="800000"/>
                      <a:headEnd/>
                      <a:tailEnd/>
                    </a:ln>
                  </pic:spPr>
                </pic:pic>
              </a:graphicData>
            </a:graphic>
          </wp:inline>
        </w:drawing>
      </w:r>
    </w:p>
    <w:p/>
    <w:p/>
    <w:p/>
    <w:p>
      <w:pPr>
        <w:jc w:val="center"/>
      </w:pPr>
      <w:r>
        <w:drawing>
          <wp:inline distT="0" distB="0" distL="0" distR="0">
            <wp:extent cx="8075295" cy="4544695"/>
            <wp:effectExtent l="19050" t="19050" r="20595" b="26901"/>
            <wp:docPr id="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noChangeArrowheads="1"/>
                    </pic:cNvPicPr>
                  </pic:nvPicPr>
                  <pic:blipFill>
                    <a:blip r:embed="rId61"/>
                    <a:srcRect/>
                    <a:stretch>
                      <a:fillRect/>
                    </a:stretch>
                  </pic:blipFill>
                  <pic:spPr>
                    <a:xfrm>
                      <a:off x="0" y="0"/>
                      <a:ext cx="8085790" cy="4550803"/>
                    </a:xfrm>
                    <a:prstGeom prst="rect">
                      <a:avLst/>
                    </a:prstGeom>
                    <a:noFill/>
                    <a:ln w="9525">
                      <a:solidFill>
                        <a:schemeClr val="tx1"/>
                      </a:solidFill>
                      <a:miter lim="800000"/>
                      <a:headEnd/>
                      <a:tailEnd/>
                    </a:ln>
                  </pic:spPr>
                </pic:pic>
              </a:graphicData>
            </a:graphic>
          </wp:inline>
        </w:drawing>
      </w:r>
    </w:p>
    <w:p/>
    <w:p/>
    <w:p/>
    <w:p/>
    <w:p/>
    <w:p/>
    <w:p>
      <w:pPr>
        <w:jc w:val="center"/>
      </w:pPr>
      <w:r>
        <w:drawing>
          <wp:inline distT="0" distB="0" distL="0" distR="0">
            <wp:extent cx="8285480" cy="4650740"/>
            <wp:effectExtent l="19050" t="19050" r="20036" b="16301"/>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62"/>
                    <a:srcRect/>
                    <a:stretch>
                      <a:fillRect/>
                    </a:stretch>
                  </pic:blipFill>
                  <pic:spPr>
                    <a:xfrm>
                      <a:off x="0" y="0"/>
                      <a:ext cx="8284526" cy="4650254"/>
                    </a:xfrm>
                    <a:prstGeom prst="rect">
                      <a:avLst/>
                    </a:prstGeom>
                    <a:noFill/>
                    <a:ln w="9525">
                      <a:solidFill>
                        <a:schemeClr val="tx1"/>
                      </a:solidFill>
                      <a:miter lim="800000"/>
                      <a:headEnd/>
                      <a:tailEnd/>
                    </a:ln>
                  </pic:spPr>
                </pic:pic>
              </a:graphicData>
            </a:graphic>
          </wp:inline>
        </w:drawing>
      </w:r>
    </w:p>
    <w:p/>
    <w:p/>
    <w:p/>
    <w:p/>
    <w:p/>
    <w:p/>
    <w:p/>
    <w:p>
      <w:r>
        <w:drawing>
          <wp:inline distT="0" distB="0" distL="0" distR="0">
            <wp:extent cx="8672830" cy="5228590"/>
            <wp:effectExtent l="19050" t="19050" r="13574" b="9993"/>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63"/>
                    <a:srcRect/>
                    <a:stretch>
                      <a:fillRect/>
                    </a:stretch>
                  </pic:blipFill>
                  <pic:spPr>
                    <a:xfrm>
                      <a:off x="0" y="0"/>
                      <a:ext cx="8674780" cy="5229694"/>
                    </a:xfrm>
                    <a:prstGeom prst="rect">
                      <a:avLst/>
                    </a:prstGeom>
                    <a:noFill/>
                    <a:ln w="9525">
                      <a:solidFill>
                        <a:schemeClr val="tx1"/>
                      </a:solidFill>
                      <a:miter lim="800000"/>
                      <a:headEnd/>
                      <a:tailEnd/>
                    </a:ln>
                  </pic:spPr>
                </pic:pic>
              </a:graphicData>
            </a:graphic>
          </wp:inline>
        </w:drawing>
      </w:r>
    </w:p>
    <w:p/>
    <w:p/>
    <w:p>
      <w:r>
        <w:drawing>
          <wp:inline distT="0" distB="0" distL="0" distR="0">
            <wp:extent cx="8469630" cy="4765675"/>
            <wp:effectExtent l="19050" t="19050" r="26442" b="15245"/>
            <wp:docPr id="1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5"/>
                    <pic:cNvPicPr>
                      <a:picLocks noChangeAspect="1" noChangeArrowheads="1"/>
                    </pic:cNvPicPr>
                  </pic:nvPicPr>
                  <pic:blipFill>
                    <a:blip r:embed="rId64"/>
                    <a:srcRect/>
                    <a:stretch>
                      <a:fillRect/>
                    </a:stretch>
                  </pic:blipFill>
                  <pic:spPr>
                    <a:xfrm>
                      <a:off x="0" y="0"/>
                      <a:ext cx="8478066" cy="4770924"/>
                    </a:xfrm>
                    <a:prstGeom prst="rect">
                      <a:avLst/>
                    </a:prstGeom>
                    <a:noFill/>
                    <a:ln w="9525">
                      <a:solidFill>
                        <a:schemeClr val="tx1"/>
                      </a:solidFill>
                      <a:miter lim="800000"/>
                      <a:headEnd/>
                      <a:tailEnd/>
                    </a:ln>
                  </pic:spPr>
                </pic:pic>
              </a:graphicData>
            </a:graphic>
          </wp:inline>
        </w:drawing>
      </w:r>
    </w:p>
    <w:p/>
    <w:p/>
    <w:p/>
    <w:p/>
    <w:p>
      <w:pPr>
        <w:jc w:val="center"/>
      </w:pPr>
      <w:r>
        <w:drawing>
          <wp:inline distT="0" distB="0" distL="0" distR="0">
            <wp:extent cx="7369175" cy="4555490"/>
            <wp:effectExtent l="19050" t="0" r="297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5"/>
                    <a:srcRect/>
                    <a:stretch>
                      <a:fillRect/>
                    </a:stretch>
                  </pic:blipFill>
                  <pic:spPr>
                    <a:xfrm>
                      <a:off x="0" y="0"/>
                      <a:ext cx="7370076" cy="4556160"/>
                    </a:xfrm>
                    <a:prstGeom prst="rect">
                      <a:avLst/>
                    </a:prstGeom>
                    <a:noFill/>
                    <a:ln w="9525">
                      <a:noFill/>
                      <a:miter lim="800000"/>
                      <a:headEnd/>
                      <a:tailEnd/>
                    </a:ln>
                  </pic:spPr>
                </pic:pic>
              </a:graphicData>
            </a:graphic>
          </wp:inline>
        </w:drawing>
      </w:r>
    </w:p>
    <w:p>
      <w:pPr>
        <w:jc w:val="center"/>
      </w:pPr>
      <w:r>
        <w:drawing>
          <wp:inline distT="0" distB="0" distL="0" distR="0">
            <wp:extent cx="7241540" cy="955675"/>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66"/>
                    <a:srcRect/>
                    <a:stretch>
                      <a:fillRect/>
                    </a:stretch>
                  </pic:blipFill>
                  <pic:spPr>
                    <a:xfrm>
                      <a:off x="0" y="0"/>
                      <a:ext cx="7247946" cy="956751"/>
                    </a:xfrm>
                    <a:prstGeom prst="rect">
                      <a:avLst/>
                    </a:prstGeom>
                    <a:noFill/>
                    <a:ln w="9525">
                      <a:noFill/>
                      <a:miter lim="800000"/>
                      <a:headEnd/>
                      <a:tailEnd/>
                    </a:ln>
                  </pic:spPr>
                </pic:pic>
              </a:graphicData>
            </a:graphic>
          </wp:inline>
        </w:drawing>
      </w:r>
    </w:p>
    <w:p>
      <w:r>
        <w:drawing>
          <wp:inline distT="0" distB="0" distL="0" distR="0">
            <wp:extent cx="8333105" cy="4482465"/>
            <wp:effectExtent l="19050" t="19050" r="10520" b="12711"/>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67"/>
                    <a:srcRect/>
                    <a:stretch>
                      <a:fillRect/>
                    </a:stretch>
                  </pic:blipFill>
                  <pic:spPr>
                    <a:xfrm>
                      <a:off x="0" y="0"/>
                      <a:ext cx="8339193" cy="4486216"/>
                    </a:xfrm>
                    <a:prstGeom prst="rect">
                      <a:avLst/>
                    </a:prstGeom>
                    <a:noFill/>
                    <a:ln w="9525">
                      <a:solidFill>
                        <a:schemeClr val="tx1"/>
                      </a:solidFill>
                      <a:miter lim="800000"/>
                      <a:headEnd/>
                      <a:tailEnd/>
                    </a:ln>
                  </pic:spPr>
                </pic:pic>
              </a:graphicData>
            </a:graphic>
          </wp:inline>
        </w:drawing>
      </w:r>
    </w:p>
    <w:p/>
    <w:p/>
    <w:p/>
    <w:p/>
    <w:p/>
    <w:p/>
    <w:p/>
    <w:p>
      <w:pPr>
        <w:rPr>
          <w:sz w:val="24"/>
        </w:rPr>
      </w:pPr>
      <w:r>
        <w:rPr>
          <w:rFonts w:hint="eastAsia"/>
          <w:sz w:val="24"/>
        </w:rPr>
        <w:t>附件5公示截图</w:t>
      </w:r>
    </w:p>
    <w:p>
      <w:pPr>
        <w:jc w:val="center"/>
        <w:rPr>
          <w:sz w:val="24"/>
        </w:rPr>
        <w:sectPr>
          <w:pgSz w:w="16838" w:h="11906" w:orient="landscape"/>
          <w:pgMar w:top="1531" w:right="1701" w:bottom="1531" w:left="1701" w:header="851" w:footer="851" w:gutter="0"/>
          <w:cols w:space="720" w:num="1"/>
          <w:docGrid w:linePitch="312" w:charSpace="0"/>
        </w:sectPr>
      </w:pPr>
      <w:r>
        <w:rPr>
          <w:sz w:val="24"/>
        </w:rPr>
        <w:drawing>
          <wp:inline distT="0" distB="0" distL="0" distR="0">
            <wp:extent cx="7763510" cy="5336540"/>
            <wp:effectExtent l="19050" t="19050" r="27690" b="16328"/>
            <wp:docPr id="2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
                    <pic:cNvPicPr>
                      <a:picLocks noChangeAspect="1" noChangeArrowheads="1"/>
                    </pic:cNvPicPr>
                  </pic:nvPicPr>
                  <pic:blipFill>
                    <a:blip r:embed="rId68"/>
                    <a:srcRect/>
                    <a:stretch>
                      <a:fillRect/>
                    </a:stretch>
                  </pic:blipFill>
                  <pic:spPr>
                    <a:xfrm>
                      <a:off x="0" y="0"/>
                      <a:ext cx="7774085" cy="5343820"/>
                    </a:xfrm>
                    <a:prstGeom prst="rect">
                      <a:avLst/>
                    </a:prstGeom>
                    <a:noFill/>
                    <a:ln w="9525">
                      <a:solidFill>
                        <a:schemeClr val="tx1"/>
                      </a:solidFill>
                      <a:miter lim="800000"/>
                      <a:headEnd/>
                      <a:tailEnd/>
                    </a:ln>
                  </pic:spPr>
                </pic:pic>
              </a:graphicData>
            </a:graphic>
          </wp:inline>
        </w:drawing>
      </w:r>
    </w:p>
    <w:p>
      <w:pPr>
        <w:spacing w:line="360" w:lineRule="auto"/>
        <w:contextualSpacing/>
        <w:rPr>
          <w:rFonts w:eastAsiaTheme="minorEastAsia"/>
          <w:sz w:val="24"/>
        </w:rPr>
      </w:pPr>
      <w:r>
        <w:rPr>
          <w:rFonts w:hint="eastAsia" w:eastAsiaTheme="minorEastAsia"/>
          <w:sz w:val="24"/>
        </w:rPr>
        <w:t>附件6污水处理协议</w:t>
      </w:r>
    </w:p>
    <w:p>
      <w:pPr>
        <w:jc w:val="center"/>
        <w:rPr>
          <w:sz w:val="24"/>
        </w:rPr>
      </w:pPr>
      <w:r>
        <w:rPr>
          <w:sz w:val="24"/>
        </w:rPr>
        <w:drawing>
          <wp:inline distT="0" distB="0" distL="0" distR="0">
            <wp:extent cx="5243195" cy="7567930"/>
            <wp:effectExtent l="19050" t="19050" r="14217" b="13821"/>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noChangeArrowheads="1"/>
                    </pic:cNvPicPr>
                  </pic:nvPicPr>
                  <pic:blipFill>
                    <a:blip r:embed="rId69"/>
                    <a:srcRect/>
                    <a:stretch>
                      <a:fillRect/>
                    </a:stretch>
                  </pic:blipFill>
                  <pic:spPr>
                    <a:xfrm>
                      <a:off x="0" y="0"/>
                      <a:ext cx="5248536" cy="7575228"/>
                    </a:xfrm>
                    <a:prstGeom prst="rect">
                      <a:avLst/>
                    </a:prstGeom>
                    <a:noFill/>
                    <a:ln w="9525">
                      <a:solidFill>
                        <a:schemeClr val="tx1"/>
                      </a:solidFill>
                      <a:miter lim="800000"/>
                      <a:headEnd/>
                      <a:tailEnd/>
                    </a:ln>
                  </pic:spPr>
                </pic:pic>
              </a:graphicData>
            </a:graphic>
          </wp:inline>
        </w:drawing>
      </w:r>
    </w:p>
    <w:p>
      <w:pPr>
        <w:jc w:val="center"/>
        <w:rPr>
          <w:sz w:val="24"/>
        </w:rPr>
      </w:pPr>
      <w:r>
        <w:rPr>
          <w:sz w:val="24"/>
        </w:rPr>
        <w:drawing>
          <wp:inline distT="0" distB="0" distL="0" distR="0">
            <wp:extent cx="5241925" cy="7367905"/>
            <wp:effectExtent l="19050" t="19050" r="15836" b="23060"/>
            <wp:docPr id="2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1"/>
                    <pic:cNvPicPr>
                      <a:picLocks noChangeAspect="1" noChangeArrowheads="1"/>
                    </pic:cNvPicPr>
                  </pic:nvPicPr>
                  <pic:blipFill>
                    <a:blip r:embed="rId70"/>
                    <a:srcRect/>
                    <a:stretch>
                      <a:fillRect/>
                    </a:stretch>
                  </pic:blipFill>
                  <pic:spPr>
                    <a:xfrm>
                      <a:off x="0" y="0"/>
                      <a:ext cx="5251663" cy="7381973"/>
                    </a:xfrm>
                    <a:prstGeom prst="rect">
                      <a:avLst/>
                    </a:prstGeom>
                    <a:noFill/>
                    <a:ln w="9525">
                      <a:solidFill>
                        <a:schemeClr val="tx1"/>
                      </a:solidFill>
                      <a:miter lim="800000"/>
                      <a:headEnd/>
                      <a:tailEnd/>
                    </a:ln>
                  </pic:spPr>
                </pic:pic>
              </a:graphicData>
            </a:graphic>
          </wp:inline>
        </w:drawing>
      </w:r>
    </w:p>
    <w:p>
      <w:pPr>
        <w:jc w:val="center"/>
        <w:rPr>
          <w:sz w:val="24"/>
        </w:rPr>
      </w:pPr>
      <w:r>
        <w:rPr>
          <w:sz w:val="24"/>
        </w:rPr>
        <w:drawing>
          <wp:inline distT="0" distB="0" distL="0" distR="0">
            <wp:extent cx="5290185" cy="7225030"/>
            <wp:effectExtent l="38100" t="19050" r="24305" b="13435"/>
            <wp:docPr id="2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4"/>
                    <pic:cNvPicPr>
                      <a:picLocks noChangeAspect="1" noChangeArrowheads="1"/>
                    </pic:cNvPicPr>
                  </pic:nvPicPr>
                  <pic:blipFill>
                    <a:blip r:embed="rId71"/>
                    <a:srcRect/>
                    <a:stretch>
                      <a:fillRect/>
                    </a:stretch>
                  </pic:blipFill>
                  <pic:spPr>
                    <a:xfrm>
                      <a:off x="0" y="0"/>
                      <a:ext cx="5297173" cy="7234481"/>
                    </a:xfrm>
                    <a:prstGeom prst="rect">
                      <a:avLst/>
                    </a:prstGeom>
                    <a:noFill/>
                    <a:ln w="9525">
                      <a:solidFill>
                        <a:schemeClr val="tx1"/>
                      </a:solidFill>
                      <a:miter lim="800000"/>
                      <a:headEnd/>
                      <a:tailEnd/>
                    </a:ln>
                  </pic:spPr>
                </pic:pic>
              </a:graphicData>
            </a:graphic>
          </wp:inline>
        </w:drawing>
      </w: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Cambria Math">
    <w:panose1 w:val="02040503050406030204"/>
    <w:charset w:val="00"/>
    <w:family w:val="roman"/>
    <w:pitch w:val="default"/>
    <w:sig w:usb0="E00002FF" w:usb1="420024FF" w:usb2="00000000" w:usb3="00000000" w:csb0="2000019F" w:csb1="00000000"/>
  </w:font>
  <w:font w:name="仿宋">
    <w:panose1 w:val="02010609060101010101"/>
    <w:charset w:val="86"/>
    <w:family w:val="modern"/>
    <w:pitch w:val="default"/>
    <w:sig w:usb0="800002BF" w:usb1="38CF7CFA" w:usb2="00000016" w:usb3="00000000" w:csb0="00040001" w:csb1="00000000"/>
  </w:font>
  <w:font w:name="MS Mincho">
    <w:panose1 w:val="02020609040205080304"/>
    <w:charset w:val="80"/>
    <w:family w:val="modern"/>
    <w:pitch w:val="default"/>
    <w:sig w:usb0="E00002FF" w:usb1="6AC7FDFB" w:usb2="00000012" w:usb3="00000000" w:csb0="4002009F" w:csb1="DFD70000"/>
  </w:font>
  <w:font w:name="Wingdings 2">
    <w:panose1 w:val="05020102010507070707"/>
    <w:charset w:val="02"/>
    <w:family w:val="roman"/>
    <w:pitch w:val="default"/>
    <w:sig w:usb0="00000000" w:usb1="00000000" w:usb2="00000000" w:usb3="00000000" w:csb0="80000000" w:csb1="00000000"/>
  </w:font>
  <w:font w:name="Arial">
    <w:panose1 w:val="020B0604020202020204"/>
    <w:charset w:val="00"/>
    <w:family w:val="auto"/>
    <w:pitch w:val="default"/>
    <w:sig w:usb0="E0002AFF" w:usb1="C0007843" w:usb2="00000009" w:usb3="00000000" w:csb0="400001FF" w:csb1="FFFF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8"/>
      </w:rPr>
    </w:pPr>
    <w:r>
      <w:fldChar w:fldCharType="begin"/>
    </w:r>
    <w:r>
      <w:rPr>
        <w:rStyle w:val="18"/>
      </w:rPr>
      <w:instrText xml:space="preserve">PAGE  </w:instrText>
    </w:r>
    <w:r>
      <w:fldChar w:fldCharType="end"/>
    </w:r>
  </w:p>
  <w:p>
    <w:pPr>
      <w:pStyle w:val="1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p>
    <w:pPr>
      <w:pStyle w:val="12"/>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4324876"/>
    </w:sdtPr>
    <w:sdtContent>
      <w:p>
        <w:pPr>
          <w:pStyle w:val="12"/>
          <w:jc w:val="center"/>
        </w:pPr>
        <w:r>
          <w:fldChar w:fldCharType="begin"/>
        </w:r>
        <w:r>
          <w:instrText xml:space="preserve"> PAGE   \* MERGEFORMAT </w:instrText>
        </w:r>
        <w:r>
          <w:fldChar w:fldCharType="separate"/>
        </w:r>
        <w:r>
          <w:rPr>
            <w:lang w:val="zh-CN"/>
          </w:rPr>
          <w:t>79</w:t>
        </w:r>
        <w:r>
          <w:rPr>
            <w:lang w:val="zh-C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bordersDoNotSurroundHeader w:val="1"/>
  <w:bordersDoNotSurroundFooter w:val="1"/>
  <w:hideSpellingErrors/>
  <w:attachedTemplate r:id="rId1"/>
  <w:documentProtection w:edit="trackedChanges" w:enforcement="0"/>
  <w:defaultTabStop w:val="420"/>
  <w:doNotHyphenateCaps/>
  <w:drawingGridHorizontalSpacing w:val="105"/>
  <w:drawingGridVerticalSpacing w:val="319"/>
  <w:displayHorizontalDrawingGridEvery w:val="0"/>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4947"/>
    <w:rsid w:val="000015B5"/>
    <w:rsid w:val="000016C7"/>
    <w:rsid w:val="00001E50"/>
    <w:rsid w:val="0000318D"/>
    <w:rsid w:val="000031D3"/>
    <w:rsid w:val="00003337"/>
    <w:rsid w:val="00004174"/>
    <w:rsid w:val="00004AB6"/>
    <w:rsid w:val="00005602"/>
    <w:rsid w:val="00005E7A"/>
    <w:rsid w:val="000060B3"/>
    <w:rsid w:val="000062A2"/>
    <w:rsid w:val="00007D50"/>
    <w:rsid w:val="0001018D"/>
    <w:rsid w:val="000106DC"/>
    <w:rsid w:val="00010892"/>
    <w:rsid w:val="000110F4"/>
    <w:rsid w:val="0001116B"/>
    <w:rsid w:val="00011836"/>
    <w:rsid w:val="00013806"/>
    <w:rsid w:val="000153D7"/>
    <w:rsid w:val="00017267"/>
    <w:rsid w:val="000174E4"/>
    <w:rsid w:val="000176B2"/>
    <w:rsid w:val="00017AA1"/>
    <w:rsid w:val="00017F35"/>
    <w:rsid w:val="0002070F"/>
    <w:rsid w:val="00022F92"/>
    <w:rsid w:val="000233AA"/>
    <w:rsid w:val="00023988"/>
    <w:rsid w:val="00024768"/>
    <w:rsid w:val="00024B51"/>
    <w:rsid w:val="00025007"/>
    <w:rsid w:val="00026801"/>
    <w:rsid w:val="00026D7D"/>
    <w:rsid w:val="00027538"/>
    <w:rsid w:val="00030DF8"/>
    <w:rsid w:val="00030E4B"/>
    <w:rsid w:val="000314EB"/>
    <w:rsid w:val="00033703"/>
    <w:rsid w:val="00033C2D"/>
    <w:rsid w:val="00034753"/>
    <w:rsid w:val="000348EF"/>
    <w:rsid w:val="00034DFD"/>
    <w:rsid w:val="00035BAC"/>
    <w:rsid w:val="000379C4"/>
    <w:rsid w:val="00037BC5"/>
    <w:rsid w:val="0004084C"/>
    <w:rsid w:val="000434CE"/>
    <w:rsid w:val="0004364B"/>
    <w:rsid w:val="00043A7D"/>
    <w:rsid w:val="00043B96"/>
    <w:rsid w:val="00043C7A"/>
    <w:rsid w:val="000466A4"/>
    <w:rsid w:val="000470C2"/>
    <w:rsid w:val="00047209"/>
    <w:rsid w:val="0004743C"/>
    <w:rsid w:val="0005062B"/>
    <w:rsid w:val="00050B7A"/>
    <w:rsid w:val="0005188E"/>
    <w:rsid w:val="000518A5"/>
    <w:rsid w:val="00051AFC"/>
    <w:rsid w:val="00052070"/>
    <w:rsid w:val="00052117"/>
    <w:rsid w:val="000523E7"/>
    <w:rsid w:val="000533D2"/>
    <w:rsid w:val="00054A51"/>
    <w:rsid w:val="00054B90"/>
    <w:rsid w:val="00055196"/>
    <w:rsid w:val="00055C7A"/>
    <w:rsid w:val="00055FF4"/>
    <w:rsid w:val="00056889"/>
    <w:rsid w:val="00057B77"/>
    <w:rsid w:val="00061AE7"/>
    <w:rsid w:val="00061B1F"/>
    <w:rsid w:val="00061DD6"/>
    <w:rsid w:val="00061E2F"/>
    <w:rsid w:val="00062042"/>
    <w:rsid w:val="00062698"/>
    <w:rsid w:val="000632F6"/>
    <w:rsid w:val="00063DE2"/>
    <w:rsid w:val="00063DFB"/>
    <w:rsid w:val="000649D2"/>
    <w:rsid w:val="0006570F"/>
    <w:rsid w:val="00066F68"/>
    <w:rsid w:val="0006736B"/>
    <w:rsid w:val="0006740E"/>
    <w:rsid w:val="000674F8"/>
    <w:rsid w:val="00070817"/>
    <w:rsid w:val="00071421"/>
    <w:rsid w:val="00073229"/>
    <w:rsid w:val="000733C4"/>
    <w:rsid w:val="00073C01"/>
    <w:rsid w:val="000746CA"/>
    <w:rsid w:val="00074783"/>
    <w:rsid w:val="00074D0A"/>
    <w:rsid w:val="00076B8B"/>
    <w:rsid w:val="000772EA"/>
    <w:rsid w:val="00077AB3"/>
    <w:rsid w:val="00077F74"/>
    <w:rsid w:val="0008070B"/>
    <w:rsid w:val="00080C83"/>
    <w:rsid w:val="000810AC"/>
    <w:rsid w:val="00081367"/>
    <w:rsid w:val="00081A02"/>
    <w:rsid w:val="00081D13"/>
    <w:rsid w:val="00081E1D"/>
    <w:rsid w:val="00082231"/>
    <w:rsid w:val="00082F11"/>
    <w:rsid w:val="00084700"/>
    <w:rsid w:val="000849E6"/>
    <w:rsid w:val="00084AC0"/>
    <w:rsid w:val="00084C05"/>
    <w:rsid w:val="00084CCD"/>
    <w:rsid w:val="0008533C"/>
    <w:rsid w:val="00085552"/>
    <w:rsid w:val="000855DB"/>
    <w:rsid w:val="00085D80"/>
    <w:rsid w:val="00086B96"/>
    <w:rsid w:val="000872DD"/>
    <w:rsid w:val="00087501"/>
    <w:rsid w:val="000916B0"/>
    <w:rsid w:val="00092D38"/>
    <w:rsid w:val="000932D8"/>
    <w:rsid w:val="0009377B"/>
    <w:rsid w:val="000943DF"/>
    <w:rsid w:val="0009492E"/>
    <w:rsid w:val="00094F50"/>
    <w:rsid w:val="0009530C"/>
    <w:rsid w:val="00095EC8"/>
    <w:rsid w:val="000961F0"/>
    <w:rsid w:val="00097F36"/>
    <w:rsid w:val="000A0FB2"/>
    <w:rsid w:val="000A1922"/>
    <w:rsid w:val="000A1E64"/>
    <w:rsid w:val="000A20C9"/>
    <w:rsid w:val="000A3A60"/>
    <w:rsid w:val="000A4A12"/>
    <w:rsid w:val="000A5851"/>
    <w:rsid w:val="000A7FE7"/>
    <w:rsid w:val="000B058F"/>
    <w:rsid w:val="000B28AC"/>
    <w:rsid w:val="000B29F1"/>
    <w:rsid w:val="000B2BFE"/>
    <w:rsid w:val="000B2D9B"/>
    <w:rsid w:val="000B3517"/>
    <w:rsid w:val="000B3FA6"/>
    <w:rsid w:val="000B4467"/>
    <w:rsid w:val="000B446A"/>
    <w:rsid w:val="000B463E"/>
    <w:rsid w:val="000B46BE"/>
    <w:rsid w:val="000B4A50"/>
    <w:rsid w:val="000B4DB9"/>
    <w:rsid w:val="000B4F43"/>
    <w:rsid w:val="000B4F8C"/>
    <w:rsid w:val="000B540D"/>
    <w:rsid w:val="000B6297"/>
    <w:rsid w:val="000B6740"/>
    <w:rsid w:val="000B722D"/>
    <w:rsid w:val="000B75ED"/>
    <w:rsid w:val="000C0917"/>
    <w:rsid w:val="000C09AC"/>
    <w:rsid w:val="000C25D4"/>
    <w:rsid w:val="000C29BB"/>
    <w:rsid w:val="000C4CF9"/>
    <w:rsid w:val="000C52EB"/>
    <w:rsid w:val="000C637C"/>
    <w:rsid w:val="000C68E5"/>
    <w:rsid w:val="000C6B81"/>
    <w:rsid w:val="000C6BB5"/>
    <w:rsid w:val="000C6D05"/>
    <w:rsid w:val="000C767F"/>
    <w:rsid w:val="000D09AF"/>
    <w:rsid w:val="000D0F41"/>
    <w:rsid w:val="000D2424"/>
    <w:rsid w:val="000D2492"/>
    <w:rsid w:val="000D2E91"/>
    <w:rsid w:val="000D32A6"/>
    <w:rsid w:val="000D3673"/>
    <w:rsid w:val="000D5A44"/>
    <w:rsid w:val="000D674A"/>
    <w:rsid w:val="000E0098"/>
    <w:rsid w:val="000E09AC"/>
    <w:rsid w:val="000E165D"/>
    <w:rsid w:val="000E16D0"/>
    <w:rsid w:val="000E184C"/>
    <w:rsid w:val="000E2351"/>
    <w:rsid w:val="000E2981"/>
    <w:rsid w:val="000E3ED2"/>
    <w:rsid w:val="000E588A"/>
    <w:rsid w:val="000E61C1"/>
    <w:rsid w:val="000F01A8"/>
    <w:rsid w:val="000F0551"/>
    <w:rsid w:val="000F0A9A"/>
    <w:rsid w:val="000F2362"/>
    <w:rsid w:val="000F32C8"/>
    <w:rsid w:val="000F46A5"/>
    <w:rsid w:val="000F4EB5"/>
    <w:rsid w:val="000F50E7"/>
    <w:rsid w:val="000F5585"/>
    <w:rsid w:val="000F5AC6"/>
    <w:rsid w:val="000F7DFE"/>
    <w:rsid w:val="0010098A"/>
    <w:rsid w:val="00100FC2"/>
    <w:rsid w:val="00101306"/>
    <w:rsid w:val="0010189C"/>
    <w:rsid w:val="00101F72"/>
    <w:rsid w:val="00102EC0"/>
    <w:rsid w:val="0010384D"/>
    <w:rsid w:val="00105DCC"/>
    <w:rsid w:val="0010784D"/>
    <w:rsid w:val="0011209E"/>
    <w:rsid w:val="001121B4"/>
    <w:rsid w:val="001131D7"/>
    <w:rsid w:val="00113E03"/>
    <w:rsid w:val="00114D12"/>
    <w:rsid w:val="001155F1"/>
    <w:rsid w:val="001159B5"/>
    <w:rsid w:val="001160EE"/>
    <w:rsid w:val="001161C3"/>
    <w:rsid w:val="0012041D"/>
    <w:rsid w:val="001207E6"/>
    <w:rsid w:val="00120B30"/>
    <w:rsid w:val="00121B35"/>
    <w:rsid w:val="0012337D"/>
    <w:rsid w:val="0012337F"/>
    <w:rsid w:val="00124193"/>
    <w:rsid w:val="0012422E"/>
    <w:rsid w:val="0012439D"/>
    <w:rsid w:val="001245AB"/>
    <w:rsid w:val="001251CA"/>
    <w:rsid w:val="001258A3"/>
    <w:rsid w:val="00125C70"/>
    <w:rsid w:val="00125D06"/>
    <w:rsid w:val="00125E25"/>
    <w:rsid w:val="00125EA3"/>
    <w:rsid w:val="00126B93"/>
    <w:rsid w:val="001272AC"/>
    <w:rsid w:val="001273FC"/>
    <w:rsid w:val="001274FF"/>
    <w:rsid w:val="0012765D"/>
    <w:rsid w:val="0013076A"/>
    <w:rsid w:val="00131A89"/>
    <w:rsid w:val="00131F42"/>
    <w:rsid w:val="0013416B"/>
    <w:rsid w:val="001344E3"/>
    <w:rsid w:val="00135313"/>
    <w:rsid w:val="001357F1"/>
    <w:rsid w:val="00135D69"/>
    <w:rsid w:val="00135E80"/>
    <w:rsid w:val="001360DC"/>
    <w:rsid w:val="00136436"/>
    <w:rsid w:val="00136CA4"/>
    <w:rsid w:val="00137A2E"/>
    <w:rsid w:val="00140BC0"/>
    <w:rsid w:val="00140FA8"/>
    <w:rsid w:val="0014109E"/>
    <w:rsid w:val="00141771"/>
    <w:rsid w:val="00142208"/>
    <w:rsid w:val="00142FEB"/>
    <w:rsid w:val="00143048"/>
    <w:rsid w:val="0014311D"/>
    <w:rsid w:val="00143557"/>
    <w:rsid w:val="00143766"/>
    <w:rsid w:val="001439D7"/>
    <w:rsid w:val="00143A2D"/>
    <w:rsid w:val="00143EF5"/>
    <w:rsid w:val="001445A5"/>
    <w:rsid w:val="00144860"/>
    <w:rsid w:val="00145031"/>
    <w:rsid w:val="00145A41"/>
    <w:rsid w:val="00145B1B"/>
    <w:rsid w:val="001469F8"/>
    <w:rsid w:val="00150BC1"/>
    <w:rsid w:val="00150D6D"/>
    <w:rsid w:val="001515F3"/>
    <w:rsid w:val="00151636"/>
    <w:rsid w:val="00151675"/>
    <w:rsid w:val="001528DE"/>
    <w:rsid w:val="001528E4"/>
    <w:rsid w:val="00152A50"/>
    <w:rsid w:val="001535D6"/>
    <w:rsid w:val="00154650"/>
    <w:rsid w:val="00155ABE"/>
    <w:rsid w:val="00155B7E"/>
    <w:rsid w:val="00155C42"/>
    <w:rsid w:val="00155FE4"/>
    <w:rsid w:val="00157435"/>
    <w:rsid w:val="001576B3"/>
    <w:rsid w:val="00161BD3"/>
    <w:rsid w:val="00163B99"/>
    <w:rsid w:val="00163CBC"/>
    <w:rsid w:val="00164581"/>
    <w:rsid w:val="00165B36"/>
    <w:rsid w:val="00165E22"/>
    <w:rsid w:val="00167E58"/>
    <w:rsid w:val="00170654"/>
    <w:rsid w:val="001710C3"/>
    <w:rsid w:val="00172205"/>
    <w:rsid w:val="00172904"/>
    <w:rsid w:val="00172D88"/>
    <w:rsid w:val="00173855"/>
    <w:rsid w:val="00173EE0"/>
    <w:rsid w:val="001744FC"/>
    <w:rsid w:val="00174846"/>
    <w:rsid w:val="0017504D"/>
    <w:rsid w:val="00175ACE"/>
    <w:rsid w:val="00175B5D"/>
    <w:rsid w:val="00176348"/>
    <w:rsid w:val="00176588"/>
    <w:rsid w:val="0017671A"/>
    <w:rsid w:val="00177422"/>
    <w:rsid w:val="00177B07"/>
    <w:rsid w:val="00180602"/>
    <w:rsid w:val="00180C35"/>
    <w:rsid w:val="0018190C"/>
    <w:rsid w:val="0018263D"/>
    <w:rsid w:val="00182763"/>
    <w:rsid w:val="00182AE8"/>
    <w:rsid w:val="00182CC4"/>
    <w:rsid w:val="001834AC"/>
    <w:rsid w:val="00183769"/>
    <w:rsid w:val="00184590"/>
    <w:rsid w:val="00184832"/>
    <w:rsid w:val="00185E17"/>
    <w:rsid w:val="001870D1"/>
    <w:rsid w:val="0018781E"/>
    <w:rsid w:val="00190B8D"/>
    <w:rsid w:val="00192555"/>
    <w:rsid w:val="0019262D"/>
    <w:rsid w:val="00192843"/>
    <w:rsid w:val="0019330A"/>
    <w:rsid w:val="00193FD3"/>
    <w:rsid w:val="00194282"/>
    <w:rsid w:val="00194346"/>
    <w:rsid w:val="001944BC"/>
    <w:rsid w:val="00194A21"/>
    <w:rsid w:val="001959AF"/>
    <w:rsid w:val="00195A26"/>
    <w:rsid w:val="001A02CA"/>
    <w:rsid w:val="001A10D5"/>
    <w:rsid w:val="001A14DD"/>
    <w:rsid w:val="001A1961"/>
    <w:rsid w:val="001A1B35"/>
    <w:rsid w:val="001A1E64"/>
    <w:rsid w:val="001A1F27"/>
    <w:rsid w:val="001A2A61"/>
    <w:rsid w:val="001A2BBF"/>
    <w:rsid w:val="001A48A2"/>
    <w:rsid w:val="001A56FF"/>
    <w:rsid w:val="001A65A5"/>
    <w:rsid w:val="001A666A"/>
    <w:rsid w:val="001A6942"/>
    <w:rsid w:val="001A6F61"/>
    <w:rsid w:val="001A7570"/>
    <w:rsid w:val="001B01D4"/>
    <w:rsid w:val="001B2119"/>
    <w:rsid w:val="001B2C82"/>
    <w:rsid w:val="001B3B20"/>
    <w:rsid w:val="001B3E8F"/>
    <w:rsid w:val="001B482A"/>
    <w:rsid w:val="001B53F1"/>
    <w:rsid w:val="001B57B6"/>
    <w:rsid w:val="001B5B79"/>
    <w:rsid w:val="001B5F68"/>
    <w:rsid w:val="001B647E"/>
    <w:rsid w:val="001B72B8"/>
    <w:rsid w:val="001B77AC"/>
    <w:rsid w:val="001B7E50"/>
    <w:rsid w:val="001C061D"/>
    <w:rsid w:val="001C0A99"/>
    <w:rsid w:val="001C1338"/>
    <w:rsid w:val="001C27BF"/>
    <w:rsid w:val="001C2F59"/>
    <w:rsid w:val="001C3377"/>
    <w:rsid w:val="001C5B40"/>
    <w:rsid w:val="001C69B3"/>
    <w:rsid w:val="001C6B3A"/>
    <w:rsid w:val="001C6E63"/>
    <w:rsid w:val="001C77F9"/>
    <w:rsid w:val="001C7809"/>
    <w:rsid w:val="001D001F"/>
    <w:rsid w:val="001D0D99"/>
    <w:rsid w:val="001D1A19"/>
    <w:rsid w:val="001D2AC4"/>
    <w:rsid w:val="001D2EDA"/>
    <w:rsid w:val="001D37E0"/>
    <w:rsid w:val="001D411C"/>
    <w:rsid w:val="001D4B0D"/>
    <w:rsid w:val="001D4D4E"/>
    <w:rsid w:val="001D538A"/>
    <w:rsid w:val="001D5595"/>
    <w:rsid w:val="001D6159"/>
    <w:rsid w:val="001D63CE"/>
    <w:rsid w:val="001D6A1E"/>
    <w:rsid w:val="001D7874"/>
    <w:rsid w:val="001D78A9"/>
    <w:rsid w:val="001D7F22"/>
    <w:rsid w:val="001D7F7A"/>
    <w:rsid w:val="001E0296"/>
    <w:rsid w:val="001E1689"/>
    <w:rsid w:val="001E1C19"/>
    <w:rsid w:val="001E25AA"/>
    <w:rsid w:val="001E274E"/>
    <w:rsid w:val="001E3EF5"/>
    <w:rsid w:val="001E581E"/>
    <w:rsid w:val="001E6CB9"/>
    <w:rsid w:val="001E72BD"/>
    <w:rsid w:val="001E75CF"/>
    <w:rsid w:val="001E7C64"/>
    <w:rsid w:val="001F0F17"/>
    <w:rsid w:val="001F1AC1"/>
    <w:rsid w:val="001F2014"/>
    <w:rsid w:val="001F25C8"/>
    <w:rsid w:val="001F2974"/>
    <w:rsid w:val="001F2FE6"/>
    <w:rsid w:val="001F3347"/>
    <w:rsid w:val="001F4706"/>
    <w:rsid w:val="001F4B06"/>
    <w:rsid w:val="001F4CED"/>
    <w:rsid w:val="001F5B36"/>
    <w:rsid w:val="001F5CC9"/>
    <w:rsid w:val="001F5CEB"/>
    <w:rsid w:val="001F6198"/>
    <w:rsid w:val="001F69E4"/>
    <w:rsid w:val="001F6FEE"/>
    <w:rsid w:val="001F79F8"/>
    <w:rsid w:val="001F7FC8"/>
    <w:rsid w:val="002004DC"/>
    <w:rsid w:val="00200A1C"/>
    <w:rsid w:val="002020C5"/>
    <w:rsid w:val="00202CED"/>
    <w:rsid w:val="00202E95"/>
    <w:rsid w:val="00203D48"/>
    <w:rsid w:val="00203FF0"/>
    <w:rsid w:val="0020435B"/>
    <w:rsid w:val="00210025"/>
    <w:rsid w:val="00210676"/>
    <w:rsid w:val="0021188D"/>
    <w:rsid w:val="0021194B"/>
    <w:rsid w:val="00211EB1"/>
    <w:rsid w:val="002125B4"/>
    <w:rsid w:val="0021305D"/>
    <w:rsid w:val="002149F5"/>
    <w:rsid w:val="0021504B"/>
    <w:rsid w:val="002152C3"/>
    <w:rsid w:val="002155B8"/>
    <w:rsid w:val="00216447"/>
    <w:rsid w:val="0021653E"/>
    <w:rsid w:val="00217523"/>
    <w:rsid w:val="002211BE"/>
    <w:rsid w:val="00221D87"/>
    <w:rsid w:val="002224BF"/>
    <w:rsid w:val="002234DA"/>
    <w:rsid w:val="00223E86"/>
    <w:rsid w:val="002246DB"/>
    <w:rsid w:val="00224839"/>
    <w:rsid w:val="002249B2"/>
    <w:rsid w:val="00224CE4"/>
    <w:rsid w:val="00224F98"/>
    <w:rsid w:val="00225800"/>
    <w:rsid w:val="002258B8"/>
    <w:rsid w:val="002259A0"/>
    <w:rsid w:val="00225C87"/>
    <w:rsid w:val="00226574"/>
    <w:rsid w:val="002266FB"/>
    <w:rsid w:val="00226803"/>
    <w:rsid w:val="002278EC"/>
    <w:rsid w:val="00227B69"/>
    <w:rsid w:val="00230FC0"/>
    <w:rsid w:val="0023110D"/>
    <w:rsid w:val="00231DA7"/>
    <w:rsid w:val="0023280E"/>
    <w:rsid w:val="002329A4"/>
    <w:rsid w:val="00234994"/>
    <w:rsid w:val="00234A58"/>
    <w:rsid w:val="002365A0"/>
    <w:rsid w:val="00236A7D"/>
    <w:rsid w:val="002377D1"/>
    <w:rsid w:val="0024032F"/>
    <w:rsid w:val="002418C7"/>
    <w:rsid w:val="0024256A"/>
    <w:rsid w:val="00243060"/>
    <w:rsid w:val="00243DFF"/>
    <w:rsid w:val="00247261"/>
    <w:rsid w:val="00247F2F"/>
    <w:rsid w:val="002506BC"/>
    <w:rsid w:val="002515F6"/>
    <w:rsid w:val="00252677"/>
    <w:rsid w:val="00253481"/>
    <w:rsid w:val="00254345"/>
    <w:rsid w:val="002544BC"/>
    <w:rsid w:val="00254F75"/>
    <w:rsid w:val="00255363"/>
    <w:rsid w:val="002558DD"/>
    <w:rsid w:val="00255E30"/>
    <w:rsid w:val="002575B4"/>
    <w:rsid w:val="00257E79"/>
    <w:rsid w:val="002601BD"/>
    <w:rsid w:val="00260576"/>
    <w:rsid w:val="00260B04"/>
    <w:rsid w:val="00260FB4"/>
    <w:rsid w:val="002623C4"/>
    <w:rsid w:val="00264557"/>
    <w:rsid w:val="002652E5"/>
    <w:rsid w:val="0026558D"/>
    <w:rsid w:val="00266B9B"/>
    <w:rsid w:val="00267520"/>
    <w:rsid w:val="00267DA8"/>
    <w:rsid w:val="00267E2B"/>
    <w:rsid w:val="002714E5"/>
    <w:rsid w:val="002721BA"/>
    <w:rsid w:val="002728B8"/>
    <w:rsid w:val="00273ABA"/>
    <w:rsid w:val="00273C41"/>
    <w:rsid w:val="0027445F"/>
    <w:rsid w:val="002747AA"/>
    <w:rsid w:val="00275922"/>
    <w:rsid w:val="00275D6E"/>
    <w:rsid w:val="0027677B"/>
    <w:rsid w:val="00276D50"/>
    <w:rsid w:val="00277FE3"/>
    <w:rsid w:val="002803EF"/>
    <w:rsid w:val="002805AB"/>
    <w:rsid w:val="00280A60"/>
    <w:rsid w:val="00282B81"/>
    <w:rsid w:val="00283BBB"/>
    <w:rsid w:val="00284204"/>
    <w:rsid w:val="00284F14"/>
    <w:rsid w:val="002869C9"/>
    <w:rsid w:val="00286BC0"/>
    <w:rsid w:val="00286D6F"/>
    <w:rsid w:val="0028716C"/>
    <w:rsid w:val="002871B8"/>
    <w:rsid w:val="00287F4F"/>
    <w:rsid w:val="00287FFB"/>
    <w:rsid w:val="00290572"/>
    <w:rsid w:val="0029124C"/>
    <w:rsid w:val="00291773"/>
    <w:rsid w:val="00291CE4"/>
    <w:rsid w:val="00291FF8"/>
    <w:rsid w:val="0029235A"/>
    <w:rsid w:val="00293DE0"/>
    <w:rsid w:val="00294375"/>
    <w:rsid w:val="00295F08"/>
    <w:rsid w:val="0029616B"/>
    <w:rsid w:val="0029664D"/>
    <w:rsid w:val="00296AB8"/>
    <w:rsid w:val="002973DC"/>
    <w:rsid w:val="00297C17"/>
    <w:rsid w:val="00297FD7"/>
    <w:rsid w:val="002A0102"/>
    <w:rsid w:val="002A106B"/>
    <w:rsid w:val="002A168C"/>
    <w:rsid w:val="002A1B76"/>
    <w:rsid w:val="002A1DCD"/>
    <w:rsid w:val="002A1F2A"/>
    <w:rsid w:val="002A2919"/>
    <w:rsid w:val="002A326F"/>
    <w:rsid w:val="002A3665"/>
    <w:rsid w:val="002A3DC7"/>
    <w:rsid w:val="002A4614"/>
    <w:rsid w:val="002A5938"/>
    <w:rsid w:val="002A5E83"/>
    <w:rsid w:val="002A656B"/>
    <w:rsid w:val="002B0563"/>
    <w:rsid w:val="002B198C"/>
    <w:rsid w:val="002B1A4F"/>
    <w:rsid w:val="002B1BC5"/>
    <w:rsid w:val="002B2E0A"/>
    <w:rsid w:val="002B3766"/>
    <w:rsid w:val="002B3886"/>
    <w:rsid w:val="002B3BEA"/>
    <w:rsid w:val="002B3CFE"/>
    <w:rsid w:val="002B3E1A"/>
    <w:rsid w:val="002B4795"/>
    <w:rsid w:val="002B49E2"/>
    <w:rsid w:val="002B4C7E"/>
    <w:rsid w:val="002B4DAD"/>
    <w:rsid w:val="002B5F78"/>
    <w:rsid w:val="002B5FA6"/>
    <w:rsid w:val="002B69BD"/>
    <w:rsid w:val="002B6E28"/>
    <w:rsid w:val="002B7B00"/>
    <w:rsid w:val="002B7BD1"/>
    <w:rsid w:val="002B7C44"/>
    <w:rsid w:val="002C04B7"/>
    <w:rsid w:val="002C07EF"/>
    <w:rsid w:val="002C1124"/>
    <w:rsid w:val="002C2012"/>
    <w:rsid w:val="002C22EF"/>
    <w:rsid w:val="002C2B17"/>
    <w:rsid w:val="002C2D05"/>
    <w:rsid w:val="002C2D9C"/>
    <w:rsid w:val="002C3D94"/>
    <w:rsid w:val="002C48A9"/>
    <w:rsid w:val="002C4B81"/>
    <w:rsid w:val="002C533D"/>
    <w:rsid w:val="002C56DA"/>
    <w:rsid w:val="002C5EE4"/>
    <w:rsid w:val="002C76D3"/>
    <w:rsid w:val="002D2156"/>
    <w:rsid w:val="002D243A"/>
    <w:rsid w:val="002D2AD8"/>
    <w:rsid w:val="002D2FD2"/>
    <w:rsid w:val="002D3243"/>
    <w:rsid w:val="002D3DD0"/>
    <w:rsid w:val="002D42B0"/>
    <w:rsid w:val="002D5A44"/>
    <w:rsid w:val="002D5CD6"/>
    <w:rsid w:val="002D5FBC"/>
    <w:rsid w:val="002D684A"/>
    <w:rsid w:val="002D69E2"/>
    <w:rsid w:val="002D6B55"/>
    <w:rsid w:val="002D746D"/>
    <w:rsid w:val="002D7E9A"/>
    <w:rsid w:val="002E1F3A"/>
    <w:rsid w:val="002E237A"/>
    <w:rsid w:val="002E249E"/>
    <w:rsid w:val="002E26E4"/>
    <w:rsid w:val="002E298A"/>
    <w:rsid w:val="002E2CDD"/>
    <w:rsid w:val="002E3034"/>
    <w:rsid w:val="002E32C5"/>
    <w:rsid w:val="002E371D"/>
    <w:rsid w:val="002E4705"/>
    <w:rsid w:val="002E4B14"/>
    <w:rsid w:val="002E4B5C"/>
    <w:rsid w:val="002E4BDD"/>
    <w:rsid w:val="002E513A"/>
    <w:rsid w:val="002E5582"/>
    <w:rsid w:val="002E59E3"/>
    <w:rsid w:val="002E637D"/>
    <w:rsid w:val="002F0FE5"/>
    <w:rsid w:val="002F1012"/>
    <w:rsid w:val="002F19B7"/>
    <w:rsid w:val="002F2B69"/>
    <w:rsid w:val="002F3186"/>
    <w:rsid w:val="002F39AB"/>
    <w:rsid w:val="002F5611"/>
    <w:rsid w:val="002F6BC0"/>
    <w:rsid w:val="002F7440"/>
    <w:rsid w:val="002F7B90"/>
    <w:rsid w:val="003000EC"/>
    <w:rsid w:val="00301916"/>
    <w:rsid w:val="00301978"/>
    <w:rsid w:val="00302DEA"/>
    <w:rsid w:val="0030332C"/>
    <w:rsid w:val="0030380E"/>
    <w:rsid w:val="00304243"/>
    <w:rsid w:val="0030493B"/>
    <w:rsid w:val="003051C2"/>
    <w:rsid w:val="00306212"/>
    <w:rsid w:val="00306A5F"/>
    <w:rsid w:val="00306C98"/>
    <w:rsid w:val="003070B9"/>
    <w:rsid w:val="003108BD"/>
    <w:rsid w:val="00311559"/>
    <w:rsid w:val="00312296"/>
    <w:rsid w:val="00313EDE"/>
    <w:rsid w:val="003149C4"/>
    <w:rsid w:val="00314F0E"/>
    <w:rsid w:val="003152B1"/>
    <w:rsid w:val="0031561F"/>
    <w:rsid w:val="003163A6"/>
    <w:rsid w:val="00321C61"/>
    <w:rsid w:val="00321C85"/>
    <w:rsid w:val="00321D8E"/>
    <w:rsid w:val="00323A8B"/>
    <w:rsid w:val="0032414A"/>
    <w:rsid w:val="003249B6"/>
    <w:rsid w:val="003258E7"/>
    <w:rsid w:val="00325928"/>
    <w:rsid w:val="0032592B"/>
    <w:rsid w:val="00325C00"/>
    <w:rsid w:val="00326650"/>
    <w:rsid w:val="003268C4"/>
    <w:rsid w:val="0032720C"/>
    <w:rsid w:val="00327BDA"/>
    <w:rsid w:val="00330169"/>
    <w:rsid w:val="00330F92"/>
    <w:rsid w:val="00331760"/>
    <w:rsid w:val="00331BB8"/>
    <w:rsid w:val="00332863"/>
    <w:rsid w:val="0033401F"/>
    <w:rsid w:val="00334A59"/>
    <w:rsid w:val="00334B03"/>
    <w:rsid w:val="003350DF"/>
    <w:rsid w:val="00335BCB"/>
    <w:rsid w:val="003364B8"/>
    <w:rsid w:val="0033684D"/>
    <w:rsid w:val="00337B42"/>
    <w:rsid w:val="00337E2B"/>
    <w:rsid w:val="00337F77"/>
    <w:rsid w:val="00340699"/>
    <w:rsid w:val="00340C2A"/>
    <w:rsid w:val="00340DEB"/>
    <w:rsid w:val="00341571"/>
    <w:rsid w:val="003416E0"/>
    <w:rsid w:val="00341B42"/>
    <w:rsid w:val="00342198"/>
    <w:rsid w:val="003428BB"/>
    <w:rsid w:val="0034348F"/>
    <w:rsid w:val="00344378"/>
    <w:rsid w:val="00344407"/>
    <w:rsid w:val="00344707"/>
    <w:rsid w:val="00344B03"/>
    <w:rsid w:val="0034540A"/>
    <w:rsid w:val="003467BB"/>
    <w:rsid w:val="00346D3C"/>
    <w:rsid w:val="00347618"/>
    <w:rsid w:val="00347A55"/>
    <w:rsid w:val="00347E8A"/>
    <w:rsid w:val="00347FAA"/>
    <w:rsid w:val="0035011B"/>
    <w:rsid w:val="0035040A"/>
    <w:rsid w:val="0035188C"/>
    <w:rsid w:val="00351BCD"/>
    <w:rsid w:val="00351CB8"/>
    <w:rsid w:val="00351E63"/>
    <w:rsid w:val="00352370"/>
    <w:rsid w:val="00352912"/>
    <w:rsid w:val="00352A66"/>
    <w:rsid w:val="00353076"/>
    <w:rsid w:val="00354129"/>
    <w:rsid w:val="00354589"/>
    <w:rsid w:val="003555BF"/>
    <w:rsid w:val="003557D6"/>
    <w:rsid w:val="00355835"/>
    <w:rsid w:val="00356653"/>
    <w:rsid w:val="003573FB"/>
    <w:rsid w:val="0035743F"/>
    <w:rsid w:val="00357BE2"/>
    <w:rsid w:val="00360320"/>
    <w:rsid w:val="00361199"/>
    <w:rsid w:val="0036170C"/>
    <w:rsid w:val="003620DC"/>
    <w:rsid w:val="00362142"/>
    <w:rsid w:val="00362F4D"/>
    <w:rsid w:val="003630D5"/>
    <w:rsid w:val="00365326"/>
    <w:rsid w:val="00366BA0"/>
    <w:rsid w:val="00366E0F"/>
    <w:rsid w:val="003672E4"/>
    <w:rsid w:val="00367E47"/>
    <w:rsid w:val="003702D3"/>
    <w:rsid w:val="00370D7B"/>
    <w:rsid w:val="00371BDB"/>
    <w:rsid w:val="00372756"/>
    <w:rsid w:val="003728F3"/>
    <w:rsid w:val="003739A8"/>
    <w:rsid w:val="00373C4F"/>
    <w:rsid w:val="00374156"/>
    <w:rsid w:val="0037474F"/>
    <w:rsid w:val="0037733F"/>
    <w:rsid w:val="00377A93"/>
    <w:rsid w:val="00380091"/>
    <w:rsid w:val="00380EA2"/>
    <w:rsid w:val="00381187"/>
    <w:rsid w:val="00381362"/>
    <w:rsid w:val="00381A72"/>
    <w:rsid w:val="00384676"/>
    <w:rsid w:val="00384B0A"/>
    <w:rsid w:val="003855FF"/>
    <w:rsid w:val="00387324"/>
    <w:rsid w:val="00387ED7"/>
    <w:rsid w:val="00390857"/>
    <w:rsid w:val="00390B94"/>
    <w:rsid w:val="00391417"/>
    <w:rsid w:val="003917D5"/>
    <w:rsid w:val="003922A7"/>
    <w:rsid w:val="00392797"/>
    <w:rsid w:val="00392884"/>
    <w:rsid w:val="00393212"/>
    <w:rsid w:val="003959A7"/>
    <w:rsid w:val="00396B81"/>
    <w:rsid w:val="0039719A"/>
    <w:rsid w:val="003A050F"/>
    <w:rsid w:val="003A05AE"/>
    <w:rsid w:val="003A215D"/>
    <w:rsid w:val="003A221D"/>
    <w:rsid w:val="003A4BF3"/>
    <w:rsid w:val="003A51E3"/>
    <w:rsid w:val="003A529A"/>
    <w:rsid w:val="003A5DB6"/>
    <w:rsid w:val="003A760C"/>
    <w:rsid w:val="003A78DA"/>
    <w:rsid w:val="003A7F5F"/>
    <w:rsid w:val="003B061E"/>
    <w:rsid w:val="003B1D8B"/>
    <w:rsid w:val="003B1DA0"/>
    <w:rsid w:val="003B1DEF"/>
    <w:rsid w:val="003B25E9"/>
    <w:rsid w:val="003B2CD2"/>
    <w:rsid w:val="003B363E"/>
    <w:rsid w:val="003B3BE3"/>
    <w:rsid w:val="003B3C5E"/>
    <w:rsid w:val="003B3DF8"/>
    <w:rsid w:val="003B408A"/>
    <w:rsid w:val="003B420D"/>
    <w:rsid w:val="003B51D9"/>
    <w:rsid w:val="003B5E19"/>
    <w:rsid w:val="003B63C6"/>
    <w:rsid w:val="003B7002"/>
    <w:rsid w:val="003B72E6"/>
    <w:rsid w:val="003C0B9E"/>
    <w:rsid w:val="003C0C28"/>
    <w:rsid w:val="003C0E11"/>
    <w:rsid w:val="003C0E34"/>
    <w:rsid w:val="003C2277"/>
    <w:rsid w:val="003C39BF"/>
    <w:rsid w:val="003C3D0A"/>
    <w:rsid w:val="003C4B19"/>
    <w:rsid w:val="003C4DB5"/>
    <w:rsid w:val="003C62E1"/>
    <w:rsid w:val="003C6A4C"/>
    <w:rsid w:val="003C6C16"/>
    <w:rsid w:val="003C755B"/>
    <w:rsid w:val="003C7971"/>
    <w:rsid w:val="003D09C5"/>
    <w:rsid w:val="003D1104"/>
    <w:rsid w:val="003D1944"/>
    <w:rsid w:val="003D327F"/>
    <w:rsid w:val="003D37EE"/>
    <w:rsid w:val="003D5C6F"/>
    <w:rsid w:val="003D6264"/>
    <w:rsid w:val="003D72BB"/>
    <w:rsid w:val="003D794D"/>
    <w:rsid w:val="003D7E1C"/>
    <w:rsid w:val="003E02E0"/>
    <w:rsid w:val="003E15C5"/>
    <w:rsid w:val="003E2CE5"/>
    <w:rsid w:val="003E3058"/>
    <w:rsid w:val="003E310F"/>
    <w:rsid w:val="003E3157"/>
    <w:rsid w:val="003E34C5"/>
    <w:rsid w:val="003E45DD"/>
    <w:rsid w:val="003E5611"/>
    <w:rsid w:val="003E651C"/>
    <w:rsid w:val="003E6C3B"/>
    <w:rsid w:val="003E76A9"/>
    <w:rsid w:val="003F002C"/>
    <w:rsid w:val="003F0655"/>
    <w:rsid w:val="003F0809"/>
    <w:rsid w:val="003F1550"/>
    <w:rsid w:val="003F1ACE"/>
    <w:rsid w:val="003F1BDF"/>
    <w:rsid w:val="003F3373"/>
    <w:rsid w:val="003F41EC"/>
    <w:rsid w:val="003F49AC"/>
    <w:rsid w:val="003F6A8C"/>
    <w:rsid w:val="003F6D4F"/>
    <w:rsid w:val="003F755C"/>
    <w:rsid w:val="003F7981"/>
    <w:rsid w:val="003F7EE2"/>
    <w:rsid w:val="004002A0"/>
    <w:rsid w:val="00401FF6"/>
    <w:rsid w:val="00402169"/>
    <w:rsid w:val="00402256"/>
    <w:rsid w:val="00402558"/>
    <w:rsid w:val="00403397"/>
    <w:rsid w:val="00403F3C"/>
    <w:rsid w:val="00405F17"/>
    <w:rsid w:val="00406F01"/>
    <w:rsid w:val="00406FEF"/>
    <w:rsid w:val="0040735C"/>
    <w:rsid w:val="004103C7"/>
    <w:rsid w:val="00410B74"/>
    <w:rsid w:val="0041176F"/>
    <w:rsid w:val="004119A9"/>
    <w:rsid w:val="0041293C"/>
    <w:rsid w:val="00412CB2"/>
    <w:rsid w:val="0041432F"/>
    <w:rsid w:val="004146AD"/>
    <w:rsid w:val="00414D86"/>
    <w:rsid w:val="00414F20"/>
    <w:rsid w:val="00416255"/>
    <w:rsid w:val="00416406"/>
    <w:rsid w:val="00416589"/>
    <w:rsid w:val="00416D50"/>
    <w:rsid w:val="00416FD5"/>
    <w:rsid w:val="0041745C"/>
    <w:rsid w:val="00417772"/>
    <w:rsid w:val="00417AC5"/>
    <w:rsid w:val="00417F8A"/>
    <w:rsid w:val="0042051D"/>
    <w:rsid w:val="00420795"/>
    <w:rsid w:val="00420E6A"/>
    <w:rsid w:val="00422C16"/>
    <w:rsid w:val="0042314B"/>
    <w:rsid w:val="00424198"/>
    <w:rsid w:val="004258AE"/>
    <w:rsid w:val="00425A9E"/>
    <w:rsid w:val="00426006"/>
    <w:rsid w:val="0042654A"/>
    <w:rsid w:val="00426C67"/>
    <w:rsid w:val="00426D6B"/>
    <w:rsid w:val="00426DAD"/>
    <w:rsid w:val="00430C7F"/>
    <w:rsid w:val="00431172"/>
    <w:rsid w:val="004318FA"/>
    <w:rsid w:val="00431E6C"/>
    <w:rsid w:val="004325A5"/>
    <w:rsid w:val="00433B6C"/>
    <w:rsid w:val="00433CE7"/>
    <w:rsid w:val="00434952"/>
    <w:rsid w:val="00434BEC"/>
    <w:rsid w:val="004353C7"/>
    <w:rsid w:val="004356DB"/>
    <w:rsid w:val="00436E93"/>
    <w:rsid w:val="004372F1"/>
    <w:rsid w:val="0044193D"/>
    <w:rsid w:val="0044227A"/>
    <w:rsid w:val="00442820"/>
    <w:rsid w:val="004432BD"/>
    <w:rsid w:val="004439A4"/>
    <w:rsid w:val="00444353"/>
    <w:rsid w:val="00445517"/>
    <w:rsid w:val="004455A1"/>
    <w:rsid w:val="00445EDD"/>
    <w:rsid w:val="00447106"/>
    <w:rsid w:val="00450F52"/>
    <w:rsid w:val="00450F90"/>
    <w:rsid w:val="00452505"/>
    <w:rsid w:val="00452609"/>
    <w:rsid w:val="00452738"/>
    <w:rsid w:val="004536EB"/>
    <w:rsid w:val="00453947"/>
    <w:rsid w:val="00453C2B"/>
    <w:rsid w:val="00453F57"/>
    <w:rsid w:val="00454758"/>
    <w:rsid w:val="00454BE4"/>
    <w:rsid w:val="00455637"/>
    <w:rsid w:val="00455FB3"/>
    <w:rsid w:val="00456091"/>
    <w:rsid w:val="0045653E"/>
    <w:rsid w:val="00457882"/>
    <w:rsid w:val="004579A4"/>
    <w:rsid w:val="00462656"/>
    <w:rsid w:val="00464AAC"/>
    <w:rsid w:val="00464C47"/>
    <w:rsid w:val="00464E96"/>
    <w:rsid w:val="00465FC3"/>
    <w:rsid w:val="00466321"/>
    <w:rsid w:val="00467E63"/>
    <w:rsid w:val="00471E7E"/>
    <w:rsid w:val="004726B5"/>
    <w:rsid w:val="0047392A"/>
    <w:rsid w:val="0047497B"/>
    <w:rsid w:val="00474E48"/>
    <w:rsid w:val="004750FA"/>
    <w:rsid w:val="0047552F"/>
    <w:rsid w:val="00475A09"/>
    <w:rsid w:val="00475CB1"/>
    <w:rsid w:val="00476398"/>
    <w:rsid w:val="0047690B"/>
    <w:rsid w:val="00481C64"/>
    <w:rsid w:val="004824D9"/>
    <w:rsid w:val="0048275D"/>
    <w:rsid w:val="00482DF3"/>
    <w:rsid w:val="00482E69"/>
    <w:rsid w:val="00483D78"/>
    <w:rsid w:val="0048409E"/>
    <w:rsid w:val="00484228"/>
    <w:rsid w:val="00484356"/>
    <w:rsid w:val="00484364"/>
    <w:rsid w:val="0048486F"/>
    <w:rsid w:val="00484B9B"/>
    <w:rsid w:val="0048506A"/>
    <w:rsid w:val="004855F6"/>
    <w:rsid w:val="00486027"/>
    <w:rsid w:val="004865A4"/>
    <w:rsid w:val="0048661E"/>
    <w:rsid w:val="004879C1"/>
    <w:rsid w:val="004900CA"/>
    <w:rsid w:val="00490C41"/>
    <w:rsid w:val="00491170"/>
    <w:rsid w:val="004912EB"/>
    <w:rsid w:val="0049162A"/>
    <w:rsid w:val="00492D86"/>
    <w:rsid w:val="004939EE"/>
    <w:rsid w:val="00493D70"/>
    <w:rsid w:val="00494623"/>
    <w:rsid w:val="00494670"/>
    <w:rsid w:val="004947DD"/>
    <w:rsid w:val="00495095"/>
    <w:rsid w:val="004951F7"/>
    <w:rsid w:val="0049581D"/>
    <w:rsid w:val="004958AD"/>
    <w:rsid w:val="00495CA5"/>
    <w:rsid w:val="00495CE3"/>
    <w:rsid w:val="0049677C"/>
    <w:rsid w:val="00496D7A"/>
    <w:rsid w:val="00497115"/>
    <w:rsid w:val="004972A1"/>
    <w:rsid w:val="004A0617"/>
    <w:rsid w:val="004A0830"/>
    <w:rsid w:val="004A2AEE"/>
    <w:rsid w:val="004A2D1E"/>
    <w:rsid w:val="004A3823"/>
    <w:rsid w:val="004A389A"/>
    <w:rsid w:val="004A4062"/>
    <w:rsid w:val="004A4A04"/>
    <w:rsid w:val="004A4ACD"/>
    <w:rsid w:val="004A556E"/>
    <w:rsid w:val="004A644F"/>
    <w:rsid w:val="004A66FC"/>
    <w:rsid w:val="004A6DAB"/>
    <w:rsid w:val="004A7A09"/>
    <w:rsid w:val="004B0AB5"/>
    <w:rsid w:val="004B3744"/>
    <w:rsid w:val="004B384B"/>
    <w:rsid w:val="004B42B0"/>
    <w:rsid w:val="004B44EA"/>
    <w:rsid w:val="004B525A"/>
    <w:rsid w:val="004B63CA"/>
    <w:rsid w:val="004B731A"/>
    <w:rsid w:val="004C15EB"/>
    <w:rsid w:val="004C163D"/>
    <w:rsid w:val="004C19AB"/>
    <w:rsid w:val="004C2436"/>
    <w:rsid w:val="004C26B9"/>
    <w:rsid w:val="004C28EB"/>
    <w:rsid w:val="004C3217"/>
    <w:rsid w:val="004C36C3"/>
    <w:rsid w:val="004C47FE"/>
    <w:rsid w:val="004C4A56"/>
    <w:rsid w:val="004C4BFD"/>
    <w:rsid w:val="004C74A3"/>
    <w:rsid w:val="004C7C2D"/>
    <w:rsid w:val="004D08EC"/>
    <w:rsid w:val="004D1B69"/>
    <w:rsid w:val="004D3AFB"/>
    <w:rsid w:val="004D3AFD"/>
    <w:rsid w:val="004D3C01"/>
    <w:rsid w:val="004D42C7"/>
    <w:rsid w:val="004D66E0"/>
    <w:rsid w:val="004D6730"/>
    <w:rsid w:val="004D6FE2"/>
    <w:rsid w:val="004D7D1E"/>
    <w:rsid w:val="004D7FF7"/>
    <w:rsid w:val="004E01CE"/>
    <w:rsid w:val="004E1608"/>
    <w:rsid w:val="004E1655"/>
    <w:rsid w:val="004E169F"/>
    <w:rsid w:val="004E3BA2"/>
    <w:rsid w:val="004E4858"/>
    <w:rsid w:val="004E503E"/>
    <w:rsid w:val="004E6946"/>
    <w:rsid w:val="004E6E80"/>
    <w:rsid w:val="004F0E41"/>
    <w:rsid w:val="004F1AD8"/>
    <w:rsid w:val="004F24E6"/>
    <w:rsid w:val="004F2A5A"/>
    <w:rsid w:val="004F3054"/>
    <w:rsid w:val="004F350C"/>
    <w:rsid w:val="004F3826"/>
    <w:rsid w:val="004F51FF"/>
    <w:rsid w:val="004F6530"/>
    <w:rsid w:val="004F721A"/>
    <w:rsid w:val="004F7C09"/>
    <w:rsid w:val="004F7D44"/>
    <w:rsid w:val="004F7E89"/>
    <w:rsid w:val="005003E6"/>
    <w:rsid w:val="00500C00"/>
    <w:rsid w:val="00500FC5"/>
    <w:rsid w:val="005039CB"/>
    <w:rsid w:val="00503BBD"/>
    <w:rsid w:val="0050558F"/>
    <w:rsid w:val="00506286"/>
    <w:rsid w:val="005062DF"/>
    <w:rsid w:val="00507049"/>
    <w:rsid w:val="00510020"/>
    <w:rsid w:val="00510813"/>
    <w:rsid w:val="00510CA3"/>
    <w:rsid w:val="00511990"/>
    <w:rsid w:val="00511A0A"/>
    <w:rsid w:val="00511AAF"/>
    <w:rsid w:val="00511DE0"/>
    <w:rsid w:val="00512150"/>
    <w:rsid w:val="005125B9"/>
    <w:rsid w:val="0051356B"/>
    <w:rsid w:val="005140C6"/>
    <w:rsid w:val="00514870"/>
    <w:rsid w:val="00514AC6"/>
    <w:rsid w:val="00514B9B"/>
    <w:rsid w:val="00514DA5"/>
    <w:rsid w:val="0051559B"/>
    <w:rsid w:val="0051612B"/>
    <w:rsid w:val="005162B2"/>
    <w:rsid w:val="00516EC1"/>
    <w:rsid w:val="005171BA"/>
    <w:rsid w:val="00517F02"/>
    <w:rsid w:val="00520B03"/>
    <w:rsid w:val="00521BBA"/>
    <w:rsid w:val="0052246E"/>
    <w:rsid w:val="005228DF"/>
    <w:rsid w:val="00524303"/>
    <w:rsid w:val="00524C6F"/>
    <w:rsid w:val="00525890"/>
    <w:rsid w:val="005258A2"/>
    <w:rsid w:val="00526D31"/>
    <w:rsid w:val="00526EE9"/>
    <w:rsid w:val="005277CC"/>
    <w:rsid w:val="00530957"/>
    <w:rsid w:val="005311BD"/>
    <w:rsid w:val="00531C46"/>
    <w:rsid w:val="0053246D"/>
    <w:rsid w:val="00532707"/>
    <w:rsid w:val="00532960"/>
    <w:rsid w:val="005331A3"/>
    <w:rsid w:val="005334E8"/>
    <w:rsid w:val="00534EB8"/>
    <w:rsid w:val="00535FB7"/>
    <w:rsid w:val="00536610"/>
    <w:rsid w:val="0053670C"/>
    <w:rsid w:val="00536BDA"/>
    <w:rsid w:val="00537757"/>
    <w:rsid w:val="005377F7"/>
    <w:rsid w:val="00537FE4"/>
    <w:rsid w:val="00540128"/>
    <w:rsid w:val="005401AE"/>
    <w:rsid w:val="00540285"/>
    <w:rsid w:val="00540A89"/>
    <w:rsid w:val="00540C84"/>
    <w:rsid w:val="005410D5"/>
    <w:rsid w:val="00541939"/>
    <w:rsid w:val="00541C44"/>
    <w:rsid w:val="00541C4D"/>
    <w:rsid w:val="00542E07"/>
    <w:rsid w:val="005434F4"/>
    <w:rsid w:val="00545424"/>
    <w:rsid w:val="0054576D"/>
    <w:rsid w:val="00545993"/>
    <w:rsid w:val="00546B5F"/>
    <w:rsid w:val="00550D46"/>
    <w:rsid w:val="00551309"/>
    <w:rsid w:val="00552C24"/>
    <w:rsid w:val="005538C9"/>
    <w:rsid w:val="00553DAF"/>
    <w:rsid w:val="00554A7B"/>
    <w:rsid w:val="00554CC1"/>
    <w:rsid w:val="00555153"/>
    <w:rsid w:val="0055572C"/>
    <w:rsid w:val="00557043"/>
    <w:rsid w:val="0055787C"/>
    <w:rsid w:val="00560008"/>
    <w:rsid w:val="0056106A"/>
    <w:rsid w:val="00563BA2"/>
    <w:rsid w:val="00563F93"/>
    <w:rsid w:val="005642EF"/>
    <w:rsid w:val="00564972"/>
    <w:rsid w:val="0056506C"/>
    <w:rsid w:val="00566302"/>
    <w:rsid w:val="005665D3"/>
    <w:rsid w:val="0056766D"/>
    <w:rsid w:val="005720AE"/>
    <w:rsid w:val="00574768"/>
    <w:rsid w:val="0057543F"/>
    <w:rsid w:val="00576F0A"/>
    <w:rsid w:val="00577889"/>
    <w:rsid w:val="005805A2"/>
    <w:rsid w:val="005805E2"/>
    <w:rsid w:val="00580C6E"/>
    <w:rsid w:val="00585099"/>
    <w:rsid w:val="00586290"/>
    <w:rsid w:val="00586612"/>
    <w:rsid w:val="00587931"/>
    <w:rsid w:val="005902F1"/>
    <w:rsid w:val="0059159A"/>
    <w:rsid w:val="0059209B"/>
    <w:rsid w:val="00592C3E"/>
    <w:rsid w:val="0059389E"/>
    <w:rsid w:val="00593E75"/>
    <w:rsid w:val="0059426C"/>
    <w:rsid w:val="005943B5"/>
    <w:rsid w:val="00594D77"/>
    <w:rsid w:val="00595B1E"/>
    <w:rsid w:val="00596522"/>
    <w:rsid w:val="005969E4"/>
    <w:rsid w:val="00596C1D"/>
    <w:rsid w:val="0059734D"/>
    <w:rsid w:val="005A06B7"/>
    <w:rsid w:val="005A0B30"/>
    <w:rsid w:val="005A1759"/>
    <w:rsid w:val="005A1BF3"/>
    <w:rsid w:val="005A2725"/>
    <w:rsid w:val="005A34BE"/>
    <w:rsid w:val="005A4BB2"/>
    <w:rsid w:val="005A4D0B"/>
    <w:rsid w:val="005A4DCD"/>
    <w:rsid w:val="005A5450"/>
    <w:rsid w:val="005A641E"/>
    <w:rsid w:val="005A68A7"/>
    <w:rsid w:val="005B133A"/>
    <w:rsid w:val="005B210F"/>
    <w:rsid w:val="005B25B4"/>
    <w:rsid w:val="005B2A10"/>
    <w:rsid w:val="005B2CD0"/>
    <w:rsid w:val="005B2FED"/>
    <w:rsid w:val="005B3948"/>
    <w:rsid w:val="005B40B9"/>
    <w:rsid w:val="005B4CB8"/>
    <w:rsid w:val="005B4DF3"/>
    <w:rsid w:val="005B58B4"/>
    <w:rsid w:val="005B5D62"/>
    <w:rsid w:val="005B6040"/>
    <w:rsid w:val="005B62F8"/>
    <w:rsid w:val="005B706C"/>
    <w:rsid w:val="005B70FE"/>
    <w:rsid w:val="005B77D0"/>
    <w:rsid w:val="005C09EB"/>
    <w:rsid w:val="005C0B03"/>
    <w:rsid w:val="005C0CC6"/>
    <w:rsid w:val="005C0D21"/>
    <w:rsid w:val="005C1B63"/>
    <w:rsid w:val="005C3905"/>
    <w:rsid w:val="005C4446"/>
    <w:rsid w:val="005C4661"/>
    <w:rsid w:val="005C58A5"/>
    <w:rsid w:val="005C59C8"/>
    <w:rsid w:val="005C6B96"/>
    <w:rsid w:val="005C73D4"/>
    <w:rsid w:val="005D0907"/>
    <w:rsid w:val="005D1076"/>
    <w:rsid w:val="005D193C"/>
    <w:rsid w:val="005D1D24"/>
    <w:rsid w:val="005D2888"/>
    <w:rsid w:val="005D36AB"/>
    <w:rsid w:val="005D4DA5"/>
    <w:rsid w:val="005D59F1"/>
    <w:rsid w:val="005D61D0"/>
    <w:rsid w:val="005D6464"/>
    <w:rsid w:val="005D6C0F"/>
    <w:rsid w:val="005E021B"/>
    <w:rsid w:val="005E066F"/>
    <w:rsid w:val="005E0F60"/>
    <w:rsid w:val="005E2370"/>
    <w:rsid w:val="005E2AB0"/>
    <w:rsid w:val="005E5430"/>
    <w:rsid w:val="005E5DFA"/>
    <w:rsid w:val="005E62BF"/>
    <w:rsid w:val="005E70F8"/>
    <w:rsid w:val="005E7124"/>
    <w:rsid w:val="005E7E75"/>
    <w:rsid w:val="005F06A7"/>
    <w:rsid w:val="005F0784"/>
    <w:rsid w:val="005F0C55"/>
    <w:rsid w:val="005F0D34"/>
    <w:rsid w:val="005F0EB3"/>
    <w:rsid w:val="005F11E4"/>
    <w:rsid w:val="005F251F"/>
    <w:rsid w:val="005F321A"/>
    <w:rsid w:val="005F5162"/>
    <w:rsid w:val="005F524F"/>
    <w:rsid w:val="005F5512"/>
    <w:rsid w:val="005F5993"/>
    <w:rsid w:val="005F5B5E"/>
    <w:rsid w:val="005F5E60"/>
    <w:rsid w:val="005F66A5"/>
    <w:rsid w:val="005F73EF"/>
    <w:rsid w:val="005F76BB"/>
    <w:rsid w:val="005F7AAA"/>
    <w:rsid w:val="005F7B97"/>
    <w:rsid w:val="006001F5"/>
    <w:rsid w:val="0060027F"/>
    <w:rsid w:val="00600776"/>
    <w:rsid w:val="00600904"/>
    <w:rsid w:val="00600CD7"/>
    <w:rsid w:val="00600F70"/>
    <w:rsid w:val="00601014"/>
    <w:rsid w:val="006034CB"/>
    <w:rsid w:val="00604B2A"/>
    <w:rsid w:val="006058E2"/>
    <w:rsid w:val="00605E3A"/>
    <w:rsid w:val="00607622"/>
    <w:rsid w:val="0061107F"/>
    <w:rsid w:val="006115DB"/>
    <w:rsid w:val="006116DC"/>
    <w:rsid w:val="006119CF"/>
    <w:rsid w:val="00612E56"/>
    <w:rsid w:val="006138AD"/>
    <w:rsid w:val="006144A2"/>
    <w:rsid w:val="00614D67"/>
    <w:rsid w:val="00614F68"/>
    <w:rsid w:val="00615570"/>
    <w:rsid w:val="00615F6A"/>
    <w:rsid w:val="0061638D"/>
    <w:rsid w:val="00616A8B"/>
    <w:rsid w:val="006172DB"/>
    <w:rsid w:val="00617A6C"/>
    <w:rsid w:val="00617CC3"/>
    <w:rsid w:val="00620D73"/>
    <w:rsid w:val="00623859"/>
    <w:rsid w:val="00623963"/>
    <w:rsid w:val="0062431F"/>
    <w:rsid w:val="00624630"/>
    <w:rsid w:val="006258DF"/>
    <w:rsid w:val="00626015"/>
    <w:rsid w:val="00626830"/>
    <w:rsid w:val="00626EC4"/>
    <w:rsid w:val="00627093"/>
    <w:rsid w:val="006306CD"/>
    <w:rsid w:val="006317F3"/>
    <w:rsid w:val="00633730"/>
    <w:rsid w:val="00634365"/>
    <w:rsid w:val="00634AF2"/>
    <w:rsid w:val="00636E81"/>
    <w:rsid w:val="00636FF2"/>
    <w:rsid w:val="006377A6"/>
    <w:rsid w:val="00637A3D"/>
    <w:rsid w:val="0064037A"/>
    <w:rsid w:val="00640670"/>
    <w:rsid w:val="006411EF"/>
    <w:rsid w:val="00641F69"/>
    <w:rsid w:val="006432EE"/>
    <w:rsid w:val="006435C1"/>
    <w:rsid w:val="00645269"/>
    <w:rsid w:val="006454B3"/>
    <w:rsid w:val="0064567B"/>
    <w:rsid w:val="00645D0D"/>
    <w:rsid w:val="00646160"/>
    <w:rsid w:val="006467AD"/>
    <w:rsid w:val="006470E8"/>
    <w:rsid w:val="00647DF2"/>
    <w:rsid w:val="00650DE9"/>
    <w:rsid w:val="006517B5"/>
    <w:rsid w:val="006518CB"/>
    <w:rsid w:val="00651CD4"/>
    <w:rsid w:val="00652CC1"/>
    <w:rsid w:val="006532D6"/>
    <w:rsid w:val="00653DD0"/>
    <w:rsid w:val="00654BBA"/>
    <w:rsid w:val="00654FE7"/>
    <w:rsid w:val="00654FF8"/>
    <w:rsid w:val="0066026C"/>
    <w:rsid w:val="006606B1"/>
    <w:rsid w:val="00660775"/>
    <w:rsid w:val="00661770"/>
    <w:rsid w:val="00661ABA"/>
    <w:rsid w:val="00661E54"/>
    <w:rsid w:val="00662ADB"/>
    <w:rsid w:val="00662BA8"/>
    <w:rsid w:val="006642CA"/>
    <w:rsid w:val="006643B5"/>
    <w:rsid w:val="00664CE7"/>
    <w:rsid w:val="006654E1"/>
    <w:rsid w:val="00666085"/>
    <w:rsid w:val="00666854"/>
    <w:rsid w:val="00666EF2"/>
    <w:rsid w:val="00670479"/>
    <w:rsid w:val="0067129C"/>
    <w:rsid w:val="0067136D"/>
    <w:rsid w:val="00671C94"/>
    <w:rsid w:val="00672BA7"/>
    <w:rsid w:val="006748B8"/>
    <w:rsid w:val="0067557C"/>
    <w:rsid w:val="00675E9E"/>
    <w:rsid w:val="0067601D"/>
    <w:rsid w:val="006762A4"/>
    <w:rsid w:val="00676A60"/>
    <w:rsid w:val="006775C3"/>
    <w:rsid w:val="006776BA"/>
    <w:rsid w:val="0068028C"/>
    <w:rsid w:val="00680A4D"/>
    <w:rsid w:val="00681640"/>
    <w:rsid w:val="006828C7"/>
    <w:rsid w:val="006846B5"/>
    <w:rsid w:val="006866DE"/>
    <w:rsid w:val="00686D08"/>
    <w:rsid w:val="006872CD"/>
    <w:rsid w:val="00687EE8"/>
    <w:rsid w:val="00690223"/>
    <w:rsid w:val="00691831"/>
    <w:rsid w:val="00692458"/>
    <w:rsid w:val="0069290A"/>
    <w:rsid w:val="00693675"/>
    <w:rsid w:val="00694619"/>
    <w:rsid w:val="00695184"/>
    <w:rsid w:val="0069775A"/>
    <w:rsid w:val="00697813"/>
    <w:rsid w:val="006A03C2"/>
    <w:rsid w:val="006A109D"/>
    <w:rsid w:val="006A2C2F"/>
    <w:rsid w:val="006A32AE"/>
    <w:rsid w:val="006A35DD"/>
    <w:rsid w:val="006A3EE8"/>
    <w:rsid w:val="006A4081"/>
    <w:rsid w:val="006A4F64"/>
    <w:rsid w:val="006A5636"/>
    <w:rsid w:val="006A57ED"/>
    <w:rsid w:val="006A59F0"/>
    <w:rsid w:val="006A6A25"/>
    <w:rsid w:val="006A72BF"/>
    <w:rsid w:val="006A753D"/>
    <w:rsid w:val="006A7FF1"/>
    <w:rsid w:val="006B03F2"/>
    <w:rsid w:val="006B046B"/>
    <w:rsid w:val="006B12A1"/>
    <w:rsid w:val="006B16A8"/>
    <w:rsid w:val="006B1DED"/>
    <w:rsid w:val="006B33D4"/>
    <w:rsid w:val="006B37DC"/>
    <w:rsid w:val="006B388E"/>
    <w:rsid w:val="006B3AB8"/>
    <w:rsid w:val="006B45E3"/>
    <w:rsid w:val="006B4F68"/>
    <w:rsid w:val="006B5FC1"/>
    <w:rsid w:val="006B60D3"/>
    <w:rsid w:val="006B63D3"/>
    <w:rsid w:val="006B7AC6"/>
    <w:rsid w:val="006C0592"/>
    <w:rsid w:val="006C0617"/>
    <w:rsid w:val="006C272E"/>
    <w:rsid w:val="006C289C"/>
    <w:rsid w:val="006C327C"/>
    <w:rsid w:val="006C3F1A"/>
    <w:rsid w:val="006C44A9"/>
    <w:rsid w:val="006C465E"/>
    <w:rsid w:val="006C4A2D"/>
    <w:rsid w:val="006C5338"/>
    <w:rsid w:val="006C5479"/>
    <w:rsid w:val="006D000A"/>
    <w:rsid w:val="006D08D1"/>
    <w:rsid w:val="006D08F3"/>
    <w:rsid w:val="006D0D8D"/>
    <w:rsid w:val="006D13B5"/>
    <w:rsid w:val="006D1687"/>
    <w:rsid w:val="006D1E4B"/>
    <w:rsid w:val="006D30B3"/>
    <w:rsid w:val="006D35D3"/>
    <w:rsid w:val="006D3E6D"/>
    <w:rsid w:val="006D474C"/>
    <w:rsid w:val="006D55EC"/>
    <w:rsid w:val="006D5E33"/>
    <w:rsid w:val="006D6625"/>
    <w:rsid w:val="006D72CD"/>
    <w:rsid w:val="006D73BB"/>
    <w:rsid w:val="006D7D94"/>
    <w:rsid w:val="006E0D89"/>
    <w:rsid w:val="006E10A2"/>
    <w:rsid w:val="006E12FF"/>
    <w:rsid w:val="006E143F"/>
    <w:rsid w:val="006E17A2"/>
    <w:rsid w:val="006E1F31"/>
    <w:rsid w:val="006E2B81"/>
    <w:rsid w:val="006E3E3C"/>
    <w:rsid w:val="006E40B2"/>
    <w:rsid w:val="006E57E9"/>
    <w:rsid w:val="006E5B53"/>
    <w:rsid w:val="006E5BCF"/>
    <w:rsid w:val="006E607E"/>
    <w:rsid w:val="006E690D"/>
    <w:rsid w:val="006F1024"/>
    <w:rsid w:val="006F21B6"/>
    <w:rsid w:val="006F2A73"/>
    <w:rsid w:val="006F4100"/>
    <w:rsid w:val="006F4654"/>
    <w:rsid w:val="006F4FB8"/>
    <w:rsid w:val="006F536C"/>
    <w:rsid w:val="006F5B9F"/>
    <w:rsid w:val="006F6FE3"/>
    <w:rsid w:val="006F7318"/>
    <w:rsid w:val="006F761C"/>
    <w:rsid w:val="007001AD"/>
    <w:rsid w:val="00700492"/>
    <w:rsid w:val="0070067C"/>
    <w:rsid w:val="00700746"/>
    <w:rsid w:val="00701936"/>
    <w:rsid w:val="00704CBC"/>
    <w:rsid w:val="00704D39"/>
    <w:rsid w:val="0070578B"/>
    <w:rsid w:val="00706B21"/>
    <w:rsid w:val="00706C5D"/>
    <w:rsid w:val="00706E7E"/>
    <w:rsid w:val="00707643"/>
    <w:rsid w:val="00710411"/>
    <w:rsid w:val="0071098A"/>
    <w:rsid w:val="007114E4"/>
    <w:rsid w:val="007122D1"/>
    <w:rsid w:val="00712EED"/>
    <w:rsid w:val="00714758"/>
    <w:rsid w:val="00715970"/>
    <w:rsid w:val="00715BA6"/>
    <w:rsid w:val="00716D5F"/>
    <w:rsid w:val="0071780B"/>
    <w:rsid w:val="0072009A"/>
    <w:rsid w:val="0072056F"/>
    <w:rsid w:val="007208DE"/>
    <w:rsid w:val="00721992"/>
    <w:rsid w:val="00721A4F"/>
    <w:rsid w:val="007232CB"/>
    <w:rsid w:val="00723E8E"/>
    <w:rsid w:val="00725658"/>
    <w:rsid w:val="0072706A"/>
    <w:rsid w:val="00727217"/>
    <w:rsid w:val="00727EEB"/>
    <w:rsid w:val="00731DC5"/>
    <w:rsid w:val="00731F0D"/>
    <w:rsid w:val="00732198"/>
    <w:rsid w:val="00732299"/>
    <w:rsid w:val="00732922"/>
    <w:rsid w:val="00732EFF"/>
    <w:rsid w:val="00732FEC"/>
    <w:rsid w:val="0073371D"/>
    <w:rsid w:val="00733A85"/>
    <w:rsid w:val="00733BCF"/>
    <w:rsid w:val="007343DD"/>
    <w:rsid w:val="00735149"/>
    <w:rsid w:val="00736112"/>
    <w:rsid w:val="007364EC"/>
    <w:rsid w:val="0074022F"/>
    <w:rsid w:val="007403AA"/>
    <w:rsid w:val="0074183D"/>
    <w:rsid w:val="0074333A"/>
    <w:rsid w:val="0074373B"/>
    <w:rsid w:val="00743AE5"/>
    <w:rsid w:val="007443F3"/>
    <w:rsid w:val="00744884"/>
    <w:rsid w:val="0074492B"/>
    <w:rsid w:val="00744F16"/>
    <w:rsid w:val="0074540C"/>
    <w:rsid w:val="00746D46"/>
    <w:rsid w:val="00746DF9"/>
    <w:rsid w:val="0075162E"/>
    <w:rsid w:val="007523B9"/>
    <w:rsid w:val="00752B70"/>
    <w:rsid w:val="00754034"/>
    <w:rsid w:val="00754783"/>
    <w:rsid w:val="007549A3"/>
    <w:rsid w:val="00754A72"/>
    <w:rsid w:val="00755120"/>
    <w:rsid w:val="007553C6"/>
    <w:rsid w:val="0075559C"/>
    <w:rsid w:val="00755975"/>
    <w:rsid w:val="00755A12"/>
    <w:rsid w:val="00755A78"/>
    <w:rsid w:val="00756556"/>
    <w:rsid w:val="00756C16"/>
    <w:rsid w:val="00756FC4"/>
    <w:rsid w:val="0076020A"/>
    <w:rsid w:val="007618C4"/>
    <w:rsid w:val="0076297D"/>
    <w:rsid w:val="00763550"/>
    <w:rsid w:val="0076373E"/>
    <w:rsid w:val="00763A72"/>
    <w:rsid w:val="00763EDE"/>
    <w:rsid w:val="0076567D"/>
    <w:rsid w:val="00765DF2"/>
    <w:rsid w:val="007660C7"/>
    <w:rsid w:val="00767980"/>
    <w:rsid w:val="00767BF8"/>
    <w:rsid w:val="00767C53"/>
    <w:rsid w:val="00770013"/>
    <w:rsid w:val="007701B6"/>
    <w:rsid w:val="00770517"/>
    <w:rsid w:val="007707BF"/>
    <w:rsid w:val="00770B19"/>
    <w:rsid w:val="0077104E"/>
    <w:rsid w:val="00771B02"/>
    <w:rsid w:val="0077240E"/>
    <w:rsid w:val="00772AF2"/>
    <w:rsid w:val="0077396C"/>
    <w:rsid w:val="0077463F"/>
    <w:rsid w:val="0077475B"/>
    <w:rsid w:val="00776C46"/>
    <w:rsid w:val="0077752A"/>
    <w:rsid w:val="007830BE"/>
    <w:rsid w:val="00783243"/>
    <w:rsid w:val="007836EA"/>
    <w:rsid w:val="00784121"/>
    <w:rsid w:val="00784CDA"/>
    <w:rsid w:val="00785250"/>
    <w:rsid w:val="00786628"/>
    <w:rsid w:val="007868F1"/>
    <w:rsid w:val="00786DD7"/>
    <w:rsid w:val="007906C4"/>
    <w:rsid w:val="00790B33"/>
    <w:rsid w:val="007914EB"/>
    <w:rsid w:val="00791703"/>
    <w:rsid w:val="00792675"/>
    <w:rsid w:val="00792917"/>
    <w:rsid w:val="007929D1"/>
    <w:rsid w:val="00793549"/>
    <w:rsid w:val="00793F70"/>
    <w:rsid w:val="00793FD8"/>
    <w:rsid w:val="007940EA"/>
    <w:rsid w:val="007967E8"/>
    <w:rsid w:val="0079737B"/>
    <w:rsid w:val="007975EF"/>
    <w:rsid w:val="007A165F"/>
    <w:rsid w:val="007A2170"/>
    <w:rsid w:val="007A22BF"/>
    <w:rsid w:val="007A2366"/>
    <w:rsid w:val="007A2EB3"/>
    <w:rsid w:val="007A2F84"/>
    <w:rsid w:val="007A3323"/>
    <w:rsid w:val="007A3FEE"/>
    <w:rsid w:val="007A4B2F"/>
    <w:rsid w:val="007A5B87"/>
    <w:rsid w:val="007A5FC7"/>
    <w:rsid w:val="007A64AB"/>
    <w:rsid w:val="007A6DEF"/>
    <w:rsid w:val="007A7B0B"/>
    <w:rsid w:val="007A7D61"/>
    <w:rsid w:val="007B078B"/>
    <w:rsid w:val="007B07E7"/>
    <w:rsid w:val="007B0E3A"/>
    <w:rsid w:val="007B0EBB"/>
    <w:rsid w:val="007B1E66"/>
    <w:rsid w:val="007B289D"/>
    <w:rsid w:val="007B352E"/>
    <w:rsid w:val="007B4E91"/>
    <w:rsid w:val="007B531D"/>
    <w:rsid w:val="007B5792"/>
    <w:rsid w:val="007B72B8"/>
    <w:rsid w:val="007B757C"/>
    <w:rsid w:val="007B7A58"/>
    <w:rsid w:val="007C00B0"/>
    <w:rsid w:val="007C059E"/>
    <w:rsid w:val="007C0743"/>
    <w:rsid w:val="007C15C2"/>
    <w:rsid w:val="007C1C28"/>
    <w:rsid w:val="007C21B5"/>
    <w:rsid w:val="007C2C6B"/>
    <w:rsid w:val="007C3874"/>
    <w:rsid w:val="007C3E16"/>
    <w:rsid w:val="007C5816"/>
    <w:rsid w:val="007C5DFF"/>
    <w:rsid w:val="007C6E7F"/>
    <w:rsid w:val="007C7A93"/>
    <w:rsid w:val="007C7E99"/>
    <w:rsid w:val="007D0F9C"/>
    <w:rsid w:val="007D45BE"/>
    <w:rsid w:val="007D4F0E"/>
    <w:rsid w:val="007D539C"/>
    <w:rsid w:val="007D5717"/>
    <w:rsid w:val="007D59BB"/>
    <w:rsid w:val="007D648D"/>
    <w:rsid w:val="007D651C"/>
    <w:rsid w:val="007D6C28"/>
    <w:rsid w:val="007D6FAA"/>
    <w:rsid w:val="007E0FAB"/>
    <w:rsid w:val="007E14F0"/>
    <w:rsid w:val="007E174D"/>
    <w:rsid w:val="007E1863"/>
    <w:rsid w:val="007E26FD"/>
    <w:rsid w:val="007E2785"/>
    <w:rsid w:val="007E27F5"/>
    <w:rsid w:val="007E294E"/>
    <w:rsid w:val="007E2EEE"/>
    <w:rsid w:val="007E3AE3"/>
    <w:rsid w:val="007E49A9"/>
    <w:rsid w:val="007E4BD2"/>
    <w:rsid w:val="007E4D1D"/>
    <w:rsid w:val="007F0084"/>
    <w:rsid w:val="007F0A17"/>
    <w:rsid w:val="007F23F4"/>
    <w:rsid w:val="007F251E"/>
    <w:rsid w:val="007F4A97"/>
    <w:rsid w:val="007F4C0F"/>
    <w:rsid w:val="007F5021"/>
    <w:rsid w:val="007F508B"/>
    <w:rsid w:val="007F6A48"/>
    <w:rsid w:val="007F7640"/>
    <w:rsid w:val="007F7721"/>
    <w:rsid w:val="00800547"/>
    <w:rsid w:val="00800957"/>
    <w:rsid w:val="00801393"/>
    <w:rsid w:val="00801B96"/>
    <w:rsid w:val="008023A0"/>
    <w:rsid w:val="008024D0"/>
    <w:rsid w:val="008026B4"/>
    <w:rsid w:val="008026CA"/>
    <w:rsid w:val="00802F5F"/>
    <w:rsid w:val="00802F88"/>
    <w:rsid w:val="00803BD0"/>
    <w:rsid w:val="00803E96"/>
    <w:rsid w:val="00805554"/>
    <w:rsid w:val="00806047"/>
    <w:rsid w:val="00806CED"/>
    <w:rsid w:val="0080719A"/>
    <w:rsid w:val="0081043C"/>
    <w:rsid w:val="00810472"/>
    <w:rsid w:val="00811B0E"/>
    <w:rsid w:val="00811FDE"/>
    <w:rsid w:val="0081218B"/>
    <w:rsid w:val="0081293E"/>
    <w:rsid w:val="008132DC"/>
    <w:rsid w:val="00814BFA"/>
    <w:rsid w:val="0081529B"/>
    <w:rsid w:val="00815465"/>
    <w:rsid w:val="00815EA5"/>
    <w:rsid w:val="00817C0A"/>
    <w:rsid w:val="00817E9A"/>
    <w:rsid w:val="0082050E"/>
    <w:rsid w:val="0082123F"/>
    <w:rsid w:val="008218F8"/>
    <w:rsid w:val="0082208D"/>
    <w:rsid w:val="008229DA"/>
    <w:rsid w:val="00822F57"/>
    <w:rsid w:val="00822F6B"/>
    <w:rsid w:val="00823748"/>
    <w:rsid w:val="00824003"/>
    <w:rsid w:val="00824926"/>
    <w:rsid w:val="008258DD"/>
    <w:rsid w:val="00825AEB"/>
    <w:rsid w:val="00826C63"/>
    <w:rsid w:val="00827445"/>
    <w:rsid w:val="008306BD"/>
    <w:rsid w:val="00830ABF"/>
    <w:rsid w:val="00831A80"/>
    <w:rsid w:val="00831C21"/>
    <w:rsid w:val="00831D3E"/>
    <w:rsid w:val="00832E7E"/>
    <w:rsid w:val="008331A9"/>
    <w:rsid w:val="008332A9"/>
    <w:rsid w:val="00833743"/>
    <w:rsid w:val="00833FA1"/>
    <w:rsid w:val="00833FFB"/>
    <w:rsid w:val="008340A4"/>
    <w:rsid w:val="0083459B"/>
    <w:rsid w:val="0083487A"/>
    <w:rsid w:val="008356E3"/>
    <w:rsid w:val="00835B75"/>
    <w:rsid w:val="00835EF1"/>
    <w:rsid w:val="008363F2"/>
    <w:rsid w:val="00836467"/>
    <w:rsid w:val="00836967"/>
    <w:rsid w:val="00836BD1"/>
    <w:rsid w:val="00837908"/>
    <w:rsid w:val="00837C39"/>
    <w:rsid w:val="0084039D"/>
    <w:rsid w:val="00841E00"/>
    <w:rsid w:val="00842425"/>
    <w:rsid w:val="0084267C"/>
    <w:rsid w:val="00842E69"/>
    <w:rsid w:val="00842FB7"/>
    <w:rsid w:val="0084422B"/>
    <w:rsid w:val="008442C2"/>
    <w:rsid w:val="0084475C"/>
    <w:rsid w:val="00844F29"/>
    <w:rsid w:val="00846618"/>
    <w:rsid w:val="008470AE"/>
    <w:rsid w:val="00847931"/>
    <w:rsid w:val="0085195B"/>
    <w:rsid w:val="00852022"/>
    <w:rsid w:val="008525C4"/>
    <w:rsid w:val="008528CC"/>
    <w:rsid w:val="00852C92"/>
    <w:rsid w:val="008539D6"/>
    <w:rsid w:val="00855A63"/>
    <w:rsid w:val="0085646C"/>
    <w:rsid w:val="008600AA"/>
    <w:rsid w:val="00860248"/>
    <w:rsid w:val="008624E9"/>
    <w:rsid w:val="008624F4"/>
    <w:rsid w:val="008626BC"/>
    <w:rsid w:val="00862934"/>
    <w:rsid w:val="008636F4"/>
    <w:rsid w:val="00863D4E"/>
    <w:rsid w:val="00865673"/>
    <w:rsid w:val="008676BC"/>
    <w:rsid w:val="00867873"/>
    <w:rsid w:val="0087041B"/>
    <w:rsid w:val="008712A7"/>
    <w:rsid w:val="00871313"/>
    <w:rsid w:val="0087135F"/>
    <w:rsid w:val="008715A8"/>
    <w:rsid w:val="00871C85"/>
    <w:rsid w:val="00872D94"/>
    <w:rsid w:val="008737CD"/>
    <w:rsid w:val="00873F55"/>
    <w:rsid w:val="0087413A"/>
    <w:rsid w:val="00875B10"/>
    <w:rsid w:val="00877723"/>
    <w:rsid w:val="00880364"/>
    <w:rsid w:val="00881DC2"/>
    <w:rsid w:val="0088480B"/>
    <w:rsid w:val="00884866"/>
    <w:rsid w:val="00884F6A"/>
    <w:rsid w:val="008855C6"/>
    <w:rsid w:val="008862D4"/>
    <w:rsid w:val="008874C1"/>
    <w:rsid w:val="008879D2"/>
    <w:rsid w:val="00890370"/>
    <w:rsid w:val="008906B4"/>
    <w:rsid w:val="008914B5"/>
    <w:rsid w:val="00891592"/>
    <w:rsid w:val="008917FB"/>
    <w:rsid w:val="00891E9E"/>
    <w:rsid w:val="008925EB"/>
    <w:rsid w:val="00894F81"/>
    <w:rsid w:val="00895F4C"/>
    <w:rsid w:val="0089608F"/>
    <w:rsid w:val="00896385"/>
    <w:rsid w:val="008965E5"/>
    <w:rsid w:val="0089741D"/>
    <w:rsid w:val="00897C38"/>
    <w:rsid w:val="008A056C"/>
    <w:rsid w:val="008A0D1B"/>
    <w:rsid w:val="008A11DF"/>
    <w:rsid w:val="008A2F68"/>
    <w:rsid w:val="008A400A"/>
    <w:rsid w:val="008A4037"/>
    <w:rsid w:val="008A4251"/>
    <w:rsid w:val="008A440E"/>
    <w:rsid w:val="008A4B13"/>
    <w:rsid w:val="008A5993"/>
    <w:rsid w:val="008A5E3D"/>
    <w:rsid w:val="008A5F2D"/>
    <w:rsid w:val="008A7F87"/>
    <w:rsid w:val="008B019E"/>
    <w:rsid w:val="008B020B"/>
    <w:rsid w:val="008B0BAE"/>
    <w:rsid w:val="008B2159"/>
    <w:rsid w:val="008B2E1E"/>
    <w:rsid w:val="008B3361"/>
    <w:rsid w:val="008B389E"/>
    <w:rsid w:val="008B4BC8"/>
    <w:rsid w:val="008B4FA6"/>
    <w:rsid w:val="008B5282"/>
    <w:rsid w:val="008B5640"/>
    <w:rsid w:val="008B5A86"/>
    <w:rsid w:val="008B5ACD"/>
    <w:rsid w:val="008B5ECB"/>
    <w:rsid w:val="008B602A"/>
    <w:rsid w:val="008B63F5"/>
    <w:rsid w:val="008B6BFC"/>
    <w:rsid w:val="008B7AB7"/>
    <w:rsid w:val="008B7C17"/>
    <w:rsid w:val="008B7DD6"/>
    <w:rsid w:val="008C08C4"/>
    <w:rsid w:val="008C1132"/>
    <w:rsid w:val="008C1BA2"/>
    <w:rsid w:val="008C1DB3"/>
    <w:rsid w:val="008C1DD6"/>
    <w:rsid w:val="008C2D01"/>
    <w:rsid w:val="008C40E6"/>
    <w:rsid w:val="008C4E85"/>
    <w:rsid w:val="008C4FE2"/>
    <w:rsid w:val="008C51D3"/>
    <w:rsid w:val="008C5292"/>
    <w:rsid w:val="008C5777"/>
    <w:rsid w:val="008D0F7A"/>
    <w:rsid w:val="008D0FD6"/>
    <w:rsid w:val="008D163A"/>
    <w:rsid w:val="008D1D33"/>
    <w:rsid w:val="008D1FE1"/>
    <w:rsid w:val="008D2A51"/>
    <w:rsid w:val="008D2C24"/>
    <w:rsid w:val="008D34D4"/>
    <w:rsid w:val="008D51BA"/>
    <w:rsid w:val="008D5439"/>
    <w:rsid w:val="008D57F1"/>
    <w:rsid w:val="008D5D39"/>
    <w:rsid w:val="008D5F98"/>
    <w:rsid w:val="008D68E4"/>
    <w:rsid w:val="008D70E3"/>
    <w:rsid w:val="008D74D5"/>
    <w:rsid w:val="008D7B32"/>
    <w:rsid w:val="008E03B4"/>
    <w:rsid w:val="008E0506"/>
    <w:rsid w:val="008E0831"/>
    <w:rsid w:val="008E0CFF"/>
    <w:rsid w:val="008E2F55"/>
    <w:rsid w:val="008E34E7"/>
    <w:rsid w:val="008E3EDF"/>
    <w:rsid w:val="008E3FA0"/>
    <w:rsid w:val="008E543C"/>
    <w:rsid w:val="008E5D6B"/>
    <w:rsid w:val="008E5E70"/>
    <w:rsid w:val="008E6BB3"/>
    <w:rsid w:val="008E71BC"/>
    <w:rsid w:val="008E76F0"/>
    <w:rsid w:val="008E77A1"/>
    <w:rsid w:val="008E7B2F"/>
    <w:rsid w:val="008F03B2"/>
    <w:rsid w:val="008F0755"/>
    <w:rsid w:val="008F15FE"/>
    <w:rsid w:val="008F28BA"/>
    <w:rsid w:val="008F2D29"/>
    <w:rsid w:val="008F309D"/>
    <w:rsid w:val="008F4BD2"/>
    <w:rsid w:val="008F4E87"/>
    <w:rsid w:val="008F5187"/>
    <w:rsid w:val="008F57E9"/>
    <w:rsid w:val="008F599B"/>
    <w:rsid w:val="008F60D8"/>
    <w:rsid w:val="008F60DA"/>
    <w:rsid w:val="008F6505"/>
    <w:rsid w:val="008F77F5"/>
    <w:rsid w:val="00900B78"/>
    <w:rsid w:val="00900F0B"/>
    <w:rsid w:val="00902727"/>
    <w:rsid w:val="0090312B"/>
    <w:rsid w:val="009040EF"/>
    <w:rsid w:val="009045C7"/>
    <w:rsid w:val="00905016"/>
    <w:rsid w:val="00905A26"/>
    <w:rsid w:val="00905E16"/>
    <w:rsid w:val="009071C3"/>
    <w:rsid w:val="00907BEF"/>
    <w:rsid w:val="00907DBD"/>
    <w:rsid w:val="00911097"/>
    <w:rsid w:val="0091294D"/>
    <w:rsid w:val="00912C12"/>
    <w:rsid w:val="00912C2C"/>
    <w:rsid w:val="00913C2D"/>
    <w:rsid w:val="00914773"/>
    <w:rsid w:val="00914D48"/>
    <w:rsid w:val="009157B6"/>
    <w:rsid w:val="00915B7B"/>
    <w:rsid w:val="009163B8"/>
    <w:rsid w:val="00916F7F"/>
    <w:rsid w:val="00917322"/>
    <w:rsid w:val="0091736D"/>
    <w:rsid w:val="00917655"/>
    <w:rsid w:val="00917B82"/>
    <w:rsid w:val="00920439"/>
    <w:rsid w:val="00920733"/>
    <w:rsid w:val="009215F6"/>
    <w:rsid w:val="00921B6C"/>
    <w:rsid w:val="00921EF1"/>
    <w:rsid w:val="00922DE8"/>
    <w:rsid w:val="0092301C"/>
    <w:rsid w:val="0092362D"/>
    <w:rsid w:val="00923790"/>
    <w:rsid w:val="009265F1"/>
    <w:rsid w:val="0092680A"/>
    <w:rsid w:val="0092776B"/>
    <w:rsid w:val="00927CA8"/>
    <w:rsid w:val="0093037A"/>
    <w:rsid w:val="00930A49"/>
    <w:rsid w:val="00930BA1"/>
    <w:rsid w:val="0093148B"/>
    <w:rsid w:val="00931C66"/>
    <w:rsid w:val="00932369"/>
    <w:rsid w:val="00932B3D"/>
    <w:rsid w:val="00933012"/>
    <w:rsid w:val="0093315F"/>
    <w:rsid w:val="009335D4"/>
    <w:rsid w:val="00933911"/>
    <w:rsid w:val="009341FF"/>
    <w:rsid w:val="00934B27"/>
    <w:rsid w:val="0093502C"/>
    <w:rsid w:val="00935601"/>
    <w:rsid w:val="00935E7D"/>
    <w:rsid w:val="00936525"/>
    <w:rsid w:val="009365E7"/>
    <w:rsid w:val="00936675"/>
    <w:rsid w:val="00936888"/>
    <w:rsid w:val="00937824"/>
    <w:rsid w:val="00937BAC"/>
    <w:rsid w:val="00937FD2"/>
    <w:rsid w:val="009404F5"/>
    <w:rsid w:val="009405E2"/>
    <w:rsid w:val="00940BC7"/>
    <w:rsid w:val="00940C3B"/>
    <w:rsid w:val="00940F15"/>
    <w:rsid w:val="0094154D"/>
    <w:rsid w:val="00941EC5"/>
    <w:rsid w:val="00942049"/>
    <w:rsid w:val="00942C53"/>
    <w:rsid w:val="0094397A"/>
    <w:rsid w:val="009440ED"/>
    <w:rsid w:val="00946373"/>
    <w:rsid w:val="0094694D"/>
    <w:rsid w:val="00946BAB"/>
    <w:rsid w:val="00947BCE"/>
    <w:rsid w:val="00947C89"/>
    <w:rsid w:val="00950520"/>
    <w:rsid w:val="00950BDF"/>
    <w:rsid w:val="0095155F"/>
    <w:rsid w:val="00952428"/>
    <w:rsid w:val="00953C7D"/>
    <w:rsid w:val="00954198"/>
    <w:rsid w:val="00954429"/>
    <w:rsid w:val="00954DBC"/>
    <w:rsid w:val="00955E4A"/>
    <w:rsid w:val="009563CE"/>
    <w:rsid w:val="009572B6"/>
    <w:rsid w:val="009576CF"/>
    <w:rsid w:val="009609DB"/>
    <w:rsid w:val="00960D1A"/>
    <w:rsid w:val="00961853"/>
    <w:rsid w:val="009629AC"/>
    <w:rsid w:val="009630C4"/>
    <w:rsid w:val="00964A38"/>
    <w:rsid w:val="00967365"/>
    <w:rsid w:val="00967B76"/>
    <w:rsid w:val="00967C16"/>
    <w:rsid w:val="0097084E"/>
    <w:rsid w:val="009714B5"/>
    <w:rsid w:val="00971BFA"/>
    <w:rsid w:val="00972217"/>
    <w:rsid w:val="0097276B"/>
    <w:rsid w:val="009735CB"/>
    <w:rsid w:val="009746A3"/>
    <w:rsid w:val="009747AA"/>
    <w:rsid w:val="00975920"/>
    <w:rsid w:val="00975E24"/>
    <w:rsid w:val="00976328"/>
    <w:rsid w:val="00976795"/>
    <w:rsid w:val="0097680D"/>
    <w:rsid w:val="009775E8"/>
    <w:rsid w:val="00977A62"/>
    <w:rsid w:val="00977F66"/>
    <w:rsid w:val="00980BA5"/>
    <w:rsid w:val="0098128B"/>
    <w:rsid w:val="00981899"/>
    <w:rsid w:val="00982438"/>
    <w:rsid w:val="00982981"/>
    <w:rsid w:val="0098404C"/>
    <w:rsid w:val="00985283"/>
    <w:rsid w:val="00985D7A"/>
    <w:rsid w:val="009870C5"/>
    <w:rsid w:val="0098716A"/>
    <w:rsid w:val="00990557"/>
    <w:rsid w:val="00991052"/>
    <w:rsid w:val="00991099"/>
    <w:rsid w:val="009919BA"/>
    <w:rsid w:val="00992B32"/>
    <w:rsid w:val="00993EA3"/>
    <w:rsid w:val="009943D4"/>
    <w:rsid w:val="009945FC"/>
    <w:rsid w:val="00994DC2"/>
    <w:rsid w:val="00995992"/>
    <w:rsid w:val="00995C80"/>
    <w:rsid w:val="00995EF4"/>
    <w:rsid w:val="009964A8"/>
    <w:rsid w:val="009978FC"/>
    <w:rsid w:val="009A03E5"/>
    <w:rsid w:val="009A0F3B"/>
    <w:rsid w:val="009A1575"/>
    <w:rsid w:val="009A1B6F"/>
    <w:rsid w:val="009A1BB4"/>
    <w:rsid w:val="009A1D31"/>
    <w:rsid w:val="009A1E05"/>
    <w:rsid w:val="009A2628"/>
    <w:rsid w:val="009A30DE"/>
    <w:rsid w:val="009A3200"/>
    <w:rsid w:val="009A32F1"/>
    <w:rsid w:val="009A3358"/>
    <w:rsid w:val="009A3B55"/>
    <w:rsid w:val="009A4BFD"/>
    <w:rsid w:val="009A5746"/>
    <w:rsid w:val="009A59B3"/>
    <w:rsid w:val="009A5A0B"/>
    <w:rsid w:val="009A75EE"/>
    <w:rsid w:val="009A7834"/>
    <w:rsid w:val="009B0897"/>
    <w:rsid w:val="009B0FAE"/>
    <w:rsid w:val="009B1222"/>
    <w:rsid w:val="009B15F8"/>
    <w:rsid w:val="009B1BF7"/>
    <w:rsid w:val="009B2319"/>
    <w:rsid w:val="009B23D6"/>
    <w:rsid w:val="009B2C37"/>
    <w:rsid w:val="009B34D1"/>
    <w:rsid w:val="009B3ECB"/>
    <w:rsid w:val="009B55CC"/>
    <w:rsid w:val="009B631F"/>
    <w:rsid w:val="009B6407"/>
    <w:rsid w:val="009B66E2"/>
    <w:rsid w:val="009B6E6C"/>
    <w:rsid w:val="009B7BD9"/>
    <w:rsid w:val="009C18A6"/>
    <w:rsid w:val="009C18D3"/>
    <w:rsid w:val="009C2CAD"/>
    <w:rsid w:val="009C2F1C"/>
    <w:rsid w:val="009C39F2"/>
    <w:rsid w:val="009C503E"/>
    <w:rsid w:val="009C5F98"/>
    <w:rsid w:val="009C6452"/>
    <w:rsid w:val="009C6666"/>
    <w:rsid w:val="009C6F74"/>
    <w:rsid w:val="009C7029"/>
    <w:rsid w:val="009C709A"/>
    <w:rsid w:val="009C7DD5"/>
    <w:rsid w:val="009D170C"/>
    <w:rsid w:val="009D232C"/>
    <w:rsid w:val="009D31A4"/>
    <w:rsid w:val="009D4168"/>
    <w:rsid w:val="009D6753"/>
    <w:rsid w:val="009D702C"/>
    <w:rsid w:val="009D7F1C"/>
    <w:rsid w:val="009D7F20"/>
    <w:rsid w:val="009E107D"/>
    <w:rsid w:val="009E208F"/>
    <w:rsid w:val="009E227D"/>
    <w:rsid w:val="009E2595"/>
    <w:rsid w:val="009E291E"/>
    <w:rsid w:val="009E4180"/>
    <w:rsid w:val="009E4CDC"/>
    <w:rsid w:val="009E4FD3"/>
    <w:rsid w:val="009E5019"/>
    <w:rsid w:val="009E723C"/>
    <w:rsid w:val="009E7964"/>
    <w:rsid w:val="009F0F0B"/>
    <w:rsid w:val="009F190C"/>
    <w:rsid w:val="009F1A9D"/>
    <w:rsid w:val="009F3A40"/>
    <w:rsid w:val="009F6653"/>
    <w:rsid w:val="009F7809"/>
    <w:rsid w:val="009F7BF1"/>
    <w:rsid w:val="009F7EB4"/>
    <w:rsid w:val="00A00F34"/>
    <w:rsid w:val="00A01F5C"/>
    <w:rsid w:val="00A02795"/>
    <w:rsid w:val="00A02FF0"/>
    <w:rsid w:val="00A03452"/>
    <w:rsid w:val="00A04731"/>
    <w:rsid w:val="00A04ED5"/>
    <w:rsid w:val="00A04F1B"/>
    <w:rsid w:val="00A0501B"/>
    <w:rsid w:val="00A05761"/>
    <w:rsid w:val="00A079CF"/>
    <w:rsid w:val="00A07D9F"/>
    <w:rsid w:val="00A11303"/>
    <w:rsid w:val="00A116C9"/>
    <w:rsid w:val="00A11763"/>
    <w:rsid w:val="00A12B08"/>
    <w:rsid w:val="00A133F4"/>
    <w:rsid w:val="00A13C41"/>
    <w:rsid w:val="00A13CE4"/>
    <w:rsid w:val="00A14947"/>
    <w:rsid w:val="00A14C44"/>
    <w:rsid w:val="00A151D9"/>
    <w:rsid w:val="00A155E9"/>
    <w:rsid w:val="00A16F6B"/>
    <w:rsid w:val="00A17240"/>
    <w:rsid w:val="00A1763C"/>
    <w:rsid w:val="00A17A38"/>
    <w:rsid w:val="00A17F8A"/>
    <w:rsid w:val="00A20A27"/>
    <w:rsid w:val="00A2239A"/>
    <w:rsid w:val="00A22CB7"/>
    <w:rsid w:val="00A22E4A"/>
    <w:rsid w:val="00A24409"/>
    <w:rsid w:val="00A24E3B"/>
    <w:rsid w:val="00A25FF3"/>
    <w:rsid w:val="00A26C7A"/>
    <w:rsid w:val="00A26F38"/>
    <w:rsid w:val="00A278E7"/>
    <w:rsid w:val="00A311BD"/>
    <w:rsid w:val="00A31438"/>
    <w:rsid w:val="00A316EE"/>
    <w:rsid w:val="00A32A83"/>
    <w:rsid w:val="00A32AE4"/>
    <w:rsid w:val="00A32F72"/>
    <w:rsid w:val="00A35CC5"/>
    <w:rsid w:val="00A368DB"/>
    <w:rsid w:val="00A3699E"/>
    <w:rsid w:val="00A36B7A"/>
    <w:rsid w:val="00A36C21"/>
    <w:rsid w:val="00A36DAF"/>
    <w:rsid w:val="00A37B37"/>
    <w:rsid w:val="00A37B3B"/>
    <w:rsid w:val="00A40961"/>
    <w:rsid w:val="00A4170E"/>
    <w:rsid w:val="00A41B99"/>
    <w:rsid w:val="00A423AA"/>
    <w:rsid w:val="00A43061"/>
    <w:rsid w:val="00A4322D"/>
    <w:rsid w:val="00A47188"/>
    <w:rsid w:val="00A5074B"/>
    <w:rsid w:val="00A50DDB"/>
    <w:rsid w:val="00A50F43"/>
    <w:rsid w:val="00A531D5"/>
    <w:rsid w:val="00A5366C"/>
    <w:rsid w:val="00A53C74"/>
    <w:rsid w:val="00A53EC6"/>
    <w:rsid w:val="00A548BE"/>
    <w:rsid w:val="00A552AB"/>
    <w:rsid w:val="00A55C0F"/>
    <w:rsid w:val="00A56424"/>
    <w:rsid w:val="00A625EE"/>
    <w:rsid w:val="00A637BA"/>
    <w:rsid w:val="00A641E3"/>
    <w:rsid w:val="00A647AC"/>
    <w:rsid w:val="00A6537D"/>
    <w:rsid w:val="00A65482"/>
    <w:rsid w:val="00A70323"/>
    <w:rsid w:val="00A7097F"/>
    <w:rsid w:val="00A7224F"/>
    <w:rsid w:val="00A72474"/>
    <w:rsid w:val="00A769D0"/>
    <w:rsid w:val="00A8023F"/>
    <w:rsid w:val="00A802E7"/>
    <w:rsid w:val="00A80CDE"/>
    <w:rsid w:val="00A80D61"/>
    <w:rsid w:val="00A82AC4"/>
    <w:rsid w:val="00A834D3"/>
    <w:rsid w:val="00A848EB"/>
    <w:rsid w:val="00A8645D"/>
    <w:rsid w:val="00A86464"/>
    <w:rsid w:val="00A8713F"/>
    <w:rsid w:val="00A87B5C"/>
    <w:rsid w:val="00A87C89"/>
    <w:rsid w:val="00A87DC7"/>
    <w:rsid w:val="00A90BA1"/>
    <w:rsid w:val="00A90C09"/>
    <w:rsid w:val="00A90EDD"/>
    <w:rsid w:val="00A92243"/>
    <w:rsid w:val="00A92E87"/>
    <w:rsid w:val="00A936A1"/>
    <w:rsid w:val="00A9403B"/>
    <w:rsid w:val="00A9439C"/>
    <w:rsid w:val="00A944EE"/>
    <w:rsid w:val="00A945FA"/>
    <w:rsid w:val="00A94954"/>
    <w:rsid w:val="00A95D4F"/>
    <w:rsid w:val="00A96906"/>
    <w:rsid w:val="00A97A82"/>
    <w:rsid w:val="00A97A9A"/>
    <w:rsid w:val="00AA0156"/>
    <w:rsid w:val="00AA017F"/>
    <w:rsid w:val="00AA0671"/>
    <w:rsid w:val="00AA18B3"/>
    <w:rsid w:val="00AA1B58"/>
    <w:rsid w:val="00AA251A"/>
    <w:rsid w:val="00AA2531"/>
    <w:rsid w:val="00AA3137"/>
    <w:rsid w:val="00AA4B0C"/>
    <w:rsid w:val="00AA52A5"/>
    <w:rsid w:val="00AA6712"/>
    <w:rsid w:val="00AA7B62"/>
    <w:rsid w:val="00AB0814"/>
    <w:rsid w:val="00AB0F36"/>
    <w:rsid w:val="00AB148E"/>
    <w:rsid w:val="00AB1DD5"/>
    <w:rsid w:val="00AB1E09"/>
    <w:rsid w:val="00AB33B0"/>
    <w:rsid w:val="00AB3E3F"/>
    <w:rsid w:val="00AB411E"/>
    <w:rsid w:val="00AB5330"/>
    <w:rsid w:val="00AB7747"/>
    <w:rsid w:val="00AB7987"/>
    <w:rsid w:val="00AB7F76"/>
    <w:rsid w:val="00AC0371"/>
    <w:rsid w:val="00AC14CE"/>
    <w:rsid w:val="00AC1AAA"/>
    <w:rsid w:val="00AC290D"/>
    <w:rsid w:val="00AC2A56"/>
    <w:rsid w:val="00AC2F77"/>
    <w:rsid w:val="00AC4259"/>
    <w:rsid w:val="00AC4DDB"/>
    <w:rsid w:val="00AC528A"/>
    <w:rsid w:val="00AC61B4"/>
    <w:rsid w:val="00AC656B"/>
    <w:rsid w:val="00AD055E"/>
    <w:rsid w:val="00AD0C52"/>
    <w:rsid w:val="00AD10BA"/>
    <w:rsid w:val="00AD14CD"/>
    <w:rsid w:val="00AD1DC3"/>
    <w:rsid w:val="00AD23BC"/>
    <w:rsid w:val="00AD2633"/>
    <w:rsid w:val="00AD296D"/>
    <w:rsid w:val="00AD346E"/>
    <w:rsid w:val="00AD3822"/>
    <w:rsid w:val="00AD39E2"/>
    <w:rsid w:val="00AD42DA"/>
    <w:rsid w:val="00AD43F4"/>
    <w:rsid w:val="00AD47A7"/>
    <w:rsid w:val="00AD57F7"/>
    <w:rsid w:val="00AD5D52"/>
    <w:rsid w:val="00AD661B"/>
    <w:rsid w:val="00AD6DA8"/>
    <w:rsid w:val="00AD76D8"/>
    <w:rsid w:val="00AD7BF1"/>
    <w:rsid w:val="00AD7C03"/>
    <w:rsid w:val="00AD7F83"/>
    <w:rsid w:val="00AE00BB"/>
    <w:rsid w:val="00AE04B3"/>
    <w:rsid w:val="00AE096D"/>
    <w:rsid w:val="00AE0FB9"/>
    <w:rsid w:val="00AE1985"/>
    <w:rsid w:val="00AE25D0"/>
    <w:rsid w:val="00AE379D"/>
    <w:rsid w:val="00AE394F"/>
    <w:rsid w:val="00AE3E63"/>
    <w:rsid w:val="00AE3F49"/>
    <w:rsid w:val="00AE435D"/>
    <w:rsid w:val="00AE55D8"/>
    <w:rsid w:val="00AE599B"/>
    <w:rsid w:val="00AE71E2"/>
    <w:rsid w:val="00AE7338"/>
    <w:rsid w:val="00AE775C"/>
    <w:rsid w:val="00AF027F"/>
    <w:rsid w:val="00AF0978"/>
    <w:rsid w:val="00AF0CBF"/>
    <w:rsid w:val="00AF1899"/>
    <w:rsid w:val="00AF257F"/>
    <w:rsid w:val="00AF2F4E"/>
    <w:rsid w:val="00AF33CF"/>
    <w:rsid w:val="00AF3D76"/>
    <w:rsid w:val="00AF4784"/>
    <w:rsid w:val="00AF4D50"/>
    <w:rsid w:val="00AF6025"/>
    <w:rsid w:val="00AF6179"/>
    <w:rsid w:val="00AF626A"/>
    <w:rsid w:val="00B0075A"/>
    <w:rsid w:val="00B0143A"/>
    <w:rsid w:val="00B01F55"/>
    <w:rsid w:val="00B02C28"/>
    <w:rsid w:val="00B02C8C"/>
    <w:rsid w:val="00B0345E"/>
    <w:rsid w:val="00B03FA7"/>
    <w:rsid w:val="00B04518"/>
    <w:rsid w:val="00B0531F"/>
    <w:rsid w:val="00B05926"/>
    <w:rsid w:val="00B05A45"/>
    <w:rsid w:val="00B06B08"/>
    <w:rsid w:val="00B06E3D"/>
    <w:rsid w:val="00B10599"/>
    <w:rsid w:val="00B120C9"/>
    <w:rsid w:val="00B12105"/>
    <w:rsid w:val="00B1295A"/>
    <w:rsid w:val="00B141DC"/>
    <w:rsid w:val="00B142B6"/>
    <w:rsid w:val="00B14551"/>
    <w:rsid w:val="00B1599B"/>
    <w:rsid w:val="00B16321"/>
    <w:rsid w:val="00B16417"/>
    <w:rsid w:val="00B16545"/>
    <w:rsid w:val="00B166D2"/>
    <w:rsid w:val="00B16765"/>
    <w:rsid w:val="00B20202"/>
    <w:rsid w:val="00B20A45"/>
    <w:rsid w:val="00B220B2"/>
    <w:rsid w:val="00B22AA1"/>
    <w:rsid w:val="00B22C5C"/>
    <w:rsid w:val="00B2304D"/>
    <w:rsid w:val="00B2324B"/>
    <w:rsid w:val="00B24C4D"/>
    <w:rsid w:val="00B24DDB"/>
    <w:rsid w:val="00B24F30"/>
    <w:rsid w:val="00B24FD2"/>
    <w:rsid w:val="00B25431"/>
    <w:rsid w:val="00B2543E"/>
    <w:rsid w:val="00B257B9"/>
    <w:rsid w:val="00B264EA"/>
    <w:rsid w:val="00B26843"/>
    <w:rsid w:val="00B277D8"/>
    <w:rsid w:val="00B30939"/>
    <w:rsid w:val="00B3106F"/>
    <w:rsid w:val="00B315E0"/>
    <w:rsid w:val="00B31ABF"/>
    <w:rsid w:val="00B32A27"/>
    <w:rsid w:val="00B32C7D"/>
    <w:rsid w:val="00B32E35"/>
    <w:rsid w:val="00B33558"/>
    <w:rsid w:val="00B33751"/>
    <w:rsid w:val="00B33BE3"/>
    <w:rsid w:val="00B3541C"/>
    <w:rsid w:val="00B3579D"/>
    <w:rsid w:val="00B3636F"/>
    <w:rsid w:val="00B364F3"/>
    <w:rsid w:val="00B36DBA"/>
    <w:rsid w:val="00B4033B"/>
    <w:rsid w:val="00B41067"/>
    <w:rsid w:val="00B41C0D"/>
    <w:rsid w:val="00B41D26"/>
    <w:rsid w:val="00B43472"/>
    <w:rsid w:val="00B43803"/>
    <w:rsid w:val="00B4463A"/>
    <w:rsid w:val="00B4568C"/>
    <w:rsid w:val="00B4570D"/>
    <w:rsid w:val="00B464FA"/>
    <w:rsid w:val="00B466A9"/>
    <w:rsid w:val="00B47032"/>
    <w:rsid w:val="00B47119"/>
    <w:rsid w:val="00B47CF2"/>
    <w:rsid w:val="00B47D82"/>
    <w:rsid w:val="00B500C0"/>
    <w:rsid w:val="00B509F7"/>
    <w:rsid w:val="00B50A85"/>
    <w:rsid w:val="00B50BD8"/>
    <w:rsid w:val="00B50E47"/>
    <w:rsid w:val="00B50F83"/>
    <w:rsid w:val="00B51955"/>
    <w:rsid w:val="00B52DAF"/>
    <w:rsid w:val="00B52F7E"/>
    <w:rsid w:val="00B5342E"/>
    <w:rsid w:val="00B53B5D"/>
    <w:rsid w:val="00B53DCF"/>
    <w:rsid w:val="00B54161"/>
    <w:rsid w:val="00B5591C"/>
    <w:rsid w:val="00B55968"/>
    <w:rsid w:val="00B55CF1"/>
    <w:rsid w:val="00B57FE1"/>
    <w:rsid w:val="00B60128"/>
    <w:rsid w:val="00B6055E"/>
    <w:rsid w:val="00B6169C"/>
    <w:rsid w:val="00B6177A"/>
    <w:rsid w:val="00B61AFC"/>
    <w:rsid w:val="00B6241F"/>
    <w:rsid w:val="00B6317D"/>
    <w:rsid w:val="00B6576B"/>
    <w:rsid w:val="00B664C9"/>
    <w:rsid w:val="00B71605"/>
    <w:rsid w:val="00B717F2"/>
    <w:rsid w:val="00B71BED"/>
    <w:rsid w:val="00B7213E"/>
    <w:rsid w:val="00B72DBA"/>
    <w:rsid w:val="00B734FD"/>
    <w:rsid w:val="00B73BBC"/>
    <w:rsid w:val="00B740EA"/>
    <w:rsid w:val="00B74348"/>
    <w:rsid w:val="00B74B42"/>
    <w:rsid w:val="00B7723F"/>
    <w:rsid w:val="00B775D2"/>
    <w:rsid w:val="00B77CF4"/>
    <w:rsid w:val="00B801F0"/>
    <w:rsid w:val="00B80533"/>
    <w:rsid w:val="00B80534"/>
    <w:rsid w:val="00B80BF1"/>
    <w:rsid w:val="00B81526"/>
    <w:rsid w:val="00B8156F"/>
    <w:rsid w:val="00B8160D"/>
    <w:rsid w:val="00B8237E"/>
    <w:rsid w:val="00B8319E"/>
    <w:rsid w:val="00B83F75"/>
    <w:rsid w:val="00B8427A"/>
    <w:rsid w:val="00B8433C"/>
    <w:rsid w:val="00B84A5F"/>
    <w:rsid w:val="00B85A93"/>
    <w:rsid w:val="00B864DE"/>
    <w:rsid w:val="00B8686E"/>
    <w:rsid w:val="00B87491"/>
    <w:rsid w:val="00B87B84"/>
    <w:rsid w:val="00B90344"/>
    <w:rsid w:val="00B904AB"/>
    <w:rsid w:val="00B91C91"/>
    <w:rsid w:val="00B91DF8"/>
    <w:rsid w:val="00B9239D"/>
    <w:rsid w:val="00B92443"/>
    <w:rsid w:val="00B92DF6"/>
    <w:rsid w:val="00B93692"/>
    <w:rsid w:val="00B94D24"/>
    <w:rsid w:val="00B94F83"/>
    <w:rsid w:val="00B95DC1"/>
    <w:rsid w:val="00B96368"/>
    <w:rsid w:val="00B963F8"/>
    <w:rsid w:val="00B96589"/>
    <w:rsid w:val="00B97078"/>
    <w:rsid w:val="00B97C26"/>
    <w:rsid w:val="00BA0652"/>
    <w:rsid w:val="00BA0F92"/>
    <w:rsid w:val="00BA29E9"/>
    <w:rsid w:val="00BA3AA8"/>
    <w:rsid w:val="00BA3C6D"/>
    <w:rsid w:val="00BA40EF"/>
    <w:rsid w:val="00BA4A39"/>
    <w:rsid w:val="00BA4B5F"/>
    <w:rsid w:val="00BA4C5F"/>
    <w:rsid w:val="00BA556E"/>
    <w:rsid w:val="00BA66B8"/>
    <w:rsid w:val="00BA7142"/>
    <w:rsid w:val="00BA7644"/>
    <w:rsid w:val="00BB001A"/>
    <w:rsid w:val="00BB18EF"/>
    <w:rsid w:val="00BB1D10"/>
    <w:rsid w:val="00BB1ED9"/>
    <w:rsid w:val="00BB237C"/>
    <w:rsid w:val="00BB300D"/>
    <w:rsid w:val="00BB3A65"/>
    <w:rsid w:val="00BB41A3"/>
    <w:rsid w:val="00BB5059"/>
    <w:rsid w:val="00BB5743"/>
    <w:rsid w:val="00BB578D"/>
    <w:rsid w:val="00BB69A8"/>
    <w:rsid w:val="00BB6BD8"/>
    <w:rsid w:val="00BB6EFA"/>
    <w:rsid w:val="00BB7B03"/>
    <w:rsid w:val="00BC01C5"/>
    <w:rsid w:val="00BC06D1"/>
    <w:rsid w:val="00BC0B13"/>
    <w:rsid w:val="00BC2627"/>
    <w:rsid w:val="00BC32DC"/>
    <w:rsid w:val="00BC35B6"/>
    <w:rsid w:val="00BC37D1"/>
    <w:rsid w:val="00BC387B"/>
    <w:rsid w:val="00BC4135"/>
    <w:rsid w:val="00BC4FE1"/>
    <w:rsid w:val="00BC5144"/>
    <w:rsid w:val="00BC516C"/>
    <w:rsid w:val="00BC54B2"/>
    <w:rsid w:val="00BC5919"/>
    <w:rsid w:val="00BC61F0"/>
    <w:rsid w:val="00BC6D1E"/>
    <w:rsid w:val="00BC7582"/>
    <w:rsid w:val="00BC78DA"/>
    <w:rsid w:val="00BD0005"/>
    <w:rsid w:val="00BD0541"/>
    <w:rsid w:val="00BD05FB"/>
    <w:rsid w:val="00BD121C"/>
    <w:rsid w:val="00BD17B0"/>
    <w:rsid w:val="00BD1B51"/>
    <w:rsid w:val="00BD20B0"/>
    <w:rsid w:val="00BD28D3"/>
    <w:rsid w:val="00BD2F74"/>
    <w:rsid w:val="00BD3665"/>
    <w:rsid w:val="00BD3CBB"/>
    <w:rsid w:val="00BD4596"/>
    <w:rsid w:val="00BD5AA0"/>
    <w:rsid w:val="00BD64F8"/>
    <w:rsid w:val="00BD72D2"/>
    <w:rsid w:val="00BD7F5E"/>
    <w:rsid w:val="00BE0138"/>
    <w:rsid w:val="00BE1405"/>
    <w:rsid w:val="00BE312D"/>
    <w:rsid w:val="00BE34EE"/>
    <w:rsid w:val="00BE35DB"/>
    <w:rsid w:val="00BE3BC3"/>
    <w:rsid w:val="00BE3F82"/>
    <w:rsid w:val="00BE6B22"/>
    <w:rsid w:val="00BF0804"/>
    <w:rsid w:val="00BF1952"/>
    <w:rsid w:val="00BF1C20"/>
    <w:rsid w:val="00BF2EEC"/>
    <w:rsid w:val="00BF2F1A"/>
    <w:rsid w:val="00BF338E"/>
    <w:rsid w:val="00BF3D7B"/>
    <w:rsid w:val="00BF4992"/>
    <w:rsid w:val="00BF5039"/>
    <w:rsid w:val="00BF572B"/>
    <w:rsid w:val="00BF6F9A"/>
    <w:rsid w:val="00BF75CD"/>
    <w:rsid w:val="00BF7C69"/>
    <w:rsid w:val="00C00973"/>
    <w:rsid w:val="00C00B24"/>
    <w:rsid w:val="00C00D62"/>
    <w:rsid w:val="00C00E5A"/>
    <w:rsid w:val="00C0149D"/>
    <w:rsid w:val="00C02148"/>
    <w:rsid w:val="00C0304D"/>
    <w:rsid w:val="00C03536"/>
    <w:rsid w:val="00C03725"/>
    <w:rsid w:val="00C03F2D"/>
    <w:rsid w:val="00C041F9"/>
    <w:rsid w:val="00C046D2"/>
    <w:rsid w:val="00C04AC2"/>
    <w:rsid w:val="00C06430"/>
    <w:rsid w:val="00C073B5"/>
    <w:rsid w:val="00C10578"/>
    <w:rsid w:val="00C105C7"/>
    <w:rsid w:val="00C12A7E"/>
    <w:rsid w:val="00C12DE9"/>
    <w:rsid w:val="00C135BC"/>
    <w:rsid w:val="00C149A1"/>
    <w:rsid w:val="00C150A9"/>
    <w:rsid w:val="00C158D8"/>
    <w:rsid w:val="00C15C95"/>
    <w:rsid w:val="00C16751"/>
    <w:rsid w:val="00C17058"/>
    <w:rsid w:val="00C202A9"/>
    <w:rsid w:val="00C202B0"/>
    <w:rsid w:val="00C21B7E"/>
    <w:rsid w:val="00C22632"/>
    <w:rsid w:val="00C2285F"/>
    <w:rsid w:val="00C2324B"/>
    <w:rsid w:val="00C2596A"/>
    <w:rsid w:val="00C2597B"/>
    <w:rsid w:val="00C25C62"/>
    <w:rsid w:val="00C27537"/>
    <w:rsid w:val="00C27951"/>
    <w:rsid w:val="00C30DA0"/>
    <w:rsid w:val="00C327B2"/>
    <w:rsid w:val="00C328FE"/>
    <w:rsid w:val="00C32B76"/>
    <w:rsid w:val="00C33507"/>
    <w:rsid w:val="00C3376B"/>
    <w:rsid w:val="00C34762"/>
    <w:rsid w:val="00C36712"/>
    <w:rsid w:val="00C36A9E"/>
    <w:rsid w:val="00C36B4B"/>
    <w:rsid w:val="00C3771C"/>
    <w:rsid w:val="00C377C1"/>
    <w:rsid w:val="00C416E0"/>
    <w:rsid w:val="00C41B87"/>
    <w:rsid w:val="00C41C19"/>
    <w:rsid w:val="00C41F88"/>
    <w:rsid w:val="00C4204B"/>
    <w:rsid w:val="00C4304F"/>
    <w:rsid w:val="00C4352B"/>
    <w:rsid w:val="00C43AAF"/>
    <w:rsid w:val="00C4409D"/>
    <w:rsid w:val="00C44B67"/>
    <w:rsid w:val="00C44E72"/>
    <w:rsid w:val="00C4539F"/>
    <w:rsid w:val="00C45826"/>
    <w:rsid w:val="00C45A06"/>
    <w:rsid w:val="00C45A84"/>
    <w:rsid w:val="00C46576"/>
    <w:rsid w:val="00C46836"/>
    <w:rsid w:val="00C46C57"/>
    <w:rsid w:val="00C46F6D"/>
    <w:rsid w:val="00C47BFD"/>
    <w:rsid w:val="00C47D79"/>
    <w:rsid w:val="00C47E57"/>
    <w:rsid w:val="00C47E5B"/>
    <w:rsid w:val="00C5096C"/>
    <w:rsid w:val="00C51944"/>
    <w:rsid w:val="00C527B8"/>
    <w:rsid w:val="00C52819"/>
    <w:rsid w:val="00C536D4"/>
    <w:rsid w:val="00C53738"/>
    <w:rsid w:val="00C5451F"/>
    <w:rsid w:val="00C54B27"/>
    <w:rsid w:val="00C54E0A"/>
    <w:rsid w:val="00C55555"/>
    <w:rsid w:val="00C55B38"/>
    <w:rsid w:val="00C55DDB"/>
    <w:rsid w:val="00C56576"/>
    <w:rsid w:val="00C57157"/>
    <w:rsid w:val="00C5725F"/>
    <w:rsid w:val="00C6050C"/>
    <w:rsid w:val="00C61BCE"/>
    <w:rsid w:val="00C61E4B"/>
    <w:rsid w:val="00C626B0"/>
    <w:rsid w:val="00C64591"/>
    <w:rsid w:val="00C64BFF"/>
    <w:rsid w:val="00C64DFC"/>
    <w:rsid w:val="00C65441"/>
    <w:rsid w:val="00C65597"/>
    <w:rsid w:val="00C70233"/>
    <w:rsid w:val="00C704E9"/>
    <w:rsid w:val="00C70836"/>
    <w:rsid w:val="00C73A55"/>
    <w:rsid w:val="00C7468F"/>
    <w:rsid w:val="00C74B6E"/>
    <w:rsid w:val="00C75565"/>
    <w:rsid w:val="00C759C4"/>
    <w:rsid w:val="00C75DFB"/>
    <w:rsid w:val="00C762CF"/>
    <w:rsid w:val="00C763C9"/>
    <w:rsid w:val="00C768C7"/>
    <w:rsid w:val="00C777FF"/>
    <w:rsid w:val="00C77DCF"/>
    <w:rsid w:val="00C80057"/>
    <w:rsid w:val="00C801AC"/>
    <w:rsid w:val="00C8124A"/>
    <w:rsid w:val="00C81471"/>
    <w:rsid w:val="00C81A2A"/>
    <w:rsid w:val="00C82232"/>
    <w:rsid w:val="00C825FA"/>
    <w:rsid w:val="00C82913"/>
    <w:rsid w:val="00C82A7A"/>
    <w:rsid w:val="00C82C7A"/>
    <w:rsid w:val="00C82DD0"/>
    <w:rsid w:val="00C86018"/>
    <w:rsid w:val="00C903A3"/>
    <w:rsid w:val="00C907CB"/>
    <w:rsid w:val="00C91202"/>
    <w:rsid w:val="00C9136F"/>
    <w:rsid w:val="00C91792"/>
    <w:rsid w:val="00C91854"/>
    <w:rsid w:val="00C91D38"/>
    <w:rsid w:val="00C9276A"/>
    <w:rsid w:val="00C9294A"/>
    <w:rsid w:val="00C93357"/>
    <w:rsid w:val="00C93DFF"/>
    <w:rsid w:val="00C940EC"/>
    <w:rsid w:val="00C94728"/>
    <w:rsid w:val="00C9496E"/>
    <w:rsid w:val="00C94A9C"/>
    <w:rsid w:val="00C94DA2"/>
    <w:rsid w:val="00C95526"/>
    <w:rsid w:val="00C963EE"/>
    <w:rsid w:val="00C96A6D"/>
    <w:rsid w:val="00C972B1"/>
    <w:rsid w:val="00C97A83"/>
    <w:rsid w:val="00CA0312"/>
    <w:rsid w:val="00CA0BF2"/>
    <w:rsid w:val="00CA1AFE"/>
    <w:rsid w:val="00CA1B31"/>
    <w:rsid w:val="00CA1BE1"/>
    <w:rsid w:val="00CA1C36"/>
    <w:rsid w:val="00CA252A"/>
    <w:rsid w:val="00CA29D6"/>
    <w:rsid w:val="00CA2CCE"/>
    <w:rsid w:val="00CA43FD"/>
    <w:rsid w:val="00CA5D74"/>
    <w:rsid w:val="00CA77A2"/>
    <w:rsid w:val="00CA7EF8"/>
    <w:rsid w:val="00CB077A"/>
    <w:rsid w:val="00CB1514"/>
    <w:rsid w:val="00CB359D"/>
    <w:rsid w:val="00CB3818"/>
    <w:rsid w:val="00CB3B59"/>
    <w:rsid w:val="00CB439C"/>
    <w:rsid w:val="00CB50F3"/>
    <w:rsid w:val="00CB555C"/>
    <w:rsid w:val="00CB56B0"/>
    <w:rsid w:val="00CB5879"/>
    <w:rsid w:val="00CB5C9B"/>
    <w:rsid w:val="00CB5D75"/>
    <w:rsid w:val="00CB5F2E"/>
    <w:rsid w:val="00CB5FF9"/>
    <w:rsid w:val="00CB6489"/>
    <w:rsid w:val="00CB65E0"/>
    <w:rsid w:val="00CB663C"/>
    <w:rsid w:val="00CB67A2"/>
    <w:rsid w:val="00CB707C"/>
    <w:rsid w:val="00CB7B02"/>
    <w:rsid w:val="00CC1DEC"/>
    <w:rsid w:val="00CC23DC"/>
    <w:rsid w:val="00CC3003"/>
    <w:rsid w:val="00CC34D6"/>
    <w:rsid w:val="00CC372D"/>
    <w:rsid w:val="00CC489B"/>
    <w:rsid w:val="00CC497A"/>
    <w:rsid w:val="00CC567A"/>
    <w:rsid w:val="00CC599B"/>
    <w:rsid w:val="00CC5E83"/>
    <w:rsid w:val="00CC6F80"/>
    <w:rsid w:val="00CC7565"/>
    <w:rsid w:val="00CC7615"/>
    <w:rsid w:val="00CC7D90"/>
    <w:rsid w:val="00CD0ACA"/>
    <w:rsid w:val="00CD21EE"/>
    <w:rsid w:val="00CD2325"/>
    <w:rsid w:val="00CD285C"/>
    <w:rsid w:val="00CD2BCD"/>
    <w:rsid w:val="00CD2C57"/>
    <w:rsid w:val="00CD30FF"/>
    <w:rsid w:val="00CD3A4C"/>
    <w:rsid w:val="00CD4119"/>
    <w:rsid w:val="00CD48B9"/>
    <w:rsid w:val="00CD5551"/>
    <w:rsid w:val="00CD55B8"/>
    <w:rsid w:val="00CD62E8"/>
    <w:rsid w:val="00CD7F5F"/>
    <w:rsid w:val="00CE0FAA"/>
    <w:rsid w:val="00CE10E9"/>
    <w:rsid w:val="00CE184F"/>
    <w:rsid w:val="00CE2910"/>
    <w:rsid w:val="00CE2BF9"/>
    <w:rsid w:val="00CE3069"/>
    <w:rsid w:val="00CE34BB"/>
    <w:rsid w:val="00CE3E24"/>
    <w:rsid w:val="00CE4068"/>
    <w:rsid w:val="00CE431A"/>
    <w:rsid w:val="00CE4431"/>
    <w:rsid w:val="00CE47DD"/>
    <w:rsid w:val="00CE5393"/>
    <w:rsid w:val="00CE575D"/>
    <w:rsid w:val="00CE5BD1"/>
    <w:rsid w:val="00CE67BF"/>
    <w:rsid w:val="00CE70F0"/>
    <w:rsid w:val="00CE7587"/>
    <w:rsid w:val="00CE7716"/>
    <w:rsid w:val="00CE7D67"/>
    <w:rsid w:val="00CE7F9E"/>
    <w:rsid w:val="00CF01B1"/>
    <w:rsid w:val="00CF0B44"/>
    <w:rsid w:val="00CF0BEE"/>
    <w:rsid w:val="00CF143E"/>
    <w:rsid w:val="00CF18AF"/>
    <w:rsid w:val="00CF18C8"/>
    <w:rsid w:val="00CF2DAE"/>
    <w:rsid w:val="00CF3256"/>
    <w:rsid w:val="00CF36BE"/>
    <w:rsid w:val="00CF3DA0"/>
    <w:rsid w:val="00CF5FA2"/>
    <w:rsid w:val="00CF6000"/>
    <w:rsid w:val="00CF62EF"/>
    <w:rsid w:val="00CF6A86"/>
    <w:rsid w:val="00CF7F9D"/>
    <w:rsid w:val="00D003F3"/>
    <w:rsid w:val="00D00A3F"/>
    <w:rsid w:val="00D00D7E"/>
    <w:rsid w:val="00D018FD"/>
    <w:rsid w:val="00D02252"/>
    <w:rsid w:val="00D035D0"/>
    <w:rsid w:val="00D0364F"/>
    <w:rsid w:val="00D045D5"/>
    <w:rsid w:val="00D048AC"/>
    <w:rsid w:val="00D06834"/>
    <w:rsid w:val="00D06B30"/>
    <w:rsid w:val="00D06DC9"/>
    <w:rsid w:val="00D070E7"/>
    <w:rsid w:val="00D104EC"/>
    <w:rsid w:val="00D10D4B"/>
    <w:rsid w:val="00D1164D"/>
    <w:rsid w:val="00D11C76"/>
    <w:rsid w:val="00D143A0"/>
    <w:rsid w:val="00D14672"/>
    <w:rsid w:val="00D14711"/>
    <w:rsid w:val="00D14D7D"/>
    <w:rsid w:val="00D15736"/>
    <w:rsid w:val="00D200AD"/>
    <w:rsid w:val="00D25268"/>
    <w:rsid w:val="00D26D12"/>
    <w:rsid w:val="00D30815"/>
    <w:rsid w:val="00D308ED"/>
    <w:rsid w:val="00D313C3"/>
    <w:rsid w:val="00D3145B"/>
    <w:rsid w:val="00D3275E"/>
    <w:rsid w:val="00D3280A"/>
    <w:rsid w:val="00D3345E"/>
    <w:rsid w:val="00D3361E"/>
    <w:rsid w:val="00D3450D"/>
    <w:rsid w:val="00D36D86"/>
    <w:rsid w:val="00D37467"/>
    <w:rsid w:val="00D37D7D"/>
    <w:rsid w:val="00D37DAF"/>
    <w:rsid w:val="00D405CE"/>
    <w:rsid w:val="00D40B63"/>
    <w:rsid w:val="00D4176F"/>
    <w:rsid w:val="00D41988"/>
    <w:rsid w:val="00D41BFE"/>
    <w:rsid w:val="00D41CA5"/>
    <w:rsid w:val="00D428AA"/>
    <w:rsid w:val="00D42F0C"/>
    <w:rsid w:val="00D43BD4"/>
    <w:rsid w:val="00D441AC"/>
    <w:rsid w:val="00D446CF"/>
    <w:rsid w:val="00D44FC0"/>
    <w:rsid w:val="00D4549E"/>
    <w:rsid w:val="00D4629B"/>
    <w:rsid w:val="00D4651D"/>
    <w:rsid w:val="00D47D89"/>
    <w:rsid w:val="00D47ED8"/>
    <w:rsid w:val="00D501B7"/>
    <w:rsid w:val="00D50A34"/>
    <w:rsid w:val="00D50E8D"/>
    <w:rsid w:val="00D50F12"/>
    <w:rsid w:val="00D51629"/>
    <w:rsid w:val="00D5172B"/>
    <w:rsid w:val="00D53CE8"/>
    <w:rsid w:val="00D53EFA"/>
    <w:rsid w:val="00D54B84"/>
    <w:rsid w:val="00D576DC"/>
    <w:rsid w:val="00D6099E"/>
    <w:rsid w:val="00D614B5"/>
    <w:rsid w:val="00D63334"/>
    <w:rsid w:val="00D63750"/>
    <w:rsid w:val="00D65D0B"/>
    <w:rsid w:val="00D66136"/>
    <w:rsid w:val="00D702D8"/>
    <w:rsid w:val="00D70BC4"/>
    <w:rsid w:val="00D715BA"/>
    <w:rsid w:val="00D73589"/>
    <w:rsid w:val="00D73B35"/>
    <w:rsid w:val="00D745FD"/>
    <w:rsid w:val="00D74AA4"/>
    <w:rsid w:val="00D74BB8"/>
    <w:rsid w:val="00D753C3"/>
    <w:rsid w:val="00D767A8"/>
    <w:rsid w:val="00D76D75"/>
    <w:rsid w:val="00D77489"/>
    <w:rsid w:val="00D806E7"/>
    <w:rsid w:val="00D80818"/>
    <w:rsid w:val="00D80A50"/>
    <w:rsid w:val="00D810EF"/>
    <w:rsid w:val="00D81498"/>
    <w:rsid w:val="00D82937"/>
    <w:rsid w:val="00D82D7F"/>
    <w:rsid w:val="00D842FD"/>
    <w:rsid w:val="00D843B0"/>
    <w:rsid w:val="00D849D7"/>
    <w:rsid w:val="00D852ED"/>
    <w:rsid w:val="00D86E34"/>
    <w:rsid w:val="00D87B50"/>
    <w:rsid w:val="00D90508"/>
    <w:rsid w:val="00D910D9"/>
    <w:rsid w:val="00D92313"/>
    <w:rsid w:val="00D92AD0"/>
    <w:rsid w:val="00D93945"/>
    <w:rsid w:val="00D93A01"/>
    <w:rsid w:val="00D9404B"/>
    <w:rsid w:val="00D94A7C"/>
    <w:rsid w:val="00D95896"/>
    <w:rsid w:val="00D958DF"/>
    <w:rsid w:val="00D95D74"/>
    <w:rsid w:val="00D969A6"/>
    <w:rsid w:val="00D9755C"/>
    <w:rsid w:val="00D97F7C"/>
    <w:rsid w:val="00DA0A96"/>
    <w:rsid w:val="00DA190D"/>
    <w:rsid w:val="00DA2203"/>
    <w:rsid w:val="00DA2E6D"/>
    <w:rsid w:val="00DA2F61"/>
    <w:rsid w:val="00DA4474"/>
    <w:rsid w:val="00DA55DA"/>
    <w:rsid w:val="00DA6D51"/>
    <w:rsid w:val="00DA704C"/>
    <w:rsid w:val="00DA76EA"/>
    <w:rsid w:val="00DA7CDE"/>
    <w:rsid w:val="00DB058E"/>
    <w:rsid w:val="00DB0C7C"/>
    <w:rsid w:val="00DB2487"/>
    <w:rsid w:val="00DB24D9"/>
    <w:rsid w:val="00DB2983"/>
    <w:rsid w:val="00DB2D80"/>
    <w:rsid w:val="00DB3288"/>
    <w:rsid w:val="00DB372B"/>
    <w:rsid w:val="00DB42CC"/>
    <w:rsid w:val="00DB5B9B"/>
    <w:rsid w:val="00DB5D31"/>
    <w:rsid w:val="00DB5F85"/>
    <w:rsid w:val="00DB6C1B"/>
    <w:rsid w:val="00DC1257"/>
    <w:rsid w:val="00DC13BA"/>
    <w:rsid w:val="00DC161C"/>
    <w:rsid w:val="00DC1F21"/>
    <w:rsid w:val="00DC1FD0"/>
    <w:rsid w:val="00DC1FDD"/>
    <w:rsid w:val="00DC2A14"/>
    <w:rsid w:val="00DC2DC2"/>
    <w:rsid w:val="00DC3145"/>
    <w:rsid w:val="00DC3B4E"/>
    <w:rsid w:val="00DC3DC0"/>
    <w:rsid w:val="00DC4874"/>
    <w:rsid w:val="00DC4978"/>
    <w:rsid w:val="00DC5B2B"/>
    <w:rsid w:val="00DC631A"/>
    <w:rsid w:val="00DC7219"/>
    <w:rsid w:val="00DC78A2"/>
    <w:rsid w:val="00DD0FD2"/>
    <w:rsid w:val="00DD14DB"/>
    <w:rsid w:val="00DD24F8"/>
    <w:rsid w:val="00DD318D"/>
    <w:rsid w:val="00DD31AF"/>
    <w:rsid w:val="00DD35E1"/>
    <w:rsid w:val="00DD36E6"/>
    <w:rsid w:val="00DD399B"/>
    <w:rsid w:val="00DD4C55"/>
    <w:rsid w:val="00DD504A"/>
    <w:rsid w:val="00DD62FD"/>
    <w:rsid w:val="00DD6C70"/>
    <w:rsid w:val="00DD7007"/>
    <w:rsid w:val="00DD74BC"/>
    <w:rsid w:val="00DD74FA"/>
    <w:rsid w:val="00DE0906"/>
    <w:rsid w:val="00DE0A56"/>
    <w:rsid w:val="00DE1409"/>
    <w:rsid w:val="00DE1E60"/>
    <w:rsid w:val="00DE2261"/>
    <w:rsid w:val="00DE26C3"/>
    <w:rsid w:val="00DE2B10"/>
    <w:rsid w:val="00DE3102"/>
    <w:rsid w:val="00DE4506"/>
    <w:rsid w:val="00DE51A1"/>
    <w:rsid w:val="00DE5543"/>
    <w:rsid w:val="00DE5992"/>
    <w:rsid w:val="00DE59F9"/>
    <w:rsid w:val="00DE6030"/>
    <w:rsid w:val="00DE715D"/>
    <w:rsid w:val="00DE7D63"/>
    <w:rsid w:val="00DE7F7B"/>
    <w:rsid w:val="00DF08D3"/>
    <w:rsid w:val="00DF125C"/>
    <w:rsid w:val="00DF140C"/>
    <w:rsid w:val="00DF14B5"/>
    <w:rsid w:val="00DF1D4D"/>
    <w:rsid w:val="00DF2618"/>
    <w:rsid w:val="00DF2DBE"/>
    <w:rsid w:val="00DF2E12"/>
    <w:rsid w:val="00DF372F"/>
    <w:rsid w:val="00DF3736"/>
    <w:rsid w:val="00DF3FA7"/>
    <w:rsid w:val="00DF514A"/>
    <w:rsid w:val="00DF5580"/>
    <w:rsid w:val="00DF6690"/>
    <w:rsid w:val="00DF6804"/>
    <w:rsid w:val="00DF6BC1"/>
    <w:rsid w:val="00DF70A5"/>
    <w:rsid w:val="00DF7810"/>
    <w:rsid w:val="00DF7DF7"/>
    <w:rsid w:val="00E004CC"/>
    <w:rsid w:val="00E0358D"/>
    <w:rsid w:val="00E035F5"/>
    <w:rsid w:val="00E03FDE"/>
    <w:rsid w:val="00E04304"/>
    <w:rsid w:val="00E04323"/>
    <w:rsid w:val="00E04E76"/>
    <w:rsid w:val="00E05002"/>
    <w:rsid w:val="00E05977"/>
    <w:rsid w:val="00E05C45"/>
    <w:rsid w:val="00E064DD"/>
    <w:rsid w:val="00E070A2"/>
    <w:rsid w:val="00E07279"/>
    <w:rsid w:val="00E07E3F"/>
    <w:rsid w:val="00E11CA0"/>
    <w:rsid w:val="00E1458C"/>
    <w:rsid w:val="00E14F4A"/>
    <w:rsid w:val="00E14F83"/>
    <w:rsid w:val="00E14FB1"/>
    <w:rsid w:val="00E162EA"/>
    <w:rsid w:val="00E16B69"/>
    <w:rsid w:val="00E174EB"/>
    <w:rsid w:val="00E177E1"/>
    <w:rsid w:val="00E17FF2"/>
    <w:rsid w:val="00E21D1D"/>
    <w:rsid w:val="00E22EEA"/>
    <w:rsid w:val="00E23A04"/>
    <w:rsid w:val="00E245B3"/>
    <w:rsid w:val="00E25B1E"/>
    <w:rsid w:val="00E2656A"/>
    <w:rsid w:val="00E26807"/>
    <w:rsid w:val="00E31FC4"/>
    <w:rsid w:val="00E325BF"/>
    <w:rsid w:val="00E32E3D"/>
    <w:rsid w:val="00E333EB"/>
    <w:rsid w:val="00E34120"/>
    <w:rsid w:val="00E34E04"/>
    <w:rsid w:val="00E34E5C"/>
    <w:rsid w:val="00E356F6"/>
    <w:rsid w:val="00E35A86"/>
    <w:rsid w:val="00E37147"/>
    <w:rsid w:val="00E37F2C"/>
    <w:rsid w:val="00E412D0"/>
    <w:rsid w:val="00E42A49"/>
    <w:rsid w:val="00E43078"/>
    <w:rsid w:val="00E435DC"/>
    <w:rsid w:val="00E438FA"/>
    <w:rsid w:val="00E43FE5"/>
    <w:rsid w:val="00E44989"/>
    <w:rsid w:val="00E46B74"/>
    <w:rsid w:val="00E47036"/>
    <w:rsid w:val="00E47122"/>
    <w:rsid w:val="00E506BA"/>
    <w:rsid w:val="00E51DDC"/>
    <w:rsid w:val="00E51ECF"/>
    <w:rsid w:val="00E52D98"/>
    <w:rsid w:val="00E52F38"/>
    <w:rsid w:val="00E53AB7"/>
    <w:rsid w:val="00E5574D"/>
    <w:rsid w:val="00E55DB5"/>
    <w:rsid w:val="00E55E67"/>
    <w:rsid w:val="00E5620D"/>
    <w:rsid w:val="00E56322"/>
    <w:rsid w:val="00E56596"/>
    <w:rsid w:val="00E57C19"/>
    <w:rsid w:val="00E605DF"/>
    <w:rsid w:val="00E6070B"/>
    <w:rsid w:val="00E60770"/>
    <w:rsid w:val="00E60982"/>
    <w:rsid w:val="00E60DF7"/>
    <w:rsid w:val="00E60EFD"/>
    <w:rsid w:val="00E61076"/>
    <w:rsid w:val="00E61192"/>
    <w:rsid w:val="00E615E7"/>
    <w:rsid w:val="00E61877"/>
    <w:rsid w:val="00E618B4"/>
    <w:rsid w:val="00E61C3A"/>
    <w:rsid w:val="00E62C62"/>
    <w:rsid w:val="00E62F77"/>
    <w:rsid w:val="00E630A9"/>
    <w:rsid w:val="00E64739"/>
    <w:rsid w:val="00E654C1"/>
    <w:rsid w:val="00E65D97"/>
    <w:rsid w:val="00E66D01"/>
    <w:rsid w:val="00E67128"/>
    <w:rsid w:val="00E67200"/>
    <w:rsid w:val="00E719ED"/>
    <w:rsid w:val="00E71B12"/>
    <w:rsid w:val="00E7284A"/>
    <w:rsid w:val="00E72A5A"/>
    <w:rsid w:val="00E73354"/>
    <w:rsid w:val="00E75EBD"/>
    <w:rsid w:val="00E76360"/>
    <w:rsid w:val="00E77172"/>
    <w:rsid w:val="00E808ED"/>
    <w:rsid w:val="00E819E2"/>
    <w:rsid w:val="00E8238C"/>
    <w:rsid w:val="00E823D5"/>
    <w:rsid w:val="00E84DE6"/>
    <w:rsid w:val="00E8646B"/>
    <w:rsid w:val="00E868B0"/>
    <w:rsid w:val="00E86982"/>
    <w:rsid w:val="00E86AED"/>
    <w:rsid w:val="00E86FC7"/>
    <w:rsid w:val="00E91A3D"/>
    <w:rsid w:val="00E9242D"/>
    <w:rsid w:val="00E93B64"/>
    <w:rsid w:val="00E93F7A"/>
    <w:rsid w:val="00E9450C"/>
    <w:rsid w:val="00E954F5"/>
    <w:rsid w:val="00E955EF"/>
    <w:rsid w:val="00E96E3E"/>
    <w:rsid w:val="00E974AB"/>
    <w:rsid w:val="00E9775E"/>
    <w:rsid w:val="00E97D25"/>
    <w:rsid w:val="00EA03FC"/>
    <w:rsid w:val="00EA2CA5"/>
    <w:rsid w:val="00EA2D6A"/>
    <w:rsid w:val="00EA2EE8"/>
    <w:rsid w:val="00EA2F83"/>
    <w:rsid w:val="00EA30EE"/>
    <w:rsid w:val="00EA3795"/>
    <w:rsid w:val="00EA4201"/>
    <w:rsid w:val="00EA4EFB"/>
    <w:rsid w:val="00EA503E"/>
    <w:rsid w:val="00EA5367"/>
    <w:rsid w:val="00EA5DEF"/>
    <w:rsid w:val="00EB015B"/>
    <w:rsid w:val="00EB137B"/>
    <w:rsid w:val="00EB2E56"/>
    <w:rsid w:val="00EB302F"/>
    <w:rsid w:val="00EB4563"/>
    <w:rsid w:val="00EB4AAA"/>
    <w:rsid w:val="00EB5255"/>
    <w:rsid w:val="00EB55C3"/>
    <w:rsid w:val="00EB5C47"/>
    <w:rsid w:val="00EB605A"/>
    <w:rsid w:val="00EB63D2"/>
    <w:rsid w:val="00EB6605"/>
    <w:rsid w:val="00EB73B7"/>
    <w:rsid w:val="00EB78E8"/>
    <w:rsid w:val="00EB7BCE"/>
    <w:rsid w:val="00EC0197"/>
    <w:rsid w:val="00EC054F"/>
    <w:rsid w:val="00EC24FD"/>
    <w:rsid w:val="00EC488D"/>
    <w:rsid w:val="00EC496B"/>
    <w:rsid w:val="00EC4D78"/>
    <w:rsid w:val="00EC5010"/>
    <w:rsid w:val="00EC57E2"/>
    <w:rsid w:val="00EC67FA"/>
    <w:rsid w:val="00EC6CA2"/>
    <w:rsid w:val="00EC6E17"/>
    <w:rsid w:val="00EC7548"/>
    <w:rsid w:val="00EC77BC"/>
    <w:rsid w:val="00EC77EA"/>
    <w:rsid w:val="00ED0639"/>
    <w:rsid w:val="00ED07DB"/>
    <w:rsid w:val="00ED0B95"/>
    <w:rsid w:val="00ED1251"/>
    <w:rsid w:val="00ED1C2E"/>
    <w:rsid w:val="00ED30CD"/>
    <w:rsid w:val="00ED33DC"/>
    <w:rsid w:val="00ED3659"/>
    <w:rsid w:val="00ED3DF5"/>
    <w:rsid w:val="00ED5007"/>
    <w:rsid w:val="00ED5F21"/>
    <w:rsid w:val="00ED6233"/>
    <w:rsid w:val="00ED626B"/>
    <w:rsid w:val="00ED6A8C"/>
    <w:rsid w:val="00ED6B58"/>
    <w:rsid w:val="00ED6B69"/>
    <w:rsid w:val="00ED741C"/>
    <w:rsid w:val="00EE179B"/>
    <w:rsid w:val="00EE1C3F"/>
    <w:rsid w:val="00EE24E5"/>
    <w:rsid w:val="00EE31BE"/>
    <w:rsid w:val="00EE3B2A"/>
    <w:rsid w:val="00EE3C9D"/>
    <w:rsid w:val="00EE4368"/>
    <w:rsid w:val="00EE52B7"/>
    <w:rsid w:val="00EE5C11"/>
    <w:rsid w:val="00EE5D68"/>
    <w:rsid w:val="00EE6120"/>
    <w:rsid w:val="00EE6158"/>
    <w:rsid w:val="00EE6929"/>
    <w:rsid w:val="00EE7467"/>
    <w:rsid w:val="00EF0291"/>
    <w:rsid w:val="00EF0672"/>
    <w:rsid w:val="00EF0CF4"/>
    <w:rsid w:val="00EF165F"/>
    <w:rsid w:val="00EF18F1"/>
    <w:rsid w:val="00EF21B9"/>
    <w:rsid w:val="00EF24D3"/>
    <w:rsid w:val="00EF2782"/>
    <w:rsid w:val="00EF2822"/>
    <w:rsid w:val="00EF295D"/>
    <w:rsid w:val="00EF3067"/>
    <w:rsid w:val="00EF34FC"/>
    <w:rsid w:val="00EF379F"/>
    <w:rsid w:val="00EF431E"/>
    <w:rsid w:val="00EF4755"/>
    <w:rsid w:val="00EF569A"/>
    <w:rsid w:val="00EF6EBF"/>
    <w:rsid w:val="00EF7135"/>
    <w:rsid w:val="00EF7C89"/>
    <w:rsid w:val="00F00881"/>
    <w:rsid w:val="00F010C0"/>
    <w:rsid w:val="00F01BE5"/>
    <w:rsid w:val="00F01D8C"/>
    <w:rsid w:val="00F01ECA"/>
    <w:rsid w:val="00F025A4"/>
    <w:rsid w:val="00F027BB"/>
    <w:rsid w:val="00F027DB"/>
    <w:rsid w:val="00F028FE"/>
    <w:rsid w:val="00F03685"/>
    <w:rsid w:val="00F05AA8"/>
    <w:rsid w:val="00F05BFF"/>
    <w:rsid w:val="00F07462"/>
    <w:rsid w:val="00F07903"/>
    <w:rsid w:val="00F07C0E"/>
    <w:rsid w:val="00F07F5E"/>
    <w:rsid w:val="00F10398"/>
    <w:rsid w:val="00F1084C"/>
    <w:rsid w:val="00F10FF6"/>
    <w:rsid w:val="00F115BD"/>
    <w:rsid w:val="00F12F14"/>
    <w:rsid w:val="00F13F5C"/>
    <w:rsid w:val="00F14511"/>
    <w:rsid w:val="00F14602"/>
    <w:rsid w:val="00F14A7A"/>
    <w:rsid w:val="00F15F70"/>
    <w:rsid w:val="00F165CD"/>
    <w:rsid w:val="00F1669C"/>
    <w:rsid w:val="00F16B1B"/>
    <w:rsid w:val="00F17143"/>
    <w:rsid w:val="00F20104"/>
    <w:rsid w:val="00F21369"/>
    <w:rsid w:val="00F215C4"/>
    <w:rsid w:val="00F226E8"/>
    <w:rsid w:val="00F22985"/>
    <w:rsid w:val="00F22D16"/>
    <w:rsid w:val="00F24502"/>
    <w:rsid w:val="00F24FB4"/>
    <w:rsid w:val="00F24FF0"/>
    <w:rsid w:val="00F26B6B"/>
    <w:rsid w:val="00F27619"/>
    <w:rsid w:val="00F30D52"/>
    <w:rsid w:val="00F31C43"/>
    <w:rsid w:val="00F3246B"/>
    <w:rsid w:val="00F3383E"/>
    <w:rsid w:val="00F34F55"/>
    <w:rsid w:val="00F36586"/>
    <w:rsid w:val="00F36F83"/>
    <w:rsid w:val="00F37068"/>
    <w:rsid w:val="00F41349"/>
    <w:rsid w:val="00F4191F"/>
    <w:rsid w:val="00F41B5B"/>
    <w:rsid w:val="00F4348A"/>
    <w:rsid w:val="00F43841"/>
    <w:rsid w:val="00F4408D"/>
    <w:rsid w:val="00F465A7"/>
    <w:rsid w:val="00F46BE5"/>
    <w:rsid w:val="00F46DED"/>
    <w:rsid w:val="00F47204"/>
    <w:rsid w:val="00F47910"/>
    <w:rsid w:val="00F5038D"/>
    <w:rsid w:val="00F50532"/>
    <w:rsid w:val="00F50B7C"/>
    <w:rsid w:val="00F50E2A"/>
    <w:rsid w:val="00F51BD2"/>
    <w:rsid w:val="00F5241E"/>
    <w:rsid w:val="00F52535"/>
    <w:rsid w:val="00F53A58"/>
    <w:rsid w:val="00F54776"/>
    <w:rsid w:val="00F54FB7"/>
    <w:rsid w:val="00F550E6"/>
    <w:rsid w:val="00F55ACF"/>
    <w:rsid w:val="00F568CF"/>
    <w:rsid w:val="00F56F1F"/>
    <w:rsid w:val="00F5794B"/>
    <w:rsid w:val="00F6094F"/>
    <w:rsid w:val="00F6145E"/>
    <w:rsid w:val="00F61C29"/>
    <w:rsid w:val="00F61F90"/>
    <w:rsid w:val="00F6285F"/>
    <w:rsid w:val="00F634F8"/>
    <w:rsid w:val="00F642FA"/>
    <w:rsid w:val="00F65E4D"/>
    <w:rsid w:val="00F671CE"/>
    <w:rsid w:val="00F67D12"/>
    <w:rsid w:val="00F71147"/>
    <w:rsid w:val="00F718C7"/>
    <w:rsid w:val="00F73B9D"/>
    <w:rsid w:val="00F73E39"/>
    <w:rsid w:val="00F74114"/>
    <w:rsid w:val="00F74345"/>
    <w:rsid w:val="00F7514A"/>
    <w:rsid w:val="00F759BC"/>
    <w:rsid w:val="00F76104"/>
    <w:rsid w:val="00F76D83"/>
    <w:rsid w:val="00F7768D"/>
    <w:rsid w:val="00F77928"/>
    <w:rsid w:val="00F80074"/>
    <w:rsid w:val="00F80A0A"/>
    <w:rsid w:val="00F80EE4"/>
    <w:rsid w:val="00F81830"/>
    <w:rsid w:val="00F81B22"/>
    <w:rsid w:val="00F82041"/>
    <w:rsid w:val="00F82B19"/>
    <w:rsid w:val="00F8361B"/>
    <w:rsid w:val="00F85DAD"/>
    <w:rsid w:val="00F867C3"/>
    <w:rsid w:val="00F87523"/>
    <w:rsid w:val="00F87B10"/>
    <w:rsid w:val="00F907CC"/>
    <w:rsid w:val="00F9212D"/>
    <w:rsid w:val="00F92CC6"/>
    <w:rsid w:val="00F93107"/>
    <w:rsid w:val="00F9319B"/>
    <w:rsid w:val="00F93497"/>
    <w:rsid w:val="00F938E4"/>
    <w:rsid w:val="00F93E48"/>
    <w:rsid w:val="00F94481"/>
    <w:rsid w:val="00F94A93"/>
    <w:rsid w:val="00F95083"/>
    <w:rsid w:val="00F96110"/>
    <w:rsid w:val="00F965DA"/>
    <w:rsid w:val="00F96B9E"/>
    <w:rsid w:val="00F97219"/>
    <w:rsid w:val="00F975C3"/>
    <w:rsid w:val="00F977CA"/>
    <w:rsid w:val="00F978A4"/>
    <w:rsid w:val="00FA088D"/>
    <w:rsid w:val="00FA257A"/>
    <w:rsid w:val="00FA38B4"/>
    <w:rsid w:val="00FA3BA9"/>
    <w:rsid w:val="00FA406A"/>
    <w:rsid w:val="00FA48F2"/>
    <w:rsid w:val="00FA4F89"/>
    <w:rsid w:val="00FA563A"/>
    <w:rsid w:val="00FA5B0D"/>
    <w:rsid w:val="00FA5B9E"/>
    <w:rsid w:val="00FA623D"/>
    <w:rsid w:val="00FA7C27"/>
    <w:rsid w:val="00FB081A"/>
    <w:rsid w:val="00FB2965"/>
    <w:rsid w:val="00FB314A"/>
    <w:rsid w:val="00FB40D8"/>
    <w:rsid w:val="00FB443F"/>
    <w:rsid w:val="00FB471F"/>
    <w:rsid w:val="00FB4F7D"/>
    <w:rsid w:val="00FB503A"/>
    <w:rsid w:val="00FB516C"/>
    <w:rsid w:val="00FB5F29"/>
    <w:rsid w:val="00FB7680"/>
    <w:rsid w:val="00FB7D9F"/>
    <w:rsid w:val="00FC0251"/>
    <w:rsid w:val="00FC14FF"/>
    <w:rsid w:val="00FC21B0"/>
    <w:rsid w:val="00FC3CA7"/>
    <w:rsid w:val="00FC4087"/>
    <w:rsid w:val="00FC41A9"/>
    <w:rsid w:val="00FC56DE"/>
    <w:rsid w:val="00FC58AE"/>
    <w:rsid w:val="00FC6062"/>
    <w:rsid w:val="00FC60A7"/>
    <w:rsid w:val="00FC7628"/>
    <w:rsid w:val="00FC78E7"/>
    <w:rsid w:val="00FD0211"/>
    <w:rsid w:val="00FD0236"/>
    <w:rsid w:val="00FD0714"/>
    <w:rsid w:val="00FD0754"/>
    <w:rsid w:val="00FD1049"/>
    <w:rsid w:val="00FD18F4"/>
    <w:rsid w:val="00FD1E76"/>
    <w:rsid w:val="00FD2D0D"/>
    <w:rsid w:val="00FD3969"/>
    <w:rsid w:val="00FD46C5"/>
    <w:rsid w:val="00FD4A08"/>
    <w:rsid w:val="00FD54DB"/>
    <w:rsid w:val="00FD5E22"/>
    <w:rsid w:val="00FD619F"/>
    <w:rsid w:val="00FD68CF"/>
    <w:rsid w:val="00FD7B76"/>
    <w:rsid w:val="00FD7EB0"/>
    <w:rsid w:val="00FE027C"/>
    <w:rsid w:val="00FE1286"/>
    <w:rsid w:val="00FE308D"/>
    <w:rsid w:val="00FE3319"/>
    <w:rsid w:val="00FE3454"/>
    <w:rsid w:val="00FE36DF"/>
    <w:rsid w:val="00FE3AC4"/>
    <w:rsid w:val="00FE44DB"/>
    <w:rsid w:val="00FE45E9"/>
    <w:rsid w:val="00FE4D81"/>
    <w:rsid w:val="00FE4F36"/>
    <w:rsid w:val="00FE4F6E"/>
    <w:rsid w:val="00FE555A"/>
    <w:rsid w:val="00FE59A7"/>
    <w:rsid w:val="00FF1C33"/>
    <w:rsid w:val="00FF1C86"/>
    <w:rsid w:val="00FF1F5B"/>
    <w:rsid w:val="00FF2BCF"/>
    <w:rsid w:val="00FF34F3"/>
    <w:rsid w:val="00FF401C"/>
    <w:rsid w:val="00FF4939"/>
    <w:rsid w:val="00FF76B3"/>
    <w:rsid w:val="00FF77B7"/>
    <w:rsid w:val="01290F7E"/>
    <w:rsid w:val="015D1E09"/>
    <w:rsid w:val="02697903"/>
    <w:rsid w:val="02F96569"/>
    <w:rsid w:val="03EA7B21"/>
    <w:rsid w:val="05F83EAE"/>
    <w:rsid w:val="063E7D85"/>
    <w:rsid w:val="07293586"/>
    <w:rsid w:val="07295285"/>
    <w:rsid w:val="07636392"/>
    <w:rsid w:val="07770C56"/>
    <w:rsid w:val="092217DD"/>
    <w:rsid w:val="093A7294"/>
    <w:rsid w:val="0A263993"/>
    <w:rsid w:val="0A2D3AC2"/>
    <w:rsid w:val="0AA755DF"/>
    <w:rsid w:val="0B120D44"/>
    <w:rsid w:val="0BD27BF6"/>
    <w:rsid w:val="0C3B3C7D"/>
    <w:rsid w:val="0CAB2EAE"/>
    <w:rsid w:val="0D621C7D"/>
    <w:rsid w:val="0E73034D"/>
    <w:rsid w:val="0F13775A"/>
    <w:rsid w:val="0F5F45FE"/>
    <w:rsid w:val="0F9A112B"/>
    <w:rsid w:val="106D2F64"/>
    <w:rsid w:val="10B63710"/>
    <w:rsid w:val="10F10820"/>
    <w:rsid w:val="111C2F7A"/>
    <w:rsid w:val="11665CA1"/>
    <w:rsid w:val="13951726"/>
    <w:rsid w:val="14396509"/>
    <w:rsid w:val="14DD2C3C"/>
    <w:rsid w:val="16087E1D"/>
    <w:rsid w:val="17701D14"/>
    <w:rsid w:val="17735226"/>
    <w:rsid w:val="189F624C"/>
    <w:rsid w:val="1A1C66C0"/>
    <w:rsid w:val="1A42393B"/>
    <w:rsid w:val="1AAD45DE"/>
    <w:rsid w:val="1B046F80"/>
    <w:rsid w:val="1B3267B5"/>
    <w:rsid w:val="1B40161D"/>
    <w:rsid w:val="1B441859"/>
    <w:rsid w:val="1B6606B1"/>
    <w:rsid w:val="1C5E7925"/>
    <w:rsid w:val="1CFD070F"/>
    <w:rsid w:val="1D5F6196"/>
    <w:rsid w:val="1D6132A5"/>
    <w:rsid w:val="1D8E56D5"/>
    <w:rsid w:val="1E7A43DA"/>
    <w:rsid w:val="1FE7539E"/>
    <w:rsid w:val="20671BE0"/>
    <w:rsid w:val="20963CB8"/>
    <w:rsid w:val="20A81A1B"/>
    <w:rsid w:val="20B07FB6"/>
    <w:rsid w:val="20B646FB"/>
    <w:rsid w:val="213B74B1"/>
    <w:rsid w:val="215A2310"/>
    <w:rsid w:val="21DE318A"/>
    <w:rsid w:val="21EF5B80"/>
    <w:rsid w:val="22576990"/>
    <w:rsid w:val="22F47480"/>
    <w:rsid w:val="23DE1C48"/>
    <w:rsid w:val="240210CD"/>
    <w:rsid w:val="24BF09F7"/>
    <w:rsid w:val="252D53FE"/>
    <w:rsid w:val="25EC2D81"/>
    <w:rsid w:val="277057A2"/>
    <w:rsid w:val="29206EB8"/>
    <w:rsid w:val="29595666"/>
    <w:rsid w:val="29874881"/>
    <w:rsid w:val="29E325E0"/>
    <w:rsid w:val="2A452503"/>
    <w:rsid w:val="2BA936A8"/>
    <w:rsid w:val="2C315A5A"/>
    <w:rsid w:val="2C4B1C25"/>
    <w:rsid w:val="2D9E56F5"/>
    <w:rsid w:val="2E667F96"/>
    <w:rsid w:val="2E8226AB"/>
    <w:rsid w:val="2FD065E6"/>
    <w:rsid w:val="2FD96870"/>
    <w:rsid w:val="30580BC9"/>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7E00298"/>
    <w:rsid w:val="38B302F9"/>
    <w:rsid w:val="38F12CD3"/>
    <w:rsid w:val="38F94775"/>
    <w:rsid w:val="392971ED"/>
    <w:rsid w:val="39325651"/>
    <w:rsid w:val="3A872856"/>
    <w:rsid w:val="3B3763D1"/>
    <w:rsid w:val="3C2F6E1E"/>
    <w:rsid w:val="3C4F64BA"/>
    <w:rsid w:val="3CDA245A"/>
    <w:rsid w:val="3D1E06B7"/>
    <w:rsid w:val="3EDA0523"/>
    <w:rsid w:val="407A6407"/>
    <w:rsid w:val="4200449D"/>
    <w:rsid w:val="423A3BCC"/>
    <w:rsid w:val="424E57D2"/>
    <w:rsid w:val="42B26C49"/>
    <w:rsid w:val="433A6FE6"/>
    <w:rsid w:val="43480868"/>
    <w:rsid w:val="4350713C"/>
    <w:rsid w:val="436653E0"/>
    <w:rsid w:val="43C4431A"/>
    <w:rsid w:val="44B951CC"/>
    <w:rsid w:val="44CD14E0"/>
    <w:rsid w:val="44F20B0B"/>
    <w:rsid w:val="452E5F4C"/>
    <w:rsid w:val="45612018"/>
    <w:rsid w:val="458946E9"/>
    <w:rsid w:val="45A47C0E"/>
    <w:rsid w:val="46577FD6"/>
    <w:rsid w:val="46D955A7"/>
    <w:rsid w:val="47133957"/>
    <w:rsid w:val="47A07E0C"/>
    <w:rsid w:val="4870272E"/>
    <w:rsid w:val="49DC7715"/>
    <w:rsid w:val="4A023139"/>
    <w:rsid w:val="4A7B576F"/>
    <w:rsid w:val="4AF561A9"/>
    <w:rsid w:val="4C4A0649"/>
    <w:rsid w:val="4C7E5ECA"/>
    <w:rsid w:val="4C876AA5"/>
    <w:rsid w:val="4D0E00FB"/>
    <w:rsid w:val="4D176606"/>
    <w:rsid w:val="4DEC4FB0"/>
    <w:rsid w:val="4E075D8A"/>
    <w:rsid w:val="4EC00FAD"/>
    <w:rsid w:val="4F9843DC"/>
    <w:rsid w:val="4FC62A8C"/>
    <w:rsid w:val="4FE20F0D"/>
    <w:rsid w:val="4FE51552"/>
    <w:rsid w:val="50504C4B"/>
    <w:rsid w:val="509C6E7C"/>
    <w:rsid w:val="5162104E"/>
    <w:rsid w:val="53A039CC"/>
    <w:rsid w:val="53A1505A"/>
    <w:rsid w:val="54063E08"/>
    <w:rsid w:val="543437E8"/>
    <w:rsid w:val="54F73313"/>
    <w:rsid w:val="54F80955"/>
    <w:rsid w:val="555170A7"/>
    <w:rsid w:val="5587536D"/>
    <w:rsid w:val="559B174B"/>
    <w:rsid w:val="55CE0CF4"/>
    <w:rsid w:val="56B22A9C"/>
    <w:rsid w:val="57B72A76"/>
    <w:rsid w:val="57C3426C"/>
    <w:rsid w:val="57CE1F93"/>
    <w:rsid w:val="588743D1"/>
    <w:rsid w:val="5887701A"/>
    <w:rsid w:val="59C0439F"/>
    <w:rsid w:val="5ABE2233"/>
    <w:rsid w:val="5BDF5D95"/>
    <w:rsid w:val="5BFE7528"/>
    <w:rsid w:val="5E2467F1"/>
    <w:rsid w:val="5EC3706E"/>
    <w:rsid w:val="5F1A2B43"/>
    <w:rsid w:val="5FB837BB"/>
    <w:rsid w:val="60CC405A"/>
    <w:rsid w:val="61E215D8"/>
    <w:rsid w:val="621B3775"/>
    <w:rsid w:val="62364782"/>
    <w:rsid w:val="6394356A"/>
    <w:rsid w:val="63C61B2C"/>
    <w:rsid w:val="63D40BE9"/>
    <w:rsid w:val="64102431"/>
    <w:rsid w:val="64A5243A"/>
    <w:rsid w:val="64F531DE"/>
    <w:rsid w:val="65373578"/>
    <w:rsid w:val="671F124A"/>
    <w:rsid w:val="677A33C6"/>
    <w:rsid w:val="681F6961"/>
    <w:rsid w:val="68610A2F"/>
    <w:rsid w:val="68805514"/>
    <w:rsid w:val="69316E2F"/>
    <w:rsid w:val="694E2071"/>
    <w:rsid w:val="69766163"/>
    <w:rsid w:val="697A3B33"/>
    <w:rsid w:val="69D44760"/>
    <w:rsid w:val="6A520EC7"/>
    <w:rsid w:val="6AF87E20"/>
    <w:rsid w:val="6B322639"/>
    <w:rsid w:val="6C636C38"/>
    <w:rsid w:val="6DB34098"/>
    <w:rsid w:val="6DB545B6"/>
    <w:rsid w:val="6DE02FB4"/>
    <w:rsid w:val="6E514CED"/>
    <w:rsid w:val="6EB563D5"/>
    <w:rsid w:val="6ED92677"/>
    <w:rsid w:val="6F225983"/>
    <w:rsid w:val="6FFC5590"/>
    <w:rsid w:val="706D1DD0"/>
    <w:rsid w:val="70856B87"/>
    <w:rsid w:val="70D527EE"/>
    <w:rsid w:val="715B5300"/>
    <w:rsid w:val="71D27F8A"/>
    <w:rsid w:val="72553024"/>
    <w:rsid w:val="73122968"/>
    <w:rsid w:val="731F5D5E"/>
    <w:rsid w:val="73C51AD5"/>
    <w:rsid w:val="741E793C"/>
    <w:rsid w:val="745E3944"/>
    <w:rsid w:val="7635099D"/>
    <w:rsid w:val="77762421"/>
    <w:rsid w:val="77B56B1F"/>
    <w:rsid w:val="780F09F4"/>
    <w:rsid w:val="78A90480"/>
    <w:rsid w:val="7A364017"/>
    <w:rsid w:val="7A8265E1"/>
    <w:rsid w:val="7B686D42"/>
    <w:rsid w:val="7B841746"/>
    <w:rsid w:val="7C6C5AC7"/>
    <w:rsid w:val="7CC6544B"/>
    <w:rsid w:val="7D0239FF"/>
    <w:rsid w:val="7D5E40CD"/>
    <w:rsid w:val="7DCD56F2"/>
    <w:rsid w:val="7F001CE7"/>
    <w:rsid w:val="7FE47E50"/>
  </w:rsids>
  <m:mathPr>
    <m:lMargin m:val="0"/>
    <m:mathFont m:val="Cambria Math"/>
    <m:rMargin m:val="0"/>
    <m:wrapIndent m:val="1440"/>
    <m:brkBin m:val="before"/>
    <m:brkBinSub m:val="--"/>
    <m:defJc m:val="centerGroup"/>
    <m:intLim m:val="subSup"/>
    <m:naryLim m:val="undOvr"/>
    <m:smallFrac m:val=""/>
    <m:dispDef/>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unhideWhenUsed="0" w:uiPriority="39" w:semiHidden="0" w:name="toc 1" w:locked="1"/>
    <w:lsdException w:uiPriority="0" w:name="toc 2" w:locked="1"/>
    <w:lsdException w:uiPriority="0" w:name="toc 3" w:locked="1"/>
    <w:lsdException w:uiPriority="0" w:name="toc 4" w:locked="1"/>
    <w:lsdException w:uiPriority="0" w:name="toc 5" w:locked="1"/>
    <w:lsdException w:uiPriority="0" w:name="toc 6" w:locked="1"/>
    <w:lsdException w:uiPriority="0" w:name="toc 7" w:locked="1"/>
    <w:lsdException w:uiPriority="0" w:name="toc 8" w:locked="1"/>
    <w:lsdException w:uiPriority="0" w:name="toc 9" w:locked="1"/>
    <w:lsdException w:qFormat="1" w:uiPriority="0" w:semiHidden="0" w:name="Normal Indent" w:locked="1"/>
    <w:lsdException w:uiPriority="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iPriority="0" w:name="index heading" w:locked="1"/>
    <w:lsdException w:qFormat="1" w:uiPriority="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99" w:name="annotation reference"/>
    <w:lsdException w:uiPriority="0" w:name="line number" w:locked="1"/>
    <w:lsdException w:unhideWhenUsed="0" w:uiPriority="0" w:semiHidden="0" w:name="page number" w:locked="1"/>
    <w:lsdException w:uiPriority="0" w:name="endnote reference" w:locked="1"/>
    <w:lsdException w:uiPriority="0" w:name="endnote text" w:locked="1"/>
    <w:lsdException w:uiPriority="0" w:name="table of authorities" w:locked="1"/>
    <w:lsdException w:unhideWhenUsed="0" w:uiPriority="0" w:semiHidden="0" w:name="macro" w:locked="1"/>
    <w:lsdException w:uiPriority="0" w:name="toa heading" w:locked="1"/>
    <w:lsdException w:uiPriority="0" w:name="List" w:locked="1"/>
    <w:lsdException w:unhideWhenUsed="0" w:uiPriority="0" w:semiHidden="0" w:name="List Bullet" w:locked="1"/>
    <w:lsdException w:unhideWhenUsed="0" w:uiPriority="0" w:semiHidden="0" w:name="List Number" w:locked="1"/>
    <w:lsdException w:uiPriority="0" w:name="List 2" w:locked="1"/>
    <w:lsdException w:uiPriority="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uiPriority="1" w:semiHidden="0" w:name="Default Paragraph Font"/>
    <w:lsdException w:qFormat="1" w:unhideWhenUsed="0" w:uiPriority="0" w:semiHidden="0" w:name="Body Text"/>
    <w:lsdException w:unhideWhenUsed="0" w:uiPriority="0" w:semiHidden="0" w:name="Body Text Indent"/>
    <w:lsdException w:uiPriority="0" w:name="List Continue" w:locked="1"/>
    <w:lsdException w:uiPriority="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iPriority="0" w:name="Salutation" w:locked="1"/>
    <w:lsdException w:unhideWhenUsed="0" w:uiPriority="0" w:semiHidden="0" w:name="Date"/>
    <w:lsdException w:qFormat="1" w:unhideWhenUsed="0" w:uiPriority="99" w:semiHidden="0" w:name="Body Text First Indent" w:locked="1"/>
    <w:lsdException w:uiPriority="0" w:name="Body Text First Indent 2" w:locked="1"/>
    <w:lsdException w:uiPriority="0" w:name="Note Heading" w:locked="1"/>
    <w:lsdException w:unhideWhenUsed="0" w:uiPriority="0" w:semiHidden="0" w:name="Body Text 2" w:locked="1"/>
    <w:lsdException w:uiPriority="0" w:name="Body Text 3" w:locked="1"/>
    <w:lsdException w:uiPriority="0" w:name="Body Text Indent 2" w:locked="1"/>
    <w:lsdException w:uiPriority="0" w:name="Body Text Indent 3" w:locked="1"/>
    <w:lsdException w:uiPriority="0" w:name="Block Text" w:locked="1"/>
    <w:lsdException w:unhideWhenUsed="0" w:uiPriority="99" w:semiHidden="0" w:name="Hyperlink" w:locked="1"/>
    <w:lsdException w:uiPriority="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iPriority="0" w:name="Plain Text" w:locked="1"/>
    <w:lsdException w:uiPriority="0" w:name="E-mail Signature" w:locked="1"/>
    <w:lsdException w:qFormat="1" w:unhideWhenUsed="0" w:uiPriority="99"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17">
    <w:name w:val="Default Paragraph Font"/>
    <w:unhideWhenUsed/>
    <w:uiPriority w:val="1"/>
  </w:style>
  <w:style w:type="table" w:default="1" w:styleId="21">
    <w:name w:val="Normal Table"/>
    <w:unhideWhenUsed/>
    <w:qFormat/>
    <w:uiPriority w:val="99"/>
    <w:tblPr>
      <w:tblLayout w:type="fixed"/>
      <w:tblCellMar>
        <w:top w:w="0" w:type="dxa"/>
        <w:left w:w="108" w:type="dxa"/>
        <w:bottom w:w="0" w:type="dxa"/>
        <w:right w:w="108" w:type="dxa"/>
      </w:tblCellMar>
    </w:tblPr>
  </w:style>
  <w:style w:type="paragraph" w:styleId="3">
    <w:name w:val="annotation subject"/>
    <w:basedOn w:val="4"/>
    <w:next w:val="4"/>
    <w:link w:val="34"/>
    <w:uiPriority w:val="0"/>
    <w:rPr>
      <w:b/>
      <w:kern w:val="2"/>
    </w:rPr>
  </w:style>
  <w:style w:type="paragraph" w:styleId="4">
    <w:name w:val="annotation text"/>
    <w:basedOn w:val="1"/>
    <w:link w:val="29"/>
    <w:qFormat/>
    <w:uiPriority w:val="99"/>
    <w:pPr>
      <w:jc w:val="left"/>
    </w:pPr>
    <w:rPr>
      <w:kern w:val="0"/>
      <w:sz w:val="24"/>
      <w:szCs w:val="20"/>
    </w:rPr>
  </w:style>
  <w:style w:type="paragraph" w:styleId="5">
    <w:name w:val="Body Text First Indent"/>
    <w:basedOn w:val="6"/>
    <w:link w:val="75"/>
    <w:qFormat/>
    <w:locked/>
    <w:uiPriority w:val="99"/>
    <w:pPr>
      <w:widowControl w:val="0"/>
      <w:snapToGrid/>
      <w:spacing w:before="0" w:after="120" w:line="240" w:lineRule="auto"/>
      <w:ind w:right="0" w:firstLine="420" w:firstLineChars="100"/>
    </w:pPr>
    <w:rPr>
      <w:kern w:val="2"/>
      <w:sz w:val="21"/>
      <w:szCs w:val="24"/>
    </w:rPr>
  </w:style>
  <w:style w:type="paragraph" w:styleId="6">
    <w:name w:val="Body Text"/>
    <w:basedOn w:val="1"/>
    <w:link w:val="28"/>
    <w:qFormat/>
    <w:uiPriority w:val="0"/>
    <w:pPr>
      <w:widowControl/>
      <w:snapToGrid w:val="0"/>
      <w:spacing w:before="60" w:after="160" w:line="259" w:lineRule="auto"/>
      <w:ind w:right="113"/>
    </w:pPr>
    <w:rPr>
      <w:kern w:val="0"/>
      <w:sz w:val="18"/>
      <w:szCs w:val="20"/>
    </w:rPr>
  </w:style>
  <w:style w:type="paragraph" w:styleId="7">
    <w:name w:val="Normal Indent"/>
    <w:basedOn w:val="1"/>
    <w:link w:val="74"/>
    <w:unhideWhenUsed/>
    <w:qFormat/>
    <w:locked/>
    <w:uiPriority w:val="0"/>
    <w:pPr>
      <w:spacing w:line="520" w:lineRule="exact"/>
      <w:ind w:firstLine="624"/>
    </w:pPr>
    <w:rPr>
      <w:rFonts w:ascii="Calibri" w:hAnsi="Calibri"/>
      <w:sz w:val="28"/>
      <w:szCs w:val="22"/>
    </w:rPr>
  </w:style>
  <w:style w:type="paragraph" w:styleId="8">
    <w:name w:val="Document Map"/>
    <w:basedOn w:val="1"/>
    <w:link w:val="40"/>
    <w:locked/>
    <w:uiPriority w:val="0"/>
    <w:rPr>
      <w:rFonts w:ascii="宋体"/>
      <w:sz w:val="18"/>
      <w:szCs w:val="18"/>
    </w:rPr>
  </w:style>
  <w:style w:type="paragraph" w:styleId="9">
    <w:name w:val="Body Text Indent"/>
    <w:basedOn w:val="1"/>
    <w:link w:val="37"/>
    <w:uiPriority w:val="0"/>
    <w:pPr>
      <w:spacing w:after="120"/>
      <w:ind w:left="420" w:leftChars="200"/>
    </w:pPr>
    <w:rPr>
      <w:kern w:val="0"/>
      <w:sz w:val="24"/>
      <w:szCs w:val="20"/>
    </w:rPr>
  </w:style>
  <w:style w:type="paragraph" w:styleId="10">
    <w:name w:val="Date"/>
    <w:basedOn w:val="1"/>
    <w:next w:val="1"/>
    <w:link w:val="24"/>
    <w:uiPriority w:val="0"/>
    <w:pPr>
      <w:ind w:left="100" w:leftChars="2500"/>
    </w:pPr>
    <w:rPr>
      <w:kern w:val="0"/>
      <w:sz w:val="24"/>
      <w:szCs w:val="20"/>
    </w:rPr>
  </w:style>
  <w:style w:type="paragraph" w:styleId="11">
    <w:name w:val="Balloon Text"/>
    <w:basedOn w:val="1"/>
    <w:link w:val="33"/>
    <w:semiHidden/>
    <w:qFormat/>
    <w:uiPriority w:val="0"/>
    <w:rPr>
      <w:kern w:val="0"/>
      <w:sz w:val="18"/>
      <w:szCs w:val="20"/>
    </w:rPr>
  </w:style>
  <w:style w:type="paragraph" w:styleId="12">
    <w:name w:val="footer"/>
    <w:basedOn w:val="1"/>
    <w:link w:val="23"/>
    <w:qFormat/>
    <w:uiPriority w:val="99"/>
    <w:pPr>
      <w:tabs>
        <w:tab w:val="center" w:pos="4153"/>
        <w:tab w:val="right" w:pos="8306"/>
      </w:tabs>
      <w:snapToGrid w:val="0"/>
      <w:jc w:val="left"/>
    </w:pPr>
    <w:rPr>
      <w:kern w:val="0"/>
      <w:sz w:val="18"/>
      <w:szCs w:val="20"/>
    </w:rPr>
  </w:style>
  <w:style w:type="paragraph" w:styleId="13">
    <w:name w:val="header"/>
    <w:basedOn w:val="1"/>
    <w:link w:val="35"/>
    <w:qFormat/>
    <w:uiPriority w:val="0"/>
    <w:pPr>
      <w:pBdr>
        <w:bottom w:val="single" w:color="auto" w:sz="6" w:space="1"/>
      </w:pBdr>
      <w:tabs>
        <w:tab w:val="center" w:pos="4153"/>
        <w:tab w:val="right" w:pos="8306"/>
      </w:tabs>
      <w:snapToGrid w:val="0"/>
      <w:jc w:val="center"/>
    </w:pPr>
    <w:rPr>
      <w:kern w:val="0"/>
      <w:sz w:val="18"/>
      <w:szCs w:val="20"/>
    </w:rPr>
  </w:style>
  <w:style w:type="paragraph" w:styleId="14">
    <w:name w:val="toc 1"/>
    <w:basedOn w:val="1"/>
    <w:next w:val="1"/>
    <w:locked/>
    <w:uiPriority w:val="39"/>
    <w:pPr>
      <w:tabs>
        <w:tab w:val="right" w:leader="dot" w:pos="8834"/>
      </w:tabs>
      <w:spacing w:line="360" w:lineRule="auto"/>
    </w:pPr>
  </w:style>
  <w:style w:type="paragraph" w:styleId="15">
    <w:name w:val="Body Text 2"/>
    <w:basedOn w:val="1"/>
    <w:link w:val="87"/>
    <w:locked/>
    <w:uiPriority w:val="0"/>
    <w:pPr>
      <w:spacing w:after="120" w:line="480" w:lineRule="auto"/>
    </w:pPr>
  </w:style>
  <w:style w:type="paragraph" w:styleId="16">
    <w:name w:val="Normal (Web)"/>
    <w:basedOn w:val="1"/>
    <w:link w:val="26"/>
    <w:qFormat/>
    <w:uiPriority w:val="99"/>
    <w:pPr>
      <w:widowControl/>
      <w:spacing w:before="100" w:beforeAutospacing="1" w:after="100" w:afterAutospacing="1"/>
      <w:jc w:val="left"/>
    </w:pPr>
    <w:rPr>
      <w:rFonts w:ascii="宋体" w:hAnsi="宋体"/>
      <w:kern w:val="0"/>
      <w:sz w:val="24"/>
      <w:szCs w:val="20"/>
    </w:rPr>
  </w:style>
  <w:style w:type="character" w:styleId="18">
    <w:name w:val="page number"/>
    <w:basedOn w:val="17"/>
    <w:locked/>
    <w:uiPriority w:val="0"/>
  </w:style>
  <w:style w:type="character" w:styleId="19">
    <w:name w:val="Hyperlink"/>
    <w:basedOn w:val="17"/>
    <w:locked/>
    <w:uiPriority w:val="99"/>
    <w:rPr>
      <w:color w:val="0000FF" w:themeColor="hyperlink"/>
      <w:u w:val="single"/>
    </w:rPr>
  </w:style>
  <w:style w:type="character" w:styleId="20">
    <w:name w:val="annotation reference"/>
    <w:semiHidden/>
    <w:qFormat/>
    <w:uiPriority w:val="99"/>
    <w:rPr>
      <w:sz w:val="21"/>
    </w:rPr>
  </w:style>
  <w:style w:type="table" w:styleId="22">
    <w:name w:val="Table Grid"/>
    <w:basedOn w:val="2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23">
    <w:name w:val="页脚 Char"/>
    <w:link w:val="12"/>
    <w:locked/>
    <w:uiPriority w:val="99"/>
    <w:rPr>
      <w:sz w:val="18"/>
    </w:rPr>
  </w:style>
  <w:style w:type="character" w:customStyle="1" w:styleId="24">
    <w:name w:val="日期 Char"/>
    <w:link w:val="10"/>
    <w:locked/>
    <w:uiPriority w:val="0"/>
    <w:rPr>
      <w:rFonts w:ascii="Times New Roman" w:hAnsi="Times New Roman" w:eastAsia="宋体"/>
      <w:sz w:val="24"/>
    </w:rPr>
  </w:style>
  <w:style w:type="character" w:customStyle="1" w:styleId="25">
    <w:name w:val="页脚 字符"/>
    <w:basedOn w:val="17"/>
    <w:uiPriority w:val="99"/>
  </w:style>
  <w:style w:type="character" w:customStyle="1" w:styleId="26">
    <w:name w:val="普通(网站) Char"/>
    <w:link w:val="16"/>
    <w:locked/>
    <w:uiPriority w:val="0"/>
    <w:rPr>
      <w:rFonts w:ascii="宋体" w:hAnsi="宋体" w:eastAsia="宋体"/>
      <w:sz w:val="24"/>
    </w:rPr>
  </w:style>
  <w:style w:type="character" w:customStyle="1" w:styleId="27">
    <w:name w:val="正文文本 字符1"/>
    <w:semiHidden/>
    <w:uiPriority w:val="0"/>
    <w:rPr>
      <w:rFonts w:ascii="Times New Roman" w:hAnsi="Times New Roman" w:eastAsia="宋体"/>
      <w:sz w:val="24"/>
    </w:rPr>
  </w:style>
  <w:style w:type="character" w:customStyle="1" w:styleId="28">
    <w:name w:val="正文文本 Char"/>
    <w:link w:val="6"/>
    <w:locked/>
    <w:uiPriority w:val="0"/>
    <w:rPr>
      <w:sz w:val="18"/>
    </w:rPr>
  </w:style>
  <w:style w:type="character" w:customStyle="1" w:styleId="29">
    <w:name w:val="批注文字 Char"/>
    <w:link w:val="4"/>
    <w:qFormat/>
    <w:locked/>
    <w:uiPriority w:val="99"/>
    <w:rPr>
      <w:rFonts w:ascii="Times New Roman" w:hAnsi="Times New Roman" w:eastAsia="宋体"/>
      <w:sz w:val="24"/>
    </w:rPr>
  </w:style>
  <w:style w:type="character" w:customStyle="1" w:styleId="30">
    <w:name w:val="表格 Char"/>
    <w:link w:val="31"/>
    <w:qFormat/>
    <w:locked/>
    <w:uiPriority w:val="0"/>
    <w:rPr>
      <w:rFonts w:ascii="宋体"/>
      <w:sz w:val="21"/>
    </w:rPr>
  </w:style>
  <w:style w:type="paragraph" w:customStyle="1" w:styleId="31">
    <w:name w:val="表格"/>
    <w:basedOn w:val="1"/>
    <w:next w:val="1"/>
    <w:link w:val="30"/>
    <w:qFormat/>
    <w:uiPriority w:val="0"/>
    <w:pPr>
      <w:adjustRightInd w:val="0"/>
      <w:snapToGrid w:val="0"/>
      <w:spacing w:beforeLines="10" w:afterLines="10" w:line="259" w:lineRule="auto"/>
      <w:jc w:val="center"/>
    </w:pPr>
    <w:rPr>
      <w:rFonts w:ascii="宋体"/>
      <w:kern w:val="0"/>
      <w:szCs w:val="20"/>
    </w:rPr>
  </w:style>
  <w:style w:type="character" w:customStyle="1" w:styleId="32">
    <w:name w:val="日期 字符"/>
    <w:semiHidden/>
    <w:qFormat/>
    <w:uiPriority w:val="0"/>
    <w:rPr>
      <w:rFonts w:ascii="Times New Roman" w:hAnsi="Times New Roman" w:eastAsia="宋体"/>
      <w:sz w:val="24"/>
    </w:rPr>
  </w:style>
  <w:style w:type="character" w:customStyle="1" w:styleId="33">
    <w:name w:val="批注框文本 Char"/>
    <w:link w:val="11"/>
    <w:semiHidden/>
    <w:qFormat/>
    <w:locked/>
    <w:uiPriority w:val="0"/>
    <w:rPr>
      <w:rFonts w:ascii="Times New Roman" w:hAnsi="Times New Roman" w:eastAsia="宋体"/>
      <w:sz w:val="18"/>
    </w:rPr>
  </w:style>
  <w:style w:type="character" w:customStyle="1" w:styleId="34">
    <w:name w:val="批注主题 Char"/>
    <w:link w:val="3"/>
    <w:qFormat/>
    <w:locked/>
    <w:uiPriority w:val="0"/>
    <w:rPr>
      <w:rFonts w:ascii="Times New Roman" w:hAnsi="Times New Roman" w:eastAsia="宋体"/>
      <w:b/>
      <w:kern w:val="2"/>
      <w:sz w:val="24"/>
    </w:rPr>
  </w:style>
  <w:style w:type="character" w:customStyle="1" w:styleId="35">
    <w:name w:val="页眉 Char"/>
    <w:link w:val="13"/>
    <w:qFormat/>
    <w:locked/>
    <w:uiPriority w:val="0"/>
    <w:rPr>
      <w:sz w:val="18"/>
    </w:rPr>
  </w:style>
  <w:style w:type="character" w:customStyle="1" w:styleId="36">
    <w:name w:val="批注文字 字符1"/>
    <w:semiHidden/>
    <w:qFormat/>
    <w:uiPriority w:val="0"/>
    <w:rPr>
      <w:rFonts w:ascii="Times New Roman" w:hAnsi="Times New Roman" w:eastAsia="宋体"/>
      <w:sz w:val="24"/>
    </w:rPr>
  </w:style>
  <w:style w:type="character" w:customStyle="1" w:styleId="37">
    <w:name w:val="正文文本缩进 Char"/>
    <w:link w:val="9"/>
    <w:semiHidden/>
    <w:qFormat/>
    <w:locked/>
    <w:uiPriority w:val="0"/>
    <w:rPr>
      <w:rFonts w:ascii="Times New Roman" w:hAnsi="Times New Roman" w:eastAsia="宋体"/>
      <w:sz w:val="24"/>
    </w:rPr>
  </w:style>
  <w:style w:type="paragraph" w:customStyle="1" w:styleId="38">
    <w:name w:val="正文_10"/>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39">
    <w:name w:val="普通(网站)2"/>
    <w:basedOn w:val="1"/>
    <w:uiPriority w:val="0"/>
    <w:pPr>
      <w:widowControl/>
      <w:spacing w:before="100" w:beforeAutospacing="1" w:after="100" w:afterAutospacing="1"/>
      <w:jc w:val="left"/>
    </w:pPr>
    <w:rPr>
      <w:rFonts w:ascii="宋体" w:hAnsi="宋体"/>
      <w:sz w:val="24"/>
      <w:szCs w:val="20"/>
    </w:rPr>
  </w:style>
  <w:style w:type="character" w:customStyle="1" w:styleId="40">
    <w:name w:val="文档结构图 Char"/>
    <w:basedOn w:val="17"/>
    <w:link w:val="8"/>
    <w:uiPriority w:val="0"/>
    <w:rPr>
      <w:rFonts w:ascii="宋体"/>
      <w:kern w:val="2"/>
      <w:sz w:val="18"/>
      <w:szCs w:val="18"/>
    </w:rPr>
  </w:style>
  <w:style w:type="character" w:customStyle="1" w:styleId="41">
    <w:name w:val="内容 Char"/>
    <w:link w:val="42"/>
    <w:qFormat/>
    <w:uiPriority w:val="0"/>
    <w:rPr>
      <w:color w:val="000000"/>
      <w:kern w:val="2"/>
      <w:sz w:val="24"/>
      <w:szCs w:val="24"/>
    </w:rPr>
  </w:style>
  <w:style w:type="paragraph" w:customStyle="1" w:styleId="42">
    <w:name w:val="内容"/>
    <w:basedOn w:val="1"/>
    <w:link w:val="41"/>
    <w:qFormat/>
    <w:uiPriority w:val="0"/>
    <w:pPr>
      <w:spacing w:beforeLines="50" w:afterLines="50"/>
      <w:ind w:firstLine="200" w:firstLineChars="200"/>
    </w:pPr>
    <w:rPr>
      <w:color w:val="000000"/>
      <w:sz w:val="24"/>
    </w:rPr>
  </w:style>
  <w:style w:type="paragraph" w:customStyle="1" w:styleId="43">
    <w:name w:val="List Paragraph"/>
    <w:basedOn w:val="1"/>
    <w:qFormat/>
    <w:uiPriority w:val="0"/>
    <w:pPr>
      <w:ind w:firstLine="420" w:firstLineChars="200"/>
    </w:pPr>
  </w:style>
  <w:style w:type="paragraph" w:customStyle="1" w:styleId="44">
    <w:name w:val="Char Char Char Char Char Char Char2"/>
    <w:basedOn w:val="1"/>
    <w:qFormat/>
    <w:uiPriority w:val="0"/>
    <w:pPr>
      <w:snapToGrid w:val="0"/>
      <w:spacing w:line="360" w:lineRule="auto"/>
      <w:ind w:firstLine="529" w:firstLineChars="200"/>
    </w:pPr>
  </w:style>
  <w:style w:type="paragraph" w:customStyle="1" w:styleId="45">
    <w:name w:val="表内格式"/>
    <w:basedOn w:val="1"/>
    <w:next w:val="1"/>
    <w:qFormat/>
    <w:uiPriority w:val="0"/>
    <w:pPr>
      <w:spacing w:line="240" w:lineRule="exact"/>
      <w:jc w:val="center"/>
    </w:pPr>
    <w:rPr>
      <w:rFonts w:ascii="宋体" w:hAnsi="宋体"/>
      <w:szCs w:val="22"/>
    </w:rPr>
  </w:style>
  <w:style w:type="paragraph" w:customStyle="1" w:styleId="46">
    <w:name w:val="环评表中文字"/>
    <w:basedOn w:val="1"/>
    <w:qFormat/>
    <w:uiPriority w:val="0"/>
    <w:pPr>
      <w:spacing w:line="360" w:lineRule="auto"/>
      <w:jc w:val="center"/>
    </w:pPr>
    <w:rPr>
      <w:sz w:val="24"/>
      <w:szCs w:val="22"/>
    </w:rPr>
  </w:style>
  <w:style w:type="character" w:customStyle="1" w:styleId="47">
    <w:name w:val="【正文】 Char"/>
    <w:link w:val="48"/>
    <w:qFormat/>
    <w:uiPriority w:val="0"/>
    <w:rPr>
      <w:kern w:val="2"/>
      <w:sz w:val="24"/>
      <w:szCs w:val="24"/>
    </w:rPr>
  </w:style>
  <w:style w:type="paragraph" w:customStyle="1" w:styleId="48">
    <w:name w:val="【正文】"/>
    <w:basedOn w:val="1"/>
    <w:link w:val="47"/>
    <w:qFormat/>
    <w:uiPriority w:val="0"/>
    <w:pPr>
      <w:spacing w:line="360" w:lineRule="auto"/>
      <w:ind w:firstLine="480" w:firstLineChars="200"/>
    </w:pPr>
    <w:rPr>
      <w:sz w:val="24"/>
    </w:rPr>
  </w:style>
  <w:style w:type="paragraph" w:customStyle="1" w:styleId="49">
    <w:name w:val="表格题目"/>
    <w:basedOn w:val="1"/>
    <w:qFormat/>
    <w:uiPriority w:val="0"/>
    <w:pPr>
      <w:spacing w:line="240" w:lineRule="atLeast"/>
      <w:jc w:val="center"/>
    </w:pPr>
    <w:rPr>
      <w:rFonts w:ascii="黑体" w:hAnsi="宋体" w:eastAsia="黑体"/>
      <w:sz w:val="24"/>
    </w:rPr>
  </w:style>
  <w:style w:type="character" w:customStyle="1" w:styleId="50">
    <w:name w:val="表格内容 Char"/>
    <w:link w:val="51"/>
    <w:qFormat/>
    <w:locked/>
    <w:uiPriority w:val="0"/>
    <w:rPr>
      <w:rFonts w:ascii="宋体" w:hAnsi="宋体"/>
      <w:kern w:val="2"/>
      <w:sz w:val="21"/>
      <w:szCs w:val="21"/>
    </w:rPr>
  </w:style>
  <w:style w:type="paragraph" w:customStyle="1" w:styleId="51">
    <w:name w:val="表格内容"/>
    <w:basedOn w:val="1"/>
    <w:link w:val="50"/>
    <w:qFormat/>
    <w:uiPriority w:val="0"/>
    <w:pPr>
      <w:spacing w:line="340" w:lineRule="exact"/>
      <w:jc w:val="center"/>
    </w:pPr>
    <w:rPr>
      <w:rFonts w:ascii="宋体" w:hAnsi="宋体"/>
      <w:szCs w:val="21"/>
    </w:rPr>
  </w:style>
  <w:style w:type="paragraph" w:customStyle="1" w:styleId="52">
    <w:name w:val="盂县"/>
    <w:basedOn w:val="1"/>
    <w:qFormat/>
    <w:uiPriority w:val="0"/>
    <w:pPr>
      <w:adjustRightInd w:val="0"/>
      <w:snapToGrid w:val="0"/>
      <w:spacing w:line="312" w:lineRule="auto"/>
      <w:ind w:firstLine="560" w:firstLineChars="200"/>
    </w:pPr>
    <w:rPr>
      <w:sz w:val="28"/>
    </w:rPr>
  </w:style>
  <w:style w:type="paragraph" w:customStyle="1" w:styleId="53">
    <w:name w:val="表内容"/>
    <w:basedOn w:val="1"/>
    <w:next w:val="1"/>
    <w:uiPriority w:val="0"/>
    <w:pPr>
      <w:spacing w:line="320" w:lineRule="exact"/>
      <w:jc w:val="center"/>
    </w:pPr>
    <w:rPr>
      <w:szCs w:val="20"/>
    </w:rPr>
  </w:style>
  <w:style w:type="paragraph" w:customStyle="1" w:styleId="54">
    <w:name w:val="xl24"/>
    <w:basedOn w:val="1"/>
    <w:uiPriority w:val="0"/>
    <w:pPr>
      <w:widowControl/>
      <w:pBdr>
        <w:right w:val="single" w:color="auto" w:sz="4" w:space="0"/>
      </w:pBdr>
      <w:spacing w:before="100" w:beforeAutospacing="1" w:after="100" w:afterAutospacing="1"/>
      <w:jc w:val="center"/>
    </w:pPr>
    <w:rPr>
      <w:rFonts w:hint="eastAsia" w:ascii="仿宋_GB2312" w:hAnsi="宋体" w:eastAsia="仿宋_GB2312"/>
      <w:kern w:val="0"/>
      <w:szCs w:val="21"/>
    </w:rPr>
  </w:style>
  <w:style w:type="paragraph" w:customStyle="1" w:styleId="55">
    <w:name w:val="正文文字进缩"/>
    <w:basedOn w:val="1"/>
    <w:qFormat/>
    <w:uiPriority w:val="0"/>
    <w:pPr>
      <w:spacing w:line="360" w:lineRule="auto"/>
      <w:ind w:firstLine="200" w:firstLineChars="200"/>
    </w:pPr>
    <w:rPr>
      <w:rFonts w:ascii="仿宋_GB2312" w:eastAsia="仿宋_GB2312"/>
      <w:sz w:val="30"/>
      <w:szCs w:val="20"/>
    </w:rPr>
  </w:style>
  <w:style w:type="character" w:customStyle="1" w:styleId="56">
    <w:name w:val="fontstyle01"/>
    <w:basedOn w:val="17"/>
    <w:uiPriority w:val="0"/>
    <w:rPr>
      <w:rFonts w:hint="eastAsia" w:ascii="宋体" w:hAnsi="宋体" w:eastAsia="宋体"/>
      <w:color w:val="000000"/>
      <w:sz w:val="24"/>
      <w:szCs w:val="24"/>
    </w:rPr>
  </w:style>
  <w:style w:type="character" w:customStyle="1" w:styleId="57">
    <w:name w:val="fontstyle21"/>
    <w:basedOn w:val="17"/>
    <w:uiPriority w:val="0"/>
    <w:rPr>
      <w:rFonts w:hint="default" w:ascii="Times New Roman" w:hAnsi="Times New Roman" w:cs="Times New Roman"/>
      <w:color w:val="000000"/>
      <w:sz w:val="24"/>
      <w:szCs w:val="24"/>
    </w:rPr>
  </w:style>
  <w:style w:type="character" w:customStyle="1" w:styleId="58">
    <w:name w:val="fontstyle31"/>
    <w:basedOn w:val="17"/>
    <w:uiPriority w:val="0"/>
    <w:rPr>
      <w:rFonts w:hint="default" w:ascii="Cambria Math" w:hAnsi="Cambria Math"/>
      <w:color w:val="000000"/>
      <w:sz w:val="24"/>
      <w:szCs w:val="24"/>
    </w:rPr>
  </w:style>
  <w:style w:type="character" w:customStyle="1" w:styleId="59">
    <w:name w:val="fontstyle11"/>
    <w:basedOn w:val="17"/>
    <w:uiPriority w:val="0"/>
    <w:rPr>
      <w:rFonts w:hint="default" w:ascii="Cambria Math" w:hAnsi="Cambria Math"/>
      <w:color w:val="000000"/>
      <w:sz w:val="24"/>
      <w:szCs w:val="24"/>
    </w:rPr>
  </w:style>
  <w:style w:type="character" w:customStyle="1" w:styleId="60">
    <w:name w:val="Subtle Emphasis"/>
    <w:basedOn w:val="17"/>
    <w:qFormat/>
    <w:uiPriority w:val="19"/>
    <w:rPr>
      <w:i/>
      <w:iCs/>
      <w:color w:val="7F7F7F" w:themeColor="text1" w:themeTint="7F"/>
    </w:rPr>
  </w:style>
  <w:style w:type="paragraph" w:customStyle="1" w:styleId="61">
    <w:name w:val="Normal (Web)1"/>
    <w:basedOn w:val="1"/>
    <w:next w:val="1"/>
    <w:qFormat/>
    <w:uiPriority w:val="0"/>
    <w:pPr>
      <w:widowControl/>
      <w:jc w:val="left"/>
    </w:pPr>
    <w:rPr>
      <w:rFonts w:ascii="宋体"/>
      <w:kern w:val="0"/>
      <w:sz w:val="24"/>
      <w:szCs w:val="21"/>
    </w:rPr>
  </w:style>
  <w:style w:type="paragraph" w:customStyle="1" w:styleId="62">
    <w:name w:val="Table Paragraph"/>
    <w:basedOn w:val="1"/>
    <w:qFormat/>
    <w:uiPriority w:val="1"/>
    <w:pPr>
      <w:autoSpaceDE w:val="0"/>
      <w:autoSpaceDN w:val="0"/>
      <w:jc w:val="center"/>
    </w:pPr>
    <w:rPr>
      <w:rFonts w:hint="eastAsia" w:ascii="仿宋" w:hAnsi="仿宋" w:eastAsia="仿宋"/>
      <w:kern w:val="0"/>
      <w:sz w:val="22"/>
      <w:szCs w:val="22"/>
    </w:rPr>
  </w:style>
  <w:style w:type="paragraph" w:customStyle="1" w:styleId="63">
    <w:name w:val="Default"/>
    <w:next w:val="1"/>
    <w:qFormat/>
    <w:uiPriority w:val="99"/>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paragraph" w:customStyle="1" w:styleId="64">
    <w:name w:val="正文_20"/>
    <w:qFormat/>
    <w:uiPriority w:val="0"/>
    <w:pPr>
      <w:widowControl w:val="0"/>
      <w:jc w:val="both"/>
    </w:pPr>
    <w:rPr>
      <w:rFonts w:ascii="Calibri" w:hAnsi="Calibri" w:eastAsia="宋体" w:cs="Times New Roman"/>
      <w:kern w:val="2"/>
      <w:sz w:val="21"/>
      <w:lang w:val="en-US" w:eastAsia="zh-CN" w:bidi="ar-SA"/>
    </w:rPr>
  </w:style>
  <w:style w:type="character" w:customStyle="1" w:styleId="65">
    <w:name w:val="【正文】 Char1"/>
    <w:qFormat/>
    <w:locked/>
    <w:uiPriority w:val="0"/>
    <w:rPr>
      <w:kern w:val="2"/>
      <w:sz w:val="24"/>
      <w:szCs w:val="24"/>
    </w:rPr>
  </w:style>
  <w:style w:type="character" w:customStyle="1" w:styleId="66">
    <w:name w:val="【表中文字】 Char"/>
    <w:link w:val="67"/>
    <w:qFormat/>
    <w:uiPriority w:val="0"/>
  </w:style>
  <w:style w:type="paragraph" w:customStyle="1" w:styleId="67">
    <w:name w:val="【表中文字】"/>
    <w:basedOn w:val="1"/>
    <w:link w:val="66"/>
    <w:qFormat/>
    <w:uiPriority w:val="0"/>
    <w:pPr>
      <w:jc w:val="center"/>
    </w:pPr>
    <w:rPr>
      <w:kern w:val="0"/>
      <w:sz w:val="20"/>
      <w:szCs w:val="20"/>
    </w:rPr>
  </w:style>
  <w:style w:type="table" w:customStyle="1" w:styleId="68">
    <w:name w:val="Table Normal"/>
    <w:unhideWhenUsed/>
    <w:qFormat/>
    <w:uiPriority w:val="2"/>
    <w:pPr>
      <w:widowControl w:val="0"/>
      <w:autoSpaceDE w:val="0"/>
      <w:autoSpaceDN w:val="0"/>
    </w:pPr>
    <w:rPr>
      <w:rFonts w:asciiTheme="minorHAnsi" w:hAnsiTheme="minorHAnsi" w:eastAsiaTheme="minorEastAsia" w:cstheme="minorBidi"/>
      <w:sz w:val="22"/>
      <w:szCs w:val="22"/>
      <w:lang w:eastAsia="en-US"/>
    </w:rPr>
    <w:tblPr>
      <w:tblLayout w:type="fixed"/>
      <w:tblCellMar>
        <w:top w:w="0" w:type="dxa"/>
        <w:left w:w="0" w:type="dxa"/>
        <w:bottom w:w="0" w:type="dxa"/>
        <w:right w:w="0" w:type="dxa"/>
      </w:tblCellMar>
    </w:tblPr>
  </w:style>
  <w:style w:type="character" w:customStyle="1" w:styleId="69">
    <w:name w:val="【表中文字】- 字符"/>
    <w:link w:val="70"/>
    <w:qFormat/>
    <w:uiPriority w:val="0"/>
  </w:style>
  <w:style w:type="paragraph" w:customStyle="1" w:styleId="70">
    <w:name w:val="【表中文字】-"/>
    <w:basedOn w:val="1"/>
    <w:link w:val="69"/>
    <w:qFormat/>
    <w:uiPriority w:val="0"/>
    <w:pPr>
      <w:widowControl/>
      <w:adjustRightInd w:val="0"/>
      <w:snapToGrid w:val="0"/>
      <w:jc w:val="center"/>
    </w:pPr>
    <w:rPr>
      <w:kern w:val="0"/>
      <w:sz w:val="20"/>
      <w:szCs w:val="20"/>
    </w:rPr>
  </w:style>
  <w:style w:type="character" w:customStyle="1" w:styleId="71">
    <w:name w:val="【表头】 Char"/>
    <w:link w:val="72"/>
    <w:qFormat/>
    <w:uiPriority w:val="0"/>
    <w:rPr>
      <w:rFonts w:eastAsia="黑体"/>
      <w:sz w:val="24"/>
    </w:rPr>
  </w:style>
  <w:style w:type="paragraph" w:customStyle="1" w:styleId="72">
    <w:name w:val="【表头】"/>
    <w:basedOn w:val="1"/>
    <w:link w:val="71"/>
    <w:qFormat/>
    <w:uiPriority w:val="0"/>
    <w:pPr>
      <w:adjustRightInd w:val="0"/>
      <w:snapToGrid w:val="0"/>
      <w:spacing w:line="500" w:lineRule="exact"/>
      <w:jc w:val="center"/>
    </w:pPr>
    <w:rPr>
      <w:rFonts w:eastAsia="黑体"/>
      <w:kern w:val="0"/>
      <w:sz w:val="24"/>
      <w:szCs w:val="20"/>
    </w:rPr>
  </w:style>
  <w:style w:type="paragraph" w:customStyle="1" w:styleId="73">
    <w:name w:val="居中表格内容"/>
    <w:basedOn w:val="1"/>
    <w:qFormat/>
    <w:uiPriority w:val="0"/>
    <w:pPr>
      <w:jc w:val="center"/>
    </w:pPr>
    <w:rPr>
      <w:rFonts w:hint="eastAsia"/>
      <w:szCs w:val="20"/>
    </w:rPr>
  </w:style>
  <w:style w:type="character" w:customStyle="1" w:styleId="74">
    <w:name w:val="正文缩进 Char"/>
    <w:link w:val="7"/>
    <w:uiPriority w:val="0"/>
    <w:rPr>
      <w:rFonts w:ascii="Calibri" w:hAnsi="Calibri"/>
      <w:kern w:val="2"/>
      <w:sz w:val="28"/>
      <w:szCs w:val="22"/>
    </w:rPr>
  </w:style>
  <w:style w:type="character" w:customStyle="1" w:styleId="75">
    <w:name w:val="正文首行缩进 Char"/>
    <w:basedOn w:val="28"/>
    <w:link w:val="5"/>
    <w:qFormat/>
    <w:uiPriority w:val="99"/>
    <w:rPr>
      <w:kern w:val="2"/>
      <w:sz w:val="21"/>
      <w:szCs w:val="24"/>
    </w:rPr>
  </w:style>
  <w:style w:type="paragraph" w:customStyle="1" w:styleId="76">
    <w:name w:val="表格文字"/>
    <w:basedOn w:val="1"/>
    <w:link w:val="77"/>
    <w:qFormat/>
    <w:uiPriority w:val="0"/>
    <w:pPr>
      <w:widowControl/>
      <w:adjustRightInd w:val="0"/>
      <w:snapToGrid w:val="0"/>
      <w:jc w:val="center"/>
    </w:pPr>
    <w:rPr>
      <w:szCs w:val="21"/>
    </w:rPr>
  </w:style>
  <w:style w:type="character" w:customStyle="1" w:styleId="77">
    <w:name w:val="表格文字 Char"/>
    <w:link w:val="76"/>
    <w:qFormat/>
    <w:uiPriority w:val="0"/>
    <w:rPr>
      <w:kern w:val="2"/>
      <w:sz w:val="21"/>
      <w:szCs w:val="21"/>
    </w:rPr>
  </w:style>
  <w:style w:type="paragraph" w:customStyle="1" w:styleId="78">
    <w:name w:val="正文首行缩进1"/>
    <w:basedOn w:val="6"/>
    <w:unhideWhenUsed/>
    <w:qFormat/>
    <w:uiPriority w:val="99"/>
    <w:pPr>
      <w:adjustRightInd w:val="0"/>
      <w:spacing w:before="0" w:after="0" w:line="360" w:lineRule="auto"/>
      <w:ind w:right="0" w:firstLine="200" w:firstLineChars="200"/>
    </w:pPr>
    <w:rPr>
      <w:kern w:val="2"/>
      <w:sz w:val="24"/>
      <w:szCs w:val="21"/>
    </w:rPr>
  </w:style>
  <w:style w:type="paragraph" w:customStyle="1" w:styleId="79">
    <w:name w:val="xl27"/>
    <w:basedOn w:val="1"/>
    <w:uiPriority w:val="0"/>
    <w:pPr>
      <w:widowControl/>
      <w:pBdr>
        <w:bottom w:val="single" w:color="auto" w:sz="12" w:space="0"/>
      </w:pBdr>
      <w:spacing w:before="100" w:after="100"/>
      <w:jc w:val="center"/>
    </w:pPr>
    <w:rPr>
      <w:rFonts w:ascii="宋体" w:hAnsi="宋体"/>
      <w:kern w:val="0"/>
      <w:szCs w:val="20"/>
    </w:rPr>
  </w:style>
  <w:style w:type="table" w:customStyle="1" w:styleId="80">
    <w:name w:val="环评表格"/>
    <w:basedOn w:val="21"/>
    <w:uiPriority w:val="0"/>
    <w:pPr>
      <w:snapToGrid w:val="0"/>
      <w:jc w:val="center"/>
    </w:pPr>
    <w:rPr>
      <w:sz w:val="21"/>
    </w:rPr>
    <w:tblPr>
      <w:jc w:val="center"/>
      <w:tblBorders>
        <w:top w:val="single" w:color="auto" w:sz="12" w:space="0"/>
        <w:bottom w:val="single" w:color="auto" w:sz="12" w:space="0"/>
        <w:insideH w:val="single" w:color="auto" w:sz="4" w:space="0"/>
        <w:insideV w:val="single" w:color="auto" w:sz="4" w:space="0"/>
      </w:tblBorders>
      <w:tblLayout w:type="fixed"/>
      <w:tblCellMar>
        <w:top w:w="0" w:type="dxa"/>
        <w:left w:w="108" w:type="dxa"/>
        <w:bottom w:w="0" w:type="dxa"/>
        <w:right w:w="108" w:type="dxa"/>
      </w:tblCellMar>
    </w:tblPr>
    <w:trPr>
      <w:jc w:val="center"/>
    </w:trPr>
    <w:tcPr>
      <w:vAlign w:val="center"/>
    </w:tcPr>
  </w:style>
  <w:style w:type="paragraph" w:customStyle="1" w:styleId="81">
    <w:name w:val="表内文字"/>
    <w:basedOn w:val="1"/>
    <w:qFormat/>
    <w:uiPriority w:val="0"/>
    <w:pPr>
      <w:widowControl/>
      <w:spacing w:after="200" w:line="276" w:lineRule="auto"/>
      <w:jc w:val="center"/>
    </w:pPr>
    <w:rPr>
      <w:color w:val="000000"/>
      <w:kern w:val="0"/>
      <w:sz w:val="22"/>
      <w:szCs w:val="18"/>
    </w:rPr>
  </w:style>
  <w:style w:type="character" w:customStyle="1" w:styleId="82">
    <w:name w:val="正文00 Char"/>
    <w:link w:val="83"/>
    <w:qFormat/>
    <w:uiPriority w:val="0"/>
    <w:rPr>
      <w:rFonts w:cs="宋体"/>
      <w:kern w:val="2"/>
      <w:sz w:val="24"/>
      <w:szCs w:val="24"/>
    </w:rPr>
  </w:style>
  <w:style w:type="paragraph" w:customStyle="1" w:styleId="83">
    <w:name w:val="正文00"/>
    <w:basedOn w:val="1"/>
    <w:link w:val="82"/>
    <w:qFormat/>
    <w:uiPriority w:val="0"/>
    <w:pPr>
      <w:widowControl/>
      <w:spacing w:after="200" w:line="360" w:lineRule="auto"/>
      <w:ind w:firstLine="480" w:firstLineChars="200"/>
      <w:jc w:val="left"/>
    </w:pPr>
    <w:rPr>
      <w:rFonts w:cs="宋体"/>
      <w:sz w:val="24"/>
    </w:rPr>
  </w:style>
  <w:style w:type="character" w:customStyle="1" w:styleId="84">
    <w:name w:val="【正文】 Char Char"/>
    <w:uiPriority w:val="0"/>
    <w:rPr>
      <w:rFonts w:eastAsia="宋体" w:cs="宋体"/>
      <w:kern w:val="2"/>
      <w:sz w:val="24"/>
      <w:lang w:val="en-US" w:eastAsia="zh-CN" w:bidi="ar-SA"/>
    </w:rPr>
  </w:style>
  <w:style w:type="paragraph" w:customStyle="1" w:styleId="85">
    <w:name w:val="a正文"/>
    <w:basedOn w:val="1"/>
    <w:qFormat/>
    <w:uiPriority w:val="0"/>
    <w:pPr>
      <w:spacing w:line="520" w:lineRule="exact"/>
      <w:ind w:firstLine="561"/>
    </w:pPr>
    <w:rPr>
      <w:sz w:val="28"/>
      <w:szCs w:val="22"/>
    </w:rPr>
  </w:style>
  <w:style w:type="paragraph" w:customStyle="1" w:styleId="86">
    <w:name w:val="正文1"/>
    <w:next w:val="1"/>
    <w:qFormat/>
    <w:uiPriority w:val="0"/>
    <w:pPr>
      <w:widowControl w:val="0"/>
      <w:adjustRightInd w:val="0"/>
      <w:spacing w:line="360" w:lineRule="atLeast"/>
    </w:pPr>
    <w:rPr>
      <w:rFonts w:ascii="宋体" w:hAnsi="Times New Roman" w:eastAsia="宋体" w:cs="Times New Roman"/>
      <w:kern w:val="2"/>
      <w:sz w:val="24"/>
      <w:szCs w:val="22"/>
      <w:lang w:val="en-US" w:eastAsia="zh-CN" w:bidi="ar-SA"/>
    </w:rPr>
  </w:style>
  <w:style w:type="character" w:customStyle="1" w:styleId="87">
    <w:name w:val="正文文本 2 Char"/>
    <w:basedOn w:val="17"/>
    <w:link w:val="15"/>
    <w:uiPriority w:val="0"/>
    <w:rPr>
      <w:kern w:val="2"/>
      <w:sz w:val="21"/>
      <w:szCs w:val="24"/>
    </w:rPr>
  </w:style>
  <w:style w:type="paragraph" w:customStyle="1" w:styleId="88">
    <w:name w:val="文本正文"/>
    <w:basedOn w:val="1"/>
    <w:qFormat/>
    <w:uiPriority w:val="0"/>
    <w:pPr>
      <w:spacing w:line="360" w:lineRule="auto"/>
      <w:ind w:firstLine="200" w:firstLineChars="200"/>
    </w:pPr>
    <w:rPr>
      <w:sz w:val="24"/>
    </w:rPr>
  </w:style>
  <w:style w:type="paragraph" w:customStyle="1" w:styleId="89">
    <w:name w:val="报告表图标题"/>
    <w:basedOn w:val="1"/>
    <w:link w:val="90"/>
    <w:qFormat/>
    <w:uiPriority w:val="0"/>
    <w:pPr>
      <w:tabs>
        <w:tab w:val="left" w:pos="0"/>
      </w:tabs>
      <w:spacing w:line="360" w:lineRule="auto"/>
      <w:ind w:left="840" w:hanging="360"/>
      <w:jc w:val="center"/>
    </w:pPr>
    <w:rPr>
      <w:b/>
      <w:kern w:val="0"/>
      <w:sz w:val="24"/>
      <w:szCs w:val="22"/>
    </w:rPr>
  </w:style>
  <w:style w:type="character" w:customStyle="1" w:styleId="90">
    <w:name w:val="报告表图标题 Char"/>
    <w:link w:val="89"/>
    <w:qFormat/>
    <w:uiPriority w:val="0"/>
    <w:rPr>
      <w:b/>
      <w:sz w:val="24"/>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customXml" Target="../customXml/item1.xml"/><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5.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4.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emf"/><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wmf"/><Relationship Id="rId25" Type="http://schemas.openxmlformats.org/officeDocument/2006/relationships/oleObject" Target="embeddings/oleObject5.bin"/><Relationship Id="rId24" Type="http://schemas.openxmlformats.org/officeDocument/2006/relationships/image" Target="media/image12.wmf"/><Relationship Id="rId23" Type="http://schemas.openxmlformats.org/officeDocument/2006/relationships/oleObject" Target="embeddings/oleObject4.bin"/><Relationship Id="rId22" Type="http://schemas.openxmlformats.org/officeDocument/2006/relationships/image" Target="media/image11.wmf"/><Relationship Id="rId21" Type="http://schemas.openxmlformats.org/officeDocument/2006/relationships/oleObject" Target="embeddings/oleObject3.bin"/><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9.wmf"/><Relationship Id="rId17" Type="http://schemas.openxmlformats.org/officeDocument/2006/relationships/oleObject" Target="embeddings/oleObject1.bin"/><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58D7AD0-28FF-44CF-8109-14B4E4C1FCAC}">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118</Pages>
  <Words>8275</Words>
  <Characters>47171</Characters>
  <Lines>393</Lines>
  <Paragraphs>110</Paragraphs>
  <TotalTime>0</TotalTime>
  <ScaleCrop>false</ScaleCrop>
  <LinksUpToDate>false</LinksUpToDate>
  <CharactersWithSpaces>55336</CharactersWithSpaces>
  <Application>WPS Office_10.8.0.5838_F1E327BC-269C-435d-A152-05C5408002CA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2024-10-23T09:12:00Z</dcterms:created>
  <dc:creator>lhj</dc:creator>
  <cp:lastModifiedBy>Administrator</cp:lastModifiedBy>
  <cp:lastPrinted>2020-12-29T02:43:00Z</cp:lastPrinted>
  <dcterms:modified xsi:type="dcterms:W3CDTF">2025-01-22T05:59:03Z</dcterms:modified>
  <dc:title>附件2</dc:title>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2052-10.8.0.5838</vt:lpwstr>
  </property>
</Properties>
</file>