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CD5636">
      <w:pPr>
        <w:rPr>
          <w:color w:val="auto"/>
          <w:sz w:val="36"/>
          <w:szCs w:val="36"/>
        </w:rPr>
      </w:pPr>
    </w:p>
    <w:p w14:paraId="047A23DA">
      <w:pPr>
        <w:rPr>
          <w:color w:val="auto"/>
          <w:sz w:val="36"/>
          <w:szCs w:val="36"/>
        </w:rPr>
      </w:pPr>
    </w:p>
    <w:p w14:paraId="332312D2">
      <w:pPr>
        <w:rPr>
          <w:color w:val="auto"/>
          <w:sz w:val="36"/>
          <w:szCs w:val="36"/>
        </w:rPr>
      </w:pPr>
    </w:p>
    <w:p w14:paraId="4824643D">
      <w:pPr>
        <w:rPr>
          <w:color w:val="auto"/>
          <w:sz w:val="36"/>
          <w:szCs w:val="36"/>
        </w:rPr>
      </w:pPr>
    </w:p>
    <w:p w14:paraId="3D4AA42B">
      <w:pPr>
        <w:keepNext w:val="0"/>
        <w:keepLines w:val="0"/>
        <w:pageBreakBefore w:val="0"/>
        <w:kinsoku/>
        <w:wordWrap/>
        <w:overflowPunct/>
        <w:topLinePunct w:val="0"/>
        <w:bidi w:val="0"/>
        <w:adjustRightInd w:val="0"/>
        <w:snapToGrid w:val="0"/>
        <w:jc w:val="center"/>
        <w:outlineLvl w:val="9"/>
        <w:rPr>
          <w:b/>
          <w:color w:val="auto"/>
          <w:sz w:val="72"/>
          <w:szCs w:val="72"/>
        </w:rPr>
      </w:pPr>
      <w:bookmarkStart w:id="0" w:name="_Toc28542"/>
      <w:r>
        <w:rPr>
          <w:b/>
          <w:color w:val="auto"/>
          <w:sz w:val="72"/>
          <w:szCs w:val="72"/>
        </w:rPr>
        <w:t>建设项目环境影响报告表</w:t>
      </w:r>
      <w:bookmarkEnd w:id="0"/>
    </w:p>
    <w:p w14:paraId="45CC6F40">
      <w:pPr>
        <w:keepNext w:val="0"/>
        <w:keepLines w:val="0"/>
        <w:pageBreakBefore w:val="0"/>
        <w:kinsoku/>
        <w:wordWrap/>
        <w:overflowPunct/>
        <w:topLinePunct w:val="0"/>
        <w:bidi w:val="0"/>
        <w:adjustRightInd w:val="0"/>
        <w:snapToGrid w:val="0"/>
        <w:spacing w:beforeLines="80"/>
        <w:jc w:val="center"/>
        <w:outlineLvl w:val="9"/>
        <w:rPr>
          <w:b/>
          <w:color w:val="auto"/>
          <w:sz w:val="48"/>
          <w:szCs w:val="48"/>
        </w:rPr>
      </w:pPr>
      <w:r>
        <w:rPr>
          <w:b/>
          <w:color w:val="auto"/>
          <w:sz w:val="48"/>
          <w:szCs w:val="48"/>
        </w:rPr>
        <w:t>（污染影响类）</w:t>
      </w:r>
    </w:p>
    <w:p w14:paraId="5B5FF853">
      <w:pPr>
        <w:keepNext w:val="0"/>
        <w:keepLines w:val="0"/>
        <w:pageBreakBefore w:val="0"/>
        <w:kinsoku/>
        <w:wordWrap/>
        <w:overflowPunct/>
        <w:topLinePunct w:val="0"/>
        <w:bidi w:val="0"/>
        <w:outlineLvl w:val="9"/>
        <w:rPr>
          <w:color w:val="auto"/>
        </w:rPr>
      </w:pPr>
    </w:p>
    <w:p w14:paraId="3ED61557">
      <w:pPr>
        <w:keepNext w:val="0"/>
        <w:keepLines w:val="0"/>
        <w:pageBreakBefore w:val="0"/>
        <w:kinsoku/>
        <w:wordWrap/>
        <w:overflowPunct/>
        <w:topLinePunct w:val="0"/>
        <w:bidi w:val="0"/>
        <w:ind w:firstLine="1040"/>
        <w:outlineLvl w:val="9"/>
        <w:rPr>
          <w:color w:val="auto"/>
          <w:sz w:val="44"/>
          <w:szCs w:val="44"/>
        </w:rPr>
      </w:pPr>
    </w:p>
    <w:p w14:paraId="44201E52">
      <w:pPr>
        <w:keepNext w:val="0"/>
        <w:keepLines w:val="0"/>
        <w:pageBreakBefore w:val="0"/>
        <w:kinsoku/>
        <w:wordWrap/>
        <w:overflowPunct/>
        <w:topLinePunct w:val="0"/>
        <w:bidi w:val="0"/>
        <w:ind w:firstLine="1040"/>
        <w:outlineLvl w:val="9"/>
        <w:rPr>
          <w:color w:val="auto"/>
          <w:sz w:val="44"/>
          <w:szCs w:val="44"/>
        </w:rPr>
      </w:pPr>
    </w:p>
    <w:p w14:paraId="5C6DC293">
      <w:pPr>
        <w:keepNext w:val="0"/>
        <w:keepLines w:val="0"/>
        <w:pageBreakBefore w:val="0"/>
        <w:kinsoku/>
        <w:wordWrap/>
        <w:overflowPunct/>
        <w:topLinePunct w:val="0"/>
        <w:bidi w:val="0"/>
        <w:ind w:firstLine="1040"/>
        <w:outlineLvl w:val="9"/>
        <w:rPr>
          <w:color w:val="auto"/>
          <w:sz w:val="44"/>
          <w:szCs w:val="44"/>
        </w:rPr>
      </w:pPr>
    </w:p>
    <w:p w14:paraId="035420CD">
      <w:pPr>
        <w:pStyle w:val="9"/>
        <w:keepNext w:val="0"/>
        <w:keepLines w:val="0"/>
        <w:pageBreakBefore w:val="0"/>
        <w:kinsoku/>
        <w:wordWrap/>
        <w:overflowPunct/>
        <w:topLinePunct w:val="0"/>
        <w:bidi w:val="0"/>
        <w:outlineLvl w:val="9"/>
        <w:rPr>
          <w:color w:val="auto"/>
        </w:rPr>
      </w:pPr>
    </w:p>
    <w:p w14:paraId="378C2629">
      <w:pPr>
        <w:pStyle w:val="10"/>
        <w:keepNext w:val="0"/>
        <w:keepLines w:val="0"/>
        <w:pageBreakBefore w:val="0"/>
        <w:kinsoku/>
        <w:wordWrap/>
        <w:overflowPunct/>
        <w:topLinePunct w:val="0"/>
        <w:bidi w:val="0"/>
        <w:outlineLvl w:val="9"/>
        <w:rPr>
          <w:color w:val="auto"/>
        </w:rPr>
      </w:pPr>
    </w:p>
    <w:p w14:paraId="38D68B50">
      <w:pPr>
        <w:pStyle w:val="11"/>
        <w:keepNext w:val="0"/>
        <w:keepLines w:val="0"/>
        <w:pageBreakBefore w:val="0"/>
        <w:kinsoku/>
        <w:wordWrap/>
        <w:overflowPunct/>
        <w:topLinePunct w:val="0"/>
        <w:bidi w:val="0"/>
        <w:outlineLvl w:val="9"/>
        <w:rPr>
          <w:color w:val="auto"/>
        </w:rPr>
      </w:pPr>
    </w:p>
    <w:p w14:paraId="217F6202">
      <w:pPr>
        <w:keepNext w:val="0"/>
        <w:keepLines w:val="0"/>
        <w:pageBreakBefore w:val="0"/>
        <w:kinsoku/>
        <w:wordWrap/>
        <w:overflowPunct/>
        <w:topLinePunct w:val="0"/>
        <w:bidi w:val="0"/>
        <w:outlineLvl w:val="9"/>
        <w:rPr>
          <w:color w:val="auto"/>
        </w:rPr>
      </w:pPr>
    </w:p>
    <w:p w14:paraId="6B4D1424">
      <w:pPr>
        <w:pStyle w:val="40"/>
        <w:keepNext w:val="0"/>
        <w:keepLines w:val="0"/>
        <w:pageBreakBefore w:val="0"/>
        <w:kinsoku/>
        <w:wordWrap/>
        <w:overflowPunct/>
        <w:topLinePunct w:val="0"/>
        <w:bidi w:val="0"/>
        <w:outlineLvl w:val="9"/>
        <w:rPr>
          <w:color w:val="auto"/>
        </w:rPr>
      </w:pPr>
    </w:p>
    <w:p w14:paraId="45EB9ECA">
      <w:pPr>
        <w:keepNext w:val="0"/>
        <w:keepLines w:val="0"/>
        <w:pageBreakBefore w:val="0"/>
        <w:kinsoku/>
        <w:wordWrap/>
        <w:overflowPunct/>
        <w:topLinePunct w:val="0"/>
        <w:bidi w:val="0"/>
        <w:ind w:firstLine="1040"/>
        <w:outlineLvl w:val="9"/>
        <w:rPr>
          <w:color w:val="auto"/>
          <w:sz w:val="44"/>
          <w:szCs w:val="44"/>
        </w:rPr>
      </w:pPr>
    </w:p>
    <w:p w14:paraId="65F84C25">
      <w:pPr>
        <w:keepNext w:val="0"/>
        <w:keepLines w:val="0"/>
        <w:pageBreakBefore w:val="0"/>
        <w:kinsoku/>
        <w:wordWrap/>
        <w:overflowPunct/>
        <w:topLinePunct w:val="0"/>
        <w:bidi w:val="0"/>
        <w:adjustRightInd w:val="0"/>
        <w:snapToGrid w:val="0"/>
        <w:spacing w:line="360" w:lineRule="auto"/>
        <w:outlineLvl w:val="9"/>
        <w:rPr>
          <w:rFonts w:hint="eastAsia" w:eastAsia="宋体"/>
          <w:b/>
          <w:bCs/>
          <w:color w:val="auto"/>
          <w:sz w:val="32"/>
          <w:szCs w:val="32"/>
          <w:u w:val="single"/>
          <w:lang w:eastAsia="zh-CN"/>
        </w:rPr>
      </w:pPr>
      <w:bookmarkStart w:id="1" w:name="_Toc10779"/>
      <w:r>
        <w:rPr>
          <w:b/>
          <w:bCs/>
          <w:color w:val="auto"/>
          <w:sz w:val="32"/>
          <w:szCs w:val="32"/>
        </w:rPr>
        <w:t>项目名称：</w:t>
      </w:r>
      <w:bookmarkEnd w:id="1"/>
      <w:r>
        <w:rPr>
          <w:rFonts w:hint="eastAsia"/>
          <w:b/>
          <w:bCs/>
          <w:color w:val="auto"/>
          <w:sz w:val="32"/>
          <w:szCs w:val="32"/>
          <w:u w:val="single"/>
          <w:lang w:eastAsia="zh-CN"/>
        </w:rPr>
        <w:t>虎林市双硕农业科技有限公司粮食烘干建设项目</w:t>
      </w:r>
    </w:p>
    <w:p w14:paraId="7FB4FB0D">
      <w:pPr>
        <w:keepNext w:val="0"/>
        <w:keepLines w:val="0"/>
        <w:pageBreakBefore w:val="0"/>
        <w:kinsoku/>
        <w:wordWrap/>
        <w:overflowPunct/>
        <w:topLinePunct w:val="0"/>
        <w:bidi w:val="0"/>
        <w:adjustRightInd w:val="0"/>
        <w:snapToGrid w:val="0"/>
        <w:spacing w:line="360" w:lineRule="auto"/>
        <w:outlineLvl w:val="9"/>
        <w:rPr>
          <w:rFonts w:hint="eastAsia" w:eastAsia="宋体"/>
          <w:b/>
          <w:bCs/>
          <w:color w:val="auto"/>
          <w:sz w:val="32"/>
          <w:szCs w:val="32"/>
          <w:u w:val="single"/>
          <w:lang w:eastAsia="zh-CN"/>
        </w:rPr>
      </w:pPr>
      <w:bookmarkStart w:id="2" w:name="_Toc19739"/>
      <w:r>
        <w:rPr>
          <w:b/>
          <w:bCs/>
          <w:color w:val="auto"/>
          <w:sz w:val="32"/>
          <w:szCs w:val="32"/>
        </w:rPr>
        <w:t>建设单位（盖章）：</w:t>
      </w:r>
      <w:bookmarkEnd w:id="2"/>
      <w:r>
        <w:rPr>
          <w:rFonts w:hint="eastAsia"/>
          <w:b/>
          <w:bCs/>
          <w:color w:val="auto"/>
          <w:sz w:val="32"/>
          <w:szCs w:val="32"/>
          <w:u w:val="single"/>
          <w:lang w:eastAsia="zh-CN"/>
        </w:rPr>
        <w:t>虎林市双硕农业科技有限公司</w:t>
      </w:r>
    </w:p>
    <w:p w14:paraId="528CBE30">
      <w:pPr>
        <w:keepNext w:val="0"/>
        <w:keepLines w:val="0"/>
        <w:pageBreakBefore w:val="0"/>
        <w:kinsoku/>
        <w:wordWrap/>
        <w:overflowPunct/>
        <w:topLinePunct w:val="0"/>
        <w:bidi w:val="0"/>
        <w:adjustRightInd w:val="0"/>
        <w:snapToGrid w:val="0"/>
        <w:spacing w:line="360" w:lineRule="auto"/>
        <w:outlineLvl w:val="9"/>
        <w:rPr>
          <w:color w:val="auto"/>
          <w:sz w:val="36"/>
          <w:szCs w:val="36"/>
          <w:u w:val="single"/>
        </w:rPr>
      </w:pPr>
      <w:r>
        <w:rPr>
          <w:b/>
          <w:bCs/>
          <w:color w:val="auto"/>
          <w:sz w:val="32"/>
          <w:szCs w:val="32"/>
        </w:rPr>
        <w:t>编制日期：</w:t>
      </w:r>
      <w:r>
        <w:rPr>
          <w:b/>
          <w:bCs/>
          <w:color w:val="auto"/>
          <w:sz w:val="32"/>
          <w:szCs w:val="32"/>
          <w:u w:val="single"/>
        </w:rPr>
        <w:t xml:space="preserve">              202</w:t>
      </w:r>
      <w:r>
        <w:rPr>
          <w:rFonts w:hint="eastAsia"/>
          <w:b/>
          <w:bCs/>
          <w:color w:val="auto"/>
          <w:sz w:val="32"/>
          <w:szCs w:val="32"/>
          <w:u w:val="single"/>
          <w:lang w:val="en-US" w:eastAsia="zh-CN"/>
        </w:rPr>
        <w:t>5</w:t>
      </w:r>
      <w:r>
        <w:rPr>
          <w:b/>
          <w:bCs/>
          <w:color w:val="auto"/>
          <w:sz w:val="32"/>
          <w:szCs w:val="32"/>
          <w:u w:val="single"/>
        </w:rPr>
        <w:t>年</w:t>
      </w:r>
      <w:r>
        <w:rPr>
          <w:rFonts w:hint="eastAsia"/>
          <w:b/>
          <w:bCs/>
          <w:color w:val="auto"/>
          <w:sz w:val="32"/>
          <w:szCs w:val="32"/>
          <w:u w:val="single"/>
          <w:lang w:val="en-US" w:eastAsia="zh-CN"/>
        </w:rPr>
        <w:t>02</w:t>
      </w:r>
      <w:r>
        <w:rPr>
          <w:b/>
          <w:bCs/>
          <w:color w:val="auto"/>
          <w:sz w:val="32"/>
          <w:szCs w:val="32"/>
          <w:u w:val="single"/>
        </w:rPr>
        <w:t xml:space="preserve">月            </w:t>
      </w:r>
      <w:bookmarkStart w:id="3" w:name="_Hlk57884087"/>
    </w:p>
    <w:p w14:paraId="64DB3875">
      <w:pPr>
        <w:keepNext w:val="0"/>
        <w:keepLines w:val="0"/>
        <w:pageBreakBefore w:val="0"/>
        <w:kinsoku/>
        <w:wordWrap/>
        <w:overflowPunct/>
        <w:topLinePunct w:val="0"/>
        <w:bidi w:val="0"/>
        <w:adjustRightInd w:val="0"/>
        <w:snapToGrid w:val="0"/>
        <w:spacing w:line="288" w:lineRule="auto"/>
        <w:ind w:firstLine="1040"/>
        <w:outlineLvl w:val="9"/>
        <w:rPr>
          <w:color w:val="auto"/>
          <w:sz w:val="36"/>
          <w:szCs w:val="36"/>
        </w:rPr>
      </w:pPr>
    </w:p>
    <w:p w14:paraId="51640DC9">
      <w:pPr>
        <w:adjustRightInd w:val="0"/>
        <w:snapToGrid w:val="0"/>
        <w:spacing w:line="288" w:lineRule="auto"/>
        <w:rPr>
          <w:color w:val="auto"/>
          <w:sz w:val="36"/>
          <w:szCs w:val="36"/>
        </w:rPr>
      </w:pPr>
    </w:p>
    <w:p w14:paraId="27F63847">
      <w:pPr>
        <w:adjustRightInd w:val="0"/>
        <w:snapToGrid w:val="0"/>
        <w:spacing w:line="288" w:lineRule="auto"/>
        <w:ind w:firstLine="1040"/>
        <w:rPr>
          <w:color w:val="auto"/>
          <w:sz w:val="36"/>
          <w:szCs w:val="36"/>
        </w:rPr>
      </w:pPr>
    </w:p>
    <w:p w14:paraId="1645B555">
      <w:pPr>
        <w:pStyle w:val="24"/>
        <w:rPr>
          <w:color w:val="auto"/>
          <w:sz w:val="36"/>
          <w:szCs w:val="36"/>
        </w:rPr>
      </w:pPr>
    </w:p>
    <w:p w14:paraId="60E20D4D">
      <w:pPr>
        <w:rPr>
          <w:color w:val="auto"/>
        </w:rPr>
      </w:pPr>
    </w:p>
    <w:p w14:paraId="4280C53D">
      <w:pPr>
        <w:adjustRightInd w:val="0"/>
        <w:snapToGrid w:val="0"/>
        <w:spacing w:line="288" w:lineRule="auto"/>
        <w:rPr>
          <w:color w:val="auto"/>
          <w:sz w:val="36"/>
          <w:szCs w:val="36"/>
        </w:rPr>
      </w:pPr>
    </w:p>
    <w:bookmarkEnd w:id="3"/>
    <w:p w14:paraId="1C45B183">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outlineLvl w:val="9"/>
        <w:rPr>
          <w:b/>
          <w:bCs/>
          <w:color w:val="auto"/>
          <w:sz w:val="36"/>
          <w:szCs w:val="36"/>
        </w:rPr>
      </w:pPr>
      <w:bookmarkStart w:id="4" w:name="_Toc32066"/>
      <w:r>
        <w:rPr>
          <w:b/>
          <w:bCs/>
          <w:color w:val="auto"/>
          <w:sz w:val="36"/>
          <w:szCs w:val="36"/>
        </w:rPr>
        <w:t>中华人民共和国生态环境部制</w:t>
      </w:r>
      <w:bookmarkEnd w:id="4"/>
    </w:p>
    <w:p w14:paraId="07E0D513">
      <w:pPr>
        <w:pStyle w:val="40"/>
        <w:rPr>
          <w:b/>
          <w:bCs/>
          <w:color w:val="auto"/>
          <w:sz w:val="36"/>
          <w:szCs w:val="36"/>
        </w:rPr>
      </w:pPr>
    </w:p>
    <w:p w14:paraId="76570ECD">
      <w:pPr>
        <w:pStyle w:val="22"/>
        <w:keepNext w:val="0"/>
        <w:keepLines w:val="0"/>
        <w:pageBreakBefore w:val="0"/>
        <w:widowControl w:val="0"/>
        <w:kinsoku/>
        <w:wordWrap/>
        <w:overflowPunct/>
        <w:topLinePunct w:val="0"/>
        <w:autoSpaceDE/>
        <w:autoSpaceDN/>
        <w:bidi w:val="0"/>
        <w:adjustRightInd/>
        <w:snapToGrid/>
        <w:ind w:left="0" w:firstLine="0" w:firstLineChars="0"/>
        <w:textAlignment w:val="auto"/>
        <w:rPr>
          <w:rFonts w:hint="eastAsia" w:eastAsia="宋体"/>
          <w:color w:val="auto"/>
          <w:lang w:eastAsia="zh-CN"/>
        </w:rPr>
      </w:pPr>
      <w:r>
        <w:rPr>
          <w:rFonts w:hint="eastAsia" w:eastAsia="宋体"/>
          <w:color w:val="auto"/>
          <w:lang w:eastAsia="zh-CN"/>
        </w:rPr>
        <w:drawing>
          <wp:inline distT="0" distB="0" distL="114300" distR="114300">
            <wp:extent cx="5608955" cy="7016750"/>
            <wp:effectExtent l="0" t="0" r="10795" b="12700"/>
            <wp:docPr id="96" name="图片 96" descr="174122297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741222971571"/>
                    <pic:cNvPicPr>
                      <a:picLocks noChangeAspect="1"/>
                    </pic:cNvPicPr>
                  </pic:nvPicPr>
                  <pic:blipFill>
                    <a:blip r:embed="rId18"/>
                    <a:stretch>
                      <a:fillRect/>
                    </a:stretch>
                  </pic:blipFill>
                  <pic:spPr>
                    <a:xfrm>
                      <a:off x="0" y="0"/>
                      <a:ext cx="5608955" cy="7016750"/>
                    </a:xfrm>
                    <a:prstGeom prst="rect">
                      <a:avLst/>
                    </a:prstGeom>
                  </pic:spPr>
                </pic:pic>
              </a:graphicData>
            </a:graphic>
          </wp:inline>
        </w:drawing>
      </w:r>
      <w:r>
        <w:rPr>
          <w:rFonts w:hint="eastAsia" w:eastAsia="宋体"/>
          <w:color w:val="auto"/>
          <w:lang w:eastAsia="zh-CN"/>
        </w:rPr>
        <w:drawing>
          <wp:inline distT="0" distB="0" distL="114300" distR="114300">
            <wp:extent cx="5610860" cy="8193405"/>
            <wp:effectExtent l="0" t="0" r="8890" b="17145"/>
            <wp:docPr id="2" name="图片 2" descr="图像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像 (1171)"/>
                    <pic:cNvPicPr>
                      <a:picLocks noChangeAspect="1"/>
                    </pic:cNvPicPr>
                  </pic:nvPicPr>
                  <pic:blipFill>
                    <a:blip r:embed="rId19"/>
                    <a:stretch>
                      <a:fillRect/>
                    </a:stretch>
                  </pic:blipFill>
                  <pic:spPr>
                    <a:xfrm>
                      <a:off x="0" y="0"/>
                      <a:ext cx="5610860" cy="8193405"/>
                    </a:xfrm>
                    <a:prstGeom prst="rect">
                      <a:avLst/>
                    </a:prstGeom>
                  </pic:spPr>
                </pic:pic>
              </a:graphicData>
            </a:graphic>
          </wp:inline>
        </w:drawing>
      </w:r>
    </w:p>
    <w:p w14:paraId="69A3D7AC">
      <w:pPr>
        <w:keepNext w:val="0"/>
        <w:keepLines w:val="0"/>
        <w:pageBreakBefore w:val="0"/>
        <w:widowControl w:val="0"/>
        <w:kinsoku/>
        <w:wordWrap/>
        <w:overflowPunct/>
        <w:topLinePunct w:val="0"/>
        <w:autoSpaceDE/>
        <w:autoSpaceDN/>
        <w:bidi w:val="0"/>
        <w:adjustRightInd w:val="0"/>
        <w:snapToGrid w:val="0"/>
        <w:spacing w:line="288" w:lineRule="auto"/>
        <w:jc w:val="both"/>
        <w:textAlignment w:val="auto"/>
        <w:outlineLvl w:val="9"/>
        <w:rPr>
          <w:rFonts w:hint="eastAsia"/>
          <w:b/>
          <w:bCs/>
          <w:color w:val="auto"/>
          <w:sz w:val="36"/>
          <w:szCs w:val="36"/>
          <w:lang w:eastAsia="zh-CN"/>
        </w:rPr>
      </w:pPr>
    </w:p>
    <w:sdt>
      <w:sdtPr>
        <w:rPr>
          <w:rFonts w:ascii="宋体" w:hAnsi="宋体" w:eastAsia="宋体" w:cs="Times New Roman"/>
          <w:b/>
          <w:bCs/>
          <w:color w:val="auto"/>
          <w:kern w:val="2"/>
          <w:sz w:val="30"/>
          <w:szCs w:val="30"/>
          <w:lang w:val="en-US" w:eastAsia="zh-CN" w:bidi="ar-SA"/>
        </w:rPr>
        <w:id w:val="147482160"/>
        <w15:color w:val="DBDBDB"/>
        <w:docPartObj>
          <w:docPartGallery w:val="Table of Contents"/>
          <w:docPartUnique/>
        </w:docPartObj>
      </w:sdtPr>
      <w:sdtEndPr>
        <w:rPr>
          <w:rFonts w:ascii="Times New Roman" w:hAnsi="Times New Roman" w:eastAsia="宋体" w:cs="Times New Roman"/>
          <w:b/>
          <w:bCs/>
          <w:color w:val="auto"/>
          <w:kern w:val="2"/>
          <w:sz w:val="24"/>
          <w:szCs w:val="24"/>
          <w:lang w:val="en-US" w:eastAsia="zh-CN" w:bidi="ar-SA"/>
        </w:rPr>
      </w:sdtEndPr>
      <w:sdtContent>
        <w:p w14:paraId="6E92E781">
          <w:pPr>
            <w:spacing w:before="0" w:beforeLines="0" w:after="0" w:afterLines="0" w:line="240" w:lineRule="auto"/>
            <w:ind w:left="0" w:leftChars="0" w:right="0" w:rightChars="0" w:firstLine="0" w:firstLineChars="0"/>
            <w:jc w:val="center"/>
            <w:rPr>
              <w:b/>
              <w:bCs/>
              <w:color w:val="auto"/>
              <w:sz w:val="30"/>
              <w:szCs w:val="30"/>
            </w:rPr>
          </w:pPr>
          <w:r>
            <w:rPr>
              <w:rFonts w:ascii="宋体" w:hAnsi="宋体" w:eastAsia="宋体"/>
              <w:b/>
              <w:bCs/>
              <w:color w:val="auto"/>
              <w:sz w:val="30"/>
              <w:szCs w:val="30"/>
            </w:rPr>
            <w:t>目</w:t>
          </w:r>
          <w:r>
            <w:rPr>
              <w:rFonts w:hint="eastAsia" w:ascii="宋体" w:hAnsi="宋体" w:eastAsia="宋体"/>
              <w:b/>
              <w:bCs/>
              <w:color w:val="auto"/>
              <w:sz w:val="30"/>
              <w:szCs w:val="30"/>
              <w:lang w:val="en-US" w:eastAsia="zh-CN"/>
            </w:rPr>
            <w:t xml:space="preserve">  </w:t>
          </w:r>
          <w:r>
            <w:rPr>
              <w:rFonts w:ascii="宋体" w:hAnsi="宋体" w:eastAsia="宋体"/>
              <w:b/>
              <w:bCs/>
              <w:color w:val="auto"/>
              <w:sz w:val="30"/>
              <w:szCs w:val="30"/>
            </w:rPr>
            <w:t>录</w:t>
          </w:r>
        </w:p>
        <w:p w14:paraId="3B3B15C1">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 w:val="0"/>
              <w:bCs w:val="0"/>
              <w:color w:val="auto"/>
              <w:sz w:val="28"/>
              <w:szCs w:val="28"/>
            </w:rPr>
            <w:fldChar w:fldCharType="begin"/>
          </w:r>
          <w:r>
            <w:rPr>
              <w:rFonts w:hint="default" w:ascii="Times New Roman" w:hAnsi="Times New Roman" w:eastAsia="宋体" w:cs="Times New Roman"/>
              <w:b w:val="0"/>
              <w:bCs w:val="0"/>
              <w:color w:val="auto"/>
              <w:sz w:val="28"/>
              <w:szCs w:val="28"/>
            </w:rPr>
            <w:instrText xml:space="preserve">TOC \o "1-2" \h \u </w:instrText>
          </w:r>
          <w:r>
            <w:rPr>
              <w:rFonts w:hint="default" w:ascii="Times New Roman" w:hAnsi="Times New Roman" w:eastAsia="宋体" w:cs="Times New Roman"/>
              <w:b w:val="0"/>
              <w:bCs w:val="0"/>
              <w:color w:val="auto"/>
              <w:sz w:val="28"/>
              <w:szCs w:val="28"/>
            </w:rPr>
            <w:fldChar w:fldCharType="separate"/>
          </w: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_Toc27039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一、建设项目基本情况</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_Toc27039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6D6ABB58">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_Toc7886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二、建设项目工程分析</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_Toc7886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11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75E2D86C">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_Toc28393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三、区域环境质量现状、环境保护目标及评价标准</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_Toc28393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20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58B6B335">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_Toc23700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四、主要环境影响和保护措施</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_Toc23700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26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5EEF0407">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_Toc13007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五、环境保护措施监督检查清单</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_Toc13007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45</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09C5CC1E">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_Toc26335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六、结论</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_Toc26335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6D6AC87F">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_Toc10524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附表</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_Toc10524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69ADA8BE">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_Toc32524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bCs/>
              <w:snapToGrid w:val="0"/>
              <w:color w:val="auto"/>
              <w:sz w:val="28"/>
              <w:szCs w:val="28"/>
            </w:rPr>
            <w:t>建设项目污染物排放量汇总表</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_Toc32524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72F86185">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_Toc16244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snapToGrid w:val="0"/>
              <w:color w:val="auto"/>
              <w:sz w:val="28"/>
              <w:szCs w:val="28"/>
            </w:rPr>
            <w:t>附图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_Toc16244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48</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2BC453A0">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_Toc12037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附图1：地理位置图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_Toc12037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48</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2EC0FE03">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_Toc10146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highlight w:val="none"/>
            </w:rPr>
            <w:t>附图2：周边环境关系图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_Toc10146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49</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7890677F">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_Toc6861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highlight w:val="none"/>
            </w:rPr>
            <w:t>附图3：平面布置图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_Toc6861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50</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279662A2">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_Toc20859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附图4：环境保护目标分布图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_Toc20859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2870ED15">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_Toc18257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lang w:val="en-US"/>
            </w:rPr>
            <w:t>附图</w:t>
          </w:r>
          <w:r>
            <w:rPr>
              <w:rFonts w:hint="default" w:ascii="Times New Roman" w:hAnsi="Times New Roman" w:eastAsia="宋体" w:cs="Times New Roman"/>
              <w:color w:val="auto"/>
              <w:sz w:val="28"/>
              <w:szCs w:val="28"/>
              <w:lang w:val="en-US" w:eastAsia="zh-CN"/>
            </w:rPr>
            <w:t>5：鸡西</w:t>
          </w:r>
          <w:r>
            <w:rPr>
              <w:rFonts w:hint="default" w:ascii="Times New Roman" w:hAnsi="Times New Roman" w:eastAsia="宋体" w:cs="Times New Roman"/>
              <w:color w:val="auto"/>
              <w:sz w:val="28"/>
              <w:szCs w:val="28"/>
              <w:lang w:val="en-US"/>
            </w:rPr>
            <w:t>市环境分区管控单</w:t>
          </w:r>
          <w:r>
            <w:rPr>
              <w:rFonts w:hint="default" w:ascii="Times New Roman" w:hAnsi="Times New Roman" w:eastAsia="宋体" w:cs="Times New Roman"/>
              <w:color w:val="auto"/>
              <w:sz w:val="28"/>
              <w:szCs w:val="28"/>
              <w:lang w:val="en-US" w:eastAsia="zh-CN"/>
            </w:rPr>
            <w:t>元图</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_Toc18257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52</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2B5B6D55">
          <w:pPr>
            <w:pStyle w:val="21"/>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_Toc30943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snapToGrid w:val="0"/>
              <w:color w:val="auto"/>
              <w:sz w:val="28"/>
              <w:szCs w:val="28"/>
            </w:rPr>
            <w:t>附件</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_Toc30943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75170D08">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_Toc18681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附件1：营业执照</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_Toc18681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6E9D6C76">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_Toc4239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lang w:eastAsia="zh-CN"/>
            </w:rPr>
            <w:t>附件</w:t>
          </w:r>
          <w:r>
            <w:rPr>
              <w:rFonts w:hint="default" w:ascii="Times New Roman" w:hAnsi="Times New Roman" w:eastAsia="宋体" w:cs="Times New Roman"/>
              <w:color w:val="auto"/>
              <w:sz w:val="28"/>
              <w:szCs w:val="28"/>
              <w:lang w:val="en-US" w:eastAsia="zh-CN"/>
            </w:rPr>
            <w:t>2：土地手续</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_Toc4239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54</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06F8949A">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_Toc8078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3</w:t>
          </w:r>
          <w:r>
            <w:rPr>
              <w:rFonts w:hint="default" w:ascii="Times New Roman" w:hAnsi="Times New Roman" w:eastAsia="宋体" w:cs="Times New Roman"/>
              <w:color w:val="auto"/>
              <w:sz w:val="28"/>
              <w:szCs w:val="28"/>
            </w:rPr>
            <w:t>：监测报告</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_Toc8078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56</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440CEF53">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_Toc22778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4</w:t>
          </w:r>
          <w:r>
            <w:rPr>
              <w:rFonts w:hint="default" w:ascii="Times New Roman" w:hAnsi="Times New Roman" w:eastAsia="宋体" w:cs="Times New Roman"/>
              <w:color w:val="auto"/>
              <w:sz w:val="28"/>
              <w:szCs w:val="28"/>
            </w:rPr>
            <w:t>：燃料成分检测报告</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_Toc22778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62</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10F9394E">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_Toc29290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lang w:eastAsia="zh-CN"/>
            </w:rPr>
            <w:t>附件</w:t>
          </w:r>
          <w:r>
            <w:rPr>
              <w:rFonts w:hint="default" w:ascii="Times New Roman" w:hAnsi="Times New Roman" w:eastAsia="宋体" w:cs="Times New Roman"/>
              <w:color w:val="auto"/>
              <w:sz w:val="28"/>
              <w:szCs w:val="28"/>
              <w:lang w:val="en-US" w:eastAsia="zh-CN"/>
            </w:rPr>
            <w:t>5：虎林市声环境功能区划分方案</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_Toc29290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63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679497BF">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_Toc10800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rPr>
            <w:t>附件</w:t>
          </w:r>
          <w:r>
            <w:rPr>
              <w:rFonts w:hint="default" w:ascii="Times New Roman" w:hAnsi="Times New Roman" w:eastAsia="宋体" w:cs="Times New Roman"/>
              <w:color w:val="auto"/>
              <w:sz w:val="28"/>
              <w:szCs w:val="28"/>
              <w:lang w:val="en-US" w:eastAsia="zh-CN"/>
            </w:rPr>
            <w:t>6</w:t>
          </w:r>
          <w:r>
            <w:rPr>
              <w:rFonts w:hint="default" w:ascii="Times New Roman" w:hAnsi="Times New Roman" w:eastAsia="宋体" w:cs="Times New Roman"/>
              <w:color w:val="auto"/>
              <w:sz w:val="28"/>
              <w:szCs w:val="28"/>
            </w:rPr>
            <w:t>：核定总量计算说明</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_Toc10800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81</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4E9B8B45">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_Toc14095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lang w:val="en-US" w:eastAsia="zh-CN"/>
            </w:rPr>
            <w:t>附件7：现有工程环评批复</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_Toc14095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83</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1689BC6D">
          <w:pPr>
            <w:pStyle w:val="24"/>
            <w:tabs>
              <w:tab w:val="right" w:leader="dot" w:pos="8844"/>
            </w:tabs>
            <w:rPr>
              <w:rFonts w:hint="default" w:ascii="Times New Roman" w:hAnsi="Times New Roman" w:eastAsia="宋体" w:cs="Times New Roman"/>
              <w:color w:val="auto"/>
              <w:sz w:val="28"/>
              <w:szCs w:val="28"/>
            </w:rPr>
          </w:pPr>
          <w:r>
            <w:rPr>
              <w:rFonts w:hint="default" w:ascii="Times New Roman" w:hAnsi="Times New Roman" w:eastAsia="宋体" w:cs="Times New Roman"/>
              <w:bCs w:val="0"/>
              <w:color w:val="auto"/>
              <w:sz w:val="28"/>
              <w:szCs w:val="28"/>
            </w:rPr>
            <w:fldChar w:fldCharType="begin"/>
          </w:r>
          <w:r>
            <w:rPr>
              <w:rFonts w:hint="default" w:ascii="Times New Roman" w:hAnsi="Times New Roman" w:eastAsia="宋体" w:cs="Times New Roman"/>
              <w:bCs w:val="0"/>
              <w:color w:val="auto"/>
              <w:sz w:val="28"/>
              <w:szCs w:val="28"/>
            </w:rPr>
            <w:instrText xml:space="preserve"> HYPERLINK \l _Toc29329 </w:instrText>
          </w:r>
          <w:r>
            <w:rPr>
              <w:rFonts w:hint="default" w:ascii="Times New Roman" w:hAnsi="Times New Roman" w:eastAsia="宋体" w:cs="Times New Roman"/>
              <w:bCs w:val="0"/>
              <w:color w:val="auto"/>
              <w:sz w:val="28"/>
              <w:szCs w:val="28"/>
            </w:rPr>
            <w:fldChar w:fldCharType="separate"/>
          </w:r>
          <w:r>
            <w:rPr>
              <w:rFonts w:hint="default" w:ascii="Times New Roman" w:hAnsi="Times New Roman" w:eastAsia="宋体" w:cs="Times New Roman"/>
              <w:color w:val="auto"/>
              <w:sz w:val="28"/>
              <w:szCs w:val="28"/>
              <w:lang w:val="en-US" w:eastAsia="zh-CN"/>
            </w:rPr>
            <w:t>附件8：生态环境分区管控分析报告</w:t>
          </w:r>
          <w:r>
            <w:rPr>
              <w:rFonts w:hint="default" w:ascii="Times New Roman" w:hAnsi="Times New Roman" w:eastAsia="宋体" w:cs="Times New Roman"/>
              <w:color w:val="auto"/>
              <w:sz w:val="28"/>
              <w:szCs w:val="28"/>
            </w:rPr>
            <w:tab/>
          </w:r>
          <w:r>
            <w:rPr>
              <w:rFonts w:hint="default" w:ascii="Times New Roman" w:hAnsi="Times New Roman" w:eastAsia="宋体" w:cs="Times New Roman"/>
              <w:color w:val="auto"/>
              <w:sz w:val="28"/>
              <w:szCs w:val="28"/>
            </w:rPr>
            <w:fldChar w:fldCharType="begin"/>
          </w:r>
          <w:r>
            <w:rPr>
              <w:rFonts w:hint="default" w:ascii="Times New Roman" w:hAnsi="Times New Roman" w:eastAsia="宋体" w:cs="Times New Roman"/>
              <w:color w:val="auto"/>
              <w:sz w:val="28"/>
              <w:szCs w:val="28"/>
            </w:rPr>
            <w:instrText xml:space="preserve"> PAGEREF _Toc29329 \h </w:instrText>
          </w:r>
          <w:r>
            <w:rPr>
              <w:rFonts w:hint="default" w:ascii="Times New Roman" w:hAnsi="Times New Roman" w:eastAsia="宋体" w:cs="Times New Roman"/>
              <w:color w:val="auto"/>
              <w:sz w:val="28"/>
              <w:szCs w:val="28"/>
            </w:rPr>
            <w:fldChar w:fldCharType="separate"/>
          </w:r>
          <w:r>
            <w:rPr>
              <w:rFonts w:hint="default" w:ascii="Times New Roman" w:hAnsi="Times New Roman" w:eastAsia="宋体" w:cs="Times New Roman"/>
              <w:color w:val="auto"/>
              <w:sz w:val="28"/>
              <w:szCs w:val="28"/>
            </w:rPr>
            <w:t>87</w:t>
          </w:r>
          <w:r>
            <w:rPr>
              <w:rFonts w:hint="default" w:ascii="Times New Roman" w:hAnsi="Times New Roman" w:eastAsia="宋体" w:cs="Times New Roman"/>
              <w:color w:val="auto"/>
              <w:sz w:val="28"/>
              <w:szCs w:val="28"/>
            </w:rPr>
            <w:fldChar w:fldCharType="end"/>
          </w:r>
          <w:r>
            <w:rPr>
              <w:rFonts w:hint="default" w:ascii="Times New Roman" w:hAnsi="Times New Roman" w:eastAsia="宋体" w:cs="Times New Roman"/>
              <w:bCs w:val="0"/>
              <w:color w:val="auto"/>
              <w:sz w:val="28"/>
              <w:szCs w:val="28"/>
            </w:rPr>
            <w:fldChar w:fldCharType="end"/>
          </w:r>
        </w:p>
        <w:p w14:paraId="3079B055">
          <w:pPr>
            <w:pStyle w:val="24"/>
            <w:keepNext w:val="0"/>
            <w:keepLines w:val="0"/>
            <w:pageBreakBefore w:val="0"/>
            <w:widowControl w:val="0"/>
            <w:kinsoku/>
            <w:wordWrap/>
            <w:overflowPunct/>
            <w:topLinePunct w:val="0"/>
            <w:autoSpaceDE/>
            <w:autoSpaceDN/>
            <w:bidi w:val="0"/>
            <w:adjustRightInd/>
            <w:snapToGrid/>
            <w:spacing w:line="360" w:lineRule="auto"/>
            <w:ind w:left="0" w:leftChars="0"/>
            <w:jc w:val="both"/>
            <w:textAlignment w:val="auto"/>
            <w:rPr>
              <w:color w:val="auto"/>
              <w:sz w:val="36"/>
              <w:szCs w:val="36"/>
            </w:rPr>
            <w:sectPr>
              <w:footerReference r:id="rId3" w:type="default"/>
              <w:footerReference r:id="rId4" w:type="even"/>
              <w:pgSz w:w="11906" w:h="16838"/>
              <w:pgMar w:top="1701" w:right="1531" w:bottom="1701" w:left="1531" w:header="851" w:footer="1077" w:gutter="0"/>
              <w:pgNumType w:fmt="decimal" w:start="3"/>
              <w:cols w:space="720" w:num="1"/>
              <w:docGrid w:linePitch="312" w:charSpace="0"/>
            </w:sectPr>
          </w:pPr>
          <w:r>
            <w:rPr>
              <w:rFonts w:hint="default" w:ascii="Times New Roman" w:hAnsi="Times New Roman" w:eastAsia="宋体" w:cs="Times New Roman"/>
              <w:bCs w:val="0"/>
              <w:color w:val="auto"/>
              <w:sz w:val="28"/>
              <w:szCs w:val="28"/>
            </w:rPr>
            <w:fldChar w:fldCharType="end"/>
          </w:r>
        </w:p>
      </w:sdtContent>
    </w:sdt>
    <w:p w14:paraId="51F03190">
      <w:pPr>
        <w:pStyle w:val="26"/>
        <w:spacing w:before="0" w:beforeAutospacing="0" w:after="0" w:afterAutospacing="0"/>
        <w:jc w:val="center"/>
        <w:outlineLvl w:val="0"/>
        <w:rPr>
          <w:rFonts w:ascii="Times New Roman" w:hAnsi="Times New Roman"/>
          <w:b/>
          <w:bCs/>
          <w:snapToGrid w:val="0"/>
          <w:color w:val="auto"/>
          <w:sz w:val="30"/>
          <w:szCs w:val="30"/>
        </w:rPr>
      </w:pPr>
      <w:bookmarkStart w:id="5" w:name="_Toc27039"/>
      <w:r>
        <w:rPr>
          <w:rFonts w:ascii="Times New Roman" w:hAnsi="Times New Roman"/>
          <w:b/>
          <w:bCs/>
          <w:snapToGrid w:val="0"/>
          <w:color w:val="auto"/>
          <w:sz w:val="30"/>
          <w:szCs w:val="30"/>
        </w:rPr>
        <w:t>一、建设项目基本情况</w:t>
      </w:r>
      <w:bookmarkEnd w:id="5"/>
    </w:p>
    <w:tbl>
      <w:tblPr>
        <w:tblStyle w:val="31"/>
        <w:tblW w:w="95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74"/>
        <w:gridCol w:w="2441"/>
        <w:gridCol w:w="2371"/>
        <w:gridCol w:w="2838"/>
      </w:tblGrid>
      <w:tr w14:paraId="4A3B2B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7343AD24">
            <w:pPr>
              <w:adjustRightInd w:val="0"/>
              <w:snapToGrid w:val="0"/>
              <w:jc w:val="center"/>
              <w:rPr>
                <w:color w:val="auto"/>
                <w:sz w:val="24"/>
              </w:rPr>
            </w:pPr>
            <w:r>
              <w:rPr>
                <w:color w:val="auto"/>
                <w:sz w:val="24"/>
              </w:rPr>
              <w:t>建设项目名称</w:t>
            </w:r>
          </w:p>
        </w:tc>
        <w:tc>
          <w:tcPr>
            <w:tcW w:w="7650" w:type="dxa"/>
            <w:gridSpan w:val="3"/>
            <w:vAlign w:val="center"/>
          </w:tcPr>
          <w:p w14:paraId="7C83B216">
            <w:pPr>
              <w:adjustRightInd w:val="0"/>
              <w:snapToGrid w:val="0"/>
              <w:jc w:val="center"/>
              <w:rPr>
                <w:rFonts w:hint="eastAsia" w:eastAsia="宋体"/>
                <w:color w:val="auto"/>
                <w:sz w:val="24"/>
                <w:lang w:eastAsia="zh-CN"/>
              </w:rPr>
            </w:pPr>
            <w:r>
              <w:rPr>
                <w:rFonts w:hint="eastAsia"/>
                <w:color w:val="auto"/>
                <w:sz w:val="24"/>
                <w:lang w:eastAsia="zh-CN"/>
              </w:rPr>
              <w:t>虎林市双硕农业科技有限公司粮食烘干建设项目</w:t>
            </w:r>
          </w:p>
        </w:tc>
      </w:tr>
      <w:tr w14:paraId="3C2D9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7E9D91FF">
            <w:pPr>
              <w:adjustRightInd w:val="0"/>
              <w:snapToGrid w:val="0"/>
              <w:jc w:val="center"/>
              <w:rPr>
                <w:color w:val="auto"/>
                <w:sz w:val="24"/>
              </w:rPr>
            </w:pPr>
            <w:r>
              <w:rPr>
                <w:color w:val="auto"/>
                <w:sz w:val="24"/>
              </w:rPr>
              <w:t>项目代码</w:t>
            </w:r>
          </w:p>
        </w:tc>
        <w:tc>
          <w:tcPr>
            <w:tcW w:w="7650" w:type="dxa"/>
            <w:gridSpan w:val="3"/>
            <w:vAlign w:val="center"/>
          </w:tcPr>
          <w:p w14:paraId="5E434F07">
            <w:pPr>
              <w:adjustRightInd w:val="0"/>
              <w:snapToGrid w:val="0"/>
              <w:jc w:val="center"/>
              <w:rPr>
                <w:color w:val="auto"/>
                <w:sz w:val="24"/>
              </w:rPr>
            </w:pPr>
            <w:r>
              <w:rPr>
                <w:rFonts w:hint="eastAsia"/>
                <w:color w:val="auto"/>
                <w:sz w:val="24"/>
              </w:rPr>
              <w:t>/</w:t>
            </w:r>
          </w:p>
        </w:tc>
      </w:tr>
      <w:tr w14:paraId="2C19FB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782671A5">
            <w:pPr>
              <w:adjustRightInd w:val="0"/>
              <w:snapToGrid w:val="0"/>
              <w:jc w:val="center"/>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建设单位联系人</w:t>
            </w:r>
          </w:p>
        </w:tc>
        <w:tc>
          <w:tcPr>
            <w:tcW w:w="2441" w:type="dxa"/>
            <w:vAlign w:val="center"/>
          </w:tcPr>
          <w:p w14:paraId="29A4683A">
            <w:pPr>
              <w:adjustRightInd w:val="0"/>
              <w:snapToGrid w:val="0"/>
              <w:jc w:val="center"/>
              <w:rPr>
                <w:rFonts w:hint="eastAsia" w:ascii="Times New Roman" w:hAnsi="Times New Roman" w:cs="Times New Roman"/>
                <w:color w:val="auto"/>
                <w:sz w:val="24"/>
                <w:lang w:eastAsia="zh-CN"/>
              </w:rPr>
            </w:pPr>
            <w:r>
              <w:rPr>
                <w:rFonts w:hint="eastAsia" w:cs="Times New Roman"/>
                <w:color w:val="auto"/>
                <w:sz w:val="24"/>
                <w:lang w:eastAsia="zh-CN"/>
              </w:rPr>
              <w:t>包永富</w:t>
            </w:r>
          </w:p>
        </w:tc>
        <w:tc>
          <w:tcPr>
            <w:tcW w:w="2371" w:type="dxa"/>
            <w:vAlign w:val="center"/>
          </w:tcPr>
          <w:p w14:paraId="43407382">
            <w:pPr>
              <w:adjustRightInd w:val="0"/>
              <w:snapToGrid w:val="0"/>
              <w:jc w:val="center"/>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联系方式</w:t>
            </w:r>
          </w:p>
        </w:tc>
        <w:tc>
          <w:tcPr>
            <w:tcW w:w="2838" w:type="dxa"/>
            <w:vAlign w:val="center"/>
          </w:tcPr>
          <w:p w14:paraId="0BECA74D">
            <w:pPr>
              <w:adjustRightInd w:val="0"/>
              <w:snapToGrid w:val="0"/>
              <w:jc w:val="center"/>
              <w:rPr>
                <w:rFonts w:hint="default" w:ascii="Times New Roman" w:hAnsi="Times New Roman" w:cs="Times New Roman"/>
                <w:color w:val="auto"/>
                <w:sz w:val="24"/>
                <w:lang w:val="en-US" w:eastAsia="zh-CN"/>
              </w:rPr>
            </w:pPr>
            <w:r>
              <w:rPr>
                <w:rFonts w:hint="eastAsia" w:cs="Times New Roman"/>
                <w:color w:val="auto"/>
                <w:sz w:val="24"/>
                <w:lang w:val="en-US" w:eastAsia="zh-CN"/>
              </w:rPr>
              <w:t>15326634666</w:t>
            </w:r>
          </w:p>
        </w:tc>
      </w:tr>
      <w:tr w14:paraId="4FDB0B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7D3C6441">
            <w:pPr>
              <w:adjustRightInd w:val="0"/>
              <w:snapToGrid w:val="0"/>
              <w:jc w:val="center"/>
              <w:rPr>
                <w:color w:val="auto"/>
                <w:sz w:val="24"/>
                <w:highlight w:val="none"/>
              </w:rPr>
            </w:pPr>
            <w:r>
              <w:rPr>
                <w:color w:val="auto"/>
                <w:sz w:val="24"/>
                <w:highlight w:val="none"/>
              </w:rPr>
              <w:t>建设地点</w:t>
            </w:r>
          </w:p>
        </w:tc>
        <w:tc>
          <w:tcPr>
            <w:tcW w:w="7650" w:type="dxa"/>
            <w:gridSpan w:val="3"/>
            <w:vAlign w:val="center"/>
          </w:tcPr>
          <w:p w14:paraId="72EEC41C">
            <w:pPr>
              <w:adjustRightInd w:val="0"/>
              <w:snapToGrid w:val="0"/>
              <w:jc w:val="center"/>
              <w:rPr>
                <w:rFonts w:hint="eastAsia" w:eastAsia="宋体"/>
                <w:color w:val="auto"/>
                <w:sz w:val="24"/>
                <w:highlight w:val="none"/>
                <w:lang w:eastAsia="zh-CN"/>
              </w:rPr>
            </w:pPr>
            <w:r>
              <w:rPr>
                <w:rFonts w:hint="eastAsia"/>
                <w:color w:val="auto"/>
                <w:sz w:val="24"/>
                <w:highlight w:val="none"/>
                <w:lang w:eastAsia="zh-CN"/>
              </w:rPr>
              <w:t>黑龙江省鸡西市虎林市宝东镇共乐村</w:t>
            </w:r>
          </w:p>
        </w:tc>
      </w:tr>
      <w:tr w14:paraId="2350D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342DC732">
            <w:pPr>
              <w:adjustRightInd w:val="0"/>
              <w:snapToGrid w:val="0"/>
              <w:jc w:val="center"/>
              <w:rPr>
                <w:color w:val="auto"/>
                <w:sz w:val="24"/>
                <w:highlight w:val="none"/>
              </w:rPr>
            </w:pPr>
            <w:r>
              <w:rPr>
                <w:color w:val="auto"/>
                <w:sz w:val="24"/>
                <w:highlight w:val="none"/>
              </w:rPr>
              <w:t>地理坐标</w:t>
            </w:r>
          </w:p>
        </w:tc>
        <w:tc>
          <w:tcPr>
            <w:tcW w:w="7650" w:type="dxa"/>
            <w:gridSpan w:val="3"/>
            <w:vAlign w:val="center"/>
          </w:tcPr>
          <w:p w14:paraId="2236C7F1">
            <w:pPr>
              <w:jc w:val="center"/>
              <w:rPr>
                <w:color w:val="auto"/>
                <w:sz w:val="24"/>
                <w:highlight w:val="none"/>
              </w:rPr>
            </w:pPr>
            <w:r>
              <w:rPr>
                <w:color w:val="auto"/>
                <w:sz w:val="24"/>
                <w:highlight w:val="none"/>
              </w:rPr>
              <w:t>（</w:t>
            </w:r>
            <w:r>
              <w:rPr>
                <w:rFonts w:hint="eastAsia"/>
                <w:color w:val="auto"/>
                <w:sz w:val="24"/>
                <w:highlight w:val="none"/>
                <w:u w:val="single"/>
                <w:lang w:val="en-US" w:eastAsia="zh-CN"/>
              </w:rPr>
              <w:t>132</w:t>
            </w:r>
            <w:r>
              <w:rPr>
                <w:color w:val="auto"/>
                <w:sz w:val="24"/>
                <w:highlight w:val="none"/>
              </w:rPr>
              <w:t>度</w:t>
            </w:r>
            <w:r>
              <w:rPr>
                <w:rFonts w:hint="eastAsia"/>
                <w:color w:val="auto"/>
                <w:sz w:val="24"/>
                <w:highlight w:val="none"/>
                <w:u w:val="single"/>
                <w:lang w:val="en-US" w:eastAsia="zh-CN"/>
              </w:rPr>
              <w:t>46</w:t>
            </w:r>
            <w:r>
              <w:rPr>
                <w:color w:val="auto"/>
                <w:sz w:val="24"/>
                <w:highlight w:val="none"/>
              </w:rPr>
              <w:t>分</w:t>
            </w:r>
            <w:r>
              <w:rPr>
                <w:rFonts w:hint="eastAsia"/>
                <w:color w:val="auto"/>
                <w:sz w:val="24"/>
                <w:highlight w:val="none"/>
                <w:u w:val="single"/>
                <w:lang w:val="en-US" w:eastAsia="zh-CN"/>
              </w:rPr>
              <w:t>48.894</w:t>
            </w:r>
            <w:r>
              <w:rPr>
                <w:color w:val="auto"/>
                <w:sz w:val="24"/>
                <w:highlight w:val="none"/>
              </w:rPr>
              <w:t>秒，</w:t>
            </w:r>
            <w:r>
              <w:rPr>
                <w:color w:val="auto"/>
                <w:sz w:val="24"/>
                <w:highlight w:val="none"/>
                <w:u w:val="single"/>
              </w:rPr>
              <w:t>4</w:t>
            </w:r>
            <w:r>
              <w:rPr>
                <w:rFonts w:hint="eastAsia"/>
                <w:color w:val="auto"/>
                <w:sz w:val="24"/>
                <w:highlight w:val="none"/>
                <w:u w:val="single"/>
                <w:lang w:val="en-US" w:eastAsia="zh-CN"/>
              </w:rPr>
              <w:t>5</w:t>
            </w:r>
            <w:r>
              <w:rPr>
                <w:color w:val="auto"/>
                <w:sz w:val="24"/>
                <w:highlight w:val="none"/>
              </w:rPr>
              <w:t>度</w:t>
            </w:r>
            <w:r>
              <w:rPr>
                <w:rFonts w:hint="eastAsia"/>
                <w:color w:val="auto"/>
                <w:sz w:val="24"/>
                <w:highlight w:val="none"/>
                <w:u w:val="single"/>
                <w:lang w:val="en-US" w:eastAsia="zh-CN"/>
              </w:rPr>
              <w:t>44</w:t>
            </w:r>
            <w:r>
              <w:rPr>
                <w:color w:val="auto"/>
                <w:sz w:val="24"/>
                <w:highlight w:val="none"/>
              </w:rPr>
              <w:t>分</w:t>
            </w:r>
            <w:r>
              <w:rPr>
                <w:rFonts w:hint="eastAsia"/>
                <w:color w:val="auto"/>
                <w:sz w:val="24"/>
                <w:highlight w:val="none"/>
                <w:u w:val="single"/>
                <w:lang w:val="en-US" w:eastAsia="zh-CN"/>
              </w:rPr>
              <w:t>11.176</w:t>
            </w:r>
            <w:r>
              <w:rPr>
                <w:color w:val="auto"/>
                <w:sz w:val="24"/>
                <w:highlight w:val="none"/>
              </w:rPr>
              <w:t>秒）</w:t>
            </w:r>
          </w:p>
        </w:tc>
      </w:tr>
      <w:tr w14:paraId="6692A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800" w:hRule="atLeast"/>
          <w:jc w:val="center"/>
        </w:trPr>
        <w:tc>
          <w:tcPr>
            <w:tcW w:w="1874" w:type="dxa"/>
            <w:tcMar>
              <w:top w:w="16" w:type="dxa"/>
              <w:left w:w="16" w:type="dxa"/>
              <w:right w:w="16" w:type="dxa"/>
            </w:tcMar>
            <w:vAlign w:val="center"/>
          </w:tcPr>
          <w:p w14:paraId="453BA3FF">
            <w:pPr>
              <w:adjustRightInd w:val="0"/>
              <w:snapToGrid w:val="0"/>
              <w:jc w:val="center"/>
              <w:rPr>
                <w:color w:val="auto"/>
                <w:sz w:val="24"/>
              </w:rPr>
            </w:pPr>
            <w:r>
              <w:rPr>
                <w:color w:val="auto"/>
                <w:sz w:val="24"/>
              </w:rPr>
              <w:t>国民经济</w:t>
            </w:r>
          </w:p>
          <w:p w14:paraId="25CE0B9D">
            <w:pPr>
              <w:adjustRightInd w:val="0"/>
              <w:snapToGrid w:val="0"/>
              <w:jc w:val="center"/>
              <w:rPr>
                <w:color w:val="auto"/>
                <w:sz w:val="24"/>
              </w:rPr>
            </w:pPr>
            <w:r>
              <w:rPr>
                <w:color w:val="auto"/>
                <w:sz w:val="24"/>
              </w:rPr>
              <w:t>行业类别</w:t>
            </w:r>
          </w:p>
        </w:tc>
        <w:tc>
          <w:tcPr>
            <w:tcW w:w="2441" w:type="dxa"/>
            <w:vAlign w:val="center"/>
          </w:tcPr>
          <w:p w14:paraId="455619AF">
            <w:pPr>
              <w:adjustRightInd w:val="0"/>
              <w:snapToGrid w:val="0"/>
              <w:jc w:val="center"/>
              <w:rPr>
                <w:color w:val="auto"/>
                <w:sz w:val="24"/>
              </w:rPr>
            </w:pPr>
            <w:r>
              <w:rPr>
                <w:rFonts w:hint="eastAsia"/>
                <w:color w:val="auto"/>
                <w:sz w:val="24"/>
              </w:rPr>
              <w:t>A0514农产品初加工活动</w:t>
            </w:r>
          </w:p>
          <w:p w14:paraId="06BF0FE6">
            <w:pPr>
              <w:adjustRightInd w:val="0"/>
              <w:snapToGrid w:val="0"/>
              <w:jc w:val="center"/>
              <w:rPr>
                <w:color w:val="auto"/>
                <w:sz w:val="24"/>
              </w:rPr>
            </w:pPr>
            <w:r>
              <w:rPr>
                <w:rFonts w:hint="eastAsia"/>
                <w:color w:val="auto"/>
                <w:sz w:val="24"/>
              </w:rPr>
              <w:t>D4430热力生产和供应</w:t>
            </w:r>
          </w:p>
        </w:tc>
        <w:tc>
          <w:tcPr>
            <w:tcW w:w="2371" w:type="dxa"/>
            <w:vAlign w:val="center"/>
          </w:tcPr>
          <w:p w14:paraId="728A7FBE">
            <w:pPr>
              <w:adjustRightInd w:val="0"/>
              <w:snapToGrid w:val="0"/>
              <w:jc w:val="center"/>
              <w:rPr>
                <w:color w:val="auto"/>
                <w:sz w:val="24"/>
              </w:rPr>
            </w:pPr>
            <w:bookmarkStart w:id="6" w:name="_Hlk49843745"/>
            <w:r>
              <w:rPr>
                <w:color w:val="auto"/>
                <w:sz w:val="24"/>
              </w:rPr>
              <w:t>建设项目</w:t>
            </w:r>
          </w:p>
          <w:p w14:paraId="0817FAA6">
            <w:pPr>
              <w:adjustRightInd w:val="0"/>
              <w:snapToGrid w:val="0"/>
              <w:jc w:val="center"/>
              <w:rPr>
                <w:color w:val="auto"/>
                <w:sz w:val="24"/>
              </w:rPr>
            </w:pPr>
            <w:r>
              <w:rPr>
                <w:color w:val="auto"/>
                <w:sz w:val="24"/>
              </w:rPr>
              <w:t>行业类别</w:t>
            </w:r>
            <w:bookmarkEnd w:id="6"/>
          </w:p>
        </w:tc>
        <w:tc>
          <w:tcPr>
            <w:tcW w:w="2838" w:type="dxa"/>
            <w:vAlign w:val="center"/>
          </w:tcPr>
          <w:p w14:paraId="3388301E">
            <w:pPr>
              <w:adjustRightInd w:val="0"/>
              <w:snapToGrid w:val="0"/>
              <w:jc w:val="center"/>
              <w:rPr>
                <w:color w:val="auto"/>
                <w:sz w:val="24"/>
              </w:rPr>
            </w:pPr>
            <w:r>
              <w:rPr>
                <w:rFonts w:hint="eastAsia"/>
                <w:color w:val="auto"/>
                <w:sz w:val="24"/>
              </w:rPr>
              <w:t>四</w:t>
            </w:r>
            <w:r>
              <w:rPr>
                <w:color w:val="auto"/>
                <w:sz w:val="24"/>
              </w:rPr>
              <w:t>十一、电力、热力生产和供应业</w:t>
            </w:r>
          </w:p>
          <w:p w14:paraId="3831140C">
            <w:pPr>
              <w:adjustRightInd w:val="0"/>
              <w:snapToGrid w:val="0"/>
              <w:jc w:val="center"/>
              <w:rPr>
                <w:color w:val="auto"/>
                <w:sz w:val="24"/>
              </w:rPr>
            </w:pPr>
            <w:r>
              <w:rPr>
                <w:rFonts w:hint="eastAsia"/>
                <w:color w:val="auto"/>
                <w:sz w:val="24"/>
              </w:rPr>
              <w:t>91</w:t>
            </w:r>
            <w:r>
              <w:rPr>
                <w:color w:val="auto"/>
                <w:sz w:val="24"/>
              </w:rPr>
              <w:t>热力生产和供应工程 （包括建设单位自建 自用的供热工程）</w:t>
            </w:r>
          </w:p>
        </w:tc>
      </w:tr>
      <w:tr w14:paraId="7653C7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9" w:hRule="atLeast"/>
          <w:jc w:val="center"/>
        </w:trPr>
        <w:tc>
          <w:tcPr>
            <w:tcW w:w="1874" w:type="dxa"/>
            <w:tcMar>
              <w:top w:w="16" w:type="dxa"/>
              <w:left w:w="16" w:type="dxa"/>
              <w:right w:w="16" w:type="dxa"/>
            </w:tcMar>
            <w:vAlign w:val="center"/>
          </w:tcPr>
          <w:p w14:paraId="1DC20691">
            <w:pPr>
              <w:adjustRightInd w:val="0"/>
              <w:snapToGrid w:val="0"/>
              <w:jc w:val="center"/>
              <w:rPr>
                <w:color w:val="auto"/>
                <w:sz w:val="24"/>
              </w:rPr>
            </w:pPr>
            <w:r>
              <w:rPr>
                <w:color w:val="auto"/>
                <w:sz w:val="24"/>
              </w:rPr>
              <w:t>建设性质</w:t>
            </w:r>
          </w:p>
        </w:tc>
        <w:tc>
          <w:tcPr>
            <w:tcW w:w="2441" w:type="dxa"/>
            <w:vAlign w:val="center"/>
          </w:tcPr>
          <w:p w14:paraId="700E8571">
            <w:pPr>
              <w:jc w:val="left"/>
              <w:rPr>
                <w:color w:val="auto"/>
                <w:sz w:val="24"/>
              </w:rPr>
            </w:pPr>
            <w:r>
              <w:rPr>
                <w:color w:val="auto"/>
                <w:sz w:val="24"/>
              </w:rPr>
              <w:t>□新建（迁建）</w:t>
            </w:r>
          </w:p>
          <w:p w14:paraId="268A630E">
            <w:pPr>
              <w:jc w:val="left"/>
              <w:rPr>
                <w:color w:val="auto"/>
                <w:sz w:val="24"/>
              </w:rPr>
            </w:pPr>
            <w:r>
              <w:rPr>
                <w:color w:val="auto"/>
                <w:sz w:val="24"/>
              </w:rPr>
              <w:t>□改建</w:t>
            </w:r>
          </w:p>
          <w:p w14:paraId="287BBC80">
            <w:pPr>
              <w:jc w:val="left"/>
              <w:rPr>
                <w:color w:val="auto"/>
                <w:sz w:val="24"/>
              </w:rPr>
            </w:pPr>
            <w:r>
              <w:rPr>
                <w:rFonts w:hint="eastAsia"/>
                <w:color w:val="auto"/>
                <w:sz w:val="24"/>
                <w:lang w:eastAsia="zh-CN"/>
              </w:rPr>
              <w:t>☑</w:t>
            </w:r>
            <w:r>
              <w:rPr>
                <w:color w:val="auto"/>
                <w:sz w:val="24"/>
              </w:rPr>
              <w:t>扩建</w:t>
            </w:r>
          </w:p>
          <w:p w14:paraId="57F4B75C">
            <w:pPr>
              <w:jc w:val="left"/>
              <w:rPr>
                <w:color w:val="auto"/>
                <w:sz w:val="24"/>
              </w:rPr>
            </w:pPr>
            <w:r>
              <w:rPr>
                <w:color w:val="auto"/>
                <w:sz w:val="24"/>
              </w:rPr>
              <w:t>□技术改造</w:t>
            </w:r>
          </w:p>
        </w:tc>
        <w:tc>
          <w:tcPr>
            <w:tcW w:w="2371" w:type="dxa"/>
            <w:vAlign w:val="center"/>
          </w:tcPr>
          <w:p w14:paraId="273D522B">
            <w:pPr>
              <w:adjustRightInd w:val="0"/>
              <w:snapToGrid w:val="0"/>
              <w:jc w:val="center"/>
              <w:rPr>
                <w:color w:val="auto"/>
                <w:sz w:val="24"/>
              </w:rPr>
            </w:pPr>
            <w:r>
              <w:rPr>
                <w:color w:val="auto"/>
                <w:sz w:val="24"/>
              </w:rPr>
              <w:t>建设项目</w:t>
            </w:r>
          </w:p>
          <w:p w14:paraId="2BE07685">
            <w:pPr>
              <w:adjustRightInd w:val="0"/>
              <w:snapToGrid w:val="0"/>
              <w:jc w:val="center"/>
              <w:rPr>
                <w:color w:val="auto"/>
                <w:sz w:val="24"/>
              </w:rPr>
            </w:pPr>
            <w:r>
              <w:rPr>
                <w:color w:val="auto"/>
                <w:sz w:val="24"/>
              </w:rPr>
              <w:t>申报情形</w:t>
            </w:r>
          </w:p>
        </w:tc>
        <w:tc>
          <w:tcPr>
            <w:tcW w:w="2838" w:type="dxa"/>
            <w:vAlign w:val="center"/>
          </w:tcPr>
          <w:p w14:paraId="7A38ED5B">
            <w:pPr>
              <w:jc w:val="left"/>
              <w:rPr>
                <w:color w:val="auto"/>
                <w:sz w:val="24"/>
              </w:rPr>
            </w:pPr>
            <w:r>
              <w:rPr>
                <w:rFonts w:hint="eastAsia" w:ascii="宋体" w:hAnsi="宋体" w:cs="宋体"/>
                <w:color w:val="auto"/>
                <w:sz w:val="24"/>
              </w:rPr>
              <w:t>√</w:t>
            </w:r>
            <w:r>
              <w:rPr>
                <w:color w:val="auto"/>
                <w:sz w:val="24"/>
              </w:rPr>
              <w:t>首次申报项目</w:t>
            </w:r>
          </w:p>
          <w:p w14:paraId="02DC7CB6">
            <w:pPr>
              <w:jc w:val="left"/>
              <w:rPr>
                <w:color w:val="auto"/>
                <w:sz w:val="24"/>
              </w:rPr>
            </w:pPr>
            <w:r>
              <w:rPr>
                <w:color w:val="auto"/>
                <w:sz w:val="24"/>
              </w:rPr>
              <w:t>□不予批准后再次申报项目</w:t>
            </w:r>
          </w:p>
          <w:p w14:paraId="35B7D74D">
            <w:pPr>
              <w:jc w:val="left"/>
              <w:rPr>
                <w:color w:val="auto"/>
                <w:sz w:val="24"/>
              </w:rPr>
            </w:pPr>
            <w:r>
              <w:rPr>
                <w:color w:val="auto"/>
                <w:sz w:val="24"/>
              </w:rPr>
              <w:t>□超五年重新审核项目</w:t>
            </w:r>
          </w:p>
          <w:p w14:paraId="29BBBDBF">
            <w:pPr>
              <w:jc w:val="left"/>
              <w:rPr>
                <w:color w:val="auto"/>
                <w:sz w:val="24"/>
              </w:rPr>
            </w:pPr>
            <w:r>
              <w:rPr>
                <w:color w:val="auto"/>
                <w:sz w:val="24"/>
              </w:rPr>
              <w:t>□重大变动重新报批项目</w:t>
            </w:r>
          </w:p>
        </w:tc>
      </w:tr>
      <w:tr w14:paraId="6365A1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1874" w:type="dxa"/>
            <w:tcMar>
              <w:top w:w="16" w:type="dxa"/>
              <w:left w:w="16" w:type="dxa"/>
              <w:right w:w="16" w:type="dxa"/>
            </w:tcMar>
            <w:vAlign w:val="center"/>
          </w:tcPr>
          <w:p w14:paraId="4D03A25F">
            <w:pPr>
              <w:adjustRightInd w:val="0"/>
              <w:snapToGrid w:val="0"/>
              <w:jc w:val="center"/>
              <w:rPr>
                <w:color w:val="auto"/>
                <w:sz w:val="24"/>
              </w:rPr>
            </w:pPr>
            <w:r>
              <w:rPr>
                <w:color w:val="auto"/>
                <w:sz w:val="24"/>
              </w:rPr>
              <w:t>项目审批（核准/</w:t>
            </w:r>
          </w:p>
          <w:p w14:paraId="46AAFFB0">
            <w:pPr>
              <w:adjustRightInd w:val="0"/>
              <w:snapToGrid w:val="0"/>
              <w:jc w:val="center"/>
              <w:rPr>
                <w:color w:val="auto"/>
                <w:sz w:val="24"/>
              </w:rPr>
            </w:pPr>
            <w:r>
              <w:rPr>
                <w:color w:val="auto"/>
                <w:sz w:val="24"/>
              </w:rPr>
              <w:t>备案）部门（选填）</w:t>
            </w:r>
          </w:p>
        </w:tc>
        <w:tc>
          <w:tcPr>
            <w:tcW w:w="2441" w:type="dxa"/>
            <w:vAlign w:val="center"/>
          </w:tcPr>
          <w:p w14:paraId="7F3871EB">
            <w:pPr>
              <w:adjustRightInd w:val="0"/>
              <w:snapToGrid w:val="0"/>
              <w:jc w:val="center"/>
              <w:rPr>
                <w:color w:val="auto"/>
                <w:sz w:val="24"/>
              </w:rPr>
            </w:pPr>
            <w:r>
              <w:rPr>
                <w:color w:val="auto"/>
                <w:sz w:val="24"/>
              </w:rPr>
              <w:t>/</w:t>
            </w:r>
          </w:p>
        </w:tc>
        <w:tc>
          <w:tcPr>
            <w:tcW w:w="2371" w:type="dxa"/>
            <w:vAlign w:val="center"/>
          </w:tcPr>
          <w:p w14:paraId="34803CEA">
            <w:pPr>
              <w:adjustRightInd w:val="0"/>
              <w:snapToGrid w:val="0"/>
              <w:jc w:val="center"/>
              <w:rPr>
                <w:color w:val="auto"/>
                <w:sz w:val="24"/>
              </w:rPr>
            </w:pPr>
            <w:r>
              <w:rPr>
                <w:color w:val="auto"/>
                <w:sz w:val="24"/>
              </w:rPr>
              <w:t>项目审批（核准/</w:t>
            </w:r>
          </w:p>
          <w:p w14:paraId="7A5037C3">
            <w:pPr>
              <w:adjustRightInd w:val="0"/>
              <w:snapToGrid w:val="0"/>
              <w:jc w:val="center"/>
              <w:rPr>
                <w:color w:val="auto"/>
                <w:sz w:val="24"/>
              </w:rPr>
            </w:pPr>
            <w:r>
              <w:rPr>
                <w:color w:val="auto"/>
                <w:sz w:val="24"/>
              </w:rPr>
              <w:t>备案）文号（选填）</w:t>
            </w:r>
          </w:p>
        </w:tc>
        <w:tc>
          <w:tcPr>
            <w:tcW w:w="2838" w:type="dxa"/>
            <w:vAlign w:val="center"/>
          </w:tcPr>
          <w:p w14:paraId="0AFEB898">
            <w:pPr>
              <w:adjustRightInd w:val="0"/>
              <w:snapToGrid w:val="0"/>
              <w:jc w:val="center"/>
              <w:rPr>
                <w:color w:val="auto"/>
                <w:sz w:val="24"/>
              </w:rPr>
            </w:pPr>
            <w:r>
              <w:rPr>
                <w:color w:val="auto"/>
                <w:sz w:val="24"/>
              </w:rPr>
              <w:t>/</w:t>
            </w:r>
          </w:p>
        </w:tc>
      </w:tr>
      <w:tr w14:paraId="40961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4B9DD1C4">
            <w:pPr>
              <w:adjustRightInd w:val="0"/>
              <w:snapToGrid w:val="0"/>
              <w:jc w:val="center"/>
              <w:rPr>
                <w:color w:val="auto"/>
                <w:sz w:val="24"/>
                <w:highlight w:val="none"/>
              </w:rPr>
            </w:pPr>
            <w:r>
              <w:rPr>
                <w:color w:val="auto"/>
                <w:sz w:val="24"/>
                <w:highlight w:val="none"/>
              </w:rPr>
              <w:t>总投资（万元）</w:t>
            </w:r>
          </w:p>
        </w:tc>
        <w:tc>
          <w:tcPr>
            <w:tcW w:w="2441" w:type="dxa"/>
            <w:vAlign w:val="center"/>
          </w:tcPr>
          <w:p w14:paraId="7274E715">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150</w:t>
            </w:r>
          </w:p>
        </w:tc>
        <w:tc>
          <w:tcPr>
            <w:tcW w:w="2371" w:type="dxa"/>
            <w:tcMar>
              <w:top w:w="16" w:type="dxa"/>
              <w:left w:w="16" w:type="dxa"/>
              <w:right w:w="16" w:type="dxa"/>
            </w:tcMar>
            <w:vAlign w:val="center"/>
          </w:tcPr>
          <w:p w14:paraId="49CF556A">
            <w:pPr>
              <w:adjustRightInd w:val="0"/>
              <w:snapToGrid w:val="0"/>
              <w:jc w:val="center"/>
              <w:rPr>
                <w:color w:val="auto"/>
                <w:sz w:val="24"/>
                <w:highlight w:val="none"/>
              </w:rPr>
            </w:pPr>
            <w:r>
              <w:rPr>
                <w:color w:val="auto"/>
                <w:sz w:val="24"/>
                <w:highlight w:val="none"/>
              </w:rPr>
              <w:t>环保投资（万元）</w:t>
            </w:r>
          </w:p>
        </w:tc>
        <w:tc>
          <w:tcPr>
            <w:tcW w:w="2838" w:type="dxa"/>
            <w:vAlign w:val="center"/>
          </w:tcPr>
          <w:p w14:paraId="70B8362D">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29</w:t>
            </w:r>
          </w:p>
        </w:tc>
      </w:tr>
      <w:tr w14:paraId="639BE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874" w:type="dxa"/>
            <w:tcMar>
              <w:top w:w="16" w:type="dxa"/>
              <w:left w:w="16" w:type="dxa"/>
              <w:right w:w="16" w:type="dxa"/>
            </w:tcMar>
            <w:vAlign w:val="center"/>
          </w:tcPr>
          <w:p w14:paraId="2CBB7F7A">
            <w:pPr>
              <w:adjustRightInd w:val="0"/>
              <w:snapToGrid w:val="0"/>
              <w:jc w:val="center"/>
              <w:rPr>
                <w:color w:val="auto"/>
                <w:sz w:val="24"/>
                <w:highlight w:val="none"/>
              </w:rPr>
            </w:pPr>
            <w:r>
              <w:rPr>
                <w:color w:val="auto"/>
                <w:sz w:val="24"/>
                <w:highlight w:val="none"/>
              </w:rPr>
              <w:t>环保投资占比（%）</w:t>
            </w:r>
          </w:p>
        </w:tc>
        <w:tc>
          <w:tcPr>
            <w:tcW w:w="2441" w:type="dxa"/>
            <w:vAlign w:val="center"/>
          </w:tcPr>
          <w:p w14:paraId="33C7E1F1">
            <w:pPr>
              <w:adjustRightInd w:val="0"/>
              <w:snapToGrid w:val="0"/>
              <w:jc w:val="center"/>
              <w:rPr>
                <w:color w:val="auto"/>
                <w:sz w:val="24"/>
                <w:highlight w:val="none"/>
              </w:rPr>
            </w:pPr>
            <w:r>
              <w:rPr>
                <w:rFonts w:hint="eastAsia"/>
                <w:color w:val="auto"/>
                <w:sz w:val="24"/>
                <w:highlight w:val="none"/>
                <w:lang w:val="en-US" w:eastAsia="zh-CN"/>
              </w:rPr>
              <w:t>19.33</w:t>
            </w:r>
            <w:r>
              <w:rPr>
                <w:color w:val="auto"/>
                <w:sz w:val="24"/>
                <w:highlight w:val="none"/>
              </w:rPr>
              <w:t>%</w:t>
            </w:r>
          </w:p>
        </w:tc>
        <w:tc>
          <w:tcPr>
            <w:tcW w:w="2371" w:type="dxa"/>
            <w:tcMar>
              <w:top w:w="16" w:type="dxa"/>
              <w:left w:w="16" w:type="dxa"/>
              <w:right w:w="16" w:type="dxa"/>
            </w:tcMar>
            <w:vAlign w:val="center"/>
          </w:tcPr>
          <w:p w14:paraId="3ECC709D">
            <w:pPr>
              <w:adjustRightInd w:val="0"/>
              <w:snapToGrid w:val="0"/>
              <w:jc w:val="center"/>
              <w:rPr>
                <w:color w:val="auto"/>
                <w:sz w:val="24"/>
                <w:highlight w:val="none"/>
              </w:rPr>
            </w:pPr>
            <w:r>
              <w:rPr>
                <w:color w:val="auto"/>
                <w:sz w:val="24"/>
                <w:highlight w:val="none"/>
              </w:rPr>
              <w:t>施工工期</w:t>
            </w:r>
          </w:p>
        </w:tc>
        <w:tc>
          <w:tcPr>
            <w:tcW w:w="2838" w:type="dxa"/>
            <w:vAlign w:val="center"/>
          </w:tcPr>
          <w:p w14:paraId="53C863E9">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1个月</w:t>
            </w:r>
          </w:p>
        </w:tc>
      </w:tr>
      <w:tr w14:paraId="66E5FB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29" w:hRule="atLeast"/>
          <w:jc w:val="center"/>
        </w:trPr>
        <w:tc>
          <w:tcPr>
            <w:tcW w:w="1874" w:type="dxa"/>
            <w:tcMar>
              <w:top w:w="16" w:type="dxa"/>
              <w:left w:w="16" w:type="dxa"/>
              <w:right w:w="16" w:type="dxa"/>
            </w:tcMar>
            <w:vAlign w:val="center"/>
          </w:tcPr>
          <w:p w14:paraId="04E4B26B">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4"/>
              </w:rPr>
            </w:pPr>
            <w:r>
              <w:rPr>
                <w:rFonts w:hint="eastAsia"/>
                <w:color w:val="auto"/>
                <w:sz w:val="24"/>
              </w:rPr>
              <w:t>是否开工建设</w:t>
            </w:r>
          </w:p>
        </w:tc>
        <w:tc>
          <w:tcPr>
            <w:tcW w:w="2441" w:type="dxa"/>
            <w:vAlign w:val="center"/>
          </w:tcPr>
          <w:p w14:paraId="73B133E8">
            <w:pPr>
              <w:keepNext w:val="0"/>
              <w:keepLines w:val="0"/>
              <w:pageBreakBefore w:val="0"/>
              <w:kinsoku/>
              <w:wordWrap/>
              <w:overflowPunct/>
              <w:topLinePunct w:val="0"/>
              <w:autoSpaceDE/>
              <w:autoSpaceDN/>
              <w:bidi w:val="0"/>
              <w:adjustRightInd w:val="0"/>
              <w:snapToGrid w:val="0"/>
              <w:spacing w:line="240" w:lineRule="auto"/>
              <w:textAlignment w:val="auto"/>
              <w:rPr>
                <w:color w:val="auto"/>
                <w:sz w:val="24"/>
              </w:rPr>
            </w:pPr>
            <w:r>
              <w:rPr>
                <w:rFonts w:hint="eastAsia"/>
                <w:color w:val="auto"/>
                <w:sz w:val="24"/>
              </w:rPr>
              <w:sym w:font="Wingdings 2" w:char="0052"/>
            </w:r>
            <w:r>
              <w:rPr>
                <w:rFonts w:hint="eastAsia"/>
                <w:color w:val="auto"/>
                <w:sz w:val="24"/>
              </w:rPr>
              <w:t>否</w:t>
            </w:r>
          </w:p>
          <w:p w14:paraId="1BA272A8">
            <w:pPr>
              <w:pStyle w:val="29"/>
              <w:keepNext w:val="0"/>
              <w:keepLines w:val="0"/>
              <w:pageBreakBefore w:val="0"/>
              <w:kinsoku/>
              <w:wordWrap/>
              <w:overflowPunct/>
              <w:topLinePunct w:val="0"/>
              <w:autoSpaceDE/>
              <w:autoSpaceDN/>
              <w:bidi w:val="0"/>
              <w:adjustRightInd/>
              <w:snapToGrid/>
              <w:spacing w:before="0" w:after="0" w:line="240" w:lineRule="auto"/>
              <w:ind w:left="0" w:leftChars="0" w:right="0" w:firstLine="0" w:firstLineChars="0"/>
              <w:textAlignment w:val="auto"/>
              <w:rPr>
                <w:rFonts w:hint="eastAsia" w:eastAsia="宋体"/>
                <w:color w:val="auto"/>
                <w:sz w:val="24"/>
                <w:lang w:eastAsia="zh-CN"/>
              </w:rPr>
            </w:pPr>
            <w:r>
              <w:rPr>
                <w:rFonts w:hint="eastAsia"/>
                <w:color w:val="auto"/>
                <w:sz w:val="24"/>
              </w:rPr>
              <w:sym w:font="Wingdings 2" w:char="00A3"/>
            </w:r>
            <w:r>
              <w:rPr>
                <w:rFonts w:hint="eastAsia"/>
                <w:color w:val="auto"/>
                <w:sz w:val="24"/>
                <w:highlight w:val="none"/>
              </w:rPr>
              <w:t>是</w:t>
            </w:r>
          </w:p>
        </w:tc>
        <w:tc>
          <w:tcPr>
            <w:tcW w:w="2371" w:type="dxa"/>
            <w:tcMar>
              <w:top w:w="16" w:type="dxa"/>
              <w:left w:w="16" w:type="dxa"/>
              <w:right w:w="16" w:type="dxa"/>
            </w:tcMar>
            <w:vAlign w:val="center"/>
          </w:tcPr>
          <w:p w14:paraId="721F0CF1">
            <w:pPr>
              <w:adjustRightInd w:val="0"/>
              <w:snapToGrid w:val="0"/>
              <w:jc w:val="center"/>
              <w:rPr>
                <w:color w:val="auto"/>
                <w:spacing w:val="-6"/>
                <w:sz w:val="24"/>
                <w:highlight w:val="none"/>
              </w:rPr>
            </w:pPr>
            <w:r>
              <w:rPr>
                <w:color w:val="auto"/>
                <w:spacing w:val="-6"/>
                <w:sz w:val="24"/>
                <w:highlight w:val="none"/>
              </w:rPr>
              <w:t>用地（用海）</w:t>
            </w:r>
          </w:p>
          <w:p w14:paraId="47B63FE5">
            <w:pPr>
              <w:adjustRightInd w:val="0"/>
              <w:snapToGrid w:val="0"/>
              <w:jc w:val="center"/>
              <w:rPr>
                <w:color w:val="auto"/>
                <w:sz w:val="24"/>
                <w:highlight w:val="none"/>
              </w:rPr>
            </w:pPr>
            <w:r>
              <w:rPr>
                <w:color w:val="auto"/>
                <w:spacing w:val="-6"/>
                <w:sz w:val="24"/>
                <w:highlight w:val="none"/>
              </w:rPr>
              <w:t>面积（m</w:t>
            </w:r>
            <w:r>
              <w:rPr>
                <w:color w:val="auto"/>
                <w:spacing w:val="-6"/>
                <w:sz w:val="24"/>
                <w:highlight w:val="none"/>
                <w:vertAlign w:val="superscript"/>
              </w:rPr>
              <w:t>2</w:t>
            </w:r>
            <w:r>
              <w:rPr>
                <w:color w:val="auto"/>
                <w:spacing w:val="-6"/>
                <w:sz w:val="24"/>
                <w:highlight w:val="none"/>
              </w:rPr>
              <w:t>）</w:t>
            </w:r>
          </w:p>
        </w:tc>
        <w:tc>
          <w:tcPr>
            <w:tcW w:w="2838" w:type="dxa"/>
            <w:vAlign w:val="center"/>
          </w:tcPr>
          <w:p w14:paraId="4AE20217">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0（原有27595.65）</w:t>
            </w:r>
          </w:p>
        </w:tc>
      </w:tr>
      <w:tr w14:paraId="052EDA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07" w:hRule="atLeast"/>
          <w:jc w:val="center"/>
        </w:trPr>
        <w:tc>
          <w:tcPr>
            <w:tcW w:w="1874" w:type="dxa"/>
            <w:vAlign w:val="center"/>
          </w:tcPr>
          <w:p w14:paraId="204AFCEB">
            <w:pPr>
              <w:autoSpaceDE w:val="0"/>
              <w:autoSpaceDN w:val="0"/>
              <w:adjustRightInd w:val="0"/>
              <w:snapToGrid w:val="0"/>
              <w:jc w:val="center"/>
              <w:rPr>
                <w:color w:val="auto"/>
                <w:kern w:val="0"/>
                <w:sz w:val="24"/>
                <w:highlight w:val="none"/>
              </w:rPr>
            </w:pPr>
            <w:r>
              <w:rPr>
                <w:color w:val="auto"/>
                <w:kern w:val="0"/>
                <w:sz w:val="24"/>
                <w:highlight w:val="none"/>
              </w:rPr>
              <w:t>专项评价</w:t>
            </w:r>
          </w:p>
          <w:p w14:paraId="53439252">
            <w:pPr>
              <w:autoSpaceDE w:val="0"/>
              <w:autoSpaceDN w:val="0"/>
              <w:adjustRightInd w:val="0"/>
              <w:snapToGrid w:val="0"/>
              <w:jc w:val="center"/>
              <w:rPr>
                <w:color w:val="auto"/>
                <w:kern w:val="0"/>
                <w:sz w:val="24"/>
                <w:highlight w:val="none"/>
              </w:rPr>
            </w:pPr>
            <w:r>
              <w:rPr>
                <w:color w:val="auto"/>
                <w:kern w:val="0"/>
                <w:sz w:val="24"/>
                <w:highlight w:val="none"/>
              </w:rPr>
              <w:t>设置情况</w:t>
            </w:r>
          </w:p>
        </w:tc>
        <w:tc>
          <w:tcPr>
            <w:tcW w:w="7650" w:type="dxa"/>
            <w:gridSpan w:val="3"/>
            <w:vAlign w:val="center"/>
          </w:tcPr>
          <w:p w14:paraId="1D738440">
            <w:pPr>
              <w:autoSpaceDE w:val="0"/>
              <w:autoSpaceDN w:val="0"/>
              <w:adjustRightInd w:val="0"/>
              <w:snapToGrid w:val="0"/>
              <w:spacing w:line="360" w:lineRule="auto"/>
              <w:ind w:firstLine="480" w:firstLineChars="200"/>
              <w:rPr>
                <w:color w:val="auto"/>
                <w:sz w:val="24"/>
              </w:rPr>
            </w:pPr>
            <w:r>
              <w:rPr>
                <w:snapToGrid w:val="0"/>
                <w:color w:val="auto"/>
                <w:kern w:val="0"/>
                <w:sz w:val="24"/>
              </w:rPr>
              <w:t>按《建设项目环境影响报告表编制技术指南（污染影响类）（试行）》要求，本工程专项评价具体设置情况见表1-1。</w:t>
            </w:r>
          </w:p>
          <w:p w14:paraId="551DC4B5">
            <w:pPr>
              <w:autoSpaceDE w:val="0"/>
              <w:autoSpaceDN w:val="0"/>
              <w:ind w:firstLine="482" w:firstLineChars="200"/>
              <w:jc w:val="center"/>
              <w:rPr>
                <w:rFonts w:hint="eastAsia" w:ascii="Times New Roman" w:hAnsi="Times New Roman" w:eastAsia="宋体" w:cs="Times New Roman"/>
                <w:b/>
                <w:bCs/>
                <w:color w:val="auto"/>
                <w:kern w:val="0"/>
                <w:sz w:val="24"/>
              </w:rPr>
            </w:pPr>
            <w:r>
              <w:rPr>
                <w:rFonts w:hint="eastAsia" w:ascii="Times New Roman" w:hAnsi="Times New Roman" w:eastAsia="宋体" w:cs="Times New Roman"/>
                <w:b/>
                <w:bCs/>
                <w:color w:val="auto"/>
                <w:kern w:val="0"/>
                <w:sz w:val="24"/>
              </w:rPr>
              <w:t>表1-1 专项评价设置情况一览表</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28" w:type="dxa"/>
                <w:bottom w:w="28" w:type="dxa"/>
                <w:right w:w="28" w:type="dxa"/>
              </w:tblCellMar>
            </w:tblPr>
            <w:tblGrid>
              <w:gridCol w:w="981"/>
              <w:gridCol w:w="2749"/>
              <w:gridCol w:w="2653"/>
              <w:gridCol w:w="1051"/>
            </w:tblGrid>
            <w:tr w14:paraId="04D68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60" w:type="pct"/>
                  <w:noWrap w:val="0"/>
                  <w:tcMar>
                    <w:left w:w="57" w:type="dxa"/>
                    <w:right w:w="57" w:type="dxa"/>
                  </w:tcMar>
                  <w:vAlign w:val="center"/>
                </w:tcPr>
                <w:p w14:paraId="1251C95B">
                  <w:pPr>
                    <w:autoSpaceDE w:val="0"/>
                    <w:autoSpaceDN w:val="0"/>
                    <w:adjustRightInd w:val="0"/>
                    <w:snapToGrid w:val="0"/>
                    <w:jc w:val="center"/>
                    <w:rPr>
                      <w:color w:val="auto"/>
                      <w:kern w:val="0"/>
                      <w:sz w:val="21"/>
                      <w:szCs w:val="21"/>
                    </w:rPr>
                  </w:pPr>
                  <w:r>
                    <w:rPr>
                      <w:color w:val="auto"/>
                      <w:kern w:val="0"/>
                      <w:sz w:val="21"/>
                      <w:szCs w:val="21"/>
                    </w:rPr>
                    <w:t>专项评价类别</w:t>
                  </w:r>
                </w:p>
              </w:tc>
              <w:tc>
                <w:tcPr>
                  <w:tcW w:w="1848" w:type="pct"/>
                  <w:noWrap w:val="0"/>
                  <w:tcMar>
                    <w:left w:w="57" w:type="dxa"/>
                    <w:right w:w="57" w:type="dxa"/>
                  </w:tcMar>
                  <w:vAlign w:val="center"/>
                </w:tcPr>
                <w:p w14:paraId="5FEC3D3D">
                  <w:pPr>
                    <w:autoSpaceDE w:val="0"/>
                    <w:autoSpaceDN w:val="0"/>
                    <w:adjustRightInd w:val="0"/>
                    <w:snapToGrid w:val="0"/>
                    <w:jc w:val="center"/>
                    <w:rPr>
                      <w:color w:val="auto"/>
                      <w:kern w:val="0"/>
                      <w:sz w:val="21"/>
                      <w:szCs w:val="21"/>
                    </w:rPr>
                  </w:pPr>
                  <w:r>
                    <w:rPr>
                      <w:color w:val="auto"/>
                      <w:kern w:val="0"/>
                      <w:sz w:val="21"/>
                      <w:szCs w:val="21"/>
                    </w:rPr>
                    <w:t>设置原则</w:t>
                  </w:r>
                </w:p>
              </w:tc>
              <w:tc>
                <w:tcPr>
                  <w:tcW w:w="1783" w:type="pct"/>
                  <w:noWrap w:val="0"/>
                  <w:tcMar>
                    <w:left w:w="57" w:type="dxa"/>
                    <w:right w:w="57" w:type="dxa"/>
                  </w:tcMar>
                  <w:vAlign w:val="center"/>
                </w:tcPr>
                <w:p w14:paraId="2FAC18DE">
                  <w:pPr>
                    <w:autoSpaceDE w:val="0"/>
                    <w:autoSpaceDN w:val="0"/>
                    <w:adjustRightInd w:val="0"/>
                    <w:snapToGrid w:val="0"/>
                    <w:jc w:val="center"/>
                    <w:rPr>
                      <w:color w:val="auto"/>
                      <w:kern w:val="0"/>
                      <w:sz w:val="21"/>
                      <w:szCs w:val="21"/>
                    </w:rPr>
                  </w:pPr>
                  <w:r>
                    <w:rPr>
                      <w:color w:val="auto"/>
                      <w:kern w:val="0"/>
                      <w:sz w:val="21"/>
                      <w:szCs w:val="21"/>
                    </w:rPr>
                    <w:t>本项目情况</w:t>
                  </w:r>
                </w:p>
              </w:tc>
              <w:tc>
                <w:tcPr>
                  <w:tcW w:w="707" w:type="pct"/>
                  <w:noWrap w:val="0"/>
                  <w:tcMar>
                    <w:left w:w="57" w:type="dxa"/>
                    <w:right w:w="57" w:type="dxa"/>
                  </w:tcMar>
                  <w:vAlign w:val="center"/>
                </w:tcPr>
                <w:p w14:paraId="0F13408F">
                  <w:pPr>
                    <w:autoSpaceDE w:val="0"/>
                    <w:autoSpaceDN w:val="0"/>
                    <w:adjustRightInd w:val="0"/>
                    <w:snapToGrid w:val="0"/>
                    <w:jc w:val="center"/>
                    <w:rPr>
                      <w:color w:val="auto"/>
                      <w:kern w:val="0"/>
                      <w:sz w:val="21"/>
                      <w:szCs w:val="21"/>
                    </w:rPr>
                  </w:pPr>
                  <w:r>
                    <w:rPr>
                      <w:color w:val="auto"/>
                      <w:kern w:val="0"/>
                      <w:sz w:val="21"/>
                      <w:szCs w:val="21"/>
                    </w:rPr>
                    <w:t>是否设置专项</w:t>
                  </w:r>
                </w:p>
              </w:tc>
            </w:tr>
            <w:tr w14:paraId="07D8C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noWrap w:val="0"/>
                  <w:tcMar>
                    <w:left w:w="57" w:type="dxa"/>
                    <w:right w:w="57" w:type="dxa"/>
                  </w:tcMar>
                  <w:vAlign w:val="center"/>
                </w:tcPr>
                <w:p w14:paraId="289CDD8D">
                  <w:pPr>
                    <w:autoSpaceDE w:val="0"/>
                    <w:autoSpaceDN w:val="0"/>
                    <w:adjustRightInd w:val="0"/>
                    <w:snapToGrid w:val="0"/>
                    <w:jc w:val="center"/>
                    <w:rPr>
                      <w:color w:val="auto"/>
                      <w:kern w:val="0"/>
                      <w:sz w:val="21"/>
                      <w:szCs w:val="21"/>
                    </w:rPr>
                  </w:pPr>
                  <w:r>
                    <w:rPr>
                      <w:color w:val="auto"/>
                      <w:kern w:val="0"/>
                      <w:sz w:val="21"/>
                      <w:szCs w:val="21"/>
                    </w:rPr>
                    <w:t>大气</w:t>
                  </w:r>
                </w:p>
              </w:tc>
              <w:tc>
                <w:tcPr>
                  <w:tcW w:w="1848" w:type="pct"/>
                  <w:noWrap w:val="0"/>
                  <w:tcMar>
                    <w:left w:w="57" w:type="dxa"/>
                    <w:right w:w="57" w:type="dxa"/>
                  </w:tcMar>
                  <w:vAlign w:val="center"/>
                </w:tcPr>
                <w:p w14:paraId="7766AE02">
                  <w:pPr>
                    <w:autoSpaceDE w:val="0"/>
                    <w:autoSpaceDN w:val="0"/>
                    <w:adjustRightInd w:val="0"/>
                    <w:snapToGrid w:val="0"/>
                    <w:rPr>
                      <w:color w:val="auto"/>
                      <w:kern w:val="0"/>
                      <w:sz w:val="21"/>
                      <w:szCs w:val="21"/>
                    </w:rPr>
                  </w:pPr>
                  <w:r>
                    <w:rPr>
                      <w:color w:val="auto"/>
                      <w:sz w:val="21"/>
                      <w:szCs w:val="21"/>
                    </w:rPr>
                    <w:t>排放废气含有毒有害污染物</w:t>
                  </w:r>
                  <w:r>
                    <w:rPr>
                      <w:color w:val="auto"/>
                      <w:sz w:val="21"/>
                      <w:szCs w:val="21"/>
                      <w:vertAlign w:val="superscript"/>
                    </w:rPr>
                    <w:t>①</w:t>
                  </w:r>
                  <w:r>
                    <w:rPr>
                      <w:color w:val="auto"/>
                      <w:sz w:val="21"/>
                      <w:szCs w:val="21"/>
                    </w:rPr>
                    <w:t>、二噁英、苯并[a]芘、氰化物、氯气且厂界外500米范围内有环境空气保护目标</w:t>
                  </w:r>
                  <w:r>
                    <w:rPr>
                      <w:color w:val="auto"/>
                      <w:sz w:val="21"/>
                      <w:szCs w:val="21"/>
                      <w:vertAlign w:val="superscript"/>
                    </w:rPr>
                    <w:t>②</w:t>
                  </w:r>
                  <w:r>
                    <w:rPr>
                      <w:color w:val="auto"/>
                      <w:sz w:val="21"/>
                      <w:szCs w:val="21"/>
                    </w:rPr>
                    <w:t>的建设项目。</w:t>
                  </w:r>
                </w:p>
              </w:tc>
              <w:tc>
                <w:tcPr>
                  <w:tcW w:w="1783" w:type="pct"/>
                  <w:noWrap w:val="0"/>
                  <w:tcMar>
                    <w:left w:w="57" w:type="dxa"/>
                    <w:right w:w="57" w:type="dxa"/>
                  </w:tcMar>
                  <w:vAlign w:val="center"/>
                </w:tcPr>
                <w:p w14:paraId="6F262222">
                  <w:pPr>
                    <w:autoSpaceDE w:val="0"/>
                    <w:autoSpaceDN w:val="0"/>
                    <w:adjustRightInd w:val="0"/>
                    <w:snapToGrid w:val="0"/>
                    <w:rPr>
                      <w:color w:val="auto"/>
                      <w:kern w:val="0"/>
                      <w:sz w:val="21"/>
                      <w:szCs w:val="21"/>
                    </w:rPr>
                  </w:pPr>
                  <w:r>
                    <w:rPr>
                      <w:rFonts w:hint="eastAsia"/>
                      <w:color w:val="auto"/>
                      <w:sz w:val="21"/>
                      <w:szCs w:val="21"/>
                      <w:highlight w:val="none"/>
                    </w:rPr>
                    <w:t>本项目排放废气中不含有毒有害污染物、二噁英、苯并[a]芘、氰化物、氯气</w:t>
                  </w:r>
                  <w:r>
                    <w:rPr>
                      <w:rFonts w:hint="eastAsia"/>
                      <w:color w:val="auto"/>
                      <w:sz w:val="21"/>
                      <w:szCs w:val="21"/>
                      <w:highlight w:val="none"/>
                      <w:lang w:eastAsia="zh-CN"/>
                    </w:rPr>
                    <w:t>；</w:t>
                  </w:r>
                  <w:r>
                    <w:rPr>
                      <w:rFonts w:hint="eastAsia" w:ascii="宋体" w:hAnsi="宋体" w:eastAsia="宋体" w:cs="宋体"/>
                      <w:color w:val="auto"/>
                      <w:kern w:val="0"/>
                      <w:sz w:val="21"/>
                      <w:szCs w:val="21"/>
                      <w:lang w:val="en-US" w:eastAsia="zh-CN" w:bidi="ar"/>
                    </w:rPr>
                    <w:t>生物质分析报告中未体现汞含量，根据《直接法测定固体生物质燃料中汞的试验研究》 （煤质技术，</w:t>
                  </w:r>
                  <w:r>
                    <w:rPr>
                      <w:rFonts w:hint="default" w:ascii="Times New Roman" w:hAnsi="Times New Roman" w:eastAsia="宋体" w:cs="Times New Roman"/>
                      <w:color w:val="auto"/>
                      <w:kern w:val="0"/>
                      <w:sz w:val="21"/>
                      <w:szCs w:val="21"/>
                      <w:lang w:val="en-US" w:eastAsia="zh-CN" w:bidi="ar"/>
                    </w:rPr>
                    <w:t xml:space="preserve">2020 </w:t>
                  </w:r>
                  <w:r>
                    <w:rPr>
                      <w:rFonts w:hint="eastAsia" w:ascii="宋体" w:hAnsi="宋体" w:eastAsia="宋体" w:cs="宋体"/>
                      <w:color w:val="auto"/>
                      <w:kern w:val="0"/>
                      <w:sz w:val="21"/>
                      <w:szCs w:val="21"/>
                      <w:lang w:val="en-US" w:eastAsia="zh-CN" w:bidi="ar"/>
                    </w:rPr>
                    <w:t xml:space="preserve">年）可知，生物质汞含量为 </w:t>
                  </w:r>
                  <w:r>
                    <w:rPr>
                      <w:rFonts w:hint="default" w:ascii="Times New Roman" w:hAnsi="Times New Roman" w:eastAsia="宋体" w:cs="Times New Roman"/>
                      <w:color w:val="auto"/>
                      <w:kern w:val="0"/>
                      <w:sz w:val="21"/>
                      <w:szCs w:val="21"/>
                      <w:lang w:val="en-US" w:eastAsia="zh-CN" w:bidi="ar"/>
                    </w:rPr>
                    <w:t>15.47ng/g</w:t>
                  </w:r>
                  <w:r>
                    <w:rPr>
                      <w:rFonts w:hint="eastAsia" w:ascii="宋体" w:hAnsi="宋体" w:eastAsia="宋体" w:cs="宋体"/>
                      <w:color w:val="auto"/>
                      <w:kern w:val="0"/>
                      <w:sz w:val="21"/>
                      <w:szCs w:val="21"/>
                      <w:lang w:val="en-US" w:eastAsia="zh-CN" w:bidi="ar"/>
                    </w:rPr>
                    <w:t>。由于生物质燃料汞含量极低的特点，本项目暂不考虑汞的排放，</w:t>
                  </w:r>
                  <w:r>
                    <w:rPr>
                      <w:rFonts w:hint="eastAsia" w:ascii="Times New Roman" w:hAnsi="Times New Roman" w:eastAsia="宋体" w:cs="Times New Roman"/>
                      <w:color w:val="auto"/>
                      <w:sz w:val="21"/>
                      <w:szCs w:val="21"/>
                    </w:rPr>
                    <w:t>厂界外500米范围内</w:t>
                  </w:r>
                  <w:r>
                    <w:rPr>
                      <w:rFonts w:hint="eastAsia" w:cs="Times New Roman"/>
                      <w:color w:val="auto"/>
                      <w:sz w:val="21"/>
                      <w:szCs w:val="21"/>
                      <w:lang w:eastAsia="zh-CN"/>
                    </w:rPr>
                    <w:t>无</w:t>
                  </w:r>
                  <w:r>
                    <w:rPr>
                      <w:rFonts w:hint="eastAsia" w:ascii="Times New Roman" w:hAnsi="Times New Roman" w:eastAsia="宋体" w:cs="Times New Roman"/>
                      <w:color w:val="auto"/>
                      <w:sz w:val="21"/>
                      <w:szCs w:val="21"/>
                    </w:rPr>
                    <w:t>环境空气保护目标，因此</w:t>
                  </w:r>
                  <w:r>
                    <w:rPr>
                      <w:rFonts w:hint="eastAsia" w:cs="Times New Roman"/>
                      <w:color w:val="auto"/>
                      <w:sz w:val="21"/>
                      <w:szCs w:val="21"/>
                      <w:lang w:eastAsia="zh-CN"/>
                    </w:rPr>
                    <w:t>不</w:t>
                  </w:r>
                  <w:r>
                    <w:rPr>
                      <w:rFonts w:hint="eastAsia" w:ascii="Times New Roman" w:hAnsi="Times New Roman" w:eastAsia="宋体" w:cs="Times New Roman"/>
                      <w:color w:val="auto"/>
                      <w:sz w:val="21"/>
                      <w:szCs w:val="21"/>
                    </w:rPr>
                    <w:t>设置大气专项评价。</w:t>
                  </w:r>
                </w:p>
              </w:tc>
              <w:tc>
                <w:tcPr>
                  <w:tcW w:w="707" w:type="pct"/>
                  <w:noWrap w:val="0"/>
                  <w:tcMar>
                    <w:left w:w="57" w:type="dxa"/>
                    <w:right w:w="57" w:type="dxa"/>
                  </w:tcMar>
                  <w:vAlign w:val="center"/>
                </w:tcPr>
                <w:p w14:paraId="096C1FE5">
                  <w:pPr>
                    <w:autoSpaceDE w:val="0"/>
                    <w:autoSpaceDN w:val="0"/>
                    <w:adjustRightInd w:val="0"/>
                    <w:snapToGrid w:val="0"/>
                    <w:jc w:val="center"/>
                    <w:rPr>
                      <w:rFonts w:hint="eastAsia" w:eastAsia="宋体"/>
                      <w:color w:val="auto"/>
                      <w:kern w:val="0"/>
                      <w:sz w:val="21"/>
                      <w:szCs w:val="21"/>
                      <w:lang w:eastAsia="zh-CN"/>
                    </w:rPr>
                  </w:pPr>
                  <w:r>
                    <w:rPr>
                      <w:rFonts w:hint="eastAsia"/>
                      <w:color w:val="auto"/>
                      <w:kern w:val="0"/>
                      <w:sz w:val="21"/>
                      <w:szCs w:val="21"/>
                      <w:lang w:eastAsia="zh-CN"/>
                    </w:rPr>
                    <w:t>否</w:t>
                  </w:r>
                </w:p>
              </w:tc>
            </w:tr>
            <w:tr w14:paraId="0B6CC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0" w:type="pct"/>
                  <w:noWrap w:val="0"/>
                  <w:tcMar>
                    <w:left w:w="57" w:type="dxa"/>
                    <w:right w:w="57" w:type="dxa"/>
                  </w:tcMar>
                  <w:vAlign w:val="center"/>
                </w:tcPr>
                <w:p w14:paraId="42199AD3">
                  <w:pPr>
                    <w:autoSpaceDE w:val="0"/>
                    <w:autoSpaceDN w:val="0"/>
                    <w:adjustRightInd w:val="0"/>
                    <w:snapToGrid w:val="0"/>
                    <w:jc w:val="center"/>
                    <w:rPr>
                      <w:color w:val="auto"/>
                      <w:kern w:val="0"/>
                      <w:sz w:val="21"/>
                      <w:szCs w:val="21"/>
                    </w:rPr>
                  </w:pPr>
                  <w:r>
                    <w:rPr>
                      <w:color w:val="auto"/>
                      <w:kern w:val="0"/>
                      <w:sz w:val="21"/>
                      <w:szCs w:val="21"/>
                    </w:rPr>
                    <w:t>地表水</w:t>
                  </w:r>
                </w:p>
              </w:tc>
              <w:tc>
                <w:tcPr>
                  <w:tcW w:w="1848" w:type="pct"/>
                  <w:noWrap w:val="0"/>
                  <w:tcMar>
                    <w:left w:w="57" w:type="dxa"/>
                    <w:right w:w="57" w:type="dxa"/>
                  </w:tcMar>
                  <w:vAlign w:val="center"/>
                </w:tcPr>
                <w:p w14:paraId="77DC771D">
                  <w:pPr>
                    <w:autoSpaceDE w:val="0"/>
                    <w:autoSpaceDN w:val="0"/>
                    <w:adjustRightInd w:val="0"/>
                    <w:snapToGrid w:val="0"/>
                    <w:rPr>
                      <w:color w:val="auto"/>
                      <w:kern w:val="0"/>
                      <w:sz w:val="21"/>
                      <w:szCs w:val="21"/>
                    </w:rPr>
                  </w:pPr>
                  <w:r>
                    <w:rPr>
                      <w:color w:val="auto"/>
                      <w:sz w:val="21"/>
                      <w:szCs w:val="21"/>
                    </w:rPr>
                    <w:t>新增工业废水直排建设项目（槽罐车外送污水处理厂的除外）；新增废水直排的污水集中处理厂。</w:t>
                  </w:r>
                </w:p>
              </w:tc>
              <w:tc>
                <w:tcPr>
                  <w:tcW w:w="1783" w:type="pct"/>
                  <w:noWrap w:val="0"/>
                  <w:tcMar>
                    <w:left w:w="57" w:type="dxa"/>
                    <w:right w:w="57" w:type="dxa"/>
                  </w:tcMar>
                  <w:vAlign w:val="center"/>
                </w:tcPr>
                <w:p w14:paraId="0C4D0BBE">
                  <w:pPr>
                    <w:autoSpaceDE w:val="0"/>
                    <w:autoSpaceDN w:val="0"/>
                    <w:adjustRightInd w:val="0"/>
                    <w:snapToGrid w:val="0"/>
                    <w:rPr>
                      <w:color w:val="auto"/>
                      <w:sz w:val="21"/>
                      <w:szCs w:val="21"/>
                    </w:rPr>
                  </w:pPr>
                  <w:r>
                    <w:rPr>
                      <w:color w:val="auto"/>
                      <w:sz w:val="21"/>
                      <w:szCs w:val="21"/>
                    </w:rPr>
                    <w:t>本项目不属于工业废水直排建设项目以及废水直排的污水集中处理厂。</w:t>
                  </w:r>
                </w:p>
              </w:tc>
              <w:tc>
                <w:tcPr>
                  <w:tcW w:w="707" w:type="pct"/>
                  <w:noWrap w:val="0"/>
                  <w:tcMar>
                    <w:left w:w="57" w:type="dxa"/>
                    <w:right w:w="57" w:type="dxa"/>
                  </w:tcMar>
                  <w:vAlign w:val="center"/>
                </w:tcPr>
                <w:p w14:paraId="5CFFB785">
                  <w:pPr>
                    <w:autoSpaceDE w:val="0"/>
                    <w:autoSpaceDN w:val="0"/>
                    <w:adjustRightInd w:val="0"/>
                    <w:snapToGrid w:val="0"/>
                    <w:jc w:val="center"/>
                    <w:rPr>
                      <w:color w:val="auto"/>
                      <w:kern w:val="0"/>
                      <w:sz w:val="21"/>
                      <w:szCs w:val="21"/>
                    </w:rPr>
                  </w:pPr>
                  <w:r>
                    <w:rPr>
                      <w:color w:val="auto"/>
                      <w:kern w:val="0"/>
                      <w:sz w:val="21"/>
                      <w:szCs w:val="21"/>
                    </w:rPr>
                    <w:t>否</w:t>
                  </w:r>
                </w:p>
              </w:tc>
            </w:tr>
            <w:tr w14:paraId="7BFD7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noWrap w:val="0"/>
                  <w:tcMar>
                    <w:left w:w="57" w:type="dxa"/>
                    <w:right w:w="57" w:type="dxa"/>
                  </w:tcMar>
                  <w:vAlign w:val="center"/>
                </w:tcPr>
                <w:p w14:paraId="27AB3512">
                  <w:pPr>
                    <w:autoSpaceDE w:val="0"/>
                    <w:autoSpaceDN w:val="0"/>
                    <w:adjustRightInd w:val="0"/>
                    <w:snapToGrid w:val="0"/>
                    <w:jc w:val="center"/>
                    <w:rPr>
                      <w:color w:val="auto"/>
                      <w:kern w:val="0"/>
                      <w:sz w:val="21"/>
                      <w:szCs w:val="21"/>
                    </w:rPr>
                  </w:pPr>
                  <w:r>
                    <w:rPr>
                      <w:color w:val="auto"/>
                      <w:kern w:val="0"/>
                      <w:sz w:val="21"/>
                      <w:szCs w:val="21"/>
                    </w:rPr>
                    <w:t>环境风险</w:t>
                  </w:r>
                </w:p>
              </w:tc>
              <w:tc>
                <w:tcPr>
                  <w:tcW w:w="1848" w:type="pct"/>
                  <w:noWrap w:val="0"/>
                  <w:tcMar>
                    <w:left w:w="57" w:type="dxa"/>
                    <w:right w:w="57" w:type="dxa"/>
                  </w:tcMar>
                  <w:vAlign w:val="center"/>
                </w:tcPr>
                <w:p w14:paraId="1FC1BE9F">
                  <w:pPr>
                    <w:autoSpaceDE w:val="0"/>
                    <w:autoSpaceDN w:val="0"/>
                    <w:adjustRightInd w:val="0"/>
                    <w:snapToGrid w:val="0"/>
                    <w:rPr>
                      <w:color w:val="auto"/>
                      <w:kern w:val="0"/>
                      <w:sz w:val="21"/>
                      <w:szCs w:val="21"/>
                    </w:rPr>
                  </w:pPr>
                  <w:r>
                    <w:rPr>
                      <w:color w:val="auto"/>
                      <w:sz w:val="21"/>
                      <w:szCs w:val="21"/>
                    </w:rPr>
                    <w:t>有毒有害和易燃易爆危险物质存储量超过临界量</w:t>
                  </w:r>
                  <w:r>
                    <w:rPr>
                      <w:color w:val="auto"/>
                      <w:sz w:val="21"/>
                      <w:szCs w:val="21"/>
                      <w:vertAlign w:val="superscript"/>
                    </w:rPr>
                    <w:t>③</w:t>
                  </w:r>
                  <w:r>
                    <w:rPr>
                      <w:color w:val="auto"/>
                      <w:sz w:val="21"/>
                      <w:szCs w:val="21"/>
                    </w:rPr>
                    <w:t>的建设项目。</w:t>
                  </w:r>
                </w:p>
              </w:tc>
              <w:tc>
                <w:tcPr>
                  <w:tcW w:w="1783" w:type="pct"/>
                  <w:noWrap w:val="0"/>
                  <w:tcMar>
                    <w:left w:w="57" w:type="dxa"/>
                    <w:right w:w="57" w:type="dxa"/>
                  </w:tcMar>
                  <w:vAlign w:val="center"/>
                </w:tcPr>
                <w:p w14:paraId="74520FDD">
                  <w:pPr>
                    <w:autoSpaceDE w:val="0"/>
                    <w:autoSpaceDN w:val="0"/>
                    <w:adjustRightInd w:val="0"/>
                    <w:snapToGrid w:val="0"/>
                    <w:rPr>
                      <w:color w:val="auto"/>
                      <w:kern w:val="0"/>
                      <w:sz w:val="21"/>
                      <w:szCs w:val="21"/>
                    </w:rPr>
                  </w:pPr>
                  <w:r>
                    <w:rPr>
                      <w:color w:val="auto"/>
                      <w:sz w:val="21"/>
                      <w:szCs w:val="21"/>
                    </w:rPr>
                    <w:t>本项目</w:t>
                  </w:r>
                  <w:r>
                    <w:rPr>
                      <w:rFonts w:hint="eastAsia"/>
                      <w:color w:val="auto"/>
                      <w:sz w:val="21"/>
                      <w:szCs w:val="21"/>
                      <w:lang w:val="en-US" w:eastAsia="zh-CN"/>
                    </w:rPr>
                    <w:t>无</w:t>
                  </w:r>
                  <w:r>
                    <w:rPr>
                      <w:color w:val="auto"/>
                      <w:sz w:val="21"/>
                      <w:szCs w:val="21"/>
                    </w:rPr>
                    <w:t>有毒有害和易燃易爆危险物质存储</w:t>
                  </w:r>
                  <w:r>
                    <w:rPr>
                      <w:rFonts w:hint="eastAsia"/>
                      <w:color w:val="auto"/>
                      <w:sz w:val="21"/>
                      <w:szCs w:val="21"/>
                    </w:rPr>
                    <w:t>。</w:t>
                  </w:r>
                </w:p>
              </w:tc>
              <w:tc>
                <w:tcPr>
                  <w:tcW w:w="707" w:type="pct"/>
                  <w:noWrap w:val="0"/>
                  <w:tcMar>
                    <w:left w:w="57" w:type="dxa"/>
                    <w:right w:w="57" w:type="dxa"/>
                  </w:tcMar>
                  <w:vAlign w:val="center"/>
                </w:tcPr>
                <w:p w14:paraId="0CF1BF00">
                  <w:pPr>
                    <w:autoSpaceDE w:val="0"/>
                    <w:autoSpaceDN w:val="0"/>
                    <w:adjustRightInd w:val="0"/>
                    <w:snapToGrid w:val="0"/>
                    <w:jc w:val="center"/>
                    <w:rPr>
                      <w:color w:val="auto"/>
                      <w:kern w:val="0"/>
                      <w:sz w:val="21"/>
                      <w:szCs w:val="21"/>
                    </w:rPr>
                  </w:pPr>
                  <w:r>
                    <w:rPr>
                      <w:color w:val="auto"/>
                      <w:kern w:val="0"/>
                      <w:sz w:val="21"/>
                      <w:szCs w:val="21"/>
                    </w:rPr>
                    <w:t>否</w:t>
                  </w:r>
                </w:p>
              </w:tc>
            </w:tr>
            <w:tr w14:paraId="2F668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noWrap w:val="0"/>
                  <w:tcMar>
                    <w:left w:w="57" w:type="dxa"/>
                    <w:right w:w="57" w:type="dxa"/>
                  </w:tcMar>
                  <w:vAlign w:val="center"/>
                </w:tcPr>
                <w:p w14:paraId="5D2B7377">
                  <w:pPr>
                    <w:autoSpaceDE w:val="0"/>
                    <w:autoSpaceDN w:val="0"/>
                    <w:adjustRightInd w:val="0"/>
                    <w:snapToGrid w:val="0"/>
                    <w:jc w:val="center"/>
                    <w:rPr>
                      <w:color w:val="auto"/>
                      <w:kern w:val="0"/>
                      <w:sz w:val="21"/>
                      <w:szCs w:val="21"/>
                    </w:rPr>
                  </w:pPr>
                  <w:r>
                    <w:rPr>
                      <w:color w:val="auto"/>
                      <w:kern w:val="0"/>
                      <w:sz w:val="21"/>
                      <w:szCs w:val="21"/>
                    </w:rPr>
                    <w:t>生态</w:t>
                  </w:r>
                </w:p>
              </w:tc>
              <w:tc>
                <w:tcPr>
                  <w:tcW w:w="1848" w:type="pct"/>
                  <w:noWrap w:val="0"/>
                  <w:tcMar>
                    <w:left w:w="57" w:type="dxa"/>
                    <w:right w:w="57" w:type="dxa"/>
                  </w:tcMar>
                  <w:vAlign w:val="center"/>
                </w:tcPr>
                <w:p w14:paraId="1281C6E2">
                  <w:pPr>
                    <w:autoSpaceDE w:val="0"/>
                    <w:autoSpaceDN w:val="0"/>
                    <w:adjustRightInd w:val="0"/>
                    <w:snapToGrid w:val="0"/>
                    <w:rPr>
                      <w:color w:val="auto"/>
                      <w:kern w:val="0"/>
                      <w:sz w:val="21"/>
                      <w:szCs w:val="21"/>
                    </w:rPr>
                  </w:pPr>
                  <w:r>
                    <w:rPr>
                      <w:color w:val="auto"/>
                      <w:sz w:val="21"/>
                      <w:szCs w:val="21"/>
                    </w:rPr>
                    <w:t>取水口下游500米范围内有重要水生生物的自然产卵场、索饵场、越冬场和洄游通道的新增河道取水的污染类建设项目。</w:t>
                  </w:r>
                </w:p>
              </w:tc>
              <w:tc>
                <w:tcPr>
                  <w:tcW w:w="1783" w:type="pct"/>
                  <w:noWrap w:val="0"/>
                  <w:tcMar>
                    <w:left w:w="57" w:type="dxa"/>
                    <w:right w:w="57" w:type="dxa"/>
                  </w:tcMar>
                  <w:vAlign w:val="center"/>
                </w:tcPr>
                <w:p w14:paraId="3ADF481A">
                  <w:pPr>
                    <w:autoSpaceDE w:val="0"/>
                    <w:autoSpaceDN w:val="0"/>
                    <w:adjustRightInd w:val="0"/>
                    <w:snapToGrid w:val="0"/>
                    <w:jc w:val="center"/>
                    <w:rPr>
                      <w:color w:val="auto"/>
                      <w:kern w:val="0"/>
                      <w:sz w:val="21"/>
                      <w:szCs w:val="21"/>
                    </w:rPr>
                  </w:pPr>
                  <w:r>
                    <w:rPr>
                      <w:color w:val="auto"/>
                      <w:sz w:val="21"/>
                      <w:szCs w:val="21"/>
                    </w:rPr>
                    <w:t>本项目不涉及取水口。</w:t>
                  </w:r>
                </w:p>
              </w:tc>
              <w:tc>
                <w:tcPr>
                  <w:tcW w:w="707" w:type="pct"/>
                  <w:noWrap w:val="0"/>
                  <w:tcMar>
                    <w:left w:w="57" w:type="dxa"/>
                    <w:right w:w="57" w:type="dxa"/>
                  </w:tcMar>
                  <w:vAlign w:val="center"/>
                </w:tcPr>
                <w:p w14:paraId="7A1AE842">
                  <w:pPr>
                    <w:autoSpaceDE w:val="0"/>
                    <w:autoSpaceDN w:val="0"/>
                    <w:adjustRightInd w:val="0"/>
                    <w:snapToGrid w:val="0"/>
                    <w:jc w:val="center"/>
                    <w:rPr>
                      <w:color w:val="auto"/>
                      <w:kern w:val="0"/>
                      <w:sz w:val="21"/>
                      <w:szCs w:val="21"/>
                    </w:rPr>
                  </w:pPr>
                  <w:r>
                    <w:rPr>
                      <w:color w:val="auto"/>
                      <w:kern w:val="0"/>
                      <w:sz w:val="21"/>
                      <w:szCs w:val="21"/>
                    </w:rPr>
                    <w:t>否</w:t>
                  </w:r>
                </w:p>
              </w:tc>
            </w:tr>
            <w:tr w14:paraId="5BB57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0" w:type="pct"/>
                  <w:noWrap w:val="0"/>
                  <w:tcMar>
                    <w:left w:w="57" w:type="dxa"/>
                    <w:right w:w="57" w:type="dxa"/>
                  </w:tcMar>
                  <w:vAlign w:val="center"/>
                </w:tcPr>
                <w:p w14:paraId="07E7157F">
                  <w:pPr>
                    <w:autoSpaceDE w:val="0"/>
                    <w:autoSpaceDN w:val="0"/>
                    <w:adjustRightInd w:val="0"/>
                    <w:snapToGrid w:val="0"/>
                    <w:jc w:val="center"/>
                    <w:rPr>
                      <w:color w:val="auto"/>
                      <w:kern w:val="0"/>
                      <w:sz w:val="21"/>
                      <w:szCs w:val="21"/>
                    </w:rPr>
                  </w:pPr>
                  <w:r>
                    <w:rPr>
                      <w:color w:val="auto"/>
                      <w:kern w:val="0"/>
                      <w:sz w:val="21"/>
                      <w:szCs w:val="21"/>
                    </w:rPr>
                    <w:t>海洋</w:t>
                  </w:r>
                </w:p>
              </w:tc>
              <w:tc>
                <w:tcPr>
                  <w:tcW w:w="1848" w:type="pct"/>
                  <w:noWrap w:val="0"/>
                  <w:tcMar>
                    <w:left w:w="57" w:type="dxa"/>
                    <w:right w:w="57" w:type="dxa"/>
                  </w:tcMar>
                  <w:vAlign w:val="center"/>
                </w:tcPr>
                <w:p w14:paraId="4CF92FBD">
                  <w:pPr>
                    <w:autoSpaceDE w:val="0"/>
                    <w:autoSpaceDN w:val="0"/>
                    <w:adjustRightInd w:val="0"/>
                    <w:snapToGrid w:val="0"/>
                    <w:rPr>
                      <w:color w:val="auto"/>
                      <w:kern w:val="0"/>
                      <w:sz w:val="21"/>
                      <w:szCs w:val="21"/>
                    </w:rPr>
                  </w:pPr>
                  <w:r>
                    <w:rPr>
                      <w:color w:val="auto"/>
                      <w:sz w:val="21"/>
                      <w:szCs w:val="21"/>
                    </w:rPr>
                    <w:t>直接向海排放污染物的海洋工程建设项目。</w:t>
                  </w:r>
                </w:p>
              </w:tc>
              <w:tc>
                <w:tcPr>
                  <w:tcW w:w="1783" w:type="pct"/>
                  <w:noWrap w:val="0"/>
                  <w:tcMar>
                    <w:left w:w="57" w:type="dxa"/>
                    <w:right w:w="57" w:type="dxa"/>
                  </w:tcMar>
                  <w:vAlign w:val="center"/>
                </w:tcPr>
                <w:p w14:paraId="02A84173">
                  <w:pPr>
                    <w:autoSpaceDE w:val="0"/>
                    <w:autoSpaceDN w:val="0"/>
                    <w:adjustRightInd w:val="0"/>
                    <w:snapToGrid w:val="0"/>
                    <w:rPr>
                      <w:color w:val="auto"/>
                      <w:kern w:val="0"/>
                      <w:sz w:val="21"/>
                      <w:szCs w:val="21"/>
                    </w:rPr>
                  </w:pPr>
                  <w:r>
                    <w:rPr>
                      <w:color w:val="auto"/>
                      <w:sz w:val="21"/>
                      <w:szCs w:val="21"/>
                    </w:rPr>
                    <w:t>本项目不属于向海洋排放污染物的海洋工程建设项目。</w:t>
                  </w:r>
                </w:p>
              </w:tc>
              <w:tc>
                <w:tcPr>
                  <w:tcW w:w="707" w:type="pct"/>
                  <w:noWrap w:val="0"/>
                  <w:tcMar>
                    <w:left w:w="57" w:type="dxa"/>
                    <w:right w:w="57" w:type="dxa"/>
                  </w:tcMar>
                  <w:vAlign w:val="center"/>
                </w:tcPr>
                <w:p w14:paraId="3E2C5054">
                  <w:pPr>
                    <w:autoSpaceDE w:val="0"/>
                    <w:autoSpaceDN w:val="0"/>
                    <w:adjustRightInd w:val="0"/>
                    <w:snapToGrid w:val="0"/>
                    <w:jc w:val="center"/>
                    <w:rPr>
                      <w:color w:val="auto"/>
                      <w:kern w:val="0"/>
                      <w:sz w:val="21"/>
                      <w:szCs w:val="21"/>
                    </w:rPr>
                  </w:pPr>
                  <w:r>
                    <w:rPr>
                      <w:color w:val="auto"/>
                      <w:kern w:val="0"/>
                      <w:sz w:val="21"/>
                      <w:szCs w:val="21"/>
                    </w:rPr>
                    <w:t>否</w:t>
                  </w:r>
                </w:p>
              </w:tc>
            </w:tr>
          </w:tbl>
          <w:p w14:paraId="27EE9B70">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color w:val="auto"/>
                <w:kern w:val="0"/>
                <w:sz w:val="24"/>
                <w:highlight w:val="none"/>
              </w:rPr>
            </w:pPr>
          </w:p>
        </w:tc>
      </w:tr>
      <w:tr w14:paraId="6E24A9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3" w:hRule="atLeast"/>
          <w:jc w:val="center"/>
        </w:trPr>
        <w:tc>
          <w:tcPr>
            <w:tcW w:w="1874" w:type="dxa"/>
            <w:vAlign w:val="center"/>
          </w:tcPr>
          <w:p w14:paraId="3DA778CA">
            <w:pPr>
              <w:autoSpaceDE w:val="0"/>
              <w:autoSpaceDN w:val="0"/>
              <w:adjustRightInd w:val="0"/>
              <w:snapToGrid w:val="0"/>
              <w:jc w:val="center"/>
              <w:rPr>
                <w:color w:val="auto"/>
                <w:kern w:val="0"/>
                <w:szCs w:val="21"/>
              </w:rPr>
            </w:pPr>
            <w:r>
              <w:rPr>
                <w:color w:val="auto"/>
                <w:kern w:val="0"/>
                <w:sz w:val="24"/>
              </w:rPr>
              <w:t>规划情况</w:t>
            </w:r>
          </w:p>
        </w:tc>
        <w:tc>
          <w:tcPr>
            <w:tcW w:w="7650" w:type="dxa"/>
            <w:gridSpan w:val="3"/>
            <w:vAlign w:val="center"/>
          </w:tcPr>
          <w:p w14:paraId="4792BB8D">
            <w:pPr>
              <w:autoSpaceDE w:val="0"/>
              <w:autoSpaceDN w:val="0"/>
              <w:adjustRightInd w:val="0"/>
              <w:snapToGrid w:val="0"/>
              <w:jc w:val="center"/>
              <w:rPr>
                <w:color w:val="auto"/>
                <w:kern w:val="0"/>
                <w:szCs w:val="21"/>
              </w:rPr>
            </w:pPr>
            <w:r>
              <w:rPr>
                <w:color w:val="auto"/>
                <w:kern w:val="0"/>
                <w:sz w:val="24"/>
              </w:rPr>
              <w:t>无</w:t>
            </w:r>
          </w:p>
        </w:tc>
      </w:tr>
      <w:tr w14:paraId="27F63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27" w:hRule="atLeast"/>
          <w:jc w:val="center"/>
        </w:trPr>
        <w:tc>
          <w:tcPr>
            <w:tcW w:w="1874" w:type="dxa"/>
            <w:vAlign w:val="center"/>
          </w:tcPr>
          <w:p w14:paraId="61071644">
            <w:pPr>
              <w:adjustRightInd w:val="0"/>
              <w:snapToGrid w:val="0"/>
              <w:jc w:val="center"/>
              <w:rPr>
                <w:color w:val="auto"/>
                <w:sz w:val="24"/>
              </w:rPr>
            </w:pPr>
            <w:r>
              <w:rPr>
                <w:color w:val="auto"/>
                <w:sz w:val="24"/>
              </w:rPr>
              <w:t>规划环境影响</w:t>
            </w:r>
          </w:p>
          <w:p w14:paraId="30240362">
            <w:pPr>
              <w:adjustRightInd w:val="0"/>
              <w:snapToGrid w:val="0"/>
              <w:jc w:val="center"/>
              <w:rPr>
                <w:color w:val="auto"/>
                <w:kern w:val="0"/>
                <w:sz w:val="24"/>
              </w:rPr>
            </w:pPr>
            <w:r>
              <w:rPr>
                <w:color w:val="auto"/>
                <w:sz w:val="24"/>
              </w:rPr>
              <w:t>评价情况</w:t>
            </w:r>
          </w:p>
        </w:tc>
        <w:tc>
          <w:tcPr>
            <w:tcW w:w="7650" w:type="dxa"/>
            <w:gridSpan w:val="3"/>
            <w:vAlign w:val="center"/>
          </w:tcPr>
          <w:p w14:paraId="448B3F9F">
            <w:pPr>
              <w:autoSpaceDE w:val="0"/>
              <w:autoSpaceDN w:val="0"/>
              <w:adjustRightInd w:val="0"/>
              <w:snapToGrid w:val="0"/>
              <w:jc w:val="center"/>
              <w:rPr>
                <w:color w:val="auto"/>
                <w:kern w:val="0"/>
                <w:sz w:val="24"/>
              </w:rPr>
            </w:pPr>
            <w:r>
              <w:rPr>
                <w:color w:val="auto"/>
                <w:kern w:val="0"/>
                <w:sz w:val="24"/>
              </w:rPr>
              <w:t>无</w:t>
            </w:r>
          </w:p>
        </w:tc>
      </w:tr>
      <w:tr w14:paraId="49DA15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1874" w:type="dxa"/>
            <w:vAlign w:val="center"/>
          </w:tcPr>
          <w:p w14:paraId="69DEB051">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7650" w:type="dxa"/>
            <w:gridSpan w:val="3"/>
            <w:vAlign w:val="center"/>
          </w:tcPr>
          <w:p w14:paraId="09F987DC">
            <w:pPr>
              <w:autoSpaceDE w:val="0"/>
              <w:autoSpaceDN w:val="0"/>
              <w:adjustRightInd w:val="0"/>
              <w:snapToGrid w:val="0"/>
              <w:jc w:val="center"/>
              <w:rPr>
                <w:color w:val="auto"/>
                <w:kern w:val="0"/>
                <w:sz w:val="24"/>
              </w:rPr>
            </w:pPr>
            <w:r>
              <w:rPr>
                <w:color w:val="auto"/>
                <w:kern w:val="0"/>
                <w:sz w:val="24"/>
              </w:rPr>
              <w:t>无</w:t>
            </w:r>
          </w:p>
        </w:tc>
      </w:tr>
      <w:tr w14:paraId="38A05D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31" w:hRule="atLeast"/>
          <w:jc w:val="center"/>
        </w:trPr>
        <w:tc>
          <w:tcPr>
            <w:tcW w:w="1874" w:type="dxa"/>
            <w:vAlign w:val="center"/>
          </w:tcPr>
          <w:p w14:paraId="7D6E940D">
            <w:pPr>
              <w:autoSpaceDE w:val="0"/>
              <w:autoSpaceDN w:val="0"/>
              <w:adjustRightInd w:val="0"/>
              <w:snapToGrid w:val="0"/>
              <w:jc w:val="center"/>
              <w:rPr>
                <w:b/>
                <w:bCs/>
                <w:color w:val="auto"/>
                <w:kern w:val="0"/>
                <w:sz w:val="24"/>
              </w:rPr>
            </w:pPr>
            <w:r>
              <w:rPr>
                <w:color w:val="auto"/>
                <w:kern w:val="0"/>
                <w:sz w:val="24"/>
              </w:rPr>
              <w:t>其他符合性分析</w:t>
            </w:r>
          </w:p>
        </w:tc>
        <w:tc>
          <w:tcPr>
            <w:tcW w:w="7650" w:type="dxa"/>
            <w:gridSpan w:val="3"/>
          </w:tcPr>
          <w:p w14:paraId="2390CA3B">
            <w:pPr>
              <w:autoSpaceDE w:val="0"/>
              <w:autoSpaceDN w:val="0"/>
              <w:spacing w:line="360" w:lineRule="auto"/>
              <w:ind w:firstLine="482" w:firstLineChars="200"/>
              <w:rPr>
                <w:b/>
                <w:bCs/>
                <w:color w:val="auto"/>
                <w:sz w:val="24"/>
                <w:highlight w:val="none"/>
              </w:rPr>
            </w:pPr>
            <w:r>
              <w:rPr>
                <w:rFonts w:hint="eastAsia"/>
                <w:b/>
                <w:bCs/>
                <w:color w:val="auto"/>
                <w:sz w:val="24"/>
                <w:highlight w:val="none"/>
              </w:rPr>
              <w:t>1、产业政策符合性分析</w:t>
            </w:r>
          </w:p>
          <w:p w14:paraId="2A5E36F6">
            <w:pPr>
              <w:autoSpaceDE w:val="0"/>
              <w:autoSpaceDN w:val="0"/>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根据《产业结构调整指导目录</w:t>
            </w:r>
            <w:r>
              <w:rPr>
                <w:rFonts w:hint="eastAsia"/>
                <w:color w:val="auto"/>
                <w:sz w:val="24"/>
                <w:highlight w:val="none"/>
                <w:lang w:val="en-US" w:eastAsia="zh-CN"/>
              </w:rPr>
              <w:t>（2024</w:t>
            </w:r>
            <w:r>
              <w:rPr>
                <w:rFonts w:hint="default"/>
                <w:color w:val="auto"/>
                <w:sz w:val="24"/>
                <w:highlight w:val="none"/>
                <w:lang w:val="en-US" w:eastAsia="zh-CN"/>
              </w:rPr>
              <w:t>年本</w:t>
            </w:r>
            <w:r>
              <w:rPr>
                <w:rFonts w:hint="eastAsia"/>
                <w:color w:val="auto"/>
                <w:sz w:val="24"/>
                <w:highlight w:val="none"/>
                <w:lang w:val="en-US" w:eastAsia="zh-CN"/>
              </w:rPr>
              <w:t>）</w:t>
            </w:r>
            <w:r>
              <w:rPr>
                <w:rFonts w:hint="default"/>
                <w:color w:val="auto"/>
                <w:sz w:val="24"/>
                <w:highlight w:val="none"/>
                <w:lang w:val="en-US" w:eastAsia="zh-CN"/>
              </w:rPr>
              <w:t>》，本项目属于鼓励类</w:t>
            </w:r>
            <w:r>
              <w:rPr>
                <w:rFonts w:hint="eastAsia"/>
                <w:color w:val="auto"/>
                <w:sz w:val="24"/>
                <w:highlight w:val="none"/>
                <w:lang w:val="en-US" w:eastAsia="zh-CN"/>
              </w:rPr>
              <w:t xml:space="preserve">“一农林牧渔业中 </w:t>
            </w:r>
            <w:r>
              <w:rPr>
                <w:rFonts w:hint="default"/>
                <w:color w:val="auto"/>
                <w:sz w:val="24"/>
                <w:highlight w:val="none"/>
                <w:lang w:val="en-US" w:eastAsia="zh-CN"/>
              </w:rPr>
              <w:t>8</w:t>
            </w:r>
            <w:r>
              <w:rPr>
                <w:rFonts w:hint="eastAsia"/>
                <w:color w:val="auto"/>
                <w:sz w:val="24"/>
                <w:highlight w:val="none"/>
                <w:lang w:val="en-US" w:eastAsia="zh-CN"/>
              </w:rPr>
              <w:t>．农产品仓储运输：农林牧渔产品储运、保鲜、加工与综合</w:t>
            </w:r>
            <w:r>
              <w:rPr>
                <w:rFonts w:hint="default"/>
                <w:color w:val="auto"/>
                <w:sz w:val="24"/>
                <w:highlight w:val="none"/>
                <w:lang w:val="en-US" w:eastAsia="zh-CN"/>
              </w:rPr>
              <w:t>利用</w:t>
            </w:r>
            <w:r>
              <w:rPr>
                <w:rFonts w:hint="eastAsia"/>
                <w:color w:val="auto"/>
                <w:sz w:val="24"/>
                <w:highlight w:val="none"/>
                <w:lang w:val="en-US" w:eastAsia="zh-CN"/>
              </w:rPr>
              <w:t>”，本项目属于鼓励类</w:t>
            </w:r>
            <w:r>
              <w:rPr>
                <w:rFonts w:hint="default"/>
                <w:color w:val="auto"/>
                <w:sz w:val="24"/>
                <w:highlight w:val="none"/>
                <w:lang w:val="en-US" w:eastAsia="zh-CN"/>
              </w:rPr>
              <w:t>项目，因此本项目的建设符合国家产业政策。</w:t>
            </w:r>
          </w:p>
          <w:p w14:paraId="6D00B55C">
            <w:pPr>
              <w:autoSpaceDE w:val="0"/>
              <w:autoSpaceDN w:val="0"/>
              <w:spacing w:line="360" w:lineRule="auto"/>
              <w:ind w:firstLine="482" w:firstLineChars="200"/>
              <w:rPr>
                <w:b/>
                <w:bCs/>
                <w:color w:val="auto"/>
                <w:sz w:val="24"/>
              </w:rPr>
            </w:pPr>
            <w:r>
              <w:rPr>
                <w:rFonts w:hint="eastAsia"/>
                <w:b/>
                <w:bCs/>
                <w:color w:val="auto"/>
                <w:sz w:val="24"/>
              </w:rPr>
              <w:t>2</w:t>
            </w:r>
            <w:r>
              <w:rPr>
                <w:b/>
                <w:bCs/>
                <w:color w:val="auto"/>
                <w:sz w:val="24"/>
              </w:rPr>
              <w:t>、选址符合性分析</w:t>
            </w:r>
          </w:p>
          <w:p w14:paraId="6C516BBC">
            <w:pPr>
              <w:spacing w:line="360" w:lineRule="auto"/>
              <w:ind w:firstLine="480" w:firstLineChars="200"/>
              <w:rPr>
                <w:color w:val="auto"/>
                <w:sz w:val="24"/>
                <w:highlight w:val="none"/>
              </w:rPr>
            </w:pPr>
            <w:r>
              <w:rPr>
                <w:color w:val="auto"/>
                <w:sz w:val="24"/>
                <w:highlight w:val="none"/>
              </w:rPr>
              <w:t>项目位于</w:t>
            </w:r>
            <w:r>
              <w:rPr>
                <w:rFonts w:hint="eastAsia"/>
                <w:color w:val="auto"/>
                <w:sz w:val="24"/>
                <w:highlight w:val="none"/>
                <w:lang w:eastAsia="zh-CN"/>
              </w:rPr>
              <w:t>黑龙江省鸡西市虎林市宝东镇共乐村</w:t>
            </w:r>
            <w:r>
              <w:rPr>
                <w:color w:val="auto"/>
                <w:sz w:val="24"/>
                <w:highlight w:val="none"/>
              </w:rPr>
              <w:t>，</w:t>
            </w:r>
            <w:r>
              <w:rPr>
                <w:rFonts w:hint="eastAsia"/>
                <w:color w:val="auto"/>
                <w:sz w:val="24"/>
                <w:highlight w:val="none"/>
                <w:lang w:eastAsia="zh-CN"/>
              </w:rPr>
              <w:t>本项目在虎林市双硕农业科技有限公司现有厂区内建设，不新增占地。</w:t>
            </w:r>
            <w:r>
              <w:rPr>
                <w:rFonts w:hint="eastAsia"/>
                <w:color w:val="auto"/>
                <w:sz w:val="24"/>
                <w:highlight w:val="none"/>
              </w:rPr>
              <w:t>项目厂界北侧</w:t>
            </w:r>
            <w:r>
              <w:rPr>
                <w:rFonts w:hint="eastAsia"/>
                <w:color w:val="auto"/>
                <w:sz w:val="24"/>
                <w:highlight w:val="none"/>
                <w:lang w:eastAsia="zh-CN"/>
              </w:rPr>
              <w:t>为</w:t>
            </w:r>
            <w:r>
              <w:rPr>
                <w:rFonts w:hint="eastAsia"/>
                <w:color w:val="auto"/>
                <w:sz w:val="24"/>
                <w:highlight w:val="none"/>
                <w:lang w:val="en-US" w:eastAsia="zh-CN"/>
              </w:rPr>
              <w:t>G331国道、东侧和南侧为农田、西侧为粮食收储企业</w:t>
            </w:r>
            <w:r>
              <w:rPr>
                <w:rFonts w:hint="default" w:ascii="Times New Roman" w:hAnsi="Times New Roman" w:eastAsia="宋体" w:cs="Times New Roman"/>
                <w:color w:val="auto"/>
                <w:sz w:val="24"/>
                <w:highlight w:val="none"/>
              </w:rPr>
              <w:t>。</w:t>
            </w:r>
            <w:r>
              <w:rPr>
                <w:rFonts w:hint="eastAsia"/>
                <w:color w:val="auto"/>
                <w:sz w:val="24"/>
                <w:highlight w:val="none"/>
              </w:rPr>
              <w:t>项目地理位置及周边环境关系图见附图1、附图2。</w:t>
            </w:r>
          </w:p>
          <w:p w14:paraId="3FFC569D">
            <w:pPr>
              <w:autoSpaceDE w:val="0"/>
              <w:autoSpaceDN w:val="0"/>
              <w:spacing w:line="360" w:lineRule="auto"/>
              <w:ind w:firstLine="480" w:firstLineChars="200"/>
              <w:rPr>
                <w:color w:val="auto"/>
                <w:sz w:val="24"/>
              </w:rPr>
            </w:pPr>
            <w:r>
              <w:rPr>
                <w:color w:val="auto"/>
                <w:sz w:val="24"/>
              </w:rPr>
              <w:t>项目选址不属于生活饮用水源地和地下水补给区、风景名胜区、温泉疗养区、水产养殖区、基本农田保护区、自然保护区等需要特殊保护区域。</w:t>
            </w:r>
          </w:p>
          <w:p w14:paraId="091B5A29">
            <w:pPr>
              <w:autoSpaceDE w:val="0"/>
              <w:autoSpaceDN w:val="0"/>
              <w:spacing w:line="360" w:lineRule="auto"/>
              <w:ind w:firstLine="480" w:firstLineChars="200"/>
              <w:rPr>
                <w:color w:val="auto"/>
                <w:sz w:val="24"/>
              </w:rPr>
            </w:pPr>
            <w:r>
              <w:rPr>
                <w:color w:val="auto"/>
                <w:sz w:val="24"/>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w:t>
            </w:r>
            <w:r>
              <w:rPr>
                <w:rFonts w:hint="eastAsia"/>
                <w:color w:val="auto"/>
                <w:sz w:val="24"/>
                <w:lang w:val="en-US" w:eastAsia="zh-CN"/>
              </w:rPr>
              <w:t>2024</w:t>
            </w:r>
            <w:r>
              <w:rPr>
                <w:color w:val="auto"/>
                <w:sz w:val="24"/>
              </w:rPr>
              <w:t>年本）》，凡采用明令淘汰的落后工艺技术、装备或者生产明令淘汰产品的建设项目，各级国土资源管理部门和投资管理部门一律不得办理相关手续。</w:t>
            </w:r>
          </w:p>
          <w:p w14:paraId="2920A7F4">
            <w:pPr>
              <w:autoSpaceDE w:val="0"/>
              <w:autoSpaceDN w:val="0"/>
              <w:spacing w:line="360" w:lineRule="auto"/>
              <w:ind w:firstLine="480" w:firstLineChars="200"/>
              <w:rPr>
                <w:color w:val="auto"/>
                <w:sz w:val="24"/>
                <w:highlight w:val="none"/>
              </w:rPr>
            </w:pPr>
            <w:r>
              <w:rPr>
                <w:color w:val="auto"/>
                <w:sz w:val="24"/>
                <w:highlight w:val="none"/>
              </w:rPr>
              <w:t>本项目用地性质为</w:t>
            </w:r>
            <w:r>
              <w:rPr>
                <w:rFonts w:hint="eastAsia"/>
                <w:color w:val="auto"/>
                <w:sz w:val="24"/>
                <w:highlight w:val="none"/>
                <w:lang w:eastAsia="zh-CN"/>
              </w:rPr>
              <w:t>仓储用地</w:t>
            </w:r>
            <w:r>
              <w:rPr>
                <w:color w:val="auto"/>
                <w:sz w:val="24"/>
                <w:highlight w:val="none"/>
              </w:rPr>
              <w:t>，不属于《限制用地项目目录（2012年本）》和《禁止用地项目目录（2012年本）》中的限制用地、禁止用地项目，符合土地政策要求。</w:t>
            </w:r>
          </w:p>
          <w:p w14:paraId="7A8F180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color w:val="auto"/>
                <w:kern w:val="0"/>
                <w:sz w:val="24"/>
                <w:highlight w:val="none"/>
                <w:lang w:bidi="zh-CN"/>
              </w:rPr>
            </w:pPr>
            <w:r>
              <w:rPr>
                <w:rFonts w:hint="default" w:ascii="Times New Roman" w:hAnsi="Times New Roman" w:cs="Times New Roman"/>
                <w:color w:val="auto"/>
                <w:sz w:val="24"/>
              </w:rPr>
              <w:t>本项目营运过程中产生的</w:t>
            </w:r>
            <w:r>
              <w:rPr>
                <w:rFonts w:hint="eastAsia" w:ascii="Times New Roman" w:hAnsi="Times New Roman" w:cs="Times New Roman"/>
                <w:color w:val="auto"/>
                <w:sz w:val="24"/>
                <w:lang w:eastAsia="zh-CN"/>
              </w:rPr>
              <w:t>炉窑烟气</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粉尘、</w:t>
            </w:r>
            <w:r>
              <w:rPr>
                <w:rFonts w:hint="default" w:ascii="Times New Roman" w:hAnsi="Times New Roman" w:cs="Times New Roman"/>
                <w:color w:val="auto"/>
                <w:sz w:val="24"/>
              </w:rPr>
              <w:t>设备噪声、</w:t>
            </w:r>
            <w:r>
              <w:rPr>
                <w:rFonts w:hint="eastAsia" w:ascii="Times New Roman" w:hAnsi="Times New Roman" w:cs="Times New Roman"/>
                <w:color w:val="auto"/>
                <w:sz w:val="24"/>
                <w:lang w:eastAsia="zh-CN"/>
              </w:rPr>
              <w:t>热风炉灰渣</w:t>
            </w:r>
            <w:r>
              <w:rPr>
                <w:rFonts w:hint="default" w:ascii="Times New Roman" w:hAnsi="Times New Roman" w:cs="Times New Roman"/>
                <w:color w:val="auto"/>
                <w:sz w:val="24"/>
                <w:lang w:eastAsia="zh-CN"/>
              </w:rPr>
              <w:t>和</w:t>
            </w:r>
            <w:r>
              <w:rPr>
                <w:rFonts w:hint="eastAsia" w:ascii="Times New Roman" w:hAnsi="Times New Roman" w:cs="Times New Roman"/>
                <w:color w:val="auto"/>
                <w:sz w:val="24"/>
                <w:lang w:eastAsia="zh-CN"/>
              </w:rPr>
              <w:t>筛选杂质</w:t>
            </w:r>
            <w:r>
              <w:rPr>
                <w:rFonts w:hint="default" w:ascii="Times New Roman" w:hAnsi="Times New Roman" w:cs="Times New Roman"/>
                <w:color w:val="auto"/>
                <w:sz w:val="24"/>
              </w:rPr>
              <w:t>等会对周围环境产生一定影响，但通过采取相应的环保措施可使该项目的环境影响降低。项目厂区布置合理，便于</w:t>
            </w:r>
            <w:r>
              <w:rPr>
                <w:rFonts w:hint="default" w:ascii="Times New Roman" w:hAnsi="Times New Roman" w:cs="Times New Roman"/>
                <w:color w:val="auto"/>
                <w:sz w:val="24"/>
                <w:lang w:eastAsia="zh-CN"/>
              </w:rPr>
              <w:t>原料和产品</w:t>
            </w:r>
            <w:r>
              <w:rPr>
                <w:rFonts w:hint="default" w:ascii="Times New Roman" w:hAnsi="Times New Roman" w:cs="Times New Roman"/>
                <w:color w:val="auto"/>
                <w:sz w:val="24"/>
              </w:rPr>
              <w:t>的运送，且项目选址周围无国家自然保护区，风景名胜区等敏感区域。综上所述，在严格落实本报告表提出的污染防治措施，保证各项污染物稳定达标排放前提下，项目选址合理。</w:t>
            </w:r>
          </w:p>
          <w:p w14:paraId="10671411">
            <w:pPr>
              <w:autoSpaceDE w:val="0"/>
              <w:autoSpaceDN w:val="0"/>
              <w:spacing w:line="360" w:lineRule="auto"/>
              <w:ind w:firstLine="482" w:firstLineChars="200"/>
              <w:rPr>
                <w:b/>
                <w:color w:val="auto"/>
                <w:sz w:val="24"/>
              </w:rPr>
            </w:pPr>
            <w:r>
              <w:rPr>
                <w:rFonts w:hint="eastAsia"/>
                <w:b/>
                <w:bCs/>
                <w:color w:val="auto"/>
                <w:kern w:val="0"/>
                <w:sz w:val="24"/>
              </w:rPr>
              <w:t>3</w:t>
            </w:r>
            <w:r>
              <w:rPr>
                <w:b/>
                <w:bCs/>
                <w:color w:val="auto"/>
                <w:kern w:val="0"/>
                <w:sz w:val="24"/>
              </w:rPr>
              <w:t>、</w:t>
            </w:r>
            <w:r>
              <w:rPr>
                <w:b/>
                <w:color w:val="auto"/>
                <w:sz w:val="24"/>
              </w:rPr>
              <w:t>“三线一单”符合性分析</w:t>
            </w:r>
          </w:p>
          <w:p w14:paraId="2979CE90">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sz w:val="24"/>
                <w:lang w:eastAsia="zh-CN"/>
              </w:rPr>
              <w:t>虎林市双硕农业科技有限公司粮食烘干建设项目</w:t>
            </w:r>
            <w:r>
              <w:rPr>
                <w:rFonts w:hint="default" w:ascii="Times New Roman" w:hAnsi="Times New Roman" w:eastAsia="宋体" w:cs="Times New Roman"/>
                <w:color w:val="auto"/>
                <w:kern w:val="0"/>
                <w:sz w:val="24"/>
                <w:szCs w:val="24"/>
                <w:lang w:val="en-US" w:eastAsia="zh-CN" w:bidi="ar"/>
              </w:rPr>
              <w:t>态环境分区管控分析报告</w:t>
            </w:r>
            <w:r>
              <w:rPr>
                <w:rFonts w:hint="default" w:ascii="Times New Roman" w:hAnsi="Times New Roman" w:eastAsia="宋体" w:cs="Times New Roman"/>
                <w:color w:val="auto"/>
                <w:kern w:val="2"/>
                <w:sz w:val="24"/>
                <w:szCs w:val="24"/>
                <w:highlight w:val="none"/>
                <w:lang w:val="en-US" w:eastAsia="zh-CN" w:bidi="ar-SA"/>
              </w:rPr>
              <w:t>》可知，</w:t>
            </w:r>
            <w:r>
              <w:rPr>
                <w:rFonts w:hint="default" w:ascii="Times New Roman" w:hAnsi="Times New Roman" w:eastAsia="宋体" w:cs="Times New Roman"/>
                <w:color w:val="auto"/>
                <w:kern w:val="0"/>
                <w:sz w:val="24"/>
                <w:szCs w:val="24"/>
                <w:lang w:val="en-US" w:eastAsia="zh-CN" w:bidi="ar"/>
              </w:rPr>
              <w:t xml:space="preserve">本项目与生态保护红线无交集；与自然保护地整合方案数据无交集；与自然保护地（现状管理数据）无交集；与饮用水水源保护区无交集；与国家级水产种质资源保护区无交集；与环境管控单元优先保护单元无交集；与重点管控单元有交集，占项目占地面积的100.00%；与一般管控单元无交集。 </w:t>
            </w:r>
          </w:p>
          <w:p w14:paraId="0631ED95">
            <w:pPr>
              <w:pStyle w:val="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与地下水环境优先保护区无交集；与地下水环境重点管控区无交集，与地下水环境一般管控区有交集，占项目占地面积的100.00%。</w:t>
            </w:r>
          </w:p>
          <w:p w14:paraId="7D092F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本项目与环境管控单元叠加图及地下水叠加图见下图</w:t>
            </w:r>
            <w:r>
              <w:rPr>
                <w:rFonts w:hint="eastAsia" w:ascii="Times New Roman" w:hAnsi="Times New Roman" w:eastAsia="宋体" w:cs="Times New Roman"/>
                <w:color w:val="auto"/>
                <w:kern w:val="0"/>
                <w:sz w:val="24"/>
                <w:szCs w:val="24"/>
                <w:lang w:val="en-US" w:eastAsia="zh-CN" w:bidi="ar"/>
              </w:rPr>
              <w:t>。</w:t>
            </w:r>
          </w:p>
          <w:p w14:paraId="1312B573">
            <w:pPr>
              <w:pStyle w:val="24"/>
              <w:keepNext w:val="0"/>
              <w:keepLines w:val="0"/>
              <w:pageBreakBefore w:val="0"/>
              <w:widowControl w:val="0"/>
              <w:kinsoku/>
              <w:wordWrap/>
              <w:overflowPunct/>
              <w:topLinePunct w:val="0"/>
              <w:autoSpaceDE/>
              <w:autoSpaceDN/>
              <w:bidi w:val="0"/>
              <w:adjustRightInd/>
              <w:snapToGrid/>
              <w:ind w:left="0" w:leftChars="0"/>
              <w:textAlignment w:val="auto"/>
              <w:rPr>
                <w:color w:val="auto"/>
              </w:rPr>
            </w:pPr>
            <w:r>
              <w:rPr>
                <w:color w:val="auto"/>
              </w:rPr>
              <w:drawing>
                <wp:inline distT="0" distB="0" distL="114300" distR="114300">
                  <wp:extent cx="4714875" cy="2559050"/>
                  <wp:effectExtent l="0" t="0" r="9525" b="12700"/>
                  <wp:docPr id="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pic:cNvPicPr>
                            <a:picLocks noChangeAspect="1"/>
                          </pic:cNvPicPr>
                        </pic:nvPicPr>
                        <pic:blipFill>
                          <a:blip r:embed="rId20"/>
                          <a:stretch>
                            <a:fillRect/>
                          </a:stretch>
                        </pic:blipFill>
                        <pic:spPr>
                          <a:xfrm>
                            <a:off x="0" y="0"/>
                            <a:ext cx="4714875" cy="2559050"/>
                          </a:xfrm>
                          <a:prstGeom prst="rect">
                            <a:avLst/>
                          </a:prstGeom>
                          <a:noFill/>
                          <a:ln>
                            <a:noFill/>
                          </a:ln>
                        </pic:spPr>
                      </pic:pic>
                    </a:graphicData>
                  </a:graphic>
                </wp:inline>
              </w:drawing>
            </w:r>
          </w:p>
          <w:p w14:paraId="3BD37F3E">
            <w:pPr>
              <w:autoSpaceDE w:val="0"/>
              <w:autoSpaceDN w:val="0"/>
              <w:ind w:firstLine="482" w:firstLineChars="200"/>
              <w:jc w:val="center"/>
              <w:rPr>
                <w:rFonts w:hint="default" w:ascii="Times New Roman" w:hAnsi="Times New Roman" w:eastAsia="宋体" w:cs="Times New Roman"/>
                <w:b/>
                <w:bCs/>
                <w:color w:val="auto"/>
                <w:kern w:val="0"/>
                <w:sz w:val="24"/>
                <w:highlight w:val="none"/>
                <w:lang w:val="en-US" w:eastAsia="zh-CN"/>
              </w:rPr>
            </w:pPr>
            <w:r>
              <w:rPr>
                <w:rFonts w:hint="eastAsia" w:ascii="Times New Roman" w:hAnsi="Times New Roman" w:eastAsia="宋体" w:cs="Times New Roman"/>
                <w:b/>
                <w:bCs/>
                <w:color w:val="auto"/>
                <w:kern w:val="0"/>
                <w:sz w:val="24"/>
                <w:highlight w:val="none"/>
                <w:lang w:eastAsia="zh-CN"/>
              </w:rPr>
              <w:t>图</w:t>
            </w:r>
            <w:r>
              <w:rPr>
                <w:rFonts w:hint="eastAsia" w:ascii="Times New Roman" w:hAnsi="Times New Roman" w:eastAsia="宋体" w:cs="Times New Roman"/>
                <w:b/>
                <w:bCs/>
                <w:color w:val="auto"/>
                <w:kern w:val="0"/>
                <w:sz w:val="24"/>
                <w:highlight w:val="none"/>
                <w:lang w:val="en-US" w:eastAsia="zh-CN"/>
              </w:rPr>
              <w:t xml:space="preserve">1-1 </w:t>
            </w:r>
            <w:r>
              <w:rPr>
                <w:rFonts w:hint="default" w:ascii="Times New Roman" w:hAnsi="Times New Roman" w:eastAsia="宋体" w:cs="Times New Roman"/>
                <w:b/>
                <w:bCs/>
                <w:color w:val="auto"/>
                <w:kern w:val="0"/>
                <w:sz w:val="24"/>
                <w:highlight w:val="none"/>
                <w:lang w:val="en-US" w:eastAsia="zh-CN"/>
              </w:rPr>
              <w:t>与环境管控单元叠加图</w:t>
            </w:r>
          </w:p>
          <w:p w14:paraId="19E8C1EF">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color w:val="auto"/>
                <w:kern w:val="0"/>
                <w:sz w:val="24"/>
                <w:lang w:bidi="zh-CN"/>
              </w:rPr>
            </w:pPr>
            <w:r>
              <w:rPr>
                <w:color w:val="auto"/>
              </w:rPr>
              <w:drawing>
                <wp:inline distT="0" distB="0" distL="114300" distR="114300">
                  <wp:extent cx="4712970" cy="2393315"/>
                  <wp:effectExtent l="0" t="0" r="11430" b="6985"/>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21"/>
                          <a:stretch>
                            <a:fillRect/>
                          </a:stretch>
                        </pic:blipFill>
                        <pic:spPr>
                          <a:xfrm>
                            <a:off x="0" y="0"/>
                            <a:ext cx="4712970" cy="2393315"/>
                          </a:xfrm>
                          <a:prstGeom prst="rect">
                            <a:avLst/>
                          </a:prstGeom>
                          <a:noFill/>
                          <a:ln>
                            <a:noFill/>
                          </a:ln>
                        </pic:spPr>
                      </pic:pic>
                    </a:graphicData>
                  </a:graphic>
                </wp:inline>
              </w:drawing>
            </w:r>
          </w:p>
          <w:p w14:paraId="0BBD9261">
            <w:pPr>
              <w:autoSpaceDE w:val="0"/>
              <w:autoSpaceDN w:val="0"/>
              <w:ind w:firstLine="482" w:firstLineChars="200"/>
              <w:jc w:val="center"/>
              <w:rPr>
                <w:rFonts w:hint="default" w:ascii="Times New Roman" w:hAnsi="Times New Roman" w:eastAsia="宋体" w:cs="Times New Roman"/>
                <w:b/>
                <w:bCs/>
                <w:color w:val="auto"/>
                <w:kern w:val="0"/>
                <w:sz w:val="24"/>
                <w:highlight w:val="none"/>
                <w:lang w:val="en-US" w:eastAsia="zh-CN"/>
              </w:rPr>
            </w:pPr>
            <w:r>
              <w:rPr>
                <w:rFonts w:hint="eastAsia" w:ascii="Times New Roman" w:hAnsi="Times New Roman" w:eastAsia="宋体" w:cs="Times New Roman"/>
                <w:b/>
                <w:bCs/>
                <w:color w:val="auto"/>
                <w:kern w:val="0"/>
                <w:sz w:val="24"/>
                <w:highlight w:val="none"/>
                <w:lang w:eastAsia="zh-CN"/>
              </w:rPr>
              <w:t>图</w:t>
            </w:r>
            <w:r>
              <w:rPr>
                <w:rFonts w:hint="eastAsia" w:ascii="Times New Roman" w:hAnsi="Times New Roman" w:eastAsia="宋体" w:cs="Times New Roman"/>
                <w:b/>
                <w:bCs/>
                <w:color w:val="auto"/>
                <w:kern w:val="0"/>
                <w:sz w:val="24"/>
                <w:highlight w:val="none"/>
                <w:lang w:val="en-US" w:eastAsia="zh-CN"/>
              </w:rPr>
              <w:t xml:space="preserve">1-2 </w:t>
            </w:r>
            <w:r>
              <w:rPr>
                <w:rFonts w:hint="default" w:ascii="Times New Roman" w:hAnsi="Times New Roman" w:eastAsia="宋体" w:cs="Times New Roman"/>
                <w:b/>
                <w:bCs/>
                <w:color w:val="auto"/>
                <w:kern w:val="0"/>
                <w:sz w:val="24"/>
                <w:highlight w:val="none"/>
                <w:lang w:val="en-US" w:eastAsia="zh-CN"/>
              </w:rPr>
              <w:t>与</w:t>
            </w:r>
            <w:r>
              <w:rPr>
                <w:rFonts w:hint="eastAsia" w:ascii="Times New Roman" w:hAnsi="Times New Roman" w:eastAsia="宋体" w:cs="Times New Roman"/>
                <w:b/>
                <w:bCs/>
                <w:color w:val="auto"/>
                <w:kern w:val="0"/>
                <w:sz w:val="24"/>
                <w:highlight w:val="none"/>
                <w:lang w:val="en-US" w:eastAsia="zh-CN"/>
              </w:rPr>
              <w:t>地下水环境管控区</w:t>
            </w:r>
            <w:r>
              <w:rPr>
                <w:rFonts w:hint="default" w:ascii="Times New Roman" w:hAnsi="Times New Roman" w:eastAsia="宋体" w:cs="Times New Roman"/>
                <w:b/>
                <w:bCs/>
                <w:color w:val="auto"/>
                <w:kern w:val="0"/>
                <w:sz w:val="24"/>
                <w:highlight w:val="none"/>
                <w:lang w:val="en-US" w:eastAsia="zh-CN"/>
              </w:rPr>
              <w:t>叠加图</w:t>
            </w:r>
          </w:p>
          <w:p w14:paraId="6FF892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0"/>
                <w:sz w:val="24"/>
                <w:lang w:bidi="zh-CN"/>
              </w:rPr>
            </w:pPr>
            <w:r>
              <w:rPr>
                <w:rFonts w:hint="eastAsia"/>
                <w:color w:val="auto"/>
                <w:kern w:val="0"/>
                <w:sz w:val="24"/>
                <w:lang w:bidi="zh-CN"/>
              </w:rPr>
              <w:t>（1）生态保护红线</w:t>
            </w:r>
          </w:p>
          <w:p w14:paraId="622EC96B">
            <w:pPr>
              <w:pStyle w:val="88"/>
              <w:keepNext w:val="0"/>
              <w:keepLines w:val="0"/>
              <w:pageBreakBefore w:val="0"/>
              <w:widowControl w:val="0"/>
              <w:kinsoku/>
              <w:wordWrap/>
              <w:overflowPunct/>
              <w:topLinePunct w:val="0"/>
              <w:autoSpaceDE/>
              <w:autoSpaceDN/>
              <w:bidi w:val="0"/>
              <w:adjustRightInd/>
              <w:snapToGrid/>
              <w:spacing w:line="360" w:lineRule="auto"/>
              <w:textAlignment w:val="auto"/>
              <w:rPr>
                <w:color w:val="auto"/>
                <w:sz w:val="24"/>
                <w:szCs w:val="24"/>
              </w:rPr>
            </w:pPr>
            <w:r>
              <w:rPr>
                <w:color w:val="auto"/>
                <w:sz w:val="24"/>
                <w:szCs w:val="24"/>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14:paraId="7DE41E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color w:val="auto"/>
                <w:sz w:val="24"/>
                <w:szCs w:val="32"/>
              </w:rPr>
              <w:t>虎林市生态保护红线范围为水源涵养功能极重要区、生物多样性维护功能极重要区、水土保持功能极重要区。其中：黑龙江东方红国家级自然保护区、黑龙江珍宝岛湿地国家级自然保护区、黑龙江虎口湿地省级自然保护区、乌苏里江国家森林公园、珍宝岛国家森林公园、神顶峰省级森林公园同时为大气环境优先保护区；黑龙江东方红湿地国家级自然保护区、黑龙江虎口湿地省级自然保护区、黑龙江虎林国家湿地公园、黑龙江八五八小穆棱河国家湿地公园、黑龙江东方红南岔湖国家湿地公园、乌苏里江（虎林段）特有鱼类国家级水产种质资源保护区同时为水环境优先保护区。</w:t>
            </w:r>
          </w:p>
          <w:p w14:paraId="0AB3E44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本项目位于</w:t>
            </w:r>
            <w:r>
              <w:rPr>
                <w:rFonts w:hint="eastAsia" w:cs="Times New Roman"/>
                <w:color w:val="auto"/>
                <w:sz w:val="24"/>
                <w:szCs w:val="24"/>
                <w:highlight w:val="none"/>
                <w:lang w:eastAsia="zh-CN"/>
              </w:rPr>
              <w:t>黑龙江省鸡西市虎林市宝东镇共乐村</w:t>
            </w:r>
            <w:r>
              <w:rPr>
                <w:rFonts w:hint="default" w:ascii="Times New Roman" w:hAnsi="Times New Roman" w:eastAsia="宋体" w:cs="Times New Roman"/>
                <w:color w:val="auto"/>
                <w:kern w:val="2"/>
                <w:sz w:val="24"/>
                <w:szCs w:val="24"/>
                <w:highlight w:val="none"/>
                <w:lang w:val="en-US" w:eastAsia="zh-CN" w:bidi="ar-SA"/>
              </w:rPr>
              <w:t>，占地性质为仓储用地。根据《鸡西市人民政府关于实施“三线一单”生态环境分区管控的意见》（鸡政发〔2021〕7号文件）、《自然资源部办公厅关于依据“三区三线”划定成果报批建设项目用地用海有关事宜的函》（自然资办函〔2022〕2072号）</w:t>
            </w:r>
            <w:r>
              <w:rPr>
                <w:rFonts w:hint="eastAsia" w:cs="Times New Roman"/>
                <w:color w:val="auto"/>
                <w:kern w:val="2"/>
                <w:sz w:val="24"/>
                <w:szCs w:val="24"/>
                <w:highlight w:val="none"/>
                <w:lang w:val="en-US" w:eastAsia="zh-CN" w:bidi="ar-SA"/>
              </w:rPr>
              <w:t>及</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sz w:val="24"/>
                <w:lang w:eastAsia="zh-CN"/>
              </w:rPr>
              <w:t>虎林市双硕农业科技有限公司粮食烘干建设项目</w:t>
            </w:r>
            <w:r>
              <w:rPr>
                <w:rFonts w:hint="default" w:ascii="Times New Roman" w:hAnsi="Times New Roman" w:eastAsia="宋体" w:cs="Times New Roman"/>
                <w:color w:val="auto"/>
                <w:kern w:val="0"/>
                <w:sz w:val="24"/>
                <w:szCs w:val="24"/>
                <w:lang w:val="en-US" w:eastAsia="zh-CN" w:bidi="ar"/>
              </w:rPr>
              <w:t>态环境分区管控分析报告</w:t>
            </w:r>
            <w:r>
              <w:rPr>
                <w:rFonts w:hint="default" w:ascii="Times New Roman" w:hAnsi="Times New Roman" w:eastAsia="宋体" w:cs="Times New Roman"/>
                <w:color w:val="auto"/>
                <w:kern w:val="2"/>
                <w:sz w:val="24"/>
                <w:szCs w:val="24"/>
                <w:highlight w:val="none"/>
                <w:lang w:val="en-US" w:eastAsia="zh-CN" w:bidi="ar-SA"/>
              </w:rPr>
              <w:t>》本项目所在区域内无自然保护区、风景名胜区、水源地保护区、野生动植物保护区及重要湿地分布，本项目选址不在特殊重要生态功能区域内，本项目不占用、不涉及生态红线。</w:t>
            </w:r>
          </w:p>
          <w:p w14:paraId="27A66C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因此项目建设符合生态保护红线要求。</w:t>
            </w:r>
          </w:p>
          <w:p w14:paraId="35813059">
            <w:pPr>
              <w:spacing w:line="360" w:lineRule="auto"/>
              <w:ind w:firstLine="480" w:firstLineChars="200"/>
              <w:rPr>
                <w:rFonts w:hint="default" w:ascii="Times New Roman" w:hAnsi="Times New Roman" w:cs="Times New Roman"/>
                <w:color w:val="auto"/>
                <w:kern w:val="0"/>
                <w:sz w:val="24"/>
                <w:lang w:bidi="zh-CN"/>
              </w:rPr>
            </w:pPr>
            <w:r>
              <w:rPr>
                <w:rFonts w:hint="default" w:ascii="Times New Roman" w:hAnsi="Times New Roman" w:cs="Times New Roman"/>
                <w:color w:val="auto"/>
                <w:kern w:val="0"/>
                <w:sz w:val="24"/>
                <w:lang w:bidi="zh-CN"/>
              </w:rPr>
              <w:t>（2）环境质量底线</w:t>
            </w:r>
          </w:p>
          <w:p w14:paraId="32AE33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Regular" w:hAnsi="Times New Roman Regular" w:cs="Times New Roman Regular"/>
                <w:snapToGrid w:val="0"/>
                <w:color w:val="auto"/>
                <w:kern w:val="0"/>
                <w:sz w:val="24"/>
                <w:szCs w:val="24"/>
              </w:rPr>
            </w:pPr>
            <w:r>
              <w:rPr>
                <w:color w:val="auto"/>
                <w:sz w:val="24"/>
                <w:szCs w:val="24"/>
                <w:lang w:val="en-US"/>
              </w:rPr>
              <w:t>根据</w:t>
            </w:r>
            <w:r>
              <w:rPr>
                <w:rFonts w:hint="default" w:ascii="Times New Roman Regular" w:hAnsi="Times New Roman Regular" w:cs="Times New Roman Regular"/>
                <w:snapToGrid w:val="0"/>
                <w:color w:val="auto"/>
                <w:kern w:val="0"/>
                <w:sz w:val="24"/>
                <w:szCs w:val="24"/>
                <w:lang w:val="en-US"/>
              </w:rPr>
              <w:t>《202</w:t>
            </w:r>
            <w:r>
              <w:rPr>
                <w:rFonts w:hint="eastAsia" w:ascii="Times New Roman Regular" w:hAnsi="Times New Roman Regular" w:cs="Times New Roman Regular"/>
                <w:snapToGrid w:val="0"/>
                <w:color w:val="auto"/>
                <w:kern w:val="0"/>
                <w:sz w:val="24"/>
                <w:szCs w:val="24"/>
                <w:lang w:val="en-US" w:eastAsia="zh-CN"/>
              </w:rPr>
              <w:t>3</w:t>
            </w:r>
            <w:r>
              <w:rPr>
                <w:rFonts w:hint="default" w:ascii="Times New Roman Regular" w:hAnsi="Times New Roman Regular" w:cs="Times New Roman Regular"/>
                <w:snapToGrid w:val="0"/>
                <w:color w:val="auto"/>
                <w:kern w:val="0"/>
                <w:sz w:val="24"/>
                <w:szCs w:val="24"/>
                <w:lang w:val="en-US"/>
              </w:rPr>
              <w:t>年黑龙江省生态环境质量状况》</w:t>
            </w:r>
            <w:r>
              <w:rPr>
                <w:rFonts w:ascii="Times New Roman Regular" w:hAnsi="Times New Roman Regular" w:cs="Times New Roman Regular"/>
                <w:snapToGrid w:val="0"/>
                <w:color w:val="auto"/>
                <w:kern w:val="0"/>
                <w:sz w:val="24"/>
                <w:szCs w:val="24"/>
                <w:lang w:val="en-US"/>
              </w:rPr>
              <w:t>，</w:t>
            </w:r>
            <w:r>
              <w:rPr>
                <w:rFonts w:hint="default" w:ascii="Times New Roman Regular" w:hAnsi="Times New Roman Regular" w:cs="Times New Roman Regular"/>
                <w:snapToGrid w:val="0"/>
                <w:color w:val="auto"/>
                <w:kern w:val="0"/>
                <w:sz w:val="24"/>
                <w:szCs w:val="24"/>
              </w:rPr>
              <w:t>鸡西市202</w:t>
            </w:r>
            <w:r>
              <w:rPr>
                <w:rFonts w:hint="eastAsia" w:ascii="Times New Roman Regular" w:hAnsi="Times New Roman Regular" w:cs="Times New Roman Regular"/>
                <w:snapToGrid w:val="0"/>
                <w:color w:val="auto"/>
                <w:kern w:val="0"/>
                <w:sz w:val="24"/>
                <w:szCs w:val="24"/>
                <w:lang w:val="en-US" w:eastAsia="zh-CN"/>
              </w:rPr>
              <w:t>3</w:t>
            </w:r>
            <w:r>
              <w:rPr>
                <w:rFonts w:hint="default" w:ascii="Times New Roman Regular" w:hAnsi="Times New Roman Regular" w:cs="Times New Roman Regular"/>
                <w:snapToGrid w:val="0"/>
                <w:color w:val="auto"/>
                <w:kern w:val="0"/>
                <w:sz w:val="24"/>
                <w:szCs w:val="24"/>
              </w:rPr>
              <w:t>年PM</w:t>
            </w:r>
            <w:r>
              <w:rPr>
                <w:rFonts w:hint="default" w:ascii="Times New Roman Regular" w:hAnsi="Times New Roman Regular" w:cs="Times New Roman Regular"/>
                <w:snapToGrid w:val="0"/>
                <w:color w:val="auto"/>
                <w:kern w:val="0"/>
                <w:sz w:val="24"/>
                <w:szCs w:val="24"/>
                <w:vertAlign w:val="subscript"/>
              </w:rPr>
              <w:t>2.5</w:t>
            </w:r>
            <w:r>
              <w:rPr>
                <w:rFonts w:hint="default" w:ascii="Times New Roman Regular" w:hAnsi="Times New Roman Regular" w:cs="Times New Roman Regular"/>
                <w:snapToGrid w:val="0"/>
                <w:color w:val="auto"/>
                <w:kern w:val="0"/>
                <w:sz w:val="24"/>
                <w:szCs w:val="24"/>
              </w:rPr>
              <w:t>、PM</w:t>
            </w:r>
            <w:r>
              <w:rPr>
                <w:rFonts w:hint="default" w:ascii="Times New Roman Regular" w:hAnsi="Times New Roman Regular" w:cs="Times New Roman Regular"/>
                <w:snapToGrid w:val="0"/>
                <w:color w:val="auto"/>
                <w:kern w:val="0"/>
                <w:sz w:val="24"/>
                <w:szCs w:val="24"/>
                <w:vertAlign w:val="subscript"/>
              </w:rPr>
              <w:t>10</w:t>
            </w:r>
            <w:r>
              <w:rPr>
                <w:rFonts w:hint="default" w:ascii="Times New Roman Regular" w:hAnsi="Times New Roman Regular" w:cs="Times New Roman Regular"/>
                <w:snapToGrid w:val="0"/>
                <w:color w:val="auto"/>
                <w:kern w:val="0"/>
                <w:sz w:val="24"/>
                <w:szCs w:val="24"/>
              </w:rPr>
              <w:t>、SO</w:t>
            </w:r>
            <w:r>
              <w:rPr>
                <w:rFonts w:hint="default" w:ascii="Times New Roman Regular" w:hAnsi="Times New Roman Regular" w:cs="Times New Roman Regular"/>
                <w:snapToGrid w:val="0"/>
                <w:color w:val="auto"/>
                <w:kern w:val="0"/>
                <w:sz w:val="24"/>
                <w:szCs w:val="24"/>
                <w:vertAlign w:val="subscript"/>
              </w:rPr>
              <w:t>2</w:t>
            </w:r>
            <w:r>
              <w:rPr>
                <w:rFonts w:hint="default" w:ascii="Times New Roman Regular" w:hAnsi="Times New Roman Regular" w:cs="Times New Roman Regular"/>
                <w:snapToGrid w:val="0"/>
                <w:color w:val="auto"/>
                <w:kern w:val="0"/>
                <w:sz w:val="24"/>
                <w:szCs w:val="24"/>
              </w:rPr>
              <w:t>、NO</w:t>
            </w:r>
            <w:r>
              <w:rPr>
                <w:rFonts w:hint="default" w:ascii="Times New Roman Regular" w:hAnsi="Times New Roman Regular" w:cs="Times New Roman Regular"/>
                <w:snapToGrid w:val="0"/>
                <w:color w:val="auto"/>
                <w:kern w:val="0"/>
                <w:sz w:val="24"/>
                <w:szCs w:val="24"/>
                <w:vertAlign w:val="subscript"/>
              </w:rPr>
              <w:t>2</w:t>
            </w:r>
            <w:r>
              <w:rPr>
                <w:rFonts w:hint="default" w:ascii="Times New Roman Regular" w:hAnsi="Times New Roman Regular" w:cs="Times New Roman Regular"/>
                <w:snapToGrid w:val="0"/>
                <w:color w:val="auto"/>
                <w:kern w:val="0"/>
                <w:sz w:val="24"/>
                <w:szCs w:val="24"/>
              </w:rPr>
              <w:t>年均浓度分别为</w:t>
            </w:r>
            <w:r>
              <w:rPr>
                <w:rFonts w:hint="eastAsia" w:ascii="Times New Roman Regular" w:hAnsi="Times New Roman Regular" w:cs="Times New Roman Regular"/>
                <w:snapToGrid w:val="0"/>
                <w:color w:val="auto"/>
                <w:kern w:val="0"/>
                <w:sz w:val="24"/>
                <w:szCs w:val="24"/>
                <w:lang w:val="en-US" w:eastAsia="zh-CN"/>
              </w:rPr>
              <w:t>28</w:t>
            </w:r>
            <w:r>
              <w:rPr>
                <w:rFonts w:hint="default" w:ascii="Times New Roman Regular" w:hAnsi="Times New Roman Regular" w:cs="Times New Roman Regular"/>
                <w:snapToGrid w:val="0"/>
                <w:color w:val="auto"/>
                <w:kern w:val="0"/>
                <w:sz w:val="24"/>
                <w:szCs w:val="24"/>
              </w:rPr>
              <w:t>ug/m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w:t>
            </w:r>
            <w:r>
              <w:rPr>
                <w:rFonts w:hint="eastAsia" w:ascii="Times New Roman Regular" w:hAnsi="Times New Roman Regular" w:cs="Times New Roman Regular"/>
                <w:snapToGrid w:val="0"/>
                <w:color w:val="auto"/>
                <w:kern w:val="0"/>
                <w:sz w:val="24"/>
                <w:szCs w:val="24"/>
                <w:lang w:val="en-US" w:eastAsia="zh-CN"/>
              </w:rPr>
              <w:t>50</w:t>
            </w:r>
            <w:r>
              <w:rPr>
                <w:rFonts w:hint="default" w:ascii="Times New Roman Regular" w:hAnsi="Times New Roman Regular" w:cs="Times New Roman Regular"/>
                <w:snapToGrid w:val="0"/>
                <w:color w:val="auto"/>
                <w:kern w:val="0"/>
                <w:sz w:val="24"/>
                <w:szCs w:val="24"/>
              </w:rPr>
              <w:t>ug/m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w:t>
            </w:r>
            <w:r>
              <w:rPr>
                <w:rFonts w:hint="eastAsia" w:ascii="Times New Roman Regular" w:hAnsi="Times New Roman Regular" w:cs="Times New Roman Regular"/>
                <w:snapToGrid w:val="0"/>
                <w:color w:val="auto"/>
                <w:kern w:val="0"/>
                <w:sz w:val="24"/>
                <w:szCs w:val="24"/>
                <w:lang w:val="en-US" w:eastAsia="zh-CN"/>
              </w:rPr>
              <w:t>8</w:t>
            </w:r>
            <w:r>
              <w:rPr>
                <w:rFonts w:hint="default" w:ascii="Times New Roman Regular" w:hAnsi="Times New Roman Regular" w:cs="Times New Roman Regular"/>
                <w:snapToGrid w:val="0"/>
                <w:color w:val="auto"/>
                <w:kern w:val="0"/>
                <w:sz w:val="24"/>
                <w:szCs w:val="24"/>
              </w:rPr>
              <w:t>ug/m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w:t>
            </w:r>
            <w:r>
              <w:rPr>
                <w:rFonts w:hint="eastAsia" w:ascii="Times New Roman Regular" w:hAnsi="Times New Roman Regular" w:cs="Times New Roman Regular"/>
                <w:snapToGrid w:val="0"/>
                <w:color w:val="auto"/>
                <w:kern w:val="0"/>
                <w:sz w:val="24"/>
                <w:szCs w:val="24"/>
                <w:lang w:val="en-US" w:eastAsia="zh-CN"/>
              </w:rPr>
              <w:t>20</w:t>
            </w:r>
            <w:r>
              <w:rPr>
                <w:rFonts w:hint="default" w:ascii="Times New Roman Regular" w:hAnsi="Times New Roman Regular" w:cs="Times New Roman Regular"/>
                <w:snapToGrid w:val="0"/>
                <w:color w:val="auto"/>
                <w:kern w:val="0"/>
                <w:sz w:val="24"/>
                <w:szCs w:val="24"/>
              </w:rPr>
              <w:t>ug/m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；CO 24小时平均第95百分位数为</w:t>
            </w:r>
            <w:r>
              <w:rPr>
                <w:rFonts w:hint="eastAsia" w:ascii="Times New Roman Regular" w:hAnsi="Times New Roman Regular" w:cs="Times New Roman Regular"/>
                <w:snapToGrid w:val="0"/>
                <w:color w:val="auto"/>
                <w:kern w:val="0"/>
                <w:sz w:val="24"/>
                <w:szCs w:val="24"/>
                <w:lang w:val="en-US" w:eastAsia="zh-CN"/>
              </w:rPr>
              <w:t>1.0</w:t>
            </w:r>
            <w:r>
              <w:rPr>
                <w:rFonts w:hint="default" w:ascii="Times New Roman Regular" w:hAnsi="Times New Roman Regular" w:cs="Times New Roman Regular"/>
                <w:snapToGrid w:val="0"/>
                <w:color w:val="auto"/>
                <w:kern w:val="0"/>
                <w:sz w:val="24"/>
                <w:szCs w:val="24"/>
              </w:rPr>
              <w:t>mg/m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，O</w:t>
            </w:r>
            <w:r>
              <w:rPr>
                <w:rFonts w:hint="default" w:ascii="Times New Roman Regular" w:hAnsi="Times New Roman Regular" w:cs="Times New Roman Regular"/>
                <w:snapToGrid w:val="0"/>
                <w:color w:val="auto"/>
                <w:kern w:val="0"/>
                <w:sz w:val="24"/>
                <w:szCs w:val="24"/>
                <w:vertAlign w:val="subscript"/>
              </w:rPr>
              <w:t>3</w:t>
            </w:r>
            <w:r>
              <w:rPr>
                <w:rFonts w:hint="default" w:ascii="Times New Roman Regular" w:hAnsi="Times New Roman Regular" w:cs="Times New Roman Regular"/>
                <w:snapToGrid w:val="0"/>
                <w:color w:val="auto"/>
                <w:kern w:val="0"/>
                <w:sz w:val="24"/>
                <w:szCs w:val="24"/>
              </w:rPr>
              <w:t>日最大8小时平均第90百分位数为</w:t>
            </w:r>
            <w:r>
              <w:rPr>
                <w:rFonts w:hint="eastAsia" w:ascii="Times New Roman Regular" w:hAnsi="Times New Roman Regular" w:cs="Times New Roman Regular"/>
                <w:snapToGrid w:val="0"/>
                <w:color w:val="auto"/>
                <w:kern w:val="0"/>
                <w:sz w:val="24"/>
                <w:szCs w:val="24"/>
                <w:lang w:val="en-US" w:eastAsia="zh-CN"/>
              </w:rPr>
              <w:t>98</w:t>
            </w:r>
            <w:r>
              <w:rPr>
                <w:rFonts w:hint="default" w:ascii="Times New Roman Regular" w:hAnsi="Times New Roman Regular" w:cs="Times New Roman Regular"/>
                <w:snapToGrid w:val="0"/>
                <w:color w:val="auto"/>
                <w:kern w:val="0"/>
                <w:sz w:val="24"/>
                <w:szCs w:val="24"/>
              </w:rPr>
              <w:t>ug/m</w:t>
            </w:r>
            <w:r>
              <w:rPr>
                <w:rFonts w:hint="default" w:ascii="Times New Roman Regular" w:hAnsi="Times New Roman Regular" w:cs="Times New Roman Regular"/>
                <w:snapToGrid w:val="0"/>
                <w:color w:val="auto"/>
                <w:kern w:val="0"/>
                <w:sz w:val="24"/>
                <w:szCs w:val="24"/>
                <w:vertAlign w:val="superscript"/>
              </w:rPr>
              <w:t>3</w:t>
            </w:r>
            <w:r>
              <w:rPr>
                <w:rFonts w:hint="default" w:ascii="Times New Roman Regular" w:hAnsi="Times New Roman Regular" w:cs="Times New Roman Regular"/>
                <w:snapToGrid w:val="0"/>
                <w:color w:val="auto"/>
                <w:kern w:val="0"/>
                <w:sz w:val="24"/>
                <w:szCs w:val="24"/>
              </w:rPr>
              <w:t>；各污染物平均浓度均优于《环境空气质量标准》（GB3095-2012）及其修改单中二级标准限值</w:t>
            </w:r>
            <w:r>
              <w:rPr>
                <w:rFonts w:ascii="Times New Roman Regular" w:hAnsi="Times New Roman Regular" w:cs="Times New Roman Regular"/>
                <w:snapToGrid w:val="0"/>
                <w:color w:val="auto"/>
                <w:kern w:val="0"/>
                <w:sz w:val="24"/>
                <w:szCs w:val="24"/>
              </w:rPr>
              <w:t>，</w:t>
            </w:r>
            <w:r>
              <w:rPr>
                <w:rFonts w:hint="default" w:ascii="Times New Roman Regular" w:hAnsi="Times New Roman Regular" w:cs="Times New Roman Regular"/>
                <w:snapToGrid w:val="0"/>
                <w:color w:val="auto"/>
                <w:kern w:val="0"/>
                <w:sz w:val="24"/>
                <w:szCs w:val="24"/>
              </w:rPr>
              <w:t>判定结果为达标区。</w:t>
            </w:r>
          </w:p>
          <w:p w14:paraId="10993A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Regular" w:hAnsi="Times New Roman Regular" w:eastAsia="宋体" w:cs="Times New Roman Regular"/>
                <w:snapToGrid w:val="0"/>
                <w:color w:val="auto"/>
                <w:kern w:val="0"/>
                <w:sz w:val="24"/>
                <w:szCs w:val="24"/>
              </w:rPr>
            </w:pPr>
            <w:r>
              <w:rPr>
                <w:rFonts w:hint="default" w:ascii="Times New Roman Regular" w:hAnsi="Times New Roman Regular" w:eastAsia="宋体" w:cs="Times New Roman Regular"/>
                <w:snapToGrid w:val="0"/>
                <w:color w:val="auto"/>
                <w:kern w:val="0"/>
                <w:sz w:val="24"/>
                <w:szCs w:val="24"/>
              </w:rPr>
              <w:t>本工程场址所在区域最近的地表水体为穆棱河，根据《全国重要江河湖泊水功能区划</w:t>
            </w:r>
            <w:r>
              <w:rPr>
                <w:rFonts w:hint="eastAsia"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2011-2030</w:t>
            </w:r>
            <w:r>
              <w:rPr>
                <w:rFonts w:hint="eastAsia"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》，项目所在区域穆棱河段</w:t>
            </w:r>
            <w:r>
              <w:rPr>
                <w:rFonts w:hint="default"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lang w:val="en-US" w:eastAsia="zh-CN"/>
              </w:rPr>
              <w:t>凯北站</w:t>
            </w:r>
            <w:r>
              <w:rPr>
                <w:rFonts w:hint="eastAsia" w:ascii="Times New Roman Regular" w:hAnsi="Times New Roman Regular" w:eastAsia="宋体" w:cs="Times New Roman Regular"/>
                <w:snapToGrid w:val="0"/>
                <w:color w:val="auto"/>
                <w:kern w:val="0"/>
                <w:sz w:val="24"/>
                <w:szCs w:val="24"/>
                <w:lang w:val="en-US" w:eastAsia="zh-CN"/>
              </w:rPr>
              <w:t>-东仁义屯</w:t>
            </w:r>
            <w:r>
              <w:rPr>
                <w:rFonts w:hint="default"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所在水功能区水质标准为</w:t>
            </w:r>
            <w:r>
              <w:rPr>
                <w:rFonts w:hint="default" w:ascii="Times New Roman Regular" w:hAnsi="Times New Roman Regular" w:eastAsia="宋体" w:cs="Times New Roman Regular"/>
                <w:snapToGrid w:val="0"/>
                <w:color w:val="auto"/>
                <w:kern w:val="0"/>
                <w:sz w:val="24"/>
                <w:szCs w:val="24"/>
                <w:lang w:val="en-US" w:eastAsia="zh-CN"/>
              </w:rPr>
              <w:fldChar w:fldCharType="begin"/>
            </w:r>
            <w:r>
              <w:rPr>
                <w:rFonts w:hint="default" w:ascii="Times New Roman Regular" w:hAnsi="Times New Roman Regular" w:eastAsia="宋体" w:cs="Times New Roman Regular"/>
                <w:snapToGrid w:val="0"/>
                <w:color w:val="auto"/>
                <w:kern w:val="0"/>
                <w:sz w:val="24"/>
                <w:szCs w:val="24"/>
                <w:lang w:val="en-US" w:eastAsia="zh-CN"/>
              </w:rPr>
              <w:instrText xml:space="preserve"> = 3 \* ROMAN </w:instrText>
            </w:r>
            <w:r>
              <w:rPr>
                <w:rFonts w:hint="default" w:ascii="Times New Roman Regular" w:hAnsi="Times New Roman Regular" w:eastAsia="宋体" w:cs="Times New Roman Regular"/>
                <w:snapToGrid w:val="0"/>
                <w:color w:val="auto"/>
                <w:kern w:val="0"/>
                <w:sz w:val="24"/>
                <w:szCs w:val="24"/>
                <w:lang w:val="en-US" w:eastAsia="zh-CN"/>
              </w:rPr>
              <w:fldChar w:fldCharType="separate"/>
            </w:r>
            <w:r>
              <w:rPr>
                <w:rFonts w:hint="default" w:ascii="Times New Roman Regular" w:hAnsi="Times New Roman Regular" w:eastAsia="宋体" w:cs="Times New Roman Regular"/>
                <w:snapToGrid w:val="0"/>
                <w:color w:val="auto"/>
                <w:kern w:val="0"/>
                <w:sz w:val="24"/>
                <w:szCs w:val="24"/>
                <w:lang w:val="en-US" w:eastAsia="zh-CN"/>
              </w:rPr>
              <w:t>III</w:t>
            </w:r>
            <w:r>
              <w:rPr>
                <w:rFonts w:hint="default" w:ascii="Times New Roman Regular" w:hAnsi="Times New Roman Regular" w:eastAsia="宋体" w:cs="Times New Roman Regular"/>
                <w:snapToGrid w:val="0"/>
                <w:color w:val="auto"/>
                <w:kern w:val="0"/>
                <w:sz w:val="24"/>
                <w:szCs w:val="24"/>
                <w:lang w:val="en-US" w:eastAsia="zh-CN"/>
              </w:rPr>
              <w:fldChar w:fldCharType="end"/>
            </w:r>
            <w:r>
              <w:rPr>
                <w:rFonts w:hint="default" w:ascii="Times New Roman Regular" w:hAnsi="Times New Roman Regular" w:eastAsia="宋体" w:cs="Times New Roman Regular"/>
                <w:snapToGrid w:val="0"/>
                <w:color w:val="auto"/>
                <w:kern w:val="0"/>
                <w:sz w:val="24"/>
                <w:szCs w:val="24"/>
              </w:rPr>
              <w:t>类，执行《地表水环境质量标准》（GB3838-2002）</w:t>
            </w:r>
            <w:r>
              <w:rPr>
                <w:rFonts w:hint="default" w:ascii="Times New Roman Regular" w:hAnsi="Times New Roman Regular" w:eastAsia="宋体" w:cs="Times New Roman Regular"/>
                <w:snapToGrid w:val="0"/>
                <w:color w:val="auto"/>
                <w:kern w:val="0"/>
                <w:sz w:val="24"/>
                <w:szCs w:val="24"/>
                <w:lang w:val="en-US" w:eastAsia="zh-CN"/>
              </w:rPr>
              <w:fldChar w:fldCharType="begin"/>
            </w:r>
            <w:r>
              <w:rPr>
                <w:rFonts w:hint="default" w:ascii="Times New Roman Regular" w:hAnsi="Times New Roman Regular" w:eastAsia="宋体" w:cs="Times New Roman Regular"/>
                <w:snapToGrid w:val="0"/>
                <w:color w:val="auto"/>
                <w:kern w:val="0"/>
                <w:sz w:val="24"/>
                <w:szCs w:val="24"/>
                <w:lang w:val="en-US" w:eastAsia="zh-CN"/>
              </w:rPr>
              <w:instrText xml:space="preserve"> = 3 \* ROMAN </w:instrText>
            </w:r>
            <w:r>
              <w:rPr>
                <w:rFonts w:hint="default" w:ascii="Times New Roman Regular" w:hAnsi="Times New Roman Regular" w:eastAsia="宋体" w:cs="Times New Roman Regular"/>
                <w:snapToGrid w:val="0"/>
                <w:color w:val="auto"/>
                <w:kern w:val="0"/>
                <w:sz w:val="24"/>
                <w:szCs w:val="24"/>
                <w:lang w:val="en-US" w:eastAsia="zh-CN"/>
              </w:rPr>
              <w:fldChar w:fldCharType="separate"/>
            </w:r>
            <w:r>
              <w:rPr>
                <w:rFonts w:hint="default" w:ascii="Times New Roman Regular" w:hAnsi="Times New Roman Regular" w:eastAsia="宋体" w:cs="Times New Roman Regular"/>
                <w:snapToGrid w:val="0"/>
                <w:color w:val="auto"/>
                <w:kern w:val="0"/>
                <w:sz w:val="24"/>
                <w:szCs w:val="24"/>
                <w:lang w:val="en-US" w:eastAsia="zh-CN"/>
              </w:rPr>
              <w:t>III</w:t>
            </w:r>
            <w:r>
              <w:rPr>
                <w:rFonts w:hint="default" w:ascii="Times New Roman Regular" w:hAnsi="Times New Roman Regular" w:eastAsia="宋体" w:cs="Times New Roman Regular"/>
                <w:snapToGrid w:val="0"/>
                <w:color w:val="auto"/>
                <w:kern w:val="0"/>
                <w:sz w:val="24"/>
                <w:szCs w:val="24"/>
                <w:lang w:val="en-US" w:eastAsia="zh-CN"/>
              </w:rPr>
              <w:fldChar w:fldCharType="end"/>
            </w:r>
            <w:r>
              <w:rPr>
                <w:rFonts w:hint="default" w:ascii="Times New Roman Regular" w:hAnsi="Times New Roman Regular" w:eastAsia="宋体" w:cs="Times New Roman Regular"/>
                <w:snapToGrid w:val="0"/>
                <w:color w:val="auto"/>
                <w:kern w:val="0"/>
                <w:sz w:val="24"/>
                <w:szCs w:val="24"/>
              </w:rPr>
              <w:t>类标准。</w:t>
            </w:r>
          </w:p>
          <w:p w14:paraId="10D307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Regular" w:hAnsi="Times New Roman Regular" w:eastAsia="宋体" w:cs="Times New Roman Regular"/>
                <w:snapToGrid w:val="0"/>
                <w:color w:val="auto"/>
                <w:kern w:val="0"/>
                <w:sz w:val="24"/>
                <w:szCs w:val="24"/>
              </w:rPr>
            </w:pPr>
            <w:r>
              <w:rPr>
                <w:rFonts w:hint="eastAsia" w:ascii="Times New Roman Regular" w:hAnsi="Times New Roman Regular" w:eastAsia="宋体" w:cs="Times New Roman Regular"/>
                <w:snapToGrid w:val="0"/>
                <w:color w:val="auto"/>
                <w:kern w:val="0"/>
                <w:sz w:val="24"/>
                <w:szCs w:val="24"/>
                <w:lang w:val="en-US" w:eastAsia="zh-CN"/>
              </w:rPr>
              <w:t>根据鸡西市生态环境局网站公布的《2023年1-12月地表水国控考核断面水质信息公开》，断面全年达到III类水质类别标准。</w:t>
            </w:r>
          </w:p>
          <w:p w14:paraId="49583D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根据《202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rPr>
              <w:t>年黑龙江省生态环境状况》，</w:t>
            </w:r>
            <w:r>
              <w:rPr>
                <w:rFonts w:hint="default"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rPr>
              <w:t>鸡西市</w:t>
            </w:r>
            <w:r>
              <w:rPr>
                <w:rFonts w:hint="default" w:ascii="Times New Roman" w:hAnsi="Times New Roman" w:eastAsia="宋体" w:cs="Times New Roman"/>
                <w:color w:val="auto"/>
                <w:sz w:val="24"/>
                <w:szCs w:val="24"/>
                <w:highlight w:val="none"/>
              </w:rPr>
              <w:t>区域环境噪声昼间平均等效声级为</w:t>
            </w:r>
            <w:r>
              <w:rPr>
                <w:rFonts w:hint="eastAsia" w:cs="Times New Roman"/>
                <w:color w:val="auto"/>
                <w:sz w:val="24"/>
                <w:szCs w:val="24"/>
                <w:highlight w:val="none"/>
                <w:lang w:val="en-US" w:eastAsia="zh-CN"/>
              </w:rPr>
              <w:t>54.9</w:t>
            </w:r>
            <w:r>
              <w:rPr>
                <w:rFonts w:hint="default" w:ascii="Times New Roman" w:hAnsi="Times New Roman" w:eastAsia="宋体" w:cs="Times New Roman"/>
                <w:color w:val="auto"/>
                <w:sz w:val="24"/>
                <w:szCs w:val="24"/>
                <w:highlight w:val="none"/>
              </w:rPr>
              <w:t>分贝，</w:t>
            </w:r>
            <w:r>
              <w:rPr>
                <w:rFonts w:hint="eastAsia" w:ascii="Times New Roman" w:hAnsi="Times New Roman" w:eastAsia="宋体" w:cs="Times New Roman"/>
                <w:color w:val="auto"/>
                <w:sz w:val="24"/>
                <w:szCs w:val="24"/>
                <w:highlight w:val="none"/>
              </w:rPr>
              <w:t>声环境质量</w:t>
            </w:r>
            <w:r>
              <w:rPr>
                <w:rFonts w:hint="default" w:ascii="Times New Roman" w:hAnsi="Times New Roman" w:eastAsia="宋体" w:cs="Times New Roman"/>
                <w:color w:val="auto"/>
                <w:sz w:val="24"/>
                <w:szCs w:val="24"/>
                <w:highlight w:val="none"/>
              </w:rPr>
              <w:t>等级为二级（较好）。</w:t>
            </w:r>
            <w:r>
              <w:rPr>
                <w:rFonts w:hint="eastAsia" w:ascii="Times New Roman" w:hAnsi="Times New Roman" w:eastAsia="宋体" w:cs="Times New Roman"/>
                <w:color w:val="auto"/>
                <w:sz w:val="24"/>
                <w:szCs w:val="24"/>
                <w:highlight w:val="none"/>
                <w:lang w:val="en-US" w:eastAsia="zh-CN"/>
              </w:rPr>
              <w:t xml:space="preserve">  </w:t>
            </w:r>
          </w:p>
          <w:p w14:paraId="2D2053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产生的废水、废气、噪声、固体废物在采取相关环保措施后均可达到相关排放标准的要求。采取本环评提出的各项污染防治措施后，可确保污染物达标排放，项目排放的污染物不会对区域环境质量底线造成冲击，对环境影响较小。因此本项目符合环境质量底线要求。</w:t>
            </w:r>
          </w:p>
          <w:p w14:paraId="3594C9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资源利用上限</w:t>
            </w:r>
            <w:r>
              <w:rPr>
                <w:rFonts w:hint="default" w:ascii="Times New Roman" w:hAnsi="Times New Roman" w:cs="Times New Roman"/>
                <w:color w:val="auto"/>
                <w:sz w:val="24"/>
                <w:highlight w:val="none"/>
                <w:lang w:eastAsia="zh-CN"/>
              </w:rPr>
              <w:t>符合性</w:t>
            </w:r>
          </w:p>
          <w:p w14:paraId="7A4184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本项目为粮食烘干项目，项目用地为仓储用地，本项目厂区布局合理，不占用黑土地和永久基本农田，</w:t>
            </w:r>
            <w:r>
              <w:rPr>
                <w:rFonts w:hint="default" w:ascii="Times New Roman" w:hAnsi="Times New Roman" w:cs="Times New Roman"/>
                <w:color w:val="auto"/>
                <w:sz w:val="24"/>
                <w:highlight w:val="none"/>
              </w:rPr>
              <w:t>本项目用地符合区域土地利用总体规划要求，亦不会达到土地资源利用上线。</w:t>
            </w:r>
          </w:p>
          <w:p w14:paraId="3D9A41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eastAsia="zh-CN"/>
              </w:rPr>
              <w:t>本项目用水为生活用水，</w:t>
            </w:r>
            <w:r>
              <w:rPr>
                <w:rFonts w:hint="eastAsia" w:ascii="Times New Roman" w:hAnsi="Times New Roman" w:cs="Times New Roman"/>
                <w:color w:val="auto"/>
                <w:sz w:val="24"/>
                <w:highlight w:val="none"/>
                <w:lang w:val="en-US" w:eastAsia="zh-CN"/>
              </w:rPr>
              <w:t>项目用水外购水提供</w:t>
            </w:r>
            <w:r>
              <w:rPr>
                <w:rFonts w:hint="eastAsia" w:ascii="Times New Roman" w:hAnsi="Times New Roman" w:cs="Times New Roman"/>
                <w:color w:val="auto"/>
                <w:sz w:val="24"/>
                <w:highlight w:val="none"/>
                <w:lang w:eastAsia="zh-CN"/>
              </w:rPr>
              <w:t>，项目不开采地下水。</w:t>
            </w:r>
            <w:r>
              <w:rPr>
                <w:rFonts w:hint="eastAsia" w:ascii="Times New Roman" w:hAnsi="Times New Roman" w:cs="Times New Roman"/>
                <w:color w:val="auto"/>
                <w:sz w:val="24"/>
                <w:highlight w:val="none"/>
                <w:lang w:val="en-US" w:eastAsia="zh-CN"/>
              </w:rPr>
              <w:t>本项目的生产不会突破水资源利用上线。</w:t>
            </w:r>
          </w:p>
          <w:p w14:paraId="50817300">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（4）生态</w:t>
            </w:r>
            <w:r>
              <w:rPr>
                <w:rFonts w:hint="default" w:ascii="Times New Roman" w:hAnsi="Times New Roman" w:eastAsia="宋体" w:cs="Times New Roman"/>
                <w:color w:val="auto"/>
                <w:sz w:val="24"/>
                <w:highlight w:val="none"/>
              </w:rPr>
              <w:t>环境准入清单符合性</w:t>
            </w:r>
          </w:p>
          <w:p w14:paraId="74C41A2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本项目位于</w:t>
            </w:r>
            <w:r>
              <w:rPr>
                <w:rFonts w:hint="eastAsia" w:ascii="Times New Roman" w:hAnsi="Times New Roman" w:eastAsia="宋体" w:cs="Times New Roman"/>
                <w:color w:val="auto"/>
                <w:sz w:val="24"/>
                <w:highlight w:val="none"/>
                <w:lang w:eastAsia="zh-CN"/>
              </w:rPr>
              <w:t>黑龙江省鸡西市虎林市宝东镇共乐村</w:t>
            </w:r>
            <w:r>
              <w:rPr>
                <w:rFonts w:hint="default" w:ascii="Times New Roman" w:hAnsi="Times New Roman" w:eastAsia="宋体" w:cs="Times New Roman"/>
                <w:color w:val="auto"/>
                <w:sz w:val="24"/>
                <w:highlight w:val="none"/>
              </w:rPr>
              <w:t>，根据《</w:t>
            </w:r>
            <w:r>
              <w:rPr>
                <w:rFonts w:hint="eastAsia" w:ascii="Times New Roman" w:hAnsi="Times New Roman" w:eastAsia="宋体" w:cs="Times New Roman"/>
                <w:color w:val="auto"/>
                <w:sz w:val="24"/>
                <w:highlight w:val="none"/>
              </w:rPr>
              <w:t>鸡</w:t>
            </w:r>
            <w:r>
              <w:rPr>
                <w:rFonts w:hint="default" w:ascii="Times New Roman" w:hAnsi="Times New Roman" w:eastAsia="宋体" w:cs="Times New Roman"/>
                <w:color w:val="auto"/>
                <w:sz w:val="24"/>
                <w:highlight w:val="none"/>
              </w:rPr>
              <w:t>西市人民政府关于实施“三线一单”生态环境分区管控的意见》（鸡政发〔2021〕7号文件）</w:t>
            </w:r>
            <w:r>
              <w:rPr>
                <w:rFonts w:hint="eastAsia" w:ascii="Times New Roman" w:hAnsi="Times New Roman" w:eastAsia="宋体" w:cs="Times New Roman"/>
                <w:color w:val="auto"/>
                <w:sz w:val="24"/>
                <w:highlight w:val="none"/>
                <w:lang w:eastAsia="zh-CN"/>
              </w:rPr>
              <w:t>鸡西</w:t>
            </w:r>
            <w:r>
              <w:rPr>
                <w:rFonts w:hint="default" w:ascii="Times New Roman" w:hAnsi="Times New Roman" w:eastAsia="宋体" w:cs="Times New Roman"/>
                <w:color w:val="auto"/>
                <w:sz w:val="24"/>
                <w:highlight w:val="none"/>
              </w:rPr>
              <w:t>市环境管控单元图</w:t>
            </w:r>
            <w:r>
              <w:rPr>
                <w:rFonts w:hint="eastAsia" w:ascii="Times New Roman" w:hAnsi="Times New Roman" w:eastAsia="宋体" w:cs="Times New Roman"/>
                <w:color w:val="auto"/>
                <w:sz w:val="24"/>
                <w:highlight w:val="none"/>
                <w:lang w:eastAsia="zh-CN"/>
              </w:rPr>
              <w:t>、《鸡西市生态环境准入清单》（</w:t>
            </w:r>
            <w:r>
              <w:rPr>
                <w:rFonts w:hint="eastAsia" w:ascii="Times New Roman" w:hAnsi="Times New Roman" w:eastAsia="宋体" w:cs="Times New Roman"/>
                <w:color w:val="auto"/>
                <w:sz w:val="24"/>
                <w:highlight w:val="none"/>
                <w:lang w:val="en-US" w:eastAsia="zh-CN"/>
              </w:rPr>
              <w:t>2023年版</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及</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sz w:val="24"/>
                <w:lang w:eastAsia="zh-CN"/>
              </w:rPr>
              <w:t>虎林市双硕农业科技有限公司粮食烘干建设项目</w:t>
            </w:r>
            <w:r>
              <w:rPr>
                <w:rFonts w:hint="default" w:ascii="Times New Roman" w:hAnsi="Times New Roman" w:eastAsia="宋体" w:cs="Times New Roman"/>
                <w:color w:val="auto"/>
                <w:kern w:val="0"/>
                <w:sz w:val="24"/>
                <w:szCs w:val="24"/>
                <w:lang w:val="en-US" w:eastAsia="zh-CN" w:bidi="ar"/>
              </w:rPr>
              <w:t>态环境分区管控分析报告</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highlight w:val="none"/>
              </w:rPr>
              <w:t>本项目属于</w:t>
            </w:r>
            <w:r>
              <w:rPr>
                <w:rFonts w:hint="eastAsia" w:ascii="Times New Roman" w:hAnsi="Times New Roman" w:eastAsia="宋体" w:cs="Times New Roman"/>
                <w:color w:val="auto"/>
                <w:sz w:val="24"/>
                <w:highlight w:val="none"/>
                <w:lang w:eastAsia="zh-CN"/>
              </w:rPr>
              <w:t>虎林市</w:t>
            </w:r>
            <w:r>
              <w:rPr>
                <w:rFonts w:hint="eastAsia" w:ascii="Times New Roman" w:hAnsi="Times New Roman" w:eastAsia="宋体" w:cs="Times New Roman"/>
                <w:color w:val="auto"/>
                <w:sz w:val="24"/>
                <w:highlight w:val="none"/>
                <w:lang w:val="en-US" w:eastAsia="zh-CN"/>
              </w:rPr>
              <w:t>水环境</w:t>
            </w:r>
            <w:r>
              <w:rPr>
                <w:rFonts w:hint="default" w:ascii="Times New Roman" w:hAnsi="Times New Roman" w:eastAsia="宋体" w:cs="Times New Roman"/>
                <w:color w:val="auto"/>
                <w:sz w:val="24"/>
                <w:highlight w:val="none"/>
                <w:lang w:val="en-US" w:eastAsia="zh-CN"/>
              </w:rPr>
              <w:t>农业污染重点管控区</w:t>
            </w:r>
            <w:r>
              <w:rPr>
                <w:rFonts w:hint="default" w:ascii="Times New Roman" w:hAnsi="Times New Roman" w:eastAsia="宋体" w:cs="Times New Roman"/>
                <w:color w:val="auto"/>
                <w:sz w:val="24"/>
                <w:highlight w:val="none"/>
                <w:lang w:eastAsia="zh-CN"/>
              </w:rPr>
              <w:t>重点管控单元</w:t>
            </w:r>
            <w:r>
              <w:rPr>
                <w:rFonts w:hint="default" w:ascii="Times New Roman" w:hAnsi="Times New Roman" w:eastAsia="宋体" w:cs="Times New Roman"/>
                <w:color w:val="auto"/>
                <w:sz w:val="24"/>
                <w:highlight w:val="none"/>
              </w:rPr>
              <w:t>（管控编码：ZH2303812000</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），项目所在区域属于</w:t>
            </w:r>
            <w:r>
              <w:rPr>
                <w:rFonts w:hint="default" w:ascii="Times New Roman" w:hAnsi="Times New Roman" w:eastAsia="宋体" w:cs="Times New Roman"/>
                <w:color w:val="auto"/>
                <w:sz w:val="24"/>
                <w:highlight w:val="none"/>
                <w:lang w:eastAsia="zh-CN"/>
              </w:rPr>
              <w:t>重点管控单元。</w:t>
            </w:r>
          </w:p>
          <w:p w14:paraId="14C3D492">
            <w:pPr>
              <w:spacing w:line="360" w:lineRule="auto"/>
              <w:ind w:firstLine="480" w:firstLineChars="200"/>
              <w:rPr>
                <w:color w:val="auto"/>
                <w:highlight w:val="none"/>
              </w:rPr>
            </w:pPr>
            <w:r>
              <w:rPr>
                <w:color w:val="auto"/>
                <w:kern w:val="0"/>
                <w:sz w:val="24"/>
                <w:highlight w:val="none"/>
                <w:lang w:bidi="zh-CN"/>
              </w:rPr>
              <w:t>本项目与</w:t>
            </w:r>
            <w:r>
              <w:rPr>
                <w:rFonts w:hint="eastAsia"/>
                <w:color w:val="auto"/>
                <w:kern w:val="0"/>
                <w:sz w:val="24"/>
                <w:highlight w:val="none"/>
                <w:lang w:bidi="zh-CN"/>
              </w:rPr>
              <w:t>鸡西市虎林市</w:t>
            </w:r>
            <w:r>
              <w:rPr>
                <w:color w:val="auto"/>
                <w:kern w:val="0"/>
                <w:sz w:val="24"/>
                <w:highlight w:val="none"/>
                <w:lang w:bidi="zh-CN"/>
              </w:rPr>
              <w:t>生态环境准入清单对照情况见下表。</w:t>
            </w:r>
          </w:p>
          <w:p w14:paraId="40DDFF46">
            <w:pPr>
              <w:autoSpaceDE w:val="0"/>
              <w:autoSpaceDN w:val="0"/>
              <w:ind w:firstLine="482" w:firstLineChars="200"/>
              <w:jc w:val="center"/>
              <w:rPr>
                <w:b/>
                <w:bCs/>
                <w:color w:val="auto"/>
                <w:kern w:val="0"/>
                <w:sz w:val="24"/>
                <w:highlight w:val="none"/>
              </w:rPr>
            </w:pPr>
            <w:r>
              <w:rPr>
                <w:b/>
                <w:bCs/>
                <w:color w:val="auto"/>
                <w:kern w:val="0"/>
                <w:sz w:val="24"/>
                <w:highlight w:val="none"/>
              </w:rPr>
              <w:t>表</w:t>
            </w:r>
            <w:r>
              <w:rPr>
                <w:rFonts w:hint="eastAsia"/>
                <w:b/>
                <w:bCs/>
                <w:color w:val="auto"/>
                <w:kern w:val="0"/>
                <w:sz w:val="24"/>
                <w:highlight w:val="none"/>
              </w:rPr>
              <w:t>1-</w:t>
            </w:r>
            <w:r>
              <w:rPr>
                <w:rFonts w:hint="eastAsia"/>
                <w:b/>
                <w:bCs/>
                <w:color w:val="auto"/>
                <w:kern w:val="0"/>
                <w:sz w:val="24"/>
                <w:highlight w:val="none"/>
                <w:lang w:val="en-US" w:eastAsia="zh-CN"/>
              </w:rPr>
              <w:t>2</w:t>
            </w:r>
            <w:r>
              <w:rPr>
                <w:rFonts w:hint="eastAsia"/>
                <w:b/>
                <w:bCs/>
                <w:color w:val="auto"/>
                <w:kern w:val="0"/>
                <w:sz w:val="24"/>
                <w:highlight w:val="none"/>
              </w:rPr>
              <w:t xml:space="preserve">  </w:t>
            </w:r>
            <w:r>
              <w:rPr>
                <w:rFonts w:hint="eastAsia"/>
                <w:b/>
                <w:bCs/>
                <w:color w:val="auto"/>
                <w:kern w:val="0"/>
                <w:sz w:val="24"/>
                <w:highlight w:val="none"/>
                <w:lang w:eastAsia="zh-CN"/>
              </w:rPr>
              <w:t>鸡西市虎林市</w:t>
            </w:r>
            <w:r>
              <w:rPr>
                <w:b/>
                <w:bCs/>
                <w:color w:val="auto"/>
                <w:kern w:val="0"/>
                <w:sz w:val="24"/>
                <w:highlight w:val="none"/>
              </w:rPr>
              <w:t>生态环境准入清单符合性分析</w:t>
            </w:r>
          </w:p>
          <w:tbl>
            <w:tblPr>
              <w:tblStyle w:val="31"/>
              <w:tblW w:w="70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79"/>
              <w:gridCol w:w="700"/>
              <w:gridCol w:w="606"/>
              <w:gridCol w:w="628"/>
              <w:gridCol w:w="2519"/>
              <w:gridCol w:w="1655"/>
            </w:tblGrid>
            <w:tr w14:paraId="15497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79" w:type="dxa"/>
                  <w:noWrap w:val="0"/>
                  <w:vAlign w:val="center"/>
                </w:tcPr>
                <w:p w14:paraId="2E24F3E1">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管控单元编码</w:t>
                  </w:r>
                </w:p>
              </w:tc>
              <w:tc>
                <w:tcPr>
                  <w:tcW w:w="700" w:type="dxa"/>
                  <w:noWrap w:val="0"/>
                  <w:vAlign w:val="center"/>
                </w:tcPr>
                <w:p w14:paraId="575006C2">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环境管控单元名称</w:t>
                  </w:r>
                </w:p>
              </w:tc>
              <w:tc>
                <w:tcPr>
                  <w:tcW w:w="606" w:type="dxa"/>
                  <w:noWrap w:val="0"/>
                  <w:vAlign w:val="center"/>
                </w:tcPr>
                <w:p w14:paraId="7201FDB2">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管控单元类别</w:t>
                  </w:r>
                </w:p>
              </w:tc>
              <w:tc>
                <w:tcPr>
                  <w:tcW w:w="3147" w:type="dxa"/>
                  <w:gridSpan w:val="2"/>
                  <w:noWrap w:val="0"/>
                  <w:vAlign w:val="center"/>
                </w:tcPr>
                <w:p w14:paraId="3A0F6F49">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管控要求</w:t>
                  </w:r>
                </w:p>
              </w:tc>
              <w:tc>
                <w:tcPr>
                  <w:tcW w:w="1655" w:type="dxa"/>
                  <w:noWrap w:val="0"/>
                  <w:vAlign w:val="center"/>
                </w:tcPr>
                <w:p w14:paraId="1194F595">
                  <w:pPr>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符合性</w:t>
                  </w:r>
                </w:p>
              </w:tc>
            </w:tr>
            <w:tr w14:paraId="28F2B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979" w:type="dxa"/>
                  <w:vMerge w:val="restart"/>
                  <w:noWrap w:val="0"/>
                  <w:vAlign w:val="center"/>
                </w:tcPr>
                <w:p w14:paraId="76684CFD">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ZH23038120003</w:t>
                  </w:r>
                </w:p>
                <w:p w14:paraId="74805867">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p>
              </w:tc>
              <w:tc>
                <w:tcPr>
                  <w:tcW w:w="700" w:type="dxa"/>
                  <w:vMerge w:val="restart"/>
                  <w:noWrap w:val="0"/>
                  <w:vAlign w:val="center"/>
                </w:tcPr>
                <w:p w14:paraId="58F0D707">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虎林市</w:t>
                  </w:r>
                  <w:r>
                    <w:rPr>
                      <w:rFonts w:hint="default" w:ascii="Times New Roman" w:hAnsi="Times New Roman" w:eastAsia="宋体" w:cs="Times New Roman"/>
                      <w:b w:val="0"/>
                      <w:bCs w:val="0"/>
                      <w:color w:val="auto"/>
                      <w:sz w:val="21"/>
                      <w:szCs w:val="21"/>
                      <w:highlight w:val="none"/>
                      <w:lang w:val="en-US" w:eastAsia="zh-CN"/>
                    </w:rPr>
                    <w:t>水环境</w:t>
                  </w:r>
                  <w:r>
                    <w:rPr>
                      <w:rFonts w:hint="default" w:ascii="Times New Roman" w:hAnsi="Times New Roman" w:eastAsia="宋体" w:cs="Times New Roman"/>
                      <w:color w:val="auto"/>
                      <w:kern w:val="0"/>
                      <w:sz w:val="21"/>
                      <w:szCs w:val="21"/>
                      <w:highlight w:val="none"/>
                      <w:lang w:val="en-US" w:eastAsia="zh-CN" w:bidi="ar"/>
                    </w:rPr>
                    <w:t>农业污染重点</w:t>
                  </w:r>
                </w:p>
                <w:p w14:paraId="5E6ABF76">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管控区</w:t>
                  </w:r>
                </w:p>
                <w:p w14:paraId="066BA9A5">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lang w:val="en-US" w:eastAsia="zh-CN"/>
                    </w:rPr>
                  </w:pPr>
                </w:p>
              </w:tc>
              <w:tc>
                <w:tcPr>
                  <w:tcW w:w="606" w:type="dxa"/>
                  <w:vMerge w:val="restart"/>
                  <w:noWrap w:val="0"/>
                  <w:vAlign w:val="center"/>
                </w:tcPr>
                <w:p w14:paraId="40E9B51F">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重点管控单元</w:t>
                  </w:r>
                </w:p>
              </w:tc>
              <w:tc>
                <w:tcPr>
                  <w:tcW w:w="628" w:type="dxa"/>
                  <w:noWrap w:val="0"/>
                  <w:vAlign w:val="center"/>
                </w:tcPr>
                <w:p w14:paraId="66D27414">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空间布局约束</w:t>
                  </w:r>
                </w:p>
              </w:tc>
              <w:tc>
                <w:tcPr>
                  <w:tcW w:w="2519" w:type="dxa"/>
                  <w:noWrap w:val="0"/>
                  <w:vAlign w:val="center"/>
                </w:tcPr>
                <w:p w14:paraId="168290D7">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1.科学划定畜禽养殖禁养区。 </w:t>
                  </w:r>
                </w:p>
                <w:p w14:paraId="446F0099">
                  <w:pPr>
                    <w:keepNext w:val="0"/>
                    <w:keepLines w:val="0"/>
                    <w:widowControl/>
                    <w:suppressLineNumbers w:val="0"/>
                    <w:jc w:val="left"/>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1655" w:type="dxa"/>
                  <w:noWrap w:val="0"/>
                  <w:vAlign w:val="center"/>
                </w:tcPr>
                <w:p w14:paraId="4EF362C0">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b w:val="0"/>
                      <w:bCs w:val="0"/>
                      <w:snapToGrid w:val="0"/>
                      <w:color w:val="auto"/>
                      <w:kern w:val="0"/>
                      <w:sz w:val="21"/>
                      <w:szCs w:val="21"/>
                      <w:highlight w:val="none"/>
                      <w:lang w:eastAsia="zh-CN"/>
                    </w:rPr>
                  </w:pPr>
                  <w:r>
                    <w:rPr>
                      <w:rFonts w:hint="default" w:ascii="Times New Roman" w:hAnsi="Times New Roman" w:eastAsia="宋体" w:cs="Times New Roman"/>
                      <w:color w:val="auto"/>
                      <w:sz w:val="21"/>
                      <w:szCs w:val="21"/>
                      <w:highlight w:val="none"/>
                    </w:rPr>
                    <w:t>本项目为粮食烘干项目</w:t>
                  </w:r>
                  <w:r>
                    <w:rPr>
                      <w:rFonts w:hint="default" w:ascii="Times New Roman" w:hAnsi="Times New Roman" w:eastAsia="宋体" w:cs="Times New Roman"/>
                      <w:color w:val="auto"/>
                      <w:sz w:val="21"/>
                      <w:szCs w:val="21"/>
                      <w:highlight w:val="none"/>
                      <w:lang w:eastAsia="zh-CN"/>
                    </w:rPr>
                    <w:t>，不属于养殖项目。</w:t>
                  </w:r>
                </w:p>
              </w:tc>
            </w:tr>
            <w:tr w14:paraId="49A39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40" w:hRule="atLeast"/>
                <w:jc w:val="center"/>
              </w:trPr>
              <w:tc>
                <w:tcPr>
                  <w:tcW w:w="979" w:type="dxa"/>
                  <w:vMerge w:val="continue"/>
                  <w:noWrap w:val="0"/>
                  <w:vAlign w:val="center"/>
                </w:tcPr>
                <w:p w14:paraId="62BA188E">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p>
              </w:tc>
              <w:tc>
                <w:tcPr>
                  <w:tcW w:w="700" w:type="dxa"/>
                  <w:vMerge w:val="continue"/>
                  <w:noWrap w:val="0"/>
                  <w:vAlign w:val="center"/>
                </w:tcPr>
                <w:p w14:paraId="71ECC5A5">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p>
              </w:tc>
              <w:tc>
                <w:tcPr>
                  <w:tcW w:w="606" w:type="dxa"/>
                  <w:vMerge w:val="continue"/>
                  <w:noWrap w:val="0"/>
                  <w:vAlign w:val="center"/>
                </w:tcPr>
                <w:p w14:paraId="39217AC6">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p>
              </w:tc>
              <w:tc>
                <w:tcPr>
                  <w:tcW w:w="628" w:type="dxa"/>
                  <w:noWrap w:val="0"/>
                  <w:vAlign w:val="center"/>
                </w:tcPr>
                <w:p w14:paraId="0333795C">
                  <w:pPr>
                    <w:keepNext w:val="0"/>
                    <w:keepLines w:val="0"/>
                    <w:pageBreakBefore w:val="0"/>
                    <w:widowControl w:val="0"/>
                    <w:kinsoku/>
                    <w:wordWrap/>
                    <w:overflowPunct/>
                    <w:topLinePunct w:val="0"/>
                    <w:autoSpaceDE/>
                    <w:autoSpaceDN/>
                    <w:bidi w:val="0"/>
                    <w:adjustRightInd w:val="0"/>
                    <w:snapToGrid/>
                    <w:spacing w:line="360" w:lineRule="auto"/>
                    <w:jc w:val="center"/>
                    <w:textAlignment w:val="auto"/>
                    <w:rPr>
                      <w:rFonts w:hint="default" w:ascii="Times New Roman" w:hAnsi="Times New Roman" w:eastAsia="宋体" w:cs="Times New Roman"/>
                      <w:b w:val="0"/>
                      <w:bCs w:val="0"/>
                      <w:snapToGrid w:val="0"/>
                      <w:color w:val="auto"/>
                      <w:kern w:val="0"/>
                      <w:sz w:val="21"/>
                      <w:szCs w:val="21"/>
                      <w:highlight w:val="none"/>
                    </w:rPr>
                  </w:pPr>
                  <w:r>
                    <w:rPr>
                      <w:rFonts w:hint="default" w:ascii="Times New Roman" w:hAnsi="Times New Roman" w:eastAsia="宋体" w:cs="Times New Roman"/>
                      <w:b w:val="0"/>
                      <w:bCs w:val="0"/>
                      <w:snapToGrid w:val="0"/>
                      <w:color w:val="auto"/>
                      <w:kern w:val="0"/>
                      <w:sz w:val="21"/>
                      <w:szCs w:val="21"/>
                      <w:highlight w:val="none"/>
                    </w:rPr>
                    <w:t>污染物排放管控</w:t>
                  </w:r>
                </w:p>
              </w:tc>
              <w:tc>
                <w:tcPr>
                  <w:tcW w:w="2519" w:type="dxa"/>
                  <w:noWrap w:val="0"/>
                  <w:vAlign w:val="center"/>
                </w:tcPr>
                <w:p w14:paraId="1262CF71">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1.支持规模化畜禽养殖场（小区）开展标准化改造和建设，提高畜禽粪污收集和处理机械化水平，实施雨污分流、粪污资源化利用，控制畜禽养殖污染排放。 </w:t>
                  </w:r>
                </w:p>
                <w:p w14:paraId="76A2D572">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2.畜禽散养密集区所在地县级人民政府应当组织对畜禽粪便、污水进行集中处理利用，督促乡镇人民政府建设或者配备污染防治配套设施。 </w:t>
                  </w:r>
                </w:p>
                <w:p w14:paraId="442576FF">
                  <w:pPr>
                    <w:keepNext w:val="0"/>
                    <w:keepLines w:val="0"/>
                    <w:widowControl/>
                    <w:suppressLineNumbers w:val="0"/>
                    <w:jc w:val="left"/>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3.全面加强农业面源污染防控，科学合理使用农业投入品，提高使用效率，减少农业内源性污染。</w:t>
                  </w:r>
                </w:p>
              </w:tc>
              <w:tc>
                <w:tcPr>
                  <w:tcW w:w="1655" w:type="dxa"/>
                  <w:noWrap w:val="0"/>
                  <w:vAlign w:val="center"/>
                </w:tcPr>
                <w:p w14:paraId="4E888DA3">
                  <w:pPr>
                    <w:keepNext w:val="0"/>
                    <w:keepLines w:val="0"/>
                    <w:pageBreakBefore w:val="0"/>
                    <w:widowControl w:val="0"/>
                    <w:kinsoku/>
                    <w:wordWrap/>
                    <w:overflowPunct/>
                    <w:topLinePunct w:val="0"/>
                    <w:autoSpaceDE/>
                    <w:autoSpaceDN/>
                    <w:bidi w:val="0"/>
                    <w:adjustRightInd w:val="0"/>
                    <w:snapToGrid/>
                    <w:spacing w:line="240" w:lineRule="auto"/>
                    <w:jc w:val="both"/>
                    <w:textAlignment w:val="auto"/>
                    <w:rPr>
                      <w:rFonts w:hint="default" w:ascii="Times New Roman" w:hAnsi="Times New Roman" w:eastAsia="宋体" w:cs="Times New Roman"/>
                      <w:b w:val="0"/>
                      <w:bCs w:val="0"/>
                      <w:snapToGrid w:val="0"/>
                      <w:color w:val="auto"/>
                      <w:kern w:val="0"/>
                      <w:sz w:val="21"/>
                      <w:szCs w:val="21"/>
                      <w:highlight w:val="none"/>
                      <w:lang w:eastAsia="zh-CN"/>
                    </w:rPr>
                  </w:pPr>
                  <w:r>
                    <w:rPr>
                      <w:rFonts w:hint="default" w:ascii="Times New Roman" w:hAnsi="Times New Roman" w:eastAsia="宋体" w:cs="Times New Roman"/>
                      <w:color w:val="auto"/>
                      <w:sz w:val="21"/>
                      <w:szCs w:val="21"/>
                      <w:highlight w:val="none"/>
                    </w:rPr>
                    <w:t>本项目为粮食烘干项目</w:t>
                  </w:r>
                  <w:r>
                    <w:rPr>
                      <w:rFonts w:hint="default" w:ascii="Times New Roman" w:hAnsi="Times New Roman" w:eastAsia="宋体" w:cs="Times New Roman"/>
                      <w:color w:val="auto"/>
                      <w:sz w:val="21"/>
                      <w:szCs w:val="21"/>
                      <w:highlight w:val="none"/>
                      <w:lang w:eastAsia="zh-CN"/>
                    </w:rPr>
                    <w:t>，不属于养殖项目。因此符合污染物排放管控要求。</w:t>
                  </w:r>
                </w:p>
              </w:tc>
            </w:tr>
          </w:tbl>
          <w:p w14:paraId="39F0D2BE">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color w:val="auto"/>
                <w:sz w:val="24"/>
                <w:highlight w:val="none"/>
              </w:rPr>
            </w:pPr>
            <w:r>
              <w:rPr>
                <w:rFonts w:hint="eastAsia"/>
                <w:color w:val="auto"/>
                <w:sz w:val="24"/>
                <w:highlight w:val="none"/>
              </w:rPr>
              <w:t>本项目选址位于</w:t>
            </w:r>
            <w:r>
              <w:rPr>
                <w:rFonts w:hint="eastAsia"/>
                <w:color w:val="auto"/>
                <w:sz w:val="24"/>
                <w:highlight w:val="none"/>
                <w:lang w:eastAsia="zh-CN"/>
              </w:rPr>
              <w:t>黑龙江省鸡西市虎林市宝东镇共乐村</w:t>
            </w:r>
            <w:r>
              <w:rPr>
                <w:rFonts w:hint="eastAsia"/>
                <w:color w:val="auto"/>
                <w:sz w:val="24"/>
                <w:highlight w:val="none"/>
              </w:rPr>
              <w:t>，本项目选址土地性质为</w:t>
            </w:r>
            <w:r>
              <w:rPr>
                <w:rFonts w:hint="eastAsia"/>
                <w:color w:val="auto"/>
                <w:sz w:val="24"/>
                <w:highlight w:val="none"/>
                <w:lang w:eastAsia="zh-CN"/>
              </w:rPr>
              <w:t>仓储用地</w:t>
            </w:r>
            <w:r>
              <w:rPr>
                <w:rFonts w:hint="eastAsia"/>
                <w:color w:val="auto"/>
                <w:sz w:val="24"/>
                <w:highlight w:val="none"/>
              </w:rPr>
              <w:t>，并采取了有效、可行的污染治理措施，各项污染物均达标排放，本项目建设对周围环境影响较小，因此本项目符合《黑龙江省人民政府关于实施“三线一单”生态环境分区管控的意见》（黑政发[2020]14号）</w:t>
            </w:r>
            <w:r>
              <w:rPr>
                <w:rFonts w:hint="eastAsia"/>
                <w:color w:val="auto"/>
                <w:sz w:val="24"/>
                <w:highlight w:val="none"/>
                <w:lang w:eastAsia="zh-CN"/>
              </w:rPr>
              <w:t>、</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鸡</w:t>
            </w:r>
            <w:r>
              <w:rPr>
                <w:rFonts w:hint="default" w:ascii="Times New Roman" w:hAnsi="Times New Roman" w:eastAsia="宋体" w:cs="Times New Roman"/>
                <w:color w:val="auto"/>
                <w:sz w:val="24"/>
                <w:highlight w:val="none"/>
              </w:rPr>
              <w:t>西市人民政府关于实施“三线一单”生态环境分区管控的意见》（鸡政发〔2021〕7号文件）</w:t>
            </w:r>
            <w:r>
              <w:rPr>
                <w:rFonts w:hint="eastAsia" w:cs="Times New Roman"/>
                <w:color w:val="auto"/>
                <w:sz w:val="24"/>
                <w:highlight w:val="none"/>
                <w:lang w:eastAsia="zh-CN"/>
              </w:rPr>
              <w:t>及《鸡西市生态环境准入清单》（</w:t>
            </w:r>
            <w:r>
              <w:rPr>
                <w:rFonts w:hint="eastAsia" w:cs="Times New Roman"/>
                <w:color w:val="auto"/>
                <w:sz w:val="24"/>
                <w:highlight w:val="none"/>
                <w:lang w:val="en-US" w:eastAsia="zh-CN"/>
              </w:rPr>
              <w:t>2023年版</w:t>
            </w:r>
            <w:r>
              <w:rPr>
                <w:rFonts w:hint="eastAsia" w:cs="Times New Roman"/>
                <w:color w:val="auto"/>
                <w:sz w:val="24"/>
                <w:highlight w:val="none"/>
                <w:lang w:eastAsia="zh-CN"/>
              </w:rPr>
              <w:t>）</w:t>
            </w:r>
            <w:r>
              <w:rPr>
                <w:rFonts w:hint="eastAsia"/>
                <w:color w:val="auto"/>
                <w:sz w:val="24"/>
                <w:highlight w:val="none"/>
              </w:rPr>
              <w:t>中的要求</w:t>
            </w:r>
            <w:r>
              <w:rPr>
                <w:rFonts w:hint="eastAsia"/>
                <w:color w:val="auto"/>
                <w:sz w:val="24"/>
                <w:highlight w:val="none"/>
                <w:lang w:val="sq-AL"/>
              </w:rPr>
              <w:t>。</w:t>
            </w:r>
          </w:p>
          <w:p w14:paraId="0238FA9A">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contextualSpacing/>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bCs/>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b/>
                <w:color w:val="auto"/>
                <w:kern w:val="0"/>
                <w:sz w:val="24"/>
                <w:szCs w:val="24"/>
                <w:highlight w:val="none"/>
              </w:rPr>
              <w:t>与《黑龙江省工业炉窑大气污染综合治理方案》（黑环发[2019]144号）符合性分析</w:t>
            </w:r>
          </w:p>
          <w:p w14:paraId="1438148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contextualSpacing/>
              <w:jc w:val="both"/>
              <w:textAlignment w:val="auto"/>
              <w:rPr>
                <w:rFonts w:hint="default" w:ascii="Times New Roman" w:hAnsi="Times New Roman" w:eastAsia="宋体" w:cs="Times New Roman"/>
                <w:bCs/>
                <w:color w:val="auto"/>
                <w:kern w:val="0"/>
                <w:sz w:val="24"/>
                <w:szCs w:val="24"/>
                <w:highlight w:val="none"/>
              </w:rPr>
            </w:pPr>
            <w:r>
              <w:rPr>
                <w:rFonts w:hint="default" w:ascii="Times New Roman" w:hAnsi="Times New Roman" w:eastAsia="宋体" w:cs="Times New Roman"/>
                <w:bCs/>
                <w:color w:val="auto"/>
                <w:kern w:val="0"/>
                <w:sz w:val="24"/>
                <w:szCs w:val="24"/>
                <w:highlight w:val="none"/>
              </w:rPr>
              <w:t>根据《黑龙江省工业炉窑大气污染综合治理方案》（黑环发[2019]144号），推进工业炉窑全面达标排放。已有行业排放标准的工业炉窑，严格执行行业排放标准相关规定，配套建设高效脱硫脱硝除尘设施，确保稳定达标排放。已核发排污许可证的，应严格按照许可要求执行。</w:t>
            </w:r>
          </w:p>
          <w:p w14:paraId="5261B6E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Cs/>
                <w:color w:val="auto"/>
                <w:kern w:val="0"/>
                <w:sz w:val="24"/>
                <w:szCs w:val="24"/>
                <w:highlight w:val="none"/>
              </w:rPr>
            </w:pPr>
            <w:r>
              <w:rPr>
                <w:rFonts w:hint="default" w:ascii="Times New Roman" w:hAnsi="Times New Roman" w:eastAsia="宋体" w:cs="Times New Roman"/>
                <w:bCs/>
                <w:color w:val="auto"/>
                <w:kern w:val="0"/>
                <w:sz w:val="24"/>
                <w:szCs w:val="24"/>
                <w:highlight w:val="none"/>
              </w:rPr>
              <w:t>本项目</w:t>
            </w:r>
            <w:r>
              <w:rPr>
                <w:rFonts w:hint="eastAsia" w:cs="Times New Roman"/>
                <w:bCs/>
                <w:color w:val="auto"/>
                <w:kern w:val="0"/>
                <w:sz w:val="24"/>
                <w:szCs w:val="24"/>
                <w:highlight w:val="none"/>
                <w:lang w:eastAsia="zh-CN"/>
              </w:rPr>
              <w:t>生物质</w:t>
            </w:r>
            <w:r>
              <w:rPr>
                <w:rFonts w:hint="default" w:ascii="Times New Roman" w:hAnsi="Times New Roman" w:eastAsia="宋体" w:cs="Times New Roman"/>
                <w:bCs/>
                <w:color w:val="auto"/>
                <w:kern w:val="0"/>
                <w:sz w:val="24"/>
                <w:szCs w:val="24"/>
                <w:highlight w:val="none"/>
              </w:rPr>
              <w:t>热风炉烟气经除尘效率为99</w:t>
            </w:r>
            <w:r>
              <w:rPr>
                <w:rFonts w:hint="eastAsia" w:cs="Times New Roman"/>
                <w:bCs/>
                <w:color w:val="auto"/>
                <w:kern w:val="0"/>
                <w:sz w:val="24"/>
                <w:szCs w:val="24"/>
                <w:highlight w:val="none"/>
                <w:lang w:val="en-US" w:eastAsia="zh-CN"/>
              </w:rPr>
              <w:t>.5</w:t>
            </w:r>
            <w:r>
              <w:rPr>
                <w:rFonts w:hint="default" w:ascii="Times New Roman" w:hAnsi="Times New Roman" w:eastAsia="宋体" w:cs="Times New Roman"/>
                <w:bCs/>
                <w:color w:val="auto"/>
                <w:kern w:val="0"/>
                <w:sz w:val="24"/>
                <w:szCs w:val="24"/>
                <w:highlight w:val="none"/>
              </w:rPr>
              <w:t>%的布袋除尘器处理后经</w:t>
            </w:r>
            <w:r>
              <w:rPr>
                <w:rFonts w:hint="eastAsia" w:cs="Times New Roman"/>
                <w:bCs/>
                <w:color w:val="auto"/>
                <w:kern w:val="0"/>
                <w:sz w:val="24"/>
                <w:szCs w:val="24"/>
                <w:highlight w:val="none"/>
                <w:lang w:val="en-US" w:eastAsia="zh-CN"/>
              </w:rPr>
              <w:t>15m</w:t>
            </w:r>
            <w:r>
              <w:rPr>
                <w:rFonts w:hint="default" w:ascii="Times New Roman" w:hAnsi="Times New Roman" w:eastAsia="宋体" w:cs="Times New Roman"/>
                <w:bCs/>
                <w:color w:val="auto"/>
                <w:kern w:val="0"/>
                <w:sz w:val="24"/>
                <w:szCs w:val="24"/>
                <w:highlight w:val="none"/>
              </w:rPr>
              <w:t>高烟囱排放，烟尘、烟气黑度排放浓度满足《工业炉窑大气污染物排放标准》（GB9078-1996）表2二级标准，SO</w:t>
            </w:r>
            <w:r>
              <w:rPr>
                <w:rFonts w:hint="default" w:ascii="Times New Roman" w:hAnsi="Times New Roman" w:eastAsia="宋体" w:cs="Times New Roman"/>
                <w:bCs/>
                <w:color w:val="auto"/>
                <w:kern w:val="0"/>
                <w:sz w:val="24"/>
                <w:szCs w:val="24"/>
                <w:highlight w:val="none"/>
                <w:vertAlign w:val="subscript"/>
              </w:rPr>
              <w:t>2</w:t>
            </w:r>
            <w:r>
              <w:rPr>
                <w:rFonts w:hint="default" w:ascii="Times New Roman" w:hAnsi="Times New Roman" w:eastAsia="宋体" w:cs="Times New Roman"/>
                <w:bCs/>
                <w:color w:val="auto"/>
                <w:kern w:val="0"/>
                <w:sz w:val="24"/>
                <w:szCs w:val="24"/>
                <w:highlight w:val="none"/>
              </w:rPr>
              <w:t>、汞排放浓度满足《工业炉窑大气污染物排放标准》（GB9078-1996）表4二级标准</w:t>
            </w:r>
            <w:r>
              <w:rPr>
                <w:rFonts w:hint="eastAsia"/>
                <w:color w:val="auto"/>
                <w:sz w:val="24"/>
                <w:szCs w:val="32"/>
                <w:highlight w:val="none"/>
                <w:lang w:val="en-US" w:eastAsia="zh-CN"/>
              </w:rPr>
              <w:t>。</w:t>
            </w:r>
            <w:r>
              <w:rPr>
                <w:rFonts w:hint="default" w:ascii="Times New Roman" w:hAnsi="Times New Roman" w:eastAsia="宋体" w:cs="Times New Roman"/>
                <w:bCs/>
                <w:color w:val="auto"/>
                <w:kern w:val="0"/>
                <w:sz w:val="24"/>
                <w:szCs w:val="24"/>
                <w:highlight w:val="none"/>
              </w:rPr>
              <w:t>因此本项目建设符合《黑龙江省工业炉窑大气污染综合治理方案》（黑环发[2019]144号）相关要求。</w:t>
            </w:r>
          </w:p>
          <w:p w14:paraId="5A670321">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color w:val="auto"/>
                <w:kern w:val="0"/>
                <w:sz w:val="24"/>
                <w:szCs w:val="24"/>
              </w:rPr>
            </w:pPr>
            <w:r>
              <w:rPr>
                <w:rFonts w:hint="eastAsia" w:ascii="Times New Roman" w:hAnsi="Times New Roman" w:eastAsia="宋体" w:cs="Times New Roman"/>
                <w:b/>
                <w:color w:val="auto"/>
                <w:kern w:val="0"/>
                <w:sz w:val="24"/>
                <w:szCs w:val="24"/>
                <w:lang w:val="en-US" w:eastAsia="zh-CN"/>
              </w:rPr>
              <w:t>5</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b/>
                <w:color w:val="auto"/>
                <w:kern w:val="0"/>
                <w:sz w:val="24"/>
                <w:szCs w:val="24"/>
              </w:rPr>
              <w:t>与《黑龙江省大气污染防治条例》符合性分析</w:t>
            </w:r>
          </w:p>
          <w:p w14:paraId="64FD5DC9">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根据《黑龙江省大气污染防治条例》，工业和信息化部门负责工业节能降耗，淘汰落后产能，推进工业锅炉升级改造和清洁生产，燃煤电厂、燃煤供热锅炉以及其他燃煤单位，应当采用清洁生产工艺，配套建设除尘、脱硫、脱硝等装置或者采用技术改造等措施，减少大气污染物的产生和排放，排放的大气污染物应当达到规定标准。</w:t>
            </w:r>
          </w:p>
          <w:p w14:paraId="4D0C262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bCs/>
                <w:color w:val="auto"/>
                <w:kern w:val="0"/>
                <w:sz w:val="24"/>
                <w:szCs w:val="24"/>
              </w:rPr>
              <w:t>本项目</w:t>
            </w:r>
            <w:r>
              <w:rPr>
                <w:rFonts w:hint="eastAsia" w:cs="Times New Roman"/>
                <w:bCs/>
                <w:color w:val="auto"/>
                <w:kern w:val="0"/>
                <w:sz w:val="24"/>
                <w:szCs w:val="24"/>
                <w:lang w:eastAsia="zh-CN"/>
              </w:rPr>
              <w:t>生物质</w:t>
            </w:r>
            <w:r>
              <w:rPr>
                <w:rFonts w:hint="default" w:ascii="Times New Roman" w:hAnsi="Times New Roman" w:eastAsia="宋体" w:cs="Times New Roman"/>
                <w:bCs/>
                <w:color w:val="auto"/>
                <w:kern w:val="0"/>
                <w:sz w:val="24"/>
                <w:szCs w:val="24"/>
              </w:rPr>
              <w:t>热风炉烟气经除尘效率为99</w:t>
            </w:r>
            <w:r>
              <w:rPr>
                <w:rFonts w:hint="eastAsia" w:cs="Times New Roman"/>
                <w:bCs/>
                <w:color w:val="auto"/>
                <w:kern w:val="0"/>
                <w:sz w:val="24"/>
                <w:szCs w:val="24"/>
                <w:lang w:val="en-US" w:eastAsia="zh-CN"/>
              </w:rPr>
              <w:t>.5</w:t>
            </w:r>
            <w:r>
              <w:rPr>
                <w:rFonts w:hint="default" w:ascii="Times New Roman" w:hAnsi="Times New Roman" w:eastAsia="宋体" w:cs="Times New Roman"/>
                <w:bCs/>
                <w:color w:val="auto"/>
                <w:kern w:val="0"/>
                <w:sz w:val="24"/>
                <w:szCs w:val="24"/>
              </w:rPr>
              <w:t>%的布袋除尘器处理后经</w:t>
            </w:r>
            <w:r>
              <w:rPr>
                <w:rFonts w:hint="eastAsia" w:cs="Times New Roman"/>
                <w:bCs/>
                <w:color w:val="auto"/>
                <w:kern w:val="0"/>
                <w:sz w:val="24"/>
                <w:szCs w:val="24"/>
                <w:lang w:eastAsia="zh-CN"/>
              </w:rPr>
              <w:t>15m</w:t>
            </w:r>
            <w:r>
              <w:rPr>
                <w:rFonts w:hint="default" w:ascii="Times New Roman" w:hAnsi="Times New Roman" w:eastAsia="宋体" w:cs="Times New Roman"/>
                <w:bCs/>
                <w:color w:val="auto"/>
                <w:kern w:val="0"/>
                <w:sz w:val="24"/>
                <w:szCs w:val="24"/>
              </w:rPr>
              <w:t>高烟囱排放，烟尘、烟气黑度排放浓度满足《工业炉窑大气污染物排放标准》（GB9078-1996）表2二级标准，SO</w:t>
            </w:r>
            <w:r>
              <w:rPr>
                <w:rFonts w:hint="default" w:ascii="Times New Roman" w:hAnsi="Times New Roman" w:eastAsia="宋体" w:cs="Times New Roman"/>
                <w:bCs/>
                <w:color w:val="auto"/>
                <w:kern w:val="0"/>
                <w:sz w:val="24"/>
                <w:szCs w:val="24"/>
                <w:vertAlign w:val="subscript"/>
              </w:rPr>
              <w:t>2</w:t>
            </w:r>
            <w:r>
              <w:rPr>
                <w:rFonts w:hint="default" w:ascii="Times New Roman" w:hAnsi="Times New Roman" w:eastAsia="宋体" w:cs="Times New Roman"/>
                <w:bCs/>
                <w:color w:val="auto"/>
                <w:kern w:val="0"/>
                <w:sz w:val="24"/>
                <w:szCs w:val="24"/>
              </w:rPr>
              <w:t>、汞排放浓度满足《工业炉窑大气污染物排放标准》（GB9078-1996）表4二级标准。因此本项目建设符合《黑龙江省大气污染防治条例》相关要求。</w:t>
            </w:r>
          </w:p>
          <w:p w14:paraId="4C6BF3C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
                <w:color w:val="auto"/>
                <w:kern w:val="0"/>
                <w:sz w:val="24"/>
                <w:szCs w:val="24"/>
              </w:rPr>
            </w:pPr>
            <w:r>
              <w:rPr>
                <w:rFonts w:hint="eastAsia" w:cs="Times New Roman"/>
                <w:color w:val="auto"/>
                <w:kern w:val="0"/>
                <w:sz w:val="24"/>
                <w:szCs w:val="24"/>
                <w:lang w:val="en-US" w:eastAsia="zh-CN"/>
              </w:rPr>
              <w:t>6</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b/>
                <w:color w:val="auto"/>
                <w:kern w:val="0"/>
                <w:sz w:val="24"/>
                <w:szCs w:val="24"/>
              </w:rPr>
              <w:t>与《工业炉窑大气污染综合治理方案》（环大气[2019]56号）符合性分析</w:t>
            </w:r>
          </w:p>
          <w:p w14:paraId="36E767E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工业炉窑大气污染综合治理方案》（环大气[2019]56号），实施污染深度治理。推进工业炉窑全面达标排放。已有行业排放标准的工业炉窑，严格执行行业排放标准相关规定，配套建设高效脱硫脱硝除尘设施，确保稳定达标排放。已制定更严格地方排放标准的，按地方标准执行。</w:t>
            </w:r>
          </w:p>
          <w:p w14:paraId="02E216C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本项目</w:t>
            </w:r>
            <w:r>
              <w:rPr>
                <w:rFonts w:hint="eastAsia" w:cs="Times New Roman"/>
                <w:bCs/>
                <w:color w:val="auto"/>
                <w:kern w:val="0"/>
                <w:sz w:val="24"/>
                <w:szCs w:val="24"/>
                <w:lang w:eastAsia="zh-CN"/>
              </w:rPr>
              <w:t>生物质</w:t>
            </w:r>
            <w:r>
              <w:rPr>
                <w:rFonts w:hint="default" w:ascii="Times New Roman" w:hAnsi="Times New Roman" w:eastAsia="宋体" w:cs="Times New Roman"/>
                <w:bCs/>
                <w:color w:val="auto"/>
                <w:kern w:val="0"/>
                <w:sz w:val="24"/>
                <w:szCs w:val="24"/>
              </w:rPr>
              <w:t>热风炉烟气经除尘效率为99</w:t>
            </w:r>
            <w:r>
              <w:rPr>
                <w:rFonts w:hint="eastAsia" w:cs="Times New Roman"/>
                <w:bCs/>
                <w:color w:val="auto"/>
                <w:kern w:val="0"/>
                <w:sz w:val="24"/>
                <w:szCs w:val="24"/>
                <w:lang w:val="en-US" w:eastAsia="zh-CN"/>
              </w:rPr>
              <w:t>.5</w:t>
            </w:r>
            <w:r>
              <w:rPr>
                <w:rFonts w:hint="default" w:ascii="Times New Roman" w:hAnsi="Times New Roman" w:eastAsia="宋体" w:cs="Times New Roman"/>
                <w:bCs/>
                <w:color w:val="auto"/>
                <w:kern w:val="0"/>
                <w:sz w:val="24"/>
                <w:szCs w:val="24"/>
              </w:rPr>
              <w:t>%的布袋除尘器处理后经</w:t>
            </w:r>
            <w:r>
              <w:rPr>
                <w:rFonts w:hint="eastAsia" w:cs="Times New Roman"/>
                <w:bCs/>
                <w:color w:val="auto"/>
                <w:kern w:val="0"/>
                <w:sz w:val="24"/>
                <w:szCs w:val="24"/>
                <w:lang w:eastAsia="zh-CN"/>
              </w:rPr>
              <w:t>15m</w:t>
            </w:r>
            <w:r>
              <w:rPr>
                <w:rFonts w:hint="default" w:ascii="Times New Roman" w:hAnsi="Times New Roman" w:eastAsia="宋体" w:cs="Times New Roman"/>
                <w:bCs/>
                <w:color w:val="auto"/>
                <w:kern w:val="0"/>
                <w:sz w:val="24"/>
                <w:szCs w:val="24"/>
              </w:rPr>
              <w:t>高烟囱排放，烟尘、烟气黑度排放浓度满足《工业炉窑大气污染物排放标准》（GB9078-1996）表2二级标准，SO</w:t>
            </w:r>
            <w:r>
              <w:rPr>
                <w:rFonts w:hint="default" w:ascii="Times New Roman" w:hAnsi="Times New Roman" w:eastAsia="宋体" w:cs="Times New Roman"/>
                <w:bCs/>
                <w:color w:val="auto"/>
                <w:kern w:val="0"/>
                <w:sz w:val="24"/>
                <w:szCs w:val="24"/>
                <w:vertAlign w:val="subscript"/>
              </w:rPr>
              <w:t>2</w:t>
            </w:r>
            <w:r>
              <w:rPr>
                <w:rFonts w:hint="default" w:ascii="Times New Roman" w:hAnsi="Times New Roman" w:eastAsia="宋体" w:cs="Times New Roman"/>
                <w:bCs/>
                <w:color w:val="auto"/>
                <w:kern w:val="0"/>
                <w:sz w:val="24"/>
                <w:szCs w:val="24"/>
              </w:rPr>
              <w:t>、汞排放浓度满足《工业炉窑大气污染物排放标准》（GB9078-1996）表4二级标准。因此本项目建设符合</w:t>
            </w:r>
            <w:r>
              <w:rPr>
                <w:rFonts w:hint="default" w:ascii="Times New Roman" w:hAnsi="Times New Roman" w:eastAsia="宋体" w:cs="Times New Roman"/>
                <w:color w:val="auto"/>
                <w:kern w:val="0"/>
                <w:sz w:val="24"/>
                <w:szCs w:val="24"/>
              </w:rPr>
              <w:t>《工业炉窑大气污染综合治理方案》（环大气[2019]56号）</w:t>
            </w:r>
            <w:r>
              <w:rPr>
                <w:rFonts w:hint="default" w:ascii="Times New Roman" w:hAnsi="Times New Roman" w:eastAsia="宋体" w:cs="Times New Roman"/>
                <w:bCs/>
                <w:color w:val="auto"/>
                <w:kern w:val="0"/>
                <w:sz w:val="24"/>
                <w:szCs w:val="24"/>
              </w:rPr>
              <w:t>相关要求。</w:t>
            </w:r>
          </w:p>
          <w:p w14:paraId="14AB3856">
            <w:pPr>
              <w:pStyle w:val="29"/>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82" w:firstLineChars="200"/>
              <w:textAlignment w:val="auto"/>
              <w:rPr>
                <w:rFonts w:hint="default" w:ascii="Times New Roman" w:hAnsi="Times New Roman" w:eastAsia="宋体" w:cs="Times New Roman"/>
                <w:b/>
                <w:color w:val="auto"/>
                <w:kern w:val="0"/>
                <w:sz w:val="24"/>
                <w:szCs w:val="24"/>
                <w:highlight w:val="none"/>
                <w:lang w:val="en-US" w:eastAsia="zh-CN" w:bidi="ar-SA"/>
              </w:rPr>
            </w:pPr>
            <w:r>
              <w:rPr>
                <w:rFonts w:hint="default" w:ascii="Times New Roman" w:hAnsi="Times New Roman" w:eastAsia="宋体" w:cs="Times New Roman"/>
                <w:b/>
                <w:color w:val="auto"/>
                <w:kern w:val="0"/>
                <w:sz w:val="24"/>
                <w:szCs w:val="24"/>
                <w:highlight w:val="none"/>
                <w:lang w:val="en-US" w:eastAsia="zh-CN" w:bidi="ar-SA"/>
              </w:rPr>
              <w:t>7、与《虎林市打赢污染防治攻坚战行动计划的通知》（虎政办发[2020]14号）符合性分析</w:t>
            </w:r>
          </w:p>
          <w:p w14:paraId="5CA73A7B">
            <w:pPr>
              <w:pStyle w:val="29"/>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通知要求：推进燃煤锅炉和设施淘汰改造。一是2020年底前，城市建成区基本淘汰每小时10蒸吨及以下燃煤锅炉、经营性炉灶、储粮烘干设备等燃煤设施；原则上不再新建每小时35蒸吨以下燃煤锅炉。二是城市建成区集中供热管网覆盖范围内的供热、采暖燃煤小锅炉并网。三是发展热电联产项目，扩大集中供热覆盖区域。</w:t>
            </w:r>
          </w:p>
          <w:p w14:paraId="2EAB7DBF">
            <w:pPr>
              <w:pStyle w:val="9"/>
              <w:keepNext w:val="0"/>
              <w:keepLines w:val="0"/>
              <w:pageBreakBefore w:val="0"/>
              <w:widowControl/>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b w:val="0"/>
                <w:bCs/>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本项目建设地点位于</w:t>
            </w:r>
            <w:r>
              <w:rPr>
                <w:rFonts w:hint="eastAsia"/>
                <w:color w:val="auto"/>
                <w:sz w:val="24"/>
                <w:highlight w:val="none"/>
                <w:lang w:eastAsia="zh-CN"/>
              </w:rPr>
              <w:t>黑龙江省鸡西市虎林市宝东镇共乐村</w:t>
            </w:r>
            <w:r>
              <w:rPr>
                <w:rFonts w:hint="default" w:ascii="Times New Roman" w:hAnsi="Times New Roman" w:eastAsia="宋体" w:cs="Times New Roman"/>
                <w:color w:val="auto"/>
                <w:sz w:val="24"/>
                <w:highlight w:val="none"/>
                <w:lang w:eastAsia="zh-CN"/>
              </w:rPr>
              <w:t>，项目所在地不属于城市建成区，</w:t>
            </w:r>
            <w:r>
              <w:rPr>
                <w:rFonts w:hint="default" w:ascii="Times New Roman" w:hAnsi="Times New Roman" w:eastAsia="宋体" w:cs="Times New Roman"/>
                <w:bCs/>
                <w:color w:val="auto"/>
                <w:sz w:val="24"/>
                <w:highlight w:val="none"/>
              </w:rPr>
              <w:t>本项目</w:t>
            </w:r>
            <w:r>
              <w:rPr>
                <w:rFonts w:hint="default" w:ascii="Times New Roman" w:hAnsi="Times New Roman" w:eastAsia="宋体" w:cs="Times New Roman"/>
                <w:bCs/>
                <w:color w:val="auto"/>
                <w:sz w:val="24"/>
                <w:highlight w:val="none"/>
                <w:lang w:eastAsia="zh-CN"/>
              </w:rPr>
              <w:t>建设</w:t>
            </w:r>
            <w:r>
              <w:rPr>
                <w:rFonts w:hint="eastAsia"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lang w:val="en-US" w:eastAsia="zh-CN"/>
              </w:rPr>
              <w:t>台</w:t>
            </w:r>
            <w:r>
              <w:rPr>
                <w:rFonts w:hint="eastAsia" w:cs="Times New Roman"/>
                <w:bCs/>
                <w:color w:val="auto"/>
                <w:sz w:val="24"/>
                <w:highlight w:val="none"/>
                <w:lang w:val="en-US" w:eastAsia="zh-CN"/>
              </w:rPr>
              <w:t>600万kcal</w:t>
            </w:r>
            <w:r>
              <w:rPr>
                <w:rFonts w:hint="default" w:ascii="Times New Roman" w:hAnsi="Times New Roman" w:eastAsia="宋体" w:cs="Times New Roman"/>
                <w:bCs/>
                <w:color w:val="auto"/>
                <w:sz w:val="24"/>
                <w:highlight w:val="none"/>
                <w:lang w:eastAsia="zh-CN"/>
              </w:rPr>
              <w:t>燃</w:t>
            </w:r>
            <w:r>
              <w:rPr>
                <w:rFonts w:hint="eastAsia" w:ascii="Times New Roman" w:hAnsi="Times New Roman" w:eastAsia="宋体" w:cs="Times New Roman"/>
                <w:bCs/>
                <w:color w:val="auto"/>
                <w:sz w:val="24"/>
                <w:highlight w:val="none"/>
                <w:lang w:eastAsia="zh-CN"/>
              </w:rPr>
              <w:t>生物质</w:t>
            </w:r>
            <w:r>
              <w:rPr>
                <w:rFonts w:hint="default" w:ascii="Times New Roman" w:hAnsi="Times New Roman" w:eastAsia="宋体" w:cs="Times New Roman"/>
                <w:bCs/>
                <w:color w:val="auto"/>
                <w:sz w:val="24"/>
                <w:highlight w:val="none"/>
              </w:rPr>
              <w:t>热风</w:t>
            </w:r>
            <w:r>
              <w:rPr>
                <w:rFonts w:hint="eastAsia" w:cs="Times New Roman"/>
                <w:bCs/>
                <w:color w:val="auto"/>
                <w:sz w:val="24"/>
                <w:highlight w:val="none"/>
                <w:lang w:eastAsia="zh-CN"/>
              </w:rPr>
              <w:t>炉</w:t>
            </w:r>
            <w:r>
              <w:rPr>
                <w:rFonts w:hint="default" w:ascii="Times New Roman" w:hAnsi="Times New Roman" w:eastAsia="宋体" w:cs="Times New Roman"/>
                <w:bCs/>
                <w:color w:val="auto"/>
                <w:sz w:val="24"/>
                <w:highlight w:val="none"/>
                <w:lang w:eastAsia="zh-CN"/>
              </w:rPr>
              <w:t>，燃</w:t>
            </w:r>
            <w:r>
              <w:rPr>
                <w:rFonts w:hint="eastAsia" w:ascii="Times New Roman" w:hAnsi="Times New Roman" w:eastAsia="宋体" w:cs="Times New Roman"/>
                <w:bCs/>
                <w:color w:val="auto"/>
                <w:sz w:val="24"/>
                <w:highlight w:val="none"/>
                <w:lang w:eastAsia="zh-CN"/>
              </w:rPr>
              <w:t>生物质</w:t>
            </w:r>
            <w:r>
              <w:rPr>
                <w:rFonts w:hint="default" w:ascii="Times New Roman" w:hAnsi="Times New Roman" w:eastAsia="宋体" w:cs="Times New Roman"/>
                <w:bCs/>
                <w:color w:val="auto"/>
                <w:sz w:val="24"/>
                <w:highlight w:val="none"/>
                <w:lang w:eastAsia="zh-CN"/>
              </w:rPr>
              <w:t>热风炉配备</w:t>
            </w:r>
            <w:r>
              <w:rPr>
                <w:rFonts w:hint="default" w:ascii="Times New Roman" w:hAnsi="Times New Roman" w:eastAsia="宋体" w:cs="Times New Roman"/>
                <w:bCs/>
                <w:color w:val="auto"/>
                <w:sz w:val="24"/>
                <w:highlight w:val="none"/>
              </w:rPr>
              <w:t>除尘效率为99</w:t>
            </w:r>
            <w:r>
              <w:rPr>
                <w:rFonts w:hint="default"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%的布袋除尘器，</w:t>
            </w:r>
            <w:r>
              <w:rPr>
                <w:rFonts w:hint="default" w:ascii="Times New Roman" w:hAnsi="Times New Roman" w:eastAsia="宋体" w:cs="Times New Roman"/>
                <w:bCs/>
                <w:color w:val="auto"/>
                <w:sz w:val="24"/>
                <w:highlight w:val="none"/>
                <w:lang w:eastAsia="zh-CN"/>
              </w:rPr>
              <w:t>热风炉烟气经处理后</w:t>
            </w:r>
            <w:r>
              <w:rPr>
                <w:rFonts w:hint="default" w:ascii="Times New Roman" w:hAnsi="Times New Roman" w:eastAsia="宋体" w:cs="Times New Roman"/>
                <w:bCs/>
                <w:color w:val="auto"/>
                <w:sz w:val="24"/>
                <w:highlight w:val="none"/>
              </w:rPr>
              <w:t>由1座</w:t>
            </w:r>
            <w:r>
              <w:rPr>
                <w:rFonts w:hint="eastAsia" w:cs="Times New Roman"/>
                <w:bCs/>
                <w:color w:val="auto"/>
                <w:sz w:val="24"/>
                <w:highlight w:val="none"/>
                <w:lang w:val="en-US" w:eastAsia="zh-CN"/>
              </w:rPr>
              <w:t>15m</w:t>
            </w:r>
            <w:r>
              <w:rPr>
                <w:rFonts w:hint="default" w:ascii="Times New Roman" w:hAnsi="Times New Roman" w:eastAsia="宋体" w:cs="Times New Roman"/>
                <w:bCs/>
                <w:color w:val="auto"/>
                <w:sz w:val="24"/>
                <w:highlight w:val="none"/>
              </w:rPr>
              <w:t>高烟囱排放</w:t>
            </w:r>
            <w:r>
              <w:rPr>
                <w:rFonts w:hint="default" w:ascii="Times New Roman" w:hAnsi="Times New Roman" w:eastAsia="宋体" w:cs="Times New Roman"/>
                <w:bCs/>
                <w:color w:val="auto"/>
                <w:kern w:val="0"/>
                <w:sz w:val="24"/>
                <w:szCs w:val="24"/>
                <w:highlight w:val="none"/>
              </w:rPr>
              <w:t>，烟尘、烟气黑度排放浓度满足《工业炉窑大气污染物排放标准》（GB9078-1996）表2二级标准，SO</w:t>
            </w:r>
            <w:r>
              <w:rPr>
                <w:rFonts w:hint="default" w:ascii="Times New Roman" w:hAnsi="Times New Roman" w:eastAsia="宋体" w:cs="Times New Roman"/>
                <w:bCs/>
                <w:color w:val="auto"/>
                <w:kern w:val="0"/>
                <w:sz w:val="24"/>
                <w:szCs w:val="24"/>
                <w:highlight w:val="none"/>
                <w:vertAlign w:val="subscript"/>
              </w:rPr>
              <w:t>2</w:t>
            </w:r>
            <w:r>
              <w:rPr>
                <w:rFonts w:hint="default" w:ascii="Times New Roman" w:hAnsi="Times New Roman" w:eastAsia="宋体" w:cs="Times New Roman"/>
                <w:bCs/>
                <w:color w:val="auto"/>
                <w:kern w:val="0"/>
                <w:sz w:val="24"/>
                <w:szCs w:val="24"/>
                <w:highlight w:val="none"/>
              </w:rPr>
              <w:t>、汞排放浓度满足《工业炉窑大气污染物排放标准》（GB9078-1996）表4二级标准。</w:t>
            </w:r>
            <w:r>
              <w:rPr>
                <w:rFonts w:hint="default" w:ascii="Times New Roman" w:hAnsi="Times New Roman" w:eastAsia="宋体" w:cs="Times New Roman"/>
                <w:b w:val="0"/>
                <w:bCs w:val="0"/>
                <w:color w:val="auto"/>
                <w:sz w:val="24"/>
                <w:lang w:val="en-US" w:eastAsia="zh-CN"/>
              </w:rPr>
              <w:t>因此本项目符合</w:t>
            </w:r>
            <w:r>
              <w:rPr>
                <w:rFonts w:hint="default" w:ascii="Times New Roman" w:hAnsi="Times New Roman" w:eastAsia="宋体" w:cs="Times New Roman"/>
                <w:b w:val="0"/>
                <w:bCs/>
                <w:color w:val="auto"/>
                <w:kern w:val="0"/>
                <w:sz w:val="24"/>
                <w:szCs w:val="24"/>
                <w:highlight w:val="none"/>
                <w:lang w:val="en-US" w:eastAsia="zh-CN" w:bidi="ar-SA"/>
              </w:rPr>
              <w:t>《虎林市打赢污染防治攻坚战行动计划的通知》（虎政办发[2020]14号）要求。</w:t>
            </w:r>
          </w:p>
          <w:p w14:paraId="257C8323">
            <w:pPr>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与《黑龙江省空气质量持续改善行动计划实施方案》的通知黑政发〔2023〕19号</w:t>
            </w:r>
            <w:r>
              <w:rPr>
                <w:rFonts w:hint="default" w:ascii="Times New Roman" w:hAnsi="Times New Roman" w:eastAsia="宋体" w:cs="Times New Roman"/>
                <w:b/>
                <w:color w:val="auto"/>
                <w:kern w:val="0"/>
                <w:sz w:val="24"/>
                <w:szCs w:val="24"/>
                <w:highlight w:val="none"/>
                <w:lang w:val="en-US" w:eastAsia="zh-CN" w:bidi="ar-SA"/>
              </w:rPr>
              <w:t>符合性分析</w:t>
            </w:r>
          </w:p>
          <w:p w14:paraId="67F8E4DC">
            <w:pPr>
              <w:pStyle w:val="11"/>
              <w:keepNext w:val="0"/>
              <w:keepLines w:val="0"/>
              <w:pageBreakBefore w:val="0"/>
              <w:widowControl w:val="0"/>
              <w:numPr>
                <w:ilvl w:val="0"/>
                <w:numId w:val="0"/>
              </w:numPr>
              <w:kinsoku/>
              <w:wordWrap/>
              <w:overflowPunct/>
              <w:topLinePunct w:val="0"/>
              <w:bidi w:val="0"/>
              <w:adjustRightInd/>
              <w:snapToGrid/>
              <w:spacing w:line="360" w:lineRule="auto"/>
              <w:ind w:firstLine="502" w:firstLineChars="200"/>
              <w:rPr>
                <w:rFonts w:hint="default" w:ascii="Times New Roman" w:hAnsi="Times New Roman" w:eastAsia="宋体" w:cs="Times New Roman"/>
                <w:color w:val="auto"/>
                <w:spacing w:val="0"/>
                <w:kern w:val="0"/>
                <w:sz w:val="24"/>
                <w:szCs w:val="20"/>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实施方案</w:t>
            </w:r>
            <w:r>
              <w:rPr>
                <w:rFonts w:hint="eastAsia" w:ascii="Times New Roman" w:cs="Times New Roman"/>
                <w:b/>
                <w:color w:val="auto"/>
                <w:kern w:val="0"/>
                <w:sz w:val="24"/>
                <w:szCs w:val="24"/>
                <w:highlight w:val="none"/>
                <w:lang w:val="en-US" w:eastAsia="zh-CN" w:bidi="ar-SA"/>
              </w:rPr>
              <w:t>要求：</w:t>
            </w:r>
            <w:r>
              <w:rPr>
                <w:rFonts w:hint="eastAsia" w:ascii="Times New Roman" w:hAnsi="Times New Roman" w:eastAsia="宋体" w:cs="Times New Roman"/>
                <w:color w:val="auto"/>
                <w:spacing w:val="0"/>
                <w:kern w:val="0"/>
                <w:sz w:val="24"/>
                <w:szCs w:val="20"/>
                <w:highlight w:val="none"/>
                <w:lang w:val="en-US" w:eastAsia="zh-CN" w:bidi="ar-SA"/>
              </w:rPr>
              <w:t>（1）</w:t>
            </w:r>
            <w:r>
              <w:rPr>
                <w:rFonts w:hint="default" w:ascii="Times New Roman" w:hAnsi="Times New Roman" w:eastAsia="宋体" w:cs="Times New Roman"/>
                <w:color w:val="auto"/>
                <w:spacing w:val="0"/>
                <w:kern w:val="0"/>
                <w:sz w:val="24"/>
                <w:szCs w:val="20"/>
                <w:highlight w:val="none"/>
                <w:lang w:val="en-US" w:eastAsia="zh-CN" w:bidi="ar-SA"/>
              </w:rPr>
              <w:t>加快工业炉窑燃料清洁替代。有序推进以电代煤，积极稳妥推进以气代煤。稳步推进在用高污染燃料的工业炉窑改用工业余热、电能、天然气等。</w:t>
            </w:r>
          </w:p>
          <w:p w14:paraId="0428A736">
            <w:pPr>
              <w:keepNext w:val="0"/>
              <w:keepLines w:val="0"/>
              <w:pageBreakBefore w:val="0"/>
              <w:widowControl w:val="0"/>
              <w:numPr>
                <w:ilvl w:val="0"/>
                <w:numId w:val="3"/>
              </w:numPr>
              <w:kinsoku/>
              <w:wordWrap/>
              <w:overflowPunct/>
              <w:topLinePunct w:val="0"/>
              <w:bidi w:val="0"/>
              <w:adjustRightInd/>
              <w:snapToGrid/>
              <w:spacing w:line="360" w:lineRule="auto"/>
              <w:ind w:firstLine="480" w:firstLineChars="200"/>
              <w:rPr>
                <w:rFonts w:hint="default" w:ascii="Times New Roman" w:hAnsi="Times New Roman" w:eastAsia="宋体" w:cs="Times New Roman"/>
                <w:color w:val="auto"/>
                <w:spacing w:val="0"/>
                <w:kern w:val="0"/>
                <w:sz w:val="24"/>
                <w:szCs w:val="20"/>
                <w:highlight w:val="none"/>
                <w:lang w:val="en-US" w:eastAsia="zh-CN" w:bidi="ar-SA"/>
              </w:rPr>
            </w:pPr>
            <w:r>
              <w:rPr>
                <w:rFonts w:hint="default" w:ascii="Times New Roman" w:hAnsi="Times New Roman" w:eastAsia="宋体" w:cs="Times New Roman"/>
                <w:color w:val="auto"/>
                <w:spacing w:val="0"/>
                <w:kern w:val="0"/>
                <w:sz w:val="24"/>
                <w:szCs w:val="20"/>
                <w:highlight w:val="none"/>
                <w:lang w:val="en-US" w:eastAsia="zh-CN" w:bidi="ar-SA"/>
              </w:rPr>
              <w:t>加强工业企业监管，确保全面稳定达标排放。结合新制（修）订的排放标准，推进玻璃、石灰、矿棉、有色等行业实施深度治理。全面排查锅炉、炉窑、VOCs等低效失效大气污染治理设施，对采用脱硫脱硝一体化、湿法脱硝、微生物法脱硝、单一低温等离子、光氧化、光催化以及非水溶性VOCs废气采用单一喷淋吸收等治理工艺实施整治。燃气锅炉实施低氮燃烧改造，对低氮燃烧器、烟气再循环系统、分级燃烧系统、燃料及风量调配系统等关键部件要严把质量关，确保低氮燃烧系统稳定运行。生物质锅炉采用专用锅炉，配套布袋等高效除尘设施，禁止掺烧煤炭、生活垃圾等其他物料。推进整合小型生物质锅炉，积极引导城市建成区内生物质锅炉（含电力）超低排放改造。强化治污设施运行维护，减少非正常工况排放。严格旁路监管，重点涉气企业逐步取消烟气和含VOCs废气旁路，因安全生产需要无法取消的，需向当地生态环境部门报备，安装在线监控系统及备用处置设施，在非紧急情况下保持关闭并加强监管。</w:t>
            </w:r>
          </w:p>
          <w:p w14:paraId="2862868F">
            <w:pPr>
              <w:keepNext w:val="0"/>
              <w:keepLines w:val="0"/>
              <w:pageBreakBefore w:val="0"/>
              <w:widowControl w:val="0"/>
              <w:numPr>
                <w:ilvl w:val="0"/>
                <w:numId w:val="0"/>
              </w:numPr>
              <w:kinsoku/>
              <w:wordWrap/>
              <w:overflowPunct/>
              <w:topLinePunct w:val="0"/>
              <w:bidi w:val="0"/>
              <w:adjustRightInd/>
              <w:snapToGrid/>
              <w:spacing w:line="360" w:lineRule="auto"/>
              <w:ind w:firstLine="480" w:firstLineChars="200"/>
              <w:rPr>
                <w:rFonts w:hint="default" w:ascii="Times New Roman" w:hAnsi="Times New Roman" w:eastAsia="宋体" w:cs="Times New Roman"/>
                <w:color w:val="auto"/>
                <w:spacing w:val="0"/>
                <w:kern w:val="0"/>
                <w:sz w:val="24"/>
                <w:szCs w:val="20"/>
                <w:highlight w:val="none"/>
                <w:lang w:val="en-US" w:eastAsia="zh-CN" w:bidi="ar-SA"/>
              </w:rPr>
            </w:pPr>
            <w:r>
              <w:rPr>
                <w:rFonts w:hint="default" w:ascii="Times New Roman" w:hAnsi="Times New Roman" w:eastAsia="宋体" w:cs="Times New Roman"/>
                <w:color w:val="auto"/>
                <w:spacing w:val="0"/>
                <w:kern w:val="0"/>
                <w:sz w:val="24"/>
                <w:szCs w:val="20"/>
                <w:highlight w:val="none"/>
                <w:lang w:val="en-US" w:eastAsia="zh-CN" w:bidi="ar-SA"/>
              </w:rPr>
              <w:t>本项目</w:t>
            </w:r>
            <w:r>
              <w:rPr>
                <w:rFonts w:hint="eastAsia" w:ascii="Times New Roman" w:hAnsi="Times New Roman" w:eastAsia="宋体" w:cs="Times New Roman"/>
                <w:color w:val="auto"/>
                <w:spacing w:val="0"/>
                <w:kern w:val="0"/>
                <w:sz w:val="24"/>
                <w:szCs w:val="20"/>
                <w:highlight w:val="none"/>
                <w:lang w:val="en-US" w:eastAsia="zh-CN" w:bidi="ar-SA"/>
              </w:rPr>
              <w:t>生物质</w:t>
            </w:r>
            <w:r>
              <w:rPr>
                <w:rFonts w:hint="default" w:ascii="Times New Roman" w:hAnsi="Times New Roman" w:eastAsia="宋体" w:cs="Times New Roman"/>
                <w:color w:val="auto"/>
                <w:spacing w:val="0"/>
                <w:kern w:val="0"/>
                <w:sz w:val="24"/>
                <w:szCs w:val="20"/>
                <w:highlight w:val="none"/>
                <w:lang w:val="en-US" w:eastAsia="zh-CN" w:bidi="ar-SA"/>
              </w:rPr>
              <w:t>热风炉烟气经除尘效率为99</w:t>
            </w:r>
            <w:r>
              <w:rPr>
                <w:rFonts w:hint="eastAsia" w:ascii="Times New Roman" w:hAnsi="Times New Roman" w:eastAsia="宋体" w:cs="Times New Roman"/>
                <w:color w:val="auto"/>
                <w:spacing w:val="0"/>
                <w:kern w:val="0"/>
                <w:sz w:val="24"/>
                <w:szCs w:val="20"/>
                <w:highlight w:val="none"/>
                <w:lang w:val="en-US" w:eastAsia="zh-CN" w:bidi="ar-SA"/>
              </w:rPr>
              <w:t>.5</w:t>
            </w:r>
            <w:r>
              <w:rPr>
                <w:rFonts w:hint="default" w:ascii="Times New Roman" w:hAnsi="Times New Roman" w:eastAsia="宋体" w:cs="Times New Roman"/>
                <w:color w:val="auto"/>
                <w:spacing w:val="0"/>
                <w:kern w:val="0"/>
                <w:sz w:val="24"/>
                <w:szCs w:val="20"/>
                <w:highlight w:val="none"/>
                <w:lang w:val="en-US" w:eastAsia="zh-CN" w:bidi="ar-SA"/>
              </w:rPr>
              <w:t>%的布袋除尘器处理后经1</w:t>
            </w:r>
            <w:r>
              <w:rPr>
                <w:rFonts w:hint="eastAsia" w:ascii="Times New Roman" w:hAnsi="Times New Roman" w:eastAsia="宋体" w:cs="Times New Roman"/>
                <w:color w:val="auto"/>
                <w:spacing w:val="0"/>
                <w:kern w:val="0"/>
                <w:sz w:val="24"/>
                <w:szCs w:val="20"/>
                <w:highlight w:val="none"/>
                <w:lang w:val="en-US" w:eastAsia="zh-CN" w:bidi="ar-SA"/>
              </w:rPr>
              <w:t>5</w:t>
            </w:r>
            <w:r>
              <w:rPr>
                <w:rFonts w:hint="default" w:ascii="Times New Roman" w:hAnsi="Times New Roman" w:eastAsia="宋体" w:cs="Times New Roman"/>
                <w:color w:val="auto"/>
                <w:spacing w:val="0"/>
                <w:kern w:val="0"/>
                <w:sz w:val="24"/>
                <w:szCs w:val="20"/>
                <w:highlight w:val="none"/>
                <w:lang w:val="en-US" w:eastAsia="zh-CN" w:bidi="ar-SA"/>
              </w:rPr>
              <w:t>m高烟囱排放，烟尘、烟气黑度排放浓度满足《工业炉窑大气污染物排放标准》（GB9078-1996）表2二级标准，SO</w:t>
            </w:r>
            <w:r>
              <w:rPr>
                <w:rFonts w:hint="default" w:ascii="Times New Roman" w:hAnsi="Times New Roman" w:eastAsia="宋体" w:cs="Times New Roman"/>
                <w:color w:val="auto"/>
                <w:spacing w:val="0"/>
                <w:kern w:val="0"/>
                <w:sz w:val="24"/>
                <w:szCs w:val="20"/>
                <w:highlight w:val="none"/>
                <w:vertAlign w:val="subscript"/>
                <w:lang w:val="en-US" w:eastAsia="zh-CN" w:bidi="ar-SA"/>
              </w:rPr>
              <w:t>2</w:t>
            </w:r>
            <w:r>
              <w:rPr>
                <w:rFonts w:hint="default" w:ascii="Times New Roman" w:hAnsi="Times New Roman" w:eastAsia="宋体" w:cs="Times New Roman"/>
                <w:color w:val="auto"/>
                <w:spacing w:val="0"/>
                <w:kern w:val="0"/>
                <w:sz w:val="24"/>
                <w:szCs w:val="20"/>
                <w:highlight w:val="none"/>
                <w:lang w:val="en-US" w:eastAsia="zh-CN" w:bidi="ar-SA"/>
              </w:rPr>
              <w:t>、汞排放浓度满足《工业炉窑大气污染物排放标准》（GB9078-1996）表4二级标准。因此本项目建设符合</w:t>
            </w:r>
            <w:r>
              <w:rPr>
                <w:rFonts w:hint="eastAsia" w:ascii="Times New Roman" w:hAnsi="Times New Roman" w:eastAsia="宋体" w:cs="Times New Roman"/>
                <w:color w:val="auto"/>
                <w:spacing w:val="0"/>
                <w:kern w:val="0"/>
                <w:sz w:val="24"/>
                <w:szCs w:val="20"/>
                <w:highlight w:val="none"/>
                <w:lang w:val="en-US" w:eastAsia="zh-CN" w:bidi="ar-SA"/>
              </w:rPr>
              <w:t>《黑龙江省空气质量持续改善行动计划实施方案》</w:t>
            </w:r>
            <w:r>
              <w:rPr>
                <w:rFonts w:hint="default" w:ascii="Times New Roman" w:hAnsi="Times New Roman" w:eastAsia="宋体" w:cs="Times New Roman"/>
                <w:color w:val="auto"/>
                <w:spacing w:val="0"/>
                <w:kern w:val="0"/>
                <w:sz w:val="24"/>
                <w:szCs w:val="20"/>
                <w:highlight w:val="none"/>
                <w:lang w:val="en-US" w:eastAsia="zh-CN" w:bidi="ar-SA"/>
              </w:rPr>
              <w:t>相关要求。</w:t>
            </w:r>
          </w:p>
          <w:p w14:paraId="0E824592">
            <w:pPr>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kern w:val="0"/>
                <w:sz w:val="24"/>
                <w:szCs w:val="24"/>
                <w:highlight w:val="none"/>
                <w:lang w:val="en-US" w:eastAsia="zh-CN" w:bidi="ar-SA"/>
              </w:rPr>
            </w:pPr>
            <w:r>
              <w:rPr>
                <w:rFonts w:hint="eastAsia" w:ascii="Times New Roman" w:hAnsi="Times New Roman" w:eastAsia="宋体" w:cs="Times New Roman"/>
                <w:b/>
                <w:color w:val="auto"/>
                <w:kern w:val="0"/>
                <w:sz w:val="24"/>
                <w:szCs w:val="24"/>
                <w:highlight w:val="none"/>
                <w:lang w:val="en-US" w:eastAsia="zh-CN" w:bidi="ar-SA"/>
              </w:rPr>
              <w:t>与《</w:t>
            </w:r>
            <w:r>
              <w:rPr>
                <w:rFonts w:hint="eastAsia" w:cs="Times New Roman"/>
                <w:b/>
                <w:color w:val="auto"/>
                <w:kern w:val="0"/>
                <w:sz w:val="24"/>
                <w:szCs w:val="24"/>
                <w:highlight w:val="none"/>
                <w:lang w:val="en-US" w:eastAsia="zh-CN" w:bidi="ar-SA"/>
              </w:rPr>
              <w:t>鸡西市</w:t>
            </w:r>
            <w:r>
              <w:rPr>
                <w:rFonts w:hint="eastAsia" w:ascii="Times New Roman" w:hAnsi="Times New Roman" w:eastAsia="宋体" w:cs="Times New Roman"/>
                <w:b/>
                <w:color w:val="auto"/>
                <w:kern w:val="0"/>
                <w:sz w:val="24"/>
                <w:szCs w:val="24"/>
                <w:highlight w:val="none"/>
                <w:lang w:val="en-US" w:eastAsia="zh-CN" w:bidi="ar-SA"/>
              </w:rPr>
              <w:t>空气质量持续改善行动计划</w:t>
            </w:r>
            <w:r>
              <w:rPr>
                <w:rFonts w:hint="eastAsia" w:cs="Times New Roman"/>
                <w:b/>
                <w:color w:val="auto"/>
                <w:kern w:val="0"/>
                <w:sz w:val="24"/>
                <w:szCs w:val="24"/>
                <w:highlight w:val="none"/>
                <w:lang w:val="en-US" w:eastAsia="zh-CN" w:bidi="ar-SA"/>
              </w:rPr>
              <w:t>贯彻落实</w:t>
            </w:r>
            <w:r>
              <w:rPr>
                <w:rFonts w:hint="eastAsia" w:ascii="Times New Roman" w:hAnsi="Times New Roman" w:eastAsia="宋体" w:cs="Times New Roman"/>
                <w:b/>
                <w:color w:val="auto"/>
                <w:kern w:val="0"/>
                <w:sz w:val="24"/>
                <w:szCs w:val="24"/>
                <w:highlight w:val="none"/>
                <w:lang w:val="en-US" w:eastAsia="zh-CN" w:bidi="ar-SA"/>
              </w:rPr>
              <w:t>方案》的通知</w:t>
            </w:r>
            <w:r>
              <w:rPr>
                <w:rFonts w:hint="eastAsia" w:cs="Times New Roman"/>
                <w:b/>
                <w:color w:val="auto"/>
                <w:kern w:val="0"/>
                <w:sz w:val="24"/>
                <w:szCs w:val="24"/>
                <w:highlight w:val="none"/>
                <w:lang w:val="en-US" w:eastAsia="zh-CN" w:bidi="ar-SA"/>
              </w:rPr>
              <w:t>鸡</w:t>
            </w:r>
            <w:r>
              <w:rPr>
                <w:rFonts w:hint="eastAsia" w:ascii="Times New Roman" w:hAnsi="Times New Roman" w:eastAsia="宋体" w:cs="Times New Roman"/>
                <w:b/>
                <w:color w:val="auto"/>
                <w:kern w:val="0"/>
                <w:sz w:val="24"/>
                <w:szCs w:val="24"/>
                <w:highlight w:val="none"/>
                <w:lang w:val="en-US" w:eastAsia="zh-CN" w:bidi="ar-SA"/>
              </w:rPr>
              <w:t>政发〔202</w:t>
            </w:r>
            <w:r>
              <w:rPr>
                <w:rFonts w:hint="eastAsia" w:cs="Times New Roman"/>
                <w:b/>
                <w:color w:val="auto"/>
                <w:kern w:val="0"/>
                <w:sz w:val="24"/>
                <w:szCs w:val="24"/>
                <w:highlight w:val="none"/>
                <w:lang w:val="en-US" w:eastAsia="zh-CN" w:bidi="ar-SA"/>
              </w:rPr>
              <w:t>4</w:t>
            </w:r>
            <w:r>
              <w:rPr>
                <w:rFonts w:hint="eastAsia" w:ascii="Times New Roman" w:hAnsi="Times New Roman" w:eastAsia="宋体" w:cs="Times New Roman"/>
                <w:b/>
                <w:color w:val="auto"/>
                <w:kern w:val="0"/>
                <w:sz w:val="24"/>
                <w:szCs w:val="24"/>
                <w:highlight w:val="none"/>
                <w:lang w:val="en-US" w:eastAsia="zh-CN" w:bidi="ar-SA"/>
              </w:rPr>
              <w:t>〕</w:t>
            </w:r>
            <w:r>
              <w:rPr>
                <w:rFonts w:hint="eastAsia" w:cs="Times New Roman"/>
                <w:b/>
                <w:color w:val="auto"/>
                <w:kern w:val="0"/>
                <w:sz w:val="24"/>
                <w:szCs w:val="24"/>
                <w:highlight w:val="none"/>
                <w:lang w:val="en-US" w:eastAsia="zh-CN" w:bidi="ar-SA"/>
              </w:rPr>
              <w:t>6</w:t>
            </w:r>
            <w:r>
              <w:rPr>
                <w:rFonts w:hint="eastAsia" w:ascii="Times New Roman" w:hAnsi="Times New Roman" w:eastAsia="宋体" w:cs="Times New Roman"/>
                <w:b/>
                <w:color w:val="auto"/>
                <w:kern w:val="0"/>
                <w:sz w:val="24"/>
                <w:szCs w:val="24"/>
                <w:highlight w:val="none"/>
                <w:lang w:val="en-US" w:eastAsia="zh-CN" w:bidi="ar-SA"/>
              </w:rPr>
              <w:t>号</w:t>
            </w:r>
            <w:r>
              <w:rPr>
                <w:rFonts w:hint="default" w:ascii="Times New Roman" w:hAnsi="Times New Roman" w:eastAsia="宋体" w:cs="Times New Roman"/>
                <w:b/>
                <w:color w:val="auto"/>
                <w:kern w:val="0"/>
                <w:sz w:val="24"/>
                <w:szCs w:val="24"/>
                <w:highlight w:val="none"/>
                <w:lang w:val="en-US" w:eastAsia="zh-CN" w:bidi="ar-SA"/>
              </w:rPr>
              <w:t>符合性分析</w:t>
            </w:r>
          </w:p>
          <w:p w14:paraId="70258709">
            <w:pPr>
              <w:pStyle w:val="11"/>
              <w:keepNext w:val="0"/>
              <w:keepLines w:val="0"/>
              <w:pageBreakBefore w:val="0"/>
              <w:widowControl w:val="0"/>
              <w:numPr>
                <w:ilvl w:val="0"/>
                <w:numId w:val="0"/>
              </w:numPr>
              <w:kinsoku/>
              <w:wordWrap/>
              <w:overflowPunct/>
              <w:topLinePunct w:val="0"/>
              <w:bidi w:val="0"/>
              <w:adjustRightInd/>
              <w:snapToGrid/>
              <w:spacing w:line="360" w:lineRule="auto"/>
              <w:ind w:firstLine="502" w:firstLineChars="200"/>
              <w:rPr>
                <w:rFonts w:hint="default" w:ascii="Times New Roman" w:hAnsi="Times New Roman" w:eastAsia="宋体" w:cs="Times New Roman"/>
                <w:color w:val="auto"/>
                <w:spacing w:val="0"/>
                <w:kern w:val="0"/>
                <w:sz w:val="24"/>
                <w:szCs w:val="20"/>
                <w:highlight w:val="none"/>
                <w:lang w:val="en-US" w:eastAsia="zh-CN" w:bidi="ar-SA"/>
              </w:rPr>
            </w:pPr>
            <w:r>
              <w:rPr>
                <w:rFonts w:hint="eastAsia" w:ascii="Times New Roman" w:cs="Times New Roman"/>
                <w:b/>
                <w:color w:val="auto"/>
                <w:kern w:val="0"/>
                <w:sz w:val="24"/>
                <w:szCs w:val="24"/>
                <w:highlight w:val="none"/>
                <w:lang w:val="en-US" w:eastAsia="zh-CN" w:bidi="ar-SA"/>
              </w:rPr>
              <w:t>落实</w:t>
            </w:r>
            <w:r>
              <w:rPr>
                <w:rFonts w:hint="eastAsia" w:ascii="Times New Roman" w:hAnsi="Times New Roman" w:eastAsia="宋体" w:cs="Times New Roman"/>
                <w:b/>
                <w:color w:val="auto"/>
                <w:kern w:val="0"/>
                <w:sz w:val="24"/>
                <w:szCs w:val="24"/>
                <w:highlight w:val="none"/>
                <w:lang w:val="en-US" w:eastAsia="zh-CN" w:bidi="ar-SA"/>
              </w:rPr>
              <w:t>方案</w:t>
            </w:r>
            <w:r>
              <w:rPr>
                <w:rFonts w:hint="eastAsia" w:ascii="Times New Roman" w:cs="Times New Roman"/>
                <w:b/>
                <w:color w:val="auto"/>
                <w:kern w:val="0"/>
                <w:sz w:val="24"/>
                <w:szCs w:val="24"/>
                <w:highlight w:val="none"/>
                <w:lang w:val="en-US" w:eastAsia="zh-CN" w:bidi="ar-SA"/>
              </w:rPr>
              <w:t>要求：</w:t>
            </w:r>
            <w:r>
              <w:rPr>
                <w:rFonts w:hint="default" w:ascii="Times New Roman" w:hAnsi="Times New Roman" w:eastAsia="宋体" w:cs="Times New Roman"/>
                <w:color w:val="auto"/>
                <w:spacing w:val="0"/>
                <w:kern w:val="0"/>
                <w:sz w:val="24"/>
                <w:szCs w:val="20"/>
                <w:highlight w:val="none"/>
                <w:lang w:val="en-US" w:eastAsia="zh-CN" w:bidi="ar-SA"/>
              </w:rPr>
              <w:t>（十二）实施工业炉窑清洁能源替代。有序推进以电代煤，积极稳妥推进以气代煤。安全稳妥推进使用高污染燃料的工业炉窑改用工业余热、电能、天然气等。支持企业实施工业炉窑节能改造、余热余压利用、集中供热替代等项目。</w:t>
            </w:r>
          </w:p>
          <w:p w14:paraId="5974C70D">
            <w:pPr>
              <w:keepNext w:val="0"/>
              <w:keepLines w:val="0"/>
              <w:pageBreakBefore w:val="0"/>
              <w:widowControl w:val="0"/>
              <w:numPr>
                <w:ilvl w:val="0"/>
                <w:numId w:val="0"/>
              </w:numPr>
              <w:kinsoku/>
              <w:wordWrap/>
              <w:overflowPunct/>
              <w:topLinePunct w:val="0"/>
              <w:bidi w:val="0"/>
              <w:adjustRightInd/>
              <w:snapToGrid/>
              <w:spacing w:line="360" w:lineRule="auto"/>
              <w:ind w:firstLine="480" w:firstLineChars="200"/>
              <w:rPr>
                <w:rFonts w:hint="eastAsia" w:eastAsia="宋体"/>
                <w:color w:val="auto"/>
                <w:lang w:val="en-US" w:eastAsia="zh-CN"/>
              </w:rPr>
            </w:pPr>
            <w:r>
              <w:rPr>
                <w:rFonts w:hint="default" w:ascii="Times New Roman" w:hAnsi="Times New Roman" w:eastAsia="宋体" w:cs="Times New Roman"/>
                <w:color w:val="auto"/>
                <w:spacing w:val="0"/>
                <w:kern w:val="0"/>
                <w:sz w:val="24"/>
                <w:szCs w:val="20"/>
                <w:highlight w:val="none"/>
                <w:lang w:val="en-US" w:eastAsia="zh-CN" w:bidi="ar-SA"/>
              </w:rPr>
              <w:t>本项目</w:t>
            </w:r>
            <w:r>
              <w:rPr>
                <w:rFonts w:hint="eastAsia" w:ascii="Times New Roman" w:hAnsi="Times New Roman" w:eastAsia="宋体" w:cs="Times New Roman"/>
                <w:color w:val="auto"/>
                <w:spacing w:val="0"/>
                <w:kern w:val="0"/>
                <w:sz w:val="24"/>
                <w:szCs w:val="20"/>
                <w:highlight w:val="none"/>
                <w:lang w:val="en-US" w:eastAsia="zh-CN" w:bidi="ar-SA"/>
              </w:rPr>
              <w:t>生物质</w:t>
            </w:r>
            <w:r>
              <w:rPr>
                <w:rFonts w:hint="default" w:ascii="Times New Roman" w:hAnsi="Times New Roman" w:eastAsia="宋体" w:cs="Times New Roman"/>
                <w:color w:val="auto"/>
                <w:spacing w:val="0"/>
                <w:kern w:val="0"/>
                <w:sz w:val="24"/>
                <w:szCs w:val="20"/>
                <w:highlight w:val="none"/>
                <w:lang w:val="en-US" w:eastAsia="zh-CN" w:bidi="ar-SA"/>
              </w:rPr>
              <w:t>热风炉烟气经除尘效率为99</w:t>
            </w:r>
            <w:r>
              <w:rPr>
                <w:rFonts w:hint="eastAsia" w:ascii="Times New Roman" w:hAnsi="Times New Roman" w:eastAsia="宋体" w:cs="Times New Roman"/>
                <w:color w:val="auto"/>
                <w:spacing w:val="0"/>
                <w:kern w:val="0"/>
                <w:sz w:val="24"/>
                <w:szCs w:val="20"/>
                <w:highlight w:val="none"/>
                <w:lang w:val="en-US" w:eastAsia="zh-CN" w:bidi="ar-SA"/>
              </w:rPr>
              <w:t>.5</w:t>
            </w:r>
            <w:r>
              <w:rPr>
                <w:rFonts w:hint="default" w:ascii="Times New Roman" w:hAnsi="Times New Roman" w:eastAsia="宋体" w:cs="Times New Roman"/>
                <w:color w:val="auto"/>
                <w:spacing w:val="0"/>
                <w:kern w:val="0"/>
                <w:sz w:val="24"/>
                <w:szCs w:val="20"/>
                <w:highlight w:val="none"/>
                <w:lang w:val="en-US" w:eastAsia="zh-CN" w:bidi="ar-SA"/>
              </w:rPr>
              <w:t>%的布袋除尘器处理后经1</w:t>
            </w:r>
            <w:r>
              <w:rPr>
                <w:rFonts w:hint="eastAsia" w:ascii="Times New Roman" w:hAnsi="Times New Roman" w:eastAsia="宋体" w:cs="Times New Roman"/>
                <w:color w:val="auto"/>
                <w:spacing w:val="0"/>
                <w:kern w:val="0"/>
                <w:sz w:val="24"/>
                <w:szCs w:val="20"/>
                <w:highlight w:val="none"/>
                <w:lang w:val="en-US" w:eastAsia="zh-CN" w:bidi="ar-SA"/>
              </w:rPr>
              <w:t>5</w:t>
            </w:r>
            <w:r>
              <w:rPr>
                <w:rFonts w:hint="default" w:ascii="Times New Roman" w:hAnsi="Times New Roman" w:eastAsia="宋体" w:cs="Times New Roman"/>
                <w:color w:val="auto"/>
                <w:spacing w:val="0"/>
                <w:kern w:val="0"/>
                <w:sz w:val="24"/>
                <w:szCs w:val="20"/>
                <w:highlight w:val="none"/>
                <w:lang w:val="en-US" w:eastAsia="zh-CN" w:bidi="ar-SA"/>
              </w:rPr>
              <w:t>m高烟囱排放，烟尘、烟气黑度排放浓度满足《工业炉窑大气污染物排放标准》（GB9078-1996）表2二级标准，SO</w:t>
            </w:r>
            <w:r>
              <w:rPr>
                <w:rFonts w:hint="default" w:ascii="Times New Roman" w:hAnsi="Times New Roman" w:eastAsia="宋体" w:cs="Times New Roman"/>
                <w:color w:val="auto"/>
                <w:spacing w:val="0"/>
                <w:kern w:val="0"/>
                <w:sz w:val="24"/>
                <w:szCs w:val="20"/>
                <w:highlight w:val="none"/>
                <w:vertAlign w:val="subscript"/>
                <w:lang w:val="en-US" w:eastAsia="zh-CN" w:bidi="ar-SA"/>
              </w:rPr>
              <w:t>2</w:t>
            </w:r>
            <w:r>
              <w:rPr>
                <w:rFonts w:hint="default" w:ascii="Times New Roman" w:hAnsi="Times New Roman" w:eastAsia="宋体" w:cs="Times New Roman"/>
                <w:color w:val="auto"/>
                <w:spacing w:val="0"/>
                <w:kern w:val="0"/>
                <w:sz w:val="24"/>
                <w:szCs w:val="20"/>
                <w:highlight w:val="none"/>
                <w:lang w:val="en-US" w:eastAsia="zh-CN" w:bidi="ar-SA"/>
              </w:rPr>
              <w:t>、汞排放浓度满足《工业炉窑大气污染物排放标准》（GB9078-1996）表4二级标准。因此本项目建设符合</w:t>
            </w:r>
            <w:r>
              <w:rPr>
                <w:rFonts w:hint="eastAsia" w:ascii="Times New Roman" w:hAnsi="Times New Roman" w:eastAsia="宋体" w:cs="Times New Roman"/>
                <w:color w:val="auto"/>
                <w:spacing w:val="0"/>
                <w:kern w:val="0"/>
                <w:sz w:val="24"/>
                <w:szCs w:val="20"/>
                <w:highlight w:val="none"/>
                <w:lang w:val="en-US" w:eastAsia="zh-CN" w:bidi="ar-SA"/>
              </w:rPr>
              <w:t>《鸡西市空气质量持续改善行动计划贯彻落实方案》</w:t>
            </w:r>
            <w:r>
              <w:rPr>
                <w:rFonts w:hint="default" w:ascii="Times New Roman" w:hAnsi="Times New Roman" w:eastAsia="宋体" w:cs="Times New Roman"/>
                <w:color w:val="auto"/>
                <w:spacing w:val="0"/>
                <w:kern w:val="0"/>
                <w:sz w:val="24"/>
                <w:szCs w:val="20"/>
                <w:highlight w:val="none"/>
                <w:lang w:val="en-US" w:eastAsia="zh-CN" w:bidi="ar-SA"/>
              </w:rPr>
              <w:t>相关要求。</w:t>
            </w:r>
          </w:p>
        </w:tc>
      </w:tr>
    </w:tbl>
    <w:p w14:paraId="423E3AE0">
      <w:pPr>
        <w:spacing w:line="360" w:lineRule="auto"/>
        <w:outlineLvl w:val="9"/>
        <w:rPr>
          <w:color w:val="auto"/>
          <w:sz w:val="30"/>
        </w:rPr>
        <w:sectPr>
          <w:footerReference r:id="rId5" w:type="default"/>
          <w:pgSz w:w="11906" w:h="16838"/>
          <w:pgMar w:top="1247" w:right="1531" w:bottom="1361" w:left="1531" w:header="851" w:footer="1077" w:gutter="0"/>
          <w:pgNumType w:fmt="decimal" w:start="1"/>
          <w:cols w:space="720" w:num="1"/>
          <w:docGrid w:linePitch="312" w:charSpace="0"/>
        </w:sectPr>
      </w:pPr>
    </w:p>
    <w:p w14:paraId="05635CED">
      <w:pPr>
        <w:pStyle w:val="26"/>
        <w:spacing w:before="0" w:beforeAutospacing="0" w:after="0" w:afterAutospacing="0"/>
        <w:jc w:val="center"/>
        <w:outlineLvl w:val="0"/>
        <w:rPr>
          <w:rFonts w:ascii="Times New Roman" w:hAnsi="Times New Roman" w:eastAsia="宋体" w:cs="Times New Roman"/>
          <w:b/>
          <w:bCs/>
          <w:snapToGrid w:val="0"/>
          <w:color w:val="auto"/>
          <w:sz w:val="30"/>
          <w:szCs w:val="30"/>
        </w:rPr>
      </w:pPr>
      <w:bookmarkStart w:id="7" w:name="_Toc7886"/>
      <w:r>
        <w:rPr>
          <w:rFonts w:ascii="Times New Roman" w:hAnsi="Times New Roman" w:eastAsia="宋体" w:cs="Times New Roman"/>
          <w:b/>
          <w:bCs/>
          <w:snapToGrid w:val="0"/>
          <w:color w:val="auto"/>
          <w:sz w:val="30"/>
          <w:szCs w:val="30"/>
        </w:rPr>
        <w:t>二、建设项目工程分析</w:t>
      </w:r>
      <w:bookmarkEnd w:id="7"/>
    </w:p>
    <w:tbl>
      <w:tblPr>
        <w:tblStyle w:val="31"/>
        <w:tblW w:w="93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7"/>
        <w:gridCol w:w="8477"/>
      </w:tblGrid>
      <w:tr w14:paraId="5B0502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2" w:hRule="atLeast"/>
          <w:jc w:val="center"/>
        </w:trPr>
        <w:tc>
          <w:tcPr>
            <w:tcW w:w="823" w:type="dxa"/>
            <w:vAlign w:val="center"/>
          </w:tcPr>
          <w:p w14:paraId="58CC351A">
            <w:pPr>
              <w:pStyle w:val="26"/>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w:t>
            </w:r>
          </w:p>
          <w:p w14:paraId="65D02349">
            <w:pPr>
              <w:pStyle w:val="26"/>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设</w:t>
            </w:r>
          </w:p>
          <w:p w14:paraId="3E7A151B">
            <w:pPr>
              <w:pStyle w:val="26"/>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内</w:t>
            </w:r>
          </w:p>
          <w:p w14:paraId="36917D74">
            <w:pPr>
              <w:pStyle w:val="26"/>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容</w:t>
            </w:r>
          </w:p>
        </w:tc>
        <w:tc>
          <w:tcPr>
            <w:tcW w:w="7956" w:type="dxa"/>
          </w:tcPr>
          <w:p w14:paraId="761D56BB">
            <w:pPr>
              <w:spacing w:line="360" w:lineRule="auto"/>
              <w:ind w:firstLine="482" w:firstLineChars="200"/>
              <w:rPr>
                <w:b/>
                <w:color w:val="auto"/>
                <w:sz w:val="24"/>
              </w:rPr>
            </w:pPr>
            <w:r>
              <w:rPr>
                <w:b/>
                <w:color w:val="auto"/>
                <w:sz w:val="24"/>
              </w:rPr>
              <w:t>一、建设项目概况</w:t>
            </w:r>
          </w:p>
          <w:p w14:paraId="0466402D">
            <w:pPr>
              <w:spacing w:line="360" w:lineRule="auto"/>
              <w:ind w:firstLine="480" w:firstLineChars="200"/>
              <w:rPr>
                <w:color w:val="auto"/>
                <w:sz w:val="24"/>
                <w:szCs w:val="24"/>
                <w:highlight w:val="none"/>
              </w:rPr>
            </w:pPr>
            <w:r>
              <w:rPr>
                <w:rFonts w:hint="eastAsia"/>
                <w:color w:val="auto"/>
                <w:sz w:val="24"/>
                <w:highlight w:val="none"/>
                <w:lang w:eastAsia="zh-CN"/>
              </w:rPr>
              <w:t>本项目在虎林市双硕农业科技有限公司现有厂区内建设，不新增占地。项目建设热风炉房</w:t>
            </w:r>
            <w:r>
              <w:rPr>
                <w:rFonts w:hint="eastAsia"/>
                <w:color w:val="auto"/>
                <w:sz w:val="24"/>
                <w:highlight w:val="none"/>
                <w:lang w:val="en-US" w:eastAsia="zh-CN"/>
              </w:rPr>
              <w:t>1座，建筑面积500m</w:t>
            </w:r>
            <w:r>
              <w:rPr>
                <w:rFonts w:hint="eastAsia"/>
                <w:color w:val="auto"/>
                <w:sz w:val="24"/>
                <w:highlight w:val="none"/>
                <w:vertAlign w:val="superscript"/>
                <w:lang w:val="en-US" w:eastAsia="zh-CN"/>
              </w:rPr>
              <w:t>2</w:t>
            </w:r>
            <w:r>
              <w:rPr>
                <w:rFonts w:hint="default" w:ascii="Times New Roman" w:hAnsi="Times New Roman" w:cs="Times New Roman"/>
                <w:color w:val="auto"/>
                <w:sz w:val="24"/>
                <w:highlight w:val="none"/>
                <w:lang w:eastAsia="zh-CN"/>
              </w:rPr>
              <w:t>（内设</w:t>
            </w:r>
            <w:r>
              <w:rPr>
                <w:rFonts w:hint="default" w:ascii="Times New Roman" w:hAnsi="Times New Roman" w:cs="Times New Roman"/>
                <w:color w:val="auto"/>
                <w:sz w:val="24"/>
                <w:highlight w:val="none"/>
                <w:lang w:val="en-US" w:eastAsia="zh-CN"/>
              </w:rPr>
              <w:t>1台</w:t>
            </w:r>
            <w:r>
              <w:rPr>
                <w:rFonts w:hint="eastAsia" w:cs="Times New Roman"/>
                <w:color w:val="auto"/>
                <w:sz w:val="24"/>
                <w:highlight w:val="none"/>
                <w:lang w:val="en-US" w:eastAsia="zh-CN"/>
              </w:rPr>
              <w:t>600</w:t>
            </w:r>
            <w:r>
              <w:rPr>
                <w:rFonts w:hint="eastAsia" w:cs="Times New Roman"/>
                <w:bCs/>
                <w:color w:val="auto"/>
                <w:sz w:val="24"/>
                <w:highlight w:val="none"/>
                <w:lang w:val="en-US" w:eastAsia="zh-CN"/>
              </w:rPr>
              <w:t>万kcal</w:t>
            </w:r>
            <w:r>
              <w:rPr>
                <w:rFonts w:hint="default" w:ascii="Times New Roman" w:hAnsi="Times New Roman" w:cs="Times New Roman"/>
                <w:color w:val="auto"/>
                <w:sz w:val="24"/>
                <w:highlight w:val="none"/>
                <w:lang w:val="en-US" w:eastAsia="zh-CN"/>
              </w:rPr>
              <w:t>燃</w:t>
            </w:r>
            <w:r>
              <w:rPr>
                <w:rFonts w:hint="eastAsia" w:cs="Times New Roman"/>
                <w:color w:val="auto"/>
                <w:sz w:val="24"/>
                <w:highlight w:val="none"/>
                <w:lang w:val="en-US" w:eastAsia="zh-CN"/>
              </w:rPr>
              <w:t>生物质</w:t>
            </w:r>
            <w:r>
              <w:rPr>
                <w:rFonts w:hint="default" w:ascii="Times New Roman" w:hAnsi="Times New Roman" w:cs="Times New Roman"/>
                <w:color w:val="auto"/>
                <w:sz w:val="24"/>
                <w:highlight w:val="none"/>
                <w:lang w:val="en-US" w:eastAsia="zh-CN"/>
              </w:rPr>
              <w:t>热风炉）</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eastAsia="zh-CN"/>
              </w:rPr>
              <w:t>建设</w:t>
            </w:r>
            <w:r>
              <w:rPr>
                <w:rFonts w:hint="default" w:ascii="Times New Roman" w:hAnsi="Times New Roman" w:cs="Times New Roman"/>
                <w:color w:val="auto"/>
                <w:sz w:val="24"/>
                <w:highlight w:val="none"/>
              </w:rPr>
              <w:t>烘干塔</w:t>
            </w:r>
            <w:r>
              <w:rPr>
                <w:rFonts w:hint="default" w:ascii="Times New Roman" w:hAnsi="Times New Roman" w:cs="Times New Roman"/>
                <w:color w:val="auto"/>
                <w:sz w:val="24"/>
                <w:highlight w:val="none"/>
                <w:lang w:val="en-US" w:eastAsia="zh-CN"/>
              </w:rPr>
              <w:t>1座，烘干塔</w:t>
            </w:r>
            <w:r>
              <w:rPr>
                <w:rFonts w:hint="default" w:ascii="Times New Roman" w:hAnsi="Times New Roman" w:cs="Times New Roman"/>
                <w:color w:val="auto"/>
                <w:sz w:val="24"/>
                <w:highlight w:val="none"/>
                <w:lang w:eastAsia="zh-CN"/>
              </w:rPr>
              <w:t>烘干</w:t>
            </w:r>
            <w:r>
              <w:rPr>
                <w:rFonts w:hint="default" w:ascii="Times New Roman" w:hAnsi="Times New Roman" w:cs="Times New Roman"/>
                <w:color w:val="auto"/>
                <w:sz w:val="24"/>
                <w:highlight w:val="none"/>
              </w:rPr>
              <w:t>能力</w:t>
            </w:r>
            <w:r>
              <w:rPr>
                <w:rFonts w:hint="default" w:ascii="Times New Roman" w:hAnsi="Times New Roman" w:cs="Times New Roman"/>
                <w:color w:val="auto"/>
                <w:sz w:val="24"/>
                <w:highlight w:val="none"/>
                <w:lang w:eastAsia="zh-CN"/>
              </w:rPr>
              <w:t>为</w:t>
            </w:r>
            <w:r>
              <w:rPr>
                <w:rFonts w:hint="eastAsia" w:cs="Times New Roman"/>
                <w:color w:val="auto"/>
                <w:sz w:val="24"/>
                <w:highlight w:val="none"/>
                <w:lang w:val="en-US" w:eastAsia="zh-CN"/>
              </w:rPr>
              <w:t>500</w:t>
            </w:r>
            <w:r>
              <w:rPr>
                <w:rFonts w:hint="default" w:ascii="Times New Roman" w:hAnsi="Times New Roman" w:cs="Times New Roman"/>
                <w:color w:val="auto"/>
                <w:sz w:val="24"/>
                <w:highlight w:val="none"/>
              </w:rPr>
              <w:t>t/d，本项目</w:t>
            </w:r>
            <w:r>
              <w:rPr>
                <w:rFonts w:hint="default" w:ascii="Times New Roman" w:hAnsi="Times New Roman" w:cs="Times New Roman"/>
                <w:color w:val="auto"/>
                <w:sz w:val="24"/>
                <w:highlight w:val="none"/>
                <w:lang w:eastAsia="zh-CN"/>
              </w:rPr>
              <w:t>年烘干玉米</w:t>
            </w:r>
            <w:r>
              <w:rPr>
                <w:rFonts w:hint="eastAsia" w:cs="Times New Roman"/>
                <w:color w:val="auto"/>
                <w:sz w:val="24"/>
                <w:highlight w:val="none"/>
                <w:lang w:val="en-US" w:eastAsia="zh-CN"/>
              </w:rPr>
              <w:t>25000</w:t>
            </w:r>
            <w:r>
              <w:rPr>
                <w:rFonts w:hint="default" w:ascii="Times New Roman" w:hAnsi="Times New Roman" w:cs="Times New Roman"/>
                <w:color w:val="auto"/>
                <w:sz w:val="24"/>
                <w:highlight w:val="none"/>
                <w:lang w:val="en-US" w:eastAsia="zh-CN"/>
              </w:rPr>
              <w:t>吨</w:t>
            </w:r>
            <w:r>
              <w:rPr>
                <w:rFonts w:hint="default" w:ascii="Times New Roman" w:hAnsi="Times New Roman" w:cs="Times New Roman"/>
                <w:color w:val="auto"/>
                <w:kern w:val="0"/>
                <w:sz w:val="24"/>
                <w:szCs w:val="24"/>
                <w:highlight w:val="none"/>
                <w:lang w:val="en-US" w:eastAsia="zh-CN" w:bidi="ar"/>
              </w:rPr>
              <w:t>。</w:t>
            </w:r>
            <w:r>
              <w:rPr>
                <w:rFonts w:hint="eastAsia"/>
                <w:color w:val="auto"/>
                <w:sz w:val="24"/>
                <w:szCs w:val="24"/>
                <w:highlight w:val="none"/>
              </w:rPr>
              <w:t>具体建设内容以及建设规模见表</w:t>
            </w:r>
            <w:r>
              <w:rPr>
                <w:rFonts w:hint="eastAsia"/>
                <w:color w:val="auto"/>
                <w:sz w:val="24"/>
                <w:szCs w:val="24"/>
                <w:highlight w:val="none"/>
                <w:lang w:val="en-US" w:eastAsia="zh-CN"/>
              </w:rPr>
              <w:t>2</w:t>
            </w:r>
            <w:r>
              <w:rPr>
                <w:rFonts w:hint="eastAsia"/>
                <w:color w:val="auto"/>
                <w:sz w:val="24"/>
                <w:szCs w:val="24"/>
                <w:highlight w:val="none"/>
              </w:rPr>
              <w:t>-1。</w:t>
            </w:r>
          </w:p>
          <w:p w14:paraId="7DF12B85">
            <w:pPr>
              <w:jc w:val="center"/>
              <w:textAlignment w:val="baseline"/>
              <w:rPr>
                <w:b/>
                <w:bCs/>
                <w:color w:val="auto"/>
                <w:kern w:val="0"/>
                <w:sz w:val="24"/>
                <w:highlight w:val="none"/>
              </w:rPr>
            </w:pPr>
            <w:r>
              <w:rPr>
                <w:b/>
                <w:bCs/>
                <w:color w:val="auto"/>
                <w:kern w:val="0"/>
                <w:sz w:val="24"/>
                <w:highlight w:val="none"/>
              </w:rPr>
              <w:t>表</w:t>
            </w:r>
            <w:r>
              <w:rPr>
                <w:rFonts w:hint="eastAsia"/>
                <w:b/>
                <w:bCs/>
                <w:color w:val="auto"/>
                <w:kern w:val="0"/>
                <w:sz w:val="24"/>
                <w:highlight w:val="none"/>
                <w:lang w:val="en-US" w:eastAsia="zh-CN"/>
              </w:rPr>
              <w:t>2</w:t>
            </w:r>
            <w:r>
              <w:rPr>
                <w:b/>
                <w:bCs/>
                <w:color w:val="auto"/>
                <w:kern w:val="0"/>
                <w:sz w:val="24"/>
                <w:highlight w:val="none"/>
              </w:rPr>
              <w:t>-1 项目组成一览表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947"/>
              <w:gridCol w:w="4118"/>
              <w:gridCol w:w="1406"/>
            </w:tblGrid>
            <w:tr w14:paraId="079D8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noWrap w:val="0"/>
                  <w:vAlign w:val="center"/>
                </w:tcPr>
                <w:p w14:paraId="2C811AA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highlight w:val="none"/>
                    </w:rPr>
                  </w:pPr>
                  <w:r>
                    <w:rPr>
                      <w:color w:val="auto"/>
                      <w:sz w:val="21"/>
                      <w:szCs w:val="21"/>
                      <w:highlight w:val="none"/>
                    </w:rPr>
                    <w:t>序号</w:t>
                  </w:r>
                </w:p>
              </w:tc>
              <w:tc>
                <w:tcPr>
                  <w:tcW w:w="1947" w:type="dxa"/>
                  <w:noWrap w:val="0"/>
                  <w:vAlign w:val="center"/>
                </w:tcPr>
                <w:p w14:paraId="4EF2000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建筑物名称</w:t>
                  </w:r>
                </w:p>
              </w:tc>
              <w:tc>
                <w:tcPr>
                  <w:tcW w:w="4118" w:type="dxa"/>
                  <w:noWrap w:val="0"/>
                  <w:vAlign w:val="center"/>
                </w:tcPr>
                <w:p w14:paraId="686FE16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主要建设内容</w:t>
                  </w:r>
                </w:p>
              </w:tc>
              <w:tc>
                <w:tcPr>
                  <w:tcW w:w="1406" w:type="dxa"/>
                  <w:noWrap w:val="0"/>
                  <w:vAlign w:val="center"/>
                </w:tcPr>
                <w:p w14:paraId="7828F0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备注</w:t>
                  </w:r>
                </w:p>
              </w:tc>
            </w:tr>
            <w:tr w14:paraId="52EC3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noWrap w:val="0"/>
                  <w:vAlign w:val="center"/>
                </w:tcPr>
                <w:p w14:paraId="2770C47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w:t>
                  </w:r>
                </w:p>
              </w:tc>
              <w:tc>
                <w:tcPr>
                  <w:tcW w:w="7471" w:type="dxa"/>
                  <w:gridSpan w:val="3"/>
                  <w:noWrap w:val="0"/>
                  <w:vAlign w:val="center"/>
                </w:tcPr>
                <w:p w14:paraId="2520E80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主体工程</w:t>
                  </w:r>
                </w:p>
              </w:tc>
            </w:tr>
            <w:tr w14:paraId="24F3F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767" w:type="dxa"/>
                  <w:tcBorders>
                    <w:bottom w:val="single" w:color="auto" w:sz="4" w:space="0"/>
                  </w:tcBorders>
                  <w:noWrap w:val="0"/>
                  <w:vAlign w:val="center"/>
                </w:tcPr>
                <w:p w14:paraId="294914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lang w:val="en-US" w:eastAsia="zh-CN"/>
                    </w:rPr>
                    <w:t>1</w:t>
                  </w:r>
                </w:p>
              </w:tc>
              <w:tc>
                <w:tcPr>
                  <w:tcW w:w="1947" w:type="dxa"/>
                  <w:tcBorders>
                    <w:bottom w:val="single" w:color="auto" w:sz="4" w:space="0"/>
                  </w:tcBorders>
                  <w:noWrap w:val="0"/>
                  <w:vAlign w:val="center"/>
                </w:tcPr>
                <w:p w14:paraId="7E92061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lang w:val="en-US" w:eastAsia="zh-CN"/>
                    </w:rPr>
                    <w:t>2#</w:t>
                  </w:r>
                  <w:r>
                    <w:rPr>
                      <w:rFonts w:hint="eastAsia"/>
                      <w:color w:val="auto"/>
                      <w:sz w:val="21"/>
                      <w:szCs w:val="21"/>
                      <w:highlight w:val="none"/>
                      <w:lang w:eastAsia="zh-CN"/>
                    </w:rPr>
                    <w:t>热风炉房</w:t>
                  </w:r>
                </w:p>
              </w:tc>
              <w:tc>
                <w:tcPr>
                  <w:tcW w:w="4118" w:type="dxa"/>
                  <w:tcBorders>
                    <w:bottom w:val="single" w:color="auto" w:sz="4" w:space="0"/>
                  </w:tcBorders>
                  <w:noWrap w:val="0"/>
                  <w:vAlign w:val="center"/>
                </w:tcPr>
                <w:p w14:paraId="211561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olor w:val="auto"/>
                      <w:kern w:val="2"/>
                      <w:sz w:val="21"/>
                      <w:szCs w:val="21"/>
                      <w:highlight w:val="none"/>
                      <w:lang w:val="en-US" w:eastAsia="zh-CN" w:bidi="ar-SA"/>
                    </w:rPr>
                  </w:pPr>
                  <w:r>
                    <w:rPr>
                      <w:color w:val="auto"/>
                      <w:sz w:val="21"/>
                      <w:szCs w:val="21"/>
                      <w:highlight w:val="none"/>
                    </w:rPr>
                    <w:t>本项目建设</w:t>
                  </w:r>
                  <w:r>
                    <w:rPr>
                      <w:rFonts w:hint="eastAsia"/>
                      <w:color w:val="auto"/>
                      <w:sz w:val="21"/>
                      <w:szCs w:val="21"/>
                      <w:highlight w:val="none"/>
                      <w:lang w:eastAsia="zh-CN"/>
                    </w:rPr>
                    <w:t>热风炉房</w:t>
                  </w:r>
                  <w:r>
                    <w:rPr>
                      <w:rFonts w:hint="eastAsia"/>
                      <w:color w:val="auto"/>
                      <w:sz w:val="21"/>
                      <w:szCs w:val="21"/>
                      <w:highlight w:val="none"/>
                      <w:lang w:val="en-US" w:eastAsia="zh-CN"/>
                    </w:rPr>
                    <w:t>1</w:t>
                  </w:r>
                  <w:r>
                    <w:rPr>
                      <w:color w:val="auto"/>
                      <w:sz w:val="21"/>
                      <w:szCs w:val="21"/>
                      <w:highlight w:val="none"/>
                    </w:rPr>
                    <w:t>个，</w:t>
                  </w:r>
                  <w:r>
                    <w:rPr>
                      <w:rFonts w:hint="eastAsia"/>
                      <w:color w:val="auto"/>
                      <w:sz w:val="21"/>
                      <w:szCs w:val="21"/>
                      <w:highlight w:val="none"/>
                    </w:rPr>
                    <w:t>位于地块</w:t>
                  </w:r>
                  <w:r>
                    <w:rPr>
                      <w:rFonts w:hint="eastAsia"/>
                      <w:color w:val="auto"/>
                      <w:sz w:val="21"/>
                      <w:szCs w:val="21"/>
                      <w:highlight w:val="none"/>
                      <w:lang w:eastAsia="zh-CN"/>
                    </w:rPr>
                    <w:t>东南</w:t>
                  </w:r>
                  <w:r>
                    <w:rPr>
                      <w:rFonts w:hint="eastAsia"/>
                      <w:color w:val="auto"/>
                      <w:sz w:val="21"/>
                      <w:szCs w:val="21"/>
                      <w:highlight w:val="none"/>
                    </w:rPr>
                    <w:t>侧，</w:t>
                  </w:r>
                  <w:r>
                    <w:rPr>
                      <w:color w:val="auto"/>
                      <w:sz w:val="21"/>
                      <w:szCs w:val="21"/>
                      <w:highlight w:val="none"/>
                    </w:rPr>
                    <w:t>建筑面积：</w:t>
                  </w:r>
                  <w:r>
                    <w:rPr>
                      <w:rFonts w:hint="eastAsia"/>
                      <w:color w:val="auto"/>
                      <w:sz w:val="21"/>
                      <w:szCs w:val="21"/>
                      <w:highlight w:val="none"/>
                      <w:lang w:val="en-US" w:eastAsia="zh-CN"/>
                    </w:rPr>
                    <w:t>500</w:t>
                  </w:r>
                  <w:r>
                    <w:rPr>
                      <w:color w:val="auto"/>
                      <w:sz w:val="21"/>
                      <w:szCs w:val="21"/>
                      <w:highlight w:val="none"/>
                    </w:rPr>
                    <w:t>m</w:t>
                  </w:r>
                  <w:r>
                    <w:rPr>
                      <w:color w:val="auto"/>
                      <w:sz w:val="21"/>
                      <w:szCs w:val="21"/>
                      <w:highlight w:val="none"/>
                      <w:vertAlign w:val="superscript"/>
                    </w:rPr>
                    <w:t>2</w:t>
                  </w:r>
                  <w:r>
                    <w:rPr>
                      <w:color w:val="auto"/>
                      <w:sz w:val="21"/>
                      <w:szCs w:val="21"/>
                      <w:highlight w:val="none"/>
                    </w:rPr>
                    <w:t>。内设</w:t>
                  </w:r>
                  <w:r>
                    <w:rPr>
                      <w:rFonts w:hint="eastAsia"/>
                      <w:color w:val="auto"/>
                      <w:sz w:val="21"/>
                      <w:szCs w:val="21"/>
                      <w:highlight w:val="none"/>
                      <w:lang w:val="en-US" w:eastAsia="zh-CN"/>
                    </w:rPr>
                    <w:t>1</w:t>
                  </w:r>
                  <w:r>
                    <w:rPr>
                      <w:color w:val="auto"/>
                      <w:sz w:val="21"/>
                      <w:szCs w:val="21"/>
                      <w:highlight w:val="none"/>
                    </w:rPr>
                    <w:t>台</w:t>
                  </w:r>
                  <w:r>
                    <w:rPr>
                      <w:rFonts w:hint="eastAsia" w:cs="Times New Roman"/>
                      <w:color w:val="auto"/>
                      <w:sz w:val="21"/>
                      <w:szCs w:val="21"/>
                      <w:highlight w:val="none"/>
                      <w:lang w:val="en-US" w:eastAsia="zh-CN"/>
                    </w:rPr>
                    <w:t>600</w:t>
                  </w:r>
                  <w:r>
                    <w:rPr>
                      <w:rFonts w:hint="eastAsia" w:ascii="Times New Roman" w:hAnsi="Times New Roman" w:eastAsia="宋体" w:cs="Times New Roman"/>
                      <w:color w:val="auto"/>
                      <w:sz w:val="21"/>
                      <w:szCs w:val="21"/>
                      <w:highlight w:val="none"/>
                      <w:lang w:val="en-US" w:eastAsia="zh-CN"/>
                    </w:rPr>
                    <w:t>万kcal</w:t>
                  </w:r>
                  <w:r>
                    <w:rPr>
                      <w:rFonts w:hint="eastAsia"/>
                      <w:color w:val="auto"/>
                      <w:sz w:val="21"/>
                      <w:szCs w:val="21"/>
                      <w:highlight w:val="none"/>
                      <w:lang w:val="en-US" w:eastAsia="zh-CN"/>
                    </w:rPr>
                    <w:t>生物质</w:t>
                  </w:r>
                  <w:r>
                    <w:rPr>
                      <w:color w:val="auto"/>
                      <w:sz w:val="21"/>
                      <w:szCs w:val="21"/>
                      <w:highlight w:val="none"/>
                    </w:rPr>
                    <w:t>热风炉，</w:t>
                  </w:r>
                  <w:r>
                    <w:rPr>
                      <w:rFonts w:hint="eastAsia"/>
                      <w:color w:val="auto"/>
                      <w:sz w:val="21"/>
                      <w:szCs w:val="21"/>
                      <w:highlight w:val="none"/>
                    </w:rPr>
                    <w:t>燃</w:t>
                  </w:r>
                  <w:r>
                    <w:rPr>
                      <w:rFonts w:hint="eastAsia"/>
                      <w:color w:val="auto"/>
                      <w:sz w:val="21"/>
                      <w:szCs w:val="21"/>
                      <w:highlight w:val="none"/>
                      <w:lang w:eastAsia="zh-CN"/>
                    </w:rPr>
                    <w:t>生物质颗粒</w:t>
                  </w:r>
                  <w:r>
                    <w:rPr>
                      <w:rFonts w:hint="eastAsia"/>
                      <w:color w:val="auto"/>
                      <w:sz w:val="21"/>
                      <w:szCs w:val="21"/>
                      <w:highlight w:val="none"/>
                    </w:rPr>
                    <w:t>量</w:t>
                  </w:r>
                  <w:r>
                    <w:rPr>
                      <w:rFonts w:hint="eastAsia"/>
                      <w:color w:val="auto"/>
                      <w:sz w:val="21"/>
                      <w:szCs w:val="21"/>
                      <w:highlight w:val="none"/>
                      <w:lang w:val="en-US" w:eastAsia="zh-CN"/>
                    </w:rPr>
                    <w:t>1762t/a。</w:t>
                  </w:r>
                </w:p>
              </w:tc>
              <w:tc>
                <w:tcPr>
                  <w:tcW w:w="1406" w:type="dxa"/>
                  <w:tcBorders>
                    <w:bottom w:val="single" w:color="auto" w:sz="4" w:space="0"/>
                  </w:tcBorders>
                  <w:noWrap w:val="0"/>
                  <w:vAlign w:val="center"/>
                </w:tcPr>
                <w:p w14:paraId="5D848F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color w:val="auto"/>
                      <w:sz w:val="21"/>
                      <w:szCs w:val="21"/>
                      <w:highlight w:val="none"/>
                      <w:lang w:eastAsia="zh-CN"/>
                    </w:rPr>
                    <w:t>新建</w:t>
                  </w:r>
                </w:p>
              </w:tc>
            </w:tr>
            <w:tr w14:paraId="28EC2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64488B8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1947" w:type="dxa"/>
                  <w:tcBorders>
                    <w:bottom w:val="single" w:color="auto" w:sz="4" w:space="0"/>
                  </w:tcBorders>
                  <w:noWrap w:val="0"/>
                  <w:vAlign w:val="center"/>
                </w:tcPr>
                <w:p w14:paraId="1B14854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eastAsia="zh-CN"/>
                    </w:rPr>
                  </w:pPr>
                  <w:r>
                    <w:rPr>
                      <w:rFonts w:hint="eastAsia"/>
                      <w:color w:val="auto"/>
                      <w:sz w:val="21"/>
                      <w:szCs w:val="21"/>
                      <w:highlight w:val="none"/>
                      <w:lang w:val="en-US" w:eastAsia="zh-CN"/>
                    </w:rPr>
                    <w:t>2#</w:t>
                  </w:r>
                  <w:r>
                    <w:rPr>
                      <w:rFonts w:hint="eastAsia"/>
                      <w:color w:val="auto"/>
                      <w:sz w:val="21"/>
                      <w:szCs w:val="21"/>
                      <w:highlight w:val="none"/>
                      <w:lang w:eastAsia="zh-CN"/>
                    </w:rPr>
                    <w:t>烘干塔</w:t>
                  </w:r>
                </w:p>
              </w:tc>
              <w:tc>
                <w:tcPr>
                  <w:tcW w:w="4118" w:type="dxa"/>
                  <w:tcBorders>
                    <w:bottom w:val="single" w:color="auto" w:sz="4" w:space="0"/>
                  </w:tcBorders>
                  <w:noWrap w:val="0"/>
                  <w:vAlign w:val="center"/>
                </w:tcPr>
                <w:p w14:paraId="07B319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lang w:val="en-US"/>
                    </w:rPr>
                  </w:pPr>
                  <w:r>
                    <w:rPr>
                      <w:rFonts w:hint="eastAsia" w:ascii="宋体" w:hAnsi="宋体" w:eastAsia="宋体" w:cs="宋体"/>
                      <w:color w:val="auto"/>
                      <w:kern w:val="0"/>
                      <w:sz w:val="21"/>
                      <w:szCs w:val="21"/>
                      <w:highlight w:val="none"/>
                      <w:lang w:val="en-US" w:eastAsia="zh-CN" w:bidi="ar"/>
                    </w:rPr>
                    <w:t>烘</w:t>
                  </w:r>
                  <w:r>
                    <w:rPr>
                      <w:rFonts w:hint="default" w:ascii="Times New Roman" w:hAnsi="Times New Roman" w:eastAsia="宋体" w:cs="Times New Roman"/>
                      <w:color w:val="auto"/>
                      <w:kern w:val="0"/>
                      <w:sz w:val="21"/>
                      <w:szCs w:val="21"/>
                      <w:highlight w:val="none"/>
                      <w:lang w:val="en-US" w:eastAsia="zh-CN" w:bidi="ar"/>
                    </w:rPr>
                    <w:t>干塔设置</w:t>
                  </w:r>
                  <w:r>
                    <w:rPr>
                      <w:rFonts w:hint="default" w:ascii="Times New Roman" w:hAnsi="Times New Roman"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座，</w:t>
                  </w:r>
                  <w:r>
                    <w:rPr>
                      <w:rFonts w:hint="default" w:ascii="Times New Roman" w:hAnsi="Times New Roman" w:cs="Times New Roman"/>
                      <w:color w:val="auto"/>
                      <w:kern w:val="0"/>
                      <w:sz w:val="21"/>
                      <w:szCs w:val="21"/>
                      <w:highlight w:val="none"/>
                      <w:lang w:val="en-US" w:eastAsia="zh-CN" w:bidi="ar"/>
                    </w:rPr>
                    <w:t>外形尺寸为5.5m×</w:t>
                  </w:r>
                  <w:r>
                    <w:rPr>
                      <w:rFonts w:hint="eastAsia" w:cs="Times New Roman"/>
                      <w:color w:val="auto"/>
                      <w:kern w:val="0"/>
                      <w:sz w:val="21"/>
                      <w:szCs w:val="21"/>
                      <w:highlight w:val="none"/>
                      <w:lang w:val="en-US" w:eastAsia="zh-CN" w:bidi="ar"/>
                    </w:rPr>
                    <w:t>5</w:t>
                  </w:r>
                  <w:r>
                    <w:rPr>
                      <w:rFonts w:hint="default" w:ascii="Times New Roman" w:hAnsi="Times New Roman" w:cs="Times New Roman"/>
                      <w:color w:val="auto"/>
                      <w:kern w:val="0"/>
                      <w:sz w:val="21"/>
                      <w:szCs w:val="21"/>
                      <w:highlight w:val="none"/>
                      <w:lang w:val="en-US" w:eastAsia="zh-CN" w:bidi="ar"/>
                    </w:rPr>
                    <w:t>m，烘干塔塔高2</w:t>
                  </w:r>
                  <w:r>
                    <w:rPr>
                      <w:rFonts w:hint="eastAsia" w:cs="Times New Roman"/>
                      <w:color w:val="auto"/>
                      <w:kern w:val="0"/>
                      <w:sz w:val="21"/>
                      <w:szCs w:val="21"/>
                      <w:highlight w:val="none"/>
                      <w:lang w:val="en-US" w:eastAsia="zh-CN" w:bidi="ar"/>
                    </w:rPr>
                    <w:t>5</w:t>
                  </w:r>
                  <w:r>
                    <w:rPr>
                      <w:rFonts w:hint="default" w:ascii="Times New Roman" w:hAnsi="Times New Roman"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lang w:val="en-US" w:eastAsia="zh-CN" w:bidi="ar"/>
                    </w:rPr>
                    <w:t>烘干塔烘干能力</w:t>
                  </w:r>
                  <w:r>
                    <w:rPr>
                      <w:rFonts w:hint="eastAsia" w:cs="Times New Roman"/>
                      <w:color w:val="auto"/>
                      <w:kern w:val="0"/>
                      <w:sz w:val="21"/>
                      <w:szCs w:val="21"/>
                      <w:highlight w:val="none"/>
                      <w:lang w:val="en-US" w:eastAsia="zh-CN" w:bidi="ar"/>
                    </w:rPr>
                    <w:t>500</w:t>
                  </w:r>
                  <w:r>
                    <w:rPr>
                      <w:rFonts w:hint="default" w:ascii="Times New Roman" w:hAnsi="Times New Roman" w:eastAsia="宋体" w:cs="Times New Roman"/>
                      <w:color w:val="auto"/>
                      <w:kern w:val="0"/>
                      <w:sz w:val="21"/>
                      <w:szCs w:val="21"/>
                      <w:highlight w:val="none"/>
                      <w:lang w:val="en-US" w:eastAsia="zh-CN" w:bidi="ar"/>
                    </w:rPr>
                    <w:t>t/d</w:t>
                  </w:r>
                </w:p>
              </w:tc>
              <w:tc>
                <w:tcPr>
                  <w:tcW w:w="1406" w:type="dxa"/>
                  <w:tcBorders>
                    <w:bottom w:val="single" w:color="auto" w:sz="4" w:space="0"/>
                  </w:tcBorders>
                  <w:noWrap w:val="0"/>
                  <w:vAlign w:val="center"/>
                </w:tcPr>
                <w:p w14:paraId="5EE4EB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highlight w:val="none"/>
                      <w:lang w:eastAsia="zh-CN"/>
                    </w:rPr>
                  </w:pPr>
                  <w:r>
                    <w:rPr>
                      <w:rFonts w:hint="eastAsia"/>
                      <w:color w:val="auto"/>
                      <w:sz w:val="21"/>
                      <w:szCs w:val="21"/>
                      <w:highlight w:val="none"/>
                      <w:lang w:eastAsia="zh-CN"/>
                    </w:rPr>
                    <w:t>新建</w:t>
                  </w:r>
                </w:p>
              </w:tc>
            </w:tr>
            <w:tr w14:paraId="7F8AFE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53BC911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val="en-US" w:eastAsia="zh-CN"/>
                    </w:rPr>
                  </w:pPr>
                </w:p>
              </w:tc>
              <w:tc>
                <w:tcPr>
                  <w:tcW w:w="7471" w:type="dxa"/>
                  <w:gridSpan w:val="3"/>
                  <w:tcBorders>
                    <w:bottom w:val="single" w:color="auto" w:sz="4" w:space="0"/>
                  </w:tcBorders>
                  <w:noWrap w:val="0"/>
                  <w:vAlign w:val="center"/>
                </w:tcPr>
                <w:p w14:paraId="6091D1B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highlight w:val="none"/>
                      <w:lang w:eastAsia="zh-CN"/>
                    </w:rPr>
                  </w:pPr>
                  <w:r>
                    <w:rPr>
                      <w:rFonts w:hint="eastAsia"/>
                      <w:color w:val="auto"/>
                      <w:sz w:val="21"/>
                      <w:szCs w:val="21"/>
                      <w:highlight w:val="none"/>
                      <w:lang w:eastAsia="zh-CN"/>
                    </w:rPr>
                    <w:t>储运工程</w:t>
                  </w:r>
                </w:p>
              </w:tc>
            </w:tr>
            <w:tr w14:paraId="4ADF9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6646DA3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947" w:type="dxa"/>
                  <w:tcBorders>
                    <w:bottom w:val="single" w:color="auto" w:sz="4" w:space="0"/>
                  </w:tcBorders>
                  <w:noWrap w:val="0"/>
                  <w:vAlign w:val="center"/>
                </w:tcPr>
                <w:p w14:paraId="6EF30C3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潮粮囤</w:t>
                  </w:r>
                </w:p>
              </w:tc>
              <w:tc>
                <w:tcPr>
                  <w:tcW w:w="4118" w:type="dxa"/>
                  <w:tcBorders>
                    <w:bottom w:val="single" w:color="auto" w:sz="4" w:space="0"/>
                  </w:tcBorders>
                  <w:noWrap w:val="0"/>
                  <w:vAlign w:val="center"/>
                </w:tcPr>
                <w:p w14:paraId="3A96C4D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潮粮囤</w:t>
                  </w:r>
                  <w:r>
                    <w:rPr>
                      <w:rFonts w:hint="eastAsia"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个，储存能力</w:t>
                  </w:r>
                  <w:r>
                    <w:rPr>
                      <w:rFonts w:hint="eastAsia"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00t</w:t>
                  </w:r>
                  <w:r>
                    <w:rPr>
                      <w:rFonts w:hint="eastAsia" w:cs="Times New Roman"/>
                      <w:color w:val="auto"/>
                      <w:sz w:val="21"/>
                      <w:szCs w:val="21"/>
                      <w:highlight w:val="none"/>
                      <w:lang w:val="en-US" w:eastAsia="zh-CN"/>
                    </w:rPr>
                    <w:t>潮粮囤3个，</w:t>
                  </w:r>
                  <w:r>
                    <w:rPr>
                      <w:rFonts w:hint="eastAsia" w:ascii="Times New Roman" w:hAnsi="Times New Roman" w:eastAsia="宋体" w:cs="Times New Roman"/>
                      <w:color w:val="auto"/>
                      <w:sz w:val="21"/>
                      <w:szCs w:val="21"/>
                      <w:highlight w:val="none"/>
                      <w:lang w:val="en-US" w:eastAsia="zh-CN"/>
                    </w:rPr>
                    <w:t>储存能力</w:t>
                  </w:r>
                  <w:r>
                    <w:rPr>
                      <w:rFonts w:hint="eastAsia" w:cs="Times New Roman"/>
                      <w:color w:val="auto"/>
                      <w:sz w:val="21"/>
                      <w:szCs w:val="21"/>
                      <w:highlight w:val="none"/>
                      <w:lang w:val="en-US" w:eastAsia="zh-CN"/>
                    </w:rPr>
                    <w:t>300</w:t>
                  </w:r>
                  <w:r>
                    <w:rPr>
                      <w:rFonts w:hint="eastAsia" w:ascii="Times New Roman" w:hAnsi="Times New Roman" w:eastAsia="宋体" w:cs="Times New Roman"/>
                      <w:color w:val="auto"/>
                      <w:sz w:val="21"/>
                      <w:szCs w:val="21"/>
                      <w:highlight w:val="none"/>
                      <w:lang w:val="en-US" w:eastAsia="zh-CN"/>
                    </w:rPr>
                    <w:t>t</w:t>
                  </w:r>
                  <w:r>
                    <w:rPr>
                      <w:rFonts w:hint="eastAsia" w:cs="Times New Roman"/>
                      <w:color w:val="auto"/>
                      <w:sz w:val="21"/>
                      <w:szCs w:val="21"/>
                      <w:highlight w:val="none"/>
                      <w:lang w:val="en-US" w:eastAsia="zh-CN"/>
                    </w:rPr>
                    <w:t>潮粮囤1个</w:t>
                  </w:r>
                </w:p>
              </w:tc>
              <w:tc>
                <w:tcPr>
                  <w:tcW w:w="1406" w:type="dxa"/>
                  <w:tcBorders>
                    <w:bottom w:val="single" w:color="auto" w:sz="4" w:space="0"/>
                  </w:tcBorders>
                  <w:noWrap w:val="0"/>
                  <w:vAlign w:val="center"/>
                </w:tcPr>
                <w:p w14:paraId="16A0B2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eastAsia="zh-CN"/>
                    </w:rPr>
                    <w:t>新建</w:t>
                  </w:r>
                </w:p>
              </w:tc>
            </w:tr>
            <w:tr w14:paraId="6832F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68215D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947" w:type="dxa"/>
                  <w:tcBorders>
                    <w:bottom w:val="single" w:color="auto" w:sz="4" w:space="0"/>
                  </w:tcBorders>
                  <w:noWrap w:val="0"/>
                  <w:vAlign w:val="center"/>
                </w:tcPr>
                <w:p w14:paraId="1FACC45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燃料</w:t>
                  </w:r>
                  <w:r>
                    <w:rPr>
                      <w:rFonts w:hint="eastAsia" w:cs="Times New Roman"/>
                      <w:color w:val="auto"/>
                      <w:sz w:val="21"/>
                      <w:szCs w:val="21"/>
                      <w:highlight w:val="none"/>
                      <w:lang w:val="en-US" w:eastAsia="zh-CN"/>
                    </w:rPr>
                    <w:t>仓</w:t>
                  </w:r>
                </w:p>
              </w:tc>
              <w:tc>
                <w:tcPr>
                  <w:tcW w:w="4118" w:type="dxa"/>
                  <w:tcBorders>
                    <w:bottom w:val="single" w:color="auto" w:sz="4" w:space="0"/>
                  </w:tcBorders>
                  <w:noWrap w:val="0"/>
                  <w:vAlign w:val="center"/>
                </w:tcPr>
                <w:p w14:paraId="637C3D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本项目燃料运输车辆全部采用苫布覆盖，定期运输至厂内</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热风炉房</w:t>
                  </w:r>
                  <w:r>
                    <w:rPr>
                      <w:rFonts w:hint="eastAsia" w:cs="Times New Roman"/>
                      <w:color w:val="auto"/>
                      <w:sz w:val="21"/>
                      <w:szCs w:val="21"/>
                      <w:highlight w:val="none"/>
                      <w:lang w:val="en-US" w:eastAsia="zh-CN"/>
                    </w:rPr>
                    <w:t>内独立密闭燃料仓</w:t>
                  </w:r>
                  <w:r>
                    <w:rPr>
                      <w:rFonts w:hint="eastAsia" w:ascii="Times New Roman" w:hAnsi="Times New Roman" w:eastAsia="宋体" w:cs="Times New Roman"/>
                      <w:color w:val="auto"/>
                      <w:sz w:val="21"/>
                      <w:szCs w:val="21"/>
                      <w:highlight w:val="none"/>
                      <w:lang w:val="en-US" w:eastAsia="zh-CN"/>
                    </w:rPr>
                    <w:t>暂存。</w:t>
                  </w:r>
                  <w:r>
                    <w:rPr>
                      <w:rFonts w:hint="eastAsia" w:cs="Times New Roman"/>
                      <w:color w:val="auto"/>
                      <w:sz w:val="21"/>
                      <w:szCs w:val="21"/>
                      <w:highlight w:val="none"/>
                      <w:lang w:val="en-US" w:eastAsia="zh-CN"/>
                    </w:rPr>
                    <w:t>暂存区面积为50m</w:t>
                  </w:r>
                  <w:r>
                    <w:rPr>
                      <w:rFonts w:hint="eastAsia"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w:t>
                  </w:r>
                </w:p>
              </w:tc>
              <w:tc>
                <w:tcPr>
                  <w:tcW w:w="1406" w:type="dxa"/>
                  <w:tcBorders>
                    <w:bottom w:val="single" w:color="auto" w:sz="4" w:space="0"/>
                  </w:tcBorders>
                  <w:noWrap w:val="0"/>
                  <w:vAlign w:val="center"/>
                </w:tcPr>
                <w:p w14:paraId="13DACC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eastAsia="zh-CN"/>
                    </w:rPr>
                    <w:t>新建</w:t>
                  </w:r>
                </w:p>
              </w:tc>
            </w:tr>
            <w:tr w14:paraId="74E27D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6F2BAC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1947" w:type="dxa"/>
                  <w:tcBorders>
                    <w:bottom w:val="single" w:color="auto" w:sz="4" w:space="0"/>
                  </w:tcBorders>
                  <w:noWrap w:val="0"/>
                  <w:vAlign w:val="center"/>
                </w:tcPr>
                <w:p w14:paraId="614F28D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灰渣仓</w:t>
                  </w:r>
                </w:p>
              </w:tc>
              <w:tc>
                <w:tcPr>
                  <w:tcW w:w="4118" w:type="dxa"/>
                  <w:tcBorders>
                    <w:bottom w:val="single" w:color="auto" w:sz="4" w:space="0"/>
                  </w:tcBorders>
                  <w:noWrap w:val="0"/>
                  <w:vAlign w:val="center"/>
                </w:tcPr>
                <w:p w14:paraId="2FA1D3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在2#热风炉内，设置1个30m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独立封闭式灰渣储藏间，最大储存量为25吨，</w:t>
                  </w:r>
                  <w:r>
                    <w:rPr>
                      <w:rFonts w:hint="eastAsia" w:ascii="Times New Roman" w:hAnsi="Times New Roman" w:eastAsia="宋体" w:cs="Times New Roman"/>
                      <w:color w:val="auto"/>
                      <w:sz w:val="21"/>
                      <w:szCs w:val="21"/>
                      <w:highlight w:val="none"/>
                      <w:lang w:val="en-US" w:eastAsia="zh-CN"/>
                    </w:rPr>
                    <w:t>热风炉灰渣（炉渣和布袋除尘器收尘灰）暂存于全封闭</w:t>
                  </w:r>
                  <w:r>
                    <w:rPr>
                      <w:rFonts w:hint="eastAsia" w:ascii="Times New Roman" w:hAnsi="Times New Roman" w:cs="Times New Roman"/>
                      <w:color w:val="auto"/>
                      <w:sz w:val="21"/>
                      <w:szCs w:val="21"/>
                      <w:highlight w:val="none"/>
                      <w:lang w:val="en-US" w:eastAsia="zh-CN"/>
                    </w:rPr>
                    <w:t>储藏间内</w:t>
                  </w:r>
                  <w:r>
                    <w:rPr>
                      <w:rFonts w:hint="eastAsia" w:ascii="Times New Roman" w:hAnsi="Times New Roman" w:eastAsia="宋体" w:cs="Times New Roman"/>
                      <w:color w:val="auto"/>
                      <w:sz w:val="21"/>
                      <w:szCs w:val="21"/>
                      <w:highlight w:val="none"/>
                      <w:lang w:val="en-US" w:eastAsia="zh-CN"/>
                    </w:rPr>
                    <w:t>，灰渣定期外售综合利用</w:t>
                  </w:r>
                  <w:r>
                    <w:rPr>
                      <w:rFonts w:hint="eastAsia" w:cs="Times New Roman"/>
                      <w:color w:val="auto"/>
                      <w:sz w:val="21"/>
                      <w:szCs w:val="21"/>
                      <w:highlight w:val="none"/>
                      <w:lang w:val="en-US" w:eastAsia="zh-CN"/>
                    </w:rPr>
                    <w:t>,灰渣储存周期为5天。</w:t>
                  </w:r>
                </w:p>
              </w:tc>
              <w:tc>
                <w:tcPr>
                  <w:tcW w:w="1406" w:type="dxa"/>
                  <w:tcBorders>
                    <w:bottom w:val="single" w:color="auto" w:sz="4" w:space="0"/>
                  </w:tcBorders>
                  <w:noWrap w:val="0"/>
                  <w:vAlign w:val="center"/>
                </w:tcPr>
                <w:p w14:paraId="310B286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eastAsia="zh-CN"/>
                    </w:rPr>
                    <w:t>新建</w:t>
                  </w:r>
                </w:p>
              </w:tc>
            </w:tr>
            <w:tr w14:paraId="61ADD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611F83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947" w:type="dxa"/>
                  <w:tcBorders>
                    <w:bottom w:val="single" w:color="auto" w:sz="4" w:space="0"/>
                  </w:tcBorders>
                  <w:noWrap w:val="0"/>
                  <w:vAlign w:val="center"/>
                </w:tcPr>
                <w:p w14:paraId="0B63AE1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成品库</w:t>
                  </w:r>
                </w:p>
              </w:tc>
              <w:tc>
                <w:tcPr>
                  <w:tcW w:w="4118" w:type="dxa"/>
                  <w:tcBorders>
                    <w:bottom w:val="single" w:color="auto" w:sz="4" w:space="0"/>
                  </w:tcBorders>
                  <w:noWrap w:val="0"/>
                  <w:vAlign w:val="center"/>
                </w:tcPr>
                <w:p w14:paraId="393F078B">
                  <w:pPr>
                    <w:keepNext w:val="0"/>
                    <w:keepLines w:val="0"/>
                    <w:widowControl/>
                    <w:suppressLineNumbers w:val="0"/>
                    <w:jc w:val="left"/>
                    <w:rPr>
                      <w:rFonts w:hint="eastAsia" w:cs="Times New Roman"/>
                      <w:color w:val="auto"/>
                      <w:sz w:val="21"/>
                      <w:szCs w:val="21"/>
                      <w:highlight w:val="none"/>
                      <w:lang w:val="en-US" w:eastAsia="zh-CN"/>
                    </w:rPr>
                  </w:pPr>
                  <w:r>
                    <w:rPr>
                      <w:rFonts w:hint="eastAsia" w:ascii="宋体" w:hAnsi="宋体" w:eastAsia="宋体" w:cs="宋体"/>
                      <w:color w:val="auto"/>
                      <w:kern w:val="0"/>
                      <w:sz w:val="20"/>
                      <w:szCs w:val="20"/>
                      <w:lang w:val="en-US" w:eastAsia="zh-CN" w:bidi="ar"/>
                    </w:rPr>
                    <w:t>成品库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座，建筑面积均为</w:t>
                  </w:r>
                  <w:r>
                    <w:rPr>
                      <w:rFonts w:hint="default" w:ascii="Times New Roman" w:hAnsi="Times New Roman" w:eastAsia="宋体" w:cs="Times New Roman"/>
                      <w:color w:val="auto"/>
                      <w:kern w:val="0"/>
                      <w:sz w:val="20"/>
                      <w:szCs w:val="20"/>
                      <w:lang w:val="en-US" w:eastAsia="zh-CN" w:bidi="ar"/>
                    </w:rPr>
                    <w:t>3129.69m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，用于储存成品粮食，最大储量为</w:t>
                  </w:r>
                  <w:r>
                    <w:rPr>
                      <w:rFonts w:hint="default" w:ascii="Times New Roman" w:hAnsi="Times New Roman" w:eastAsia="宋体" w:cs="Times New Roman"/>
                      <w:color w:val="auto"/>
                      <w:kern w:val="0"/>
                      <w:sz w:val="20"/>
                      <w:szCs w:val="20"/>
                      <w:lang w:val="en-US" w:eastAsia="zh-CN" w:bidi="ar"/>
                    </w:rPr>
                    <w:t>3</w:t>
                  </w:r>
                  <w:r>
                    <w:rPr>
                      <w:rFonts w:hint="eastAsia" w:ascii="宋体" w:hAnsi="宋体" w:eastAsia="宋体" w:cs="宋体"/>
                      <w:color w:val="auto"/>
                      <w:kern w:val="0"/>
                      <w:sz w:val="20"/>
                      <w:szCs w:val="20"/>
                      <w:lang w:val="en-US" w:eastAsia="zh-CN" w:bidi="ar"/>
                    </w:rPr>
                    <w:t>万</w:t>
                  </w:r>
                  <w:r>
                    <w:rPr>
                      <w:rFonts w:hint="default" w:ascii="Times New Roman" w:hAnsi="Times New Roman" w:eastAsia="宋体" w:cs="Times New Roman"/>
                      <w:color w:val="auto"/>
                      <w:kern w:val="0"/>
                      <w:sz w:val="20"/>
                      <w:szCs w:val="20"/>
                      <w:lang w:val="en-US" w:eastAsia="zh-CN" w:bidi="ar"/>
                    </w:rPr>
                    <w:t>t</w:t>
                  </w:r>
                  <w:r>
                    <w:rPr>
                      <w:rFonts w:hint="eastAsia" w:ascii="宋体" w:hAnsi="宋体" w:eastAsia="宋体" w:cs="宋体"/>
                      <w:color w:val="auto"/>
                      <w:kern w:val="0"/>
                      <w:sz w:val="20"/>
                      <w:szCs w:val="20"/>
                      <w:lang w:val="en-US" w:eastAsia="zh-CN" w:bidi="ar"/>
                    </w:rPr>
                    <w:t>，堆粮</w:t>
                  </w:r>
                  <w:r>
                    <w:rPr>
                      <w:rFonts w:hint="default" w:ascii="Times New Roman" w:hAnsi="Times New Roman" w:eastAsia="宋体" w:cs="Times New Roman"/>
                      <w:color w:val="auto"/>
                      <w:kern w:val="0"/>
                      <w:sz w:val="20"/>
                      <w:szCs w:val="20"/>
                      <w:lang w:val="en-US" w:eastAsia="zh-CN" w:bidi="ar"/>
                    </w:rPr>
                    <w:t>6.5m</w:t>
                  </w:r>
                  <w:r>
                    <w:rPr>
                      <w:rFonts w:hint="eastAsia" w:ascii="宋体" w:hAnsi="宋体" w:eastAsia="宋体" w:cs="宋体"/>
                      <w:color w:val="auto"/>
                      <w:kern w:val="0"/>
                      <w:sz w:val="20"/>
                      <w:szCs w:val="20"/>
                      <w:lang w:val="en-US" w:eastAsia="zh-CN" w:bidi="ar"/>
                    </w:rPr>
                    <w:t>。</w:t>
                  </w:r>
                </w:p>
              </w:tc>
              <w:tc>
                <w:tcPr>
                  <w:tcW w:w="1406" w:type="dxa"/>
                  <w:tcBorders>
                    <w:bottom w:val="single" w:color="auto" w:sz="4" w:space="0"/>
                  </w:tcBorders>
                  <w:noWrap w:val="0"/>
                  <w:vAlign w:val="center"/>
                </w:tcPr>
                <w:p w14:paraId="78CC9CC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eastAsia="zh-CN"/>
                    </w:rPr>
                  </w:pPr>
                  <w:r>
                    <w:rPr>
                      <w:rFonts w:hint="eastAsia"/>
                      <w:color w:val="auto"/>
                      <w:sz w:val="21"/>
                      <w:szCs w:val="21"/>
                      <w:highlight w:val="none"/>
                      <w:lang w:eastAsia="zh-CN"/>
                    </w:rPr>
                    <w:t>依托现有</w:t>
                  </w:r>
                </w:p>
              </w:tc>
            </w:tr>
            <w:tr w14:paraId="7EE2E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tcBorders>
                    <w:bottom w:val="single" w:color="auto" w:sz="4" w:space="0"/>
                  </w:tcBorders>
                  <w:noWrap w:val="0"/>
                  <w:vAlign w:val="center"/>
                </w:tcPr>
                <w:p w14:paraId="759EDD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947" w:type="dxa"/>
                  <w:tcBorders>
                    <w:bottom w:val="single" w:color="auto" w:sz="4" w:space="0"/>
                  </w:tcBorders>
                  <w:noWrap w:val="0"/>
                  <w:vAlign w:val="center"/>
                </w:tcPr>
                <w:p w14:paraId="386FA11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平房仓</w:t>
                  </w:r>
                </w:p>
              </w:tc>
              <w:tc>
                <w:tcPr>
                  <w:tcW w:w="4118" w:type="dxa"/>
                  <w:tcBorders>
                    <w:bottom w:val="single" w:color="auto" w:sz="4" w:space="0"/>
                  </w:tcBorders>
                  <w:noWrap w:val="0"/>
                  <w:vAlign w:val="center"/>
                </w:tcPr>
                <w:p w14:paraId="62177C6F">
                  <w:pPr>
                    <w:keepNext w:val="0"/>
                    <w:keepLines w:val="0"/>
                    <w:widowControl/>
                    <w:suppressLineNumbers w:val="0"/>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座，</w:t>
                  </w: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1#</w:t>
                  </w:r>
                  <w:r>
                    <w:rPr>
                      <w:rFonts w:hint="eastAsia" w:ascii="宋体" w:hAnsi="宋体" w:eastAsia="宋体" w:cs="宋体"/>
                      <w:color w:val="auto"/>
                      <w:kern w:val="0"/>
                      <w:sz w:val="20"/>
                      <w:szCs w:val="20"/>
                      <w:lang w:val="en-US" w:eastAsia="zh-CN" w:bidi="ar"/>
                    </w:rPr>
                    <w:t>建筑面积为</w:t>
                  </w:r>
                  <w:r>
                    <w:rPr>
                      <w:rFonts w:hint="default" w:ascii="Times New Roman" w:hAnsi="Times New Roman" w:eastAsia="宋体" w:cs="Times New Roman"/>
                      <w:color w:val="auto"/>
                      <w:kern w:val="0"/>
                      <w:sz w:val="20"/>
                      <w:szCs w:val="20"/>
                      <w:lang w:val="en-US" w:eastAsia="zh-CN" w:bidi="ar"/>
                    </w:rPr>
                    <w:t>920m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w:t>
                  </w: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建筑面积为</w:t>
                  </w:r>
                  <w:r>
                    <w:rPr>
                      <w:rFonts w:hint="default" w:ascii="Times New Roman" w:hAnsi="Times New Roman" w:eastAsia="宋体" w:cs="Times New Roman"/>
                      <w:color w:val="auto"/>
                      <w:kern w:val="0"/>
                      <w:sz w:val="20"/>
                      <w:szCs w:val="20"/>
                      <w:lang w:val="en-US" w:eastAsia="zh-CN" w:bidi="ar"/>
                    </w:rPr>
                    <w:t>1306m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，最大储量为</w:t>
                  </w:r>
                  <w:r>
                    <w:rPr>
                      <w:rFonts w:hint="default" w:ascii="Times New Roman" w:hAnsi="Times New Roman" w:eastAsia="宋体" w:cs="Times New Roman"/>
                      <w:color w:val="auto"/>
                      <w:kern w:val="0"/>
                      <w:sz w:val="20"/>
                      <w:szCs w:val="20"/>
                      <w:lang w:val="en-US" w:eastAsia="zh-CN" w:bidi="ar"/>
                    </w:rPr>
                    <w:t>9000t</w:t>
                  </w:r>
                  <w:r>
                    <w:rPr>
                      <w:rFonts w:hint="eastAsia" w:ascii="宋体" w:hAnsi="宋体" w:eastAsia="宋体" w:cs="宋体"/>
                      <w:color w:val="auto"/>
                      <w:kern w:val="0"/>
                      <w:sz w:val="20"/>
                      <w:szCs w:val="20"/>
                      <w:lang w:val="en-US" w:eastAsia="zh-CN" w:bidi="ar"/>
                    </w:rPr>
                    <w:t xml:space="preserve">，堆粮 </w:t>
                  </w:r>
                  <w:r>
                    <w:rPr>
                      <w:rFonts w:hint="default" w:ascii="Times New Roman" w:hAnsi="Times New Roman" w:eastAsia="宋体" w:cs="Times New Roman"/>
                      <w:color w:val="auto"/>
                      <w:kern w:val="0"/>
                      <w:sz w:val="20"/>
                      <w:szCs w:val="20"/>
                      <w:lang w:val="en-US" w:eastAsia="zh-CN" w:bidi="ar"/>
                    </w:rPr>
                    <w:t>6.5m</w:t>
                  </w:r>
                  <w:r>
                    <w:rPr>
                      <w:rFonts w:hint="eastAsia" w:ascii="宋体" w:hAnsi="宋体" w:eastAsia="宋体" w:cs="宋体"/>
                      <w:color w:val="auto"/>
                      <w:kern w:val="0"/>
                      <w:sz w:val="20"/>
                      <w:szCs w:val="20"/>
                      <w:lang w:val="en-US" w:eastAsia="zh-CN" w:bidi="ar"/>
                    </w:rPr>
                    <w:t>。</w:t>
                  </w:r>
                </w:p>
              </w:tc>
              <w:tc>
                <w:tcPr>
                  <w:tcW w:w="1406" w:type="dxa"/>
                  <w:tcBorders>
                    <w:bottom w:val="single" w:color="auto" w:sz="4" w:space="0"/>
                  </w:tcBorders>
                  <w:noWrap w:val="0"/>
                  <w:vAlign w:val="center"/>
                </w:tcPr>
                <w:p w14:paraId="6E1C67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eastAsia="zh-CN"/>
                    </w:rPr>
                  </w:pPr>
                  <w:r>
                    <w:rPr>
                      <w:rFonts w:hint="eastAsia"/>
                      <w:color w:val="auto"/>
                      <w:sz w:val="21"/>
                      <w:szCs w:val="21"/>
                      <w:highlight w:val="none"/>
                      <w:lang w:eastAsia="zh-CN"/>
                    </w:rPr>
                    <w:t>依托现有</w:t>
                  </w:r>
                </w:p>
              </w:tc>
            </w:tr>
            <w:tr w14:paraId="61DB56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noWrap w:val="0"/>
                  <w:vAlign w:val="center"/>
                </w:tcPr>
                <w:p w14:paraId="2975A6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三</w:t>
                  </w:r>
                </w:p>
              </w:tc>
              <w:tc>
                <w:tcPr>
                  <w:tcW w:w="7471" w:type="dxa"/>
                  <w:gridSpan w:val="3"/>
                  <w:noWrap w:val="0"/>
                  <w:vAlign w:val="center"/>
                </w:tcPr>
                <w:p w14:paraId="5CFCD2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公用工程</w:t>
                  </w:r>
                </w:p>
              </w:tc>
            </w:tr>
            <w:tr w14:paraId="66D1B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noWrap w:val="0"/>
                  <w:vAlign w:val="center"/>
                </w:tcPr>
                <w:p w14:paraId="652E5C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1</w:t>
                  </w:r>
                </w:p>
              </w:tc>
              <w:tc>
                <w:tcPr>
                  <w:tcW w:w="1947" w:type="dxa"/>
                  <w:noWrap w:val="0"/>
                  <w:vAlign w:val="center"/>
                </w:tcPr>
                <w:p w14:paraId="5443A1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给水系统</w:t>
                  </w:r>
                </w:p>
              </w:tc>
              <w:tc>
                <w:tcPr>
                  <w:tcW w:w="4118" w:type="dxa"/>
                  <w:noWrap w:val="0"/>
                  <w:vAlign w:val="center"/>
                </w:tcPr>
                <w:p w14:paraId="468FA0D9">
                  <w:pPr>
                    <w:keepNext w:val="0"/>
                    <w:keepLines w:val="0"/>
                    <w:widowControl/>
                    <w:suppressLineNumbers w:val="0"/>
                    <w:jc w:val="center"/>
                    <w:rPr>
                      <w:rFonts w:hint="default"/>
                      <w:color w:val="auto"/>
                      <w:sz w:val="21"/>
                      <w:szCs w:val="21"/>
                      <w:highlight w:val="none"/>
                      <w:lang w:val="en-US"/>
                    </w:rPr>
                  </w:pPr>
                  <w:r>
                    <w:rPr>
                      <w:rFonts w:hint="eastAsia" w:ascii="Times New Roman" w:hAnsi="Times New Roman" w:cs="Times New Roman"/>
                      <w:color w:val="auto"/>
                      <w:sz w:val="21"/>
                      <w:szCs w:val="21"/>
                      <w:highlight w:val="none"/>
                      <w:lang w:eastAsia="zh-CN"/>
                    </w:rPr>
                    <w:t>本</w:t>
                  </w:r>
                  <w:r>
                    <w:rPr>
                      <w:rFonts w:hint="eastAsia" w:ascii="宋体" w:hAnsi="宋体" w:eastAsia="宋体" w:cs="宋体"/>
                      <w:color w:val="auto"/>
                      <w:kern w:val="0"/>
                      <w:sz w:val="20"/>
                      <w:szCs w:val="20"/>
                      <w:lang w:val="en-US" w:eastAsia="zh-CN" w:bidi="ar"/>
                    </w:rPr>
                    <w:t>项目职工生活用水由外购水提供</w:t>
                  </w:r>
                </w:p>
              </w:tc>
              <w:tc>
                <w:tcPr>
                  <w:tcW w:w="1406" w:type="dxa"/>
                  <w:noWrap w:val="0"/>
                  <w:vAlign w:val="center"/>
                </w:tcPr>
                <w:p w14:paraId="4B0C714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新建</w:t>
                  </w:r>
                </w:p>
              </w:tc>
            </w:tr>
            <w:tr w14:paraId="0DE82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noWrap w:val="0"/>
                  <w:vAlign w:val="center"/>
                </w:tcPr>
                <w:p w14:paraId="42CB453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2</w:t>
                  </w:r>
                </w:p>
              </w:tc>
              <w:tc>
                <w:tcPr>
                  <w:tcW w:w="1947" w:type="dxa"/>
                  <w:noWrap w:val="0"/>
                  <w:vAlign w:val="center"/>
                </w:tcPr>
                <w:p w14:paraId="1CBC4D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排水系统</w:t>
                  </w:r>
                </w:p>
              </w:tc>
              <w:tc>
                <w:tcPr>
                  <w:tcW w:w="4118" w:type="dxa"/>
                  <w:noWrap w:val="0"/>
                  <w:vAlign w:val="center"/>
                </w:tcPr>
                <w:p w14:paraId="5CFBE4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生活污水排放至防渗旱厕，定期清掏，外运堆肥。</w:t>
                  </w:r>
                </w:p>
              </w:tc>
              <w:tc>
                <w:tcPr>
                  <w:tcW w:w="1406" w:type="dxa"/>
                  <w:noWrap w:val="0"/>
                  <w:vAlign w:val="center"/>
                </w:tcPr>
                <w:p w14:paraId="316E4A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ascii="Times New Roman" w:hAnsi="Times New Roman" w:eastAsia="宋体"/>
                      <w:color w:val="auto"/>
                      <w:sz w:val="21"/>
                      <w:szCs w:val="21"/>
                      <w:highlight w:val="none"/>
                    </w:rPr>
                    <w:t>已建</w:t>
                  </w:r>
                </w:p>
              </w:tc>
            </w:tr>
            <w:tr w14:paraId="5853F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tcBorders>
                    <w:bottom w:val="nil"/>
                  </w:tcBorders>
                  <w:noWrap w:val="0"/>
                  <w:vAlign w:val="center"/>
                </w:tcPr>
                <w:p w14:paraId="15F648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3</w:t>
                  </w:r>
                </w:p>
              </w:tc>
              <w:tc>
                <w:tcPr>
                  <w:tcW w:w="1947" w:type="dxa"/>
                  <w:tcBorders>
                    <w:bottom w:val="nil"/>
                  </w:tcBorders>
                  <w:noWrap w:val="0"/>
                  <w:vAlign w:val="center"/>
                </w:tcPr>
                <w:p w14:paraId="23D579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供电工程</w:t>
                  </w:r>
                </w:p>
              </w:tc>
              <w:tc>
                <w:tcPr>
                  <w:tcW w:w="4118" w:type="dxa"/>
                  <w:tcBorders>
                    <w:bottom w:val="nil"/>
                  </w:tcBorders>
                  <w:noWrap w:val="0"/>
                  <w:vAlign w:val="center"/>
                </w:tcPr>
                <w:p w14:paraId="0828AA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由当地供电所提供</w:t>
                  </w:r>
                </w:p>
              </w:tc>
              <w:tc>
                <w:tcPr>
                  <w:tcW w:w="1406" w:type="dxa"/>
                  <w:tcBorders>
                    <w:bottom w:val="nil"/>
                  </w:tcBorders>
                  <w:noWrap w:val="0"/>
                  <w:vAlign w:val="center"/>
                </w:tcPr>
                <w:p w14:paraId="3A7476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ascii="Times New Roman" w:hAnsi="Times New Roman" w:eastAsia="宋体"/>
                      <w:color w:val="auto"/>
                      <w:sz w:val="21"/>
                      <w:szCs w:val="21"/>
                      <w:highlight w:val="none"/>
                    </w:rPr>
                    <w:t>已建</w:t>
                  </w:r>
                </w:p>
              </w:tc>
            </w:tr>
            <w:tr w14:paraId="137EE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noWrap w:val="0"/>
                  <w:vAlign w:val="center"/>
                </w:tcPr>
                <w:p w14:paraId="394FFB1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4</w:t>
                  </w:r>
                </w:p>
              </w:tc>
              <w:tc>
                <w:tcPr>
                  <w:tcW w:w="1947" w:type="dxa"/>
                  <w:noWrap w:val="0"/>
                  <w:vAlign w:val="center"/>
                </w:tcPr>
                <w:p w14:paraId="72E04B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供热工程</w:t>
                  </w:r>
                </w:p>
              </w:tc>
              <w:tc>
                <w:tcPr>
                  <w:tcW w:w="4118" w:type="dxa"/>
                  <w:noWrap w:val="0"/>
                  <w:vAlign w:val="center"/>
                </w:tcPr>
                <w:p w14:paraId="6B6A93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本项目生产用热由1台</w:t>
                  </w:r>
                  <w:r>
                    <w:rPr>
                      <w:rFonts w:hint="eastAsia" w:cs="Times New Roman"/>
                      <w:color w:val="auto"/>
                      <w:sz w:val="21"/>
                      <w:szCs w:val="21"/>
                      <w:highlight w:val="none"/>
                      <w:lang w:val="en-US" w:eastAsia="zh-CN"/>
                    </w:rPr>
                    <w:t>600</w:t>
                  </w:r>
                  <w:r>
                    <w:rPr>
                      <w:rFonts w:hint="eastAsia" w:ascii="Times New Roman" w:hAnsi="Times New Roman" w:eastAsia="宋体" w:cs="Times New Roman"/>
                      <w:color w:val="auto"/>
                      <w:sz w:val="21"/>
                      <w:szCs w:val="21"/>
                      <w:highlight w:val="none"/>
                      <w:lang w:val="en-US" w:eastAsia="zh-CN"/>
                    </w:rPr>
                    <w:t>万kcal</w:t>
                  </w:r>
                  <w:r>
                    <w:rPr>
                      <w:rFonts w:hint="eastAsia"/>
                      <w:color w:val="auto"/>
                      <w:sz w:val="21"/>
                      <w:szCs w:val="21"/>
                      <w:highlight w:val="none"/>
                      <w:lang w:val="en-US" w:eastAsia="zh-CN"/>
                    </w:rPr>
                    <w:t>生物质</w:t>
                  </w:r>
                  <w:r>
                    <w:rPr>
                      <w:color w:val="auto"/>
                      <w:sz w:val="21"/>
                      <w:szCs w:val="21"/>
                      <w:highlight w:val="none"/>
                    </w:rPr>
                    <w:t>热风炉</w:t>
                  </w:r>
                  <w:r>
                    <w:rPr>
                      <w:rFonts w:hint="eastAsia"/>
                      <w:color w:val="auto"/>
                      <w:sz w:val="21"/>
                      <w:szCs w:val="21"/>
                      <w:highlight w:val="none"/>
                      <w:lang w:eastAsia="zh-CN"/>
                    </w:rPr>
                    <w:t>供给</w:t>
                  </w:r>
                </w:p>
              </w:tc>
              <w:tc>
                <w:tcPr>
                  <w:tcW w:w="1406" w:type="dxa"/>
                  <w:noWrap w:val="0"/>
                  <w:vAlign w:val="center"/>
                </w:tcPr>
                <w:p w14:paraId="1B6E5A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新建</w:t>
                  </w:r>
                </w:p>
              </w:tc>
            </w:tr>
            <w:tr w14:paraId="219A4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67" w:type="dxa"/>
                  <w:noWrap w:val="0"/>
                  <w:vAlign w:val="center"/>
                </w:tcPr>
                <w:p w14:paraId="46E1B92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四</w:t>
                  </w:r>
                </w:p>
              </w:tc>
              <w:tc>
                <w:tcPr>
                  <w:tcW w:w="7471" w:type="dxa"/>
                  <w:gridSpan w:val="3"/>
                  <w:noWrap w:val="0"/>
                  <w:vAlign w:val="center"/>
                </w:tcPr>
                <w:p w14:paraId="48B811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环保工程</w:t>
                  </w:r>
                </w:p>
              </w:tc>
            </w:tr>
            <w:tr w14:paraId="62054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trPr>
              <w:tc>
                <w:tcPr>
                  <w:tcW w:w="767" w:type="dxa"/>
                  <w:noWrap w:val="0"/>
                  <w:vAlign w:val="center"/>
                </w:tcPr>
                <w:p w14:paraId="2E80BEF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w:t>
                  </w:r>
                </w:p>
              </w:tc>
              <w:tc>
                <w:tcPr>
                  <w:tcW w:w="1947" w:type="dxa"/>
                  <w:noWrap w:val="0"/>
                  <w:vAlign w:val="center"/>
                </w:tcPr>
                <w:p w14:paraId="2B2D49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Ansi="宋体"/>
                      <w:color w:val="auto"/>
                      <w:sz w:val="21"/>
                      <w:szCs w:val="21"/>
                      <w:highlight w:val="none"/>
                      <w:lang w:val="zh-CN"/>
                    </w:rPr>
                    <w:t>废水治理措施</w:t>
                  </w:r>
                </w:p>
              </w:tc>
              <w:tc>
                <w:tcPr>
                  <w:tcW w:w="4118" w:type="dxa"/>
                  <w:noWrap w:val="0"/>
                  <w:vAlign w:val="center"/>
                </w:tcPr>
                <w:p w14:paraId="6E3F18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default"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val="en-US" w:eastAsia="zh-CN"/>
                    </w:rPr>
                    <w:t>无工业废水产生；员工产生少量生活污水，</w:t>
                  </w:r>
                  <w:r>
                    <w:rPr>
                      <w:rFonts w:hint="default" w:ascii="Times New Roman" w:hAnsi="Times New Roman" w:cs="Times New Roman"/>
                      <w:color w:val="auto"/>
                      <w:sz w:val="21"/>
                      <w:szCs w:val="21"/>
                      <w:highlight w:val="none"/>
                      <w:lang w:val="en-US" w:eastAsia="zh-CN"/>
                    </w:rPr>
                    <w:t>排入厂内防渗旱厕，定期清掏，外运堆肥处置。</w:t>
                  </w:r>
                </w:p>
              </w:tc>
              <w:tc>
                <w:tcPr>
                  <w:tcW w:w="1406" w:type="dxa"/>
                  <w:noWrap w:val="0"/>
                  <w:vAlign w:val="center"/>
                </w:tcPr>
                <w:p w14:paraId="604B024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新建</w:t>
                  </w:r>
                </w:p>
              </w:tc>
            </w:tr>
            <w:tr w14:paraId="5BF05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blHeader/>
              </w:trPr>
              <w:tc>
                <w:tcPr>
                  <w:tcW w:w="767" w:type="dxa"/>
                  <w:vMerge w:val="restart"/>
                  <w:noWrap w:val="0"/>
                  <w:vAlign w:val="center"/>
                </w:tcPr>
                <w:p w14:paraId="20F0BB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w:t>
                  </w:r>
                </w:p>
              </w:tc>
              <w:tc>
                <w:tcPr>
                  <w:tcW w:w="1947" w:type="dxa"/>
                  <w:vMerge w:val="restart"/>
                  <w:noWrap w:val="0"/>
                  <w:vAlign w:val="center"/>
                </w:tcPr>
                <w:p w14:paraId="65CDABF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废气治理措施</w:t>
                  </w:r>
                </w:p>
              </w:tc>
              <w:tc>
                <w:tcPr>
                  <w:tcW w:w="4118" w:type="dxa"/>
                  <w:noWrap w:val="0"/>
                  <w:vAlign w:val="center"/>
                </w:tcPr>
                <w:p w14:paraId="2F574D3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热风炉烟气</w:t>
                  </w:r>
                  <w:r>
                    <w:rPr>
                      <w:rFonts w:hint="default" w:ascii="Times New Roman" w:hAnsi="Times New Roman" w:eastAsia="宋体" w:cs="Times New Roman"/>
                      <w:color w:val="auto"/>
                      <w:sz w:val="21"/>
                      <w:szCs w:val="21"/>
                      <w:highlight w:val="none"/>
                      <w:lang w:val="en-US" w:eastAsia="zh-CN"/>
                    </w:rPr>
                    <w:t>：本项目热风炉</w:t>
                  </w:r>
                  <w:r>
                    <w:rPr>
                      <w:rFonts w:hint="eastAsia" w:ascii="Times New Roman" w:hAnsi="Times New Roman" w:eastAsia="宋体" w:cs="Times New Roman"/>
                      <w:color w:val="auto"/>
                      <w:sz w:val="21"/>
                      <w:szCs w:val="21"/>
                      <w:highlight w:val="none"/>
                      <w:lang w:val="en-US" w:eastAsia="zh-CN"/>
                    </w:rPr>
                    <w:t>配设1台除尘效率99.5%的布袋除尘器，</w:t>
                  </w:r>
                  <w:r>
                    <w:rPr>
                      <w:rFonts w:hint="default" w:ascii="Times New Roman" w:hAnsi="Times New Roman" w:eastAsia="宋体" w:cs="Times New Roman"/>
                      <w:color w:val="auto"/>
                      <w:sz w:val="21"/>
                      <w:szCs w:val="21"/>
                      <w:highlight w:val="none"/>
                      <w:lang w:val="en-US" w:eastAsia="zh-CN"/>
                    </w:rPr>
                    <w:t>烟气由布袋除尘器处理后由</w:t>
                  </w:r>
                  <w:r>
                    <w:rPr>
                      <w:rFonts w:hint="eastAsia" w:ascii="Times New Roman" w:hAnsi="Times New Roman" w:eastAsia="宋体" w:cs="Times New Roman"/>
                      <w:color w:val="auto"/>
                      <w:sz w:val="21"/>
                      <w:szCs w:val="21"/>
                      <w:highlight w:val="none"/>
                      <w:lang w:val="en-US" w:eastAsia="zh-CN"/>
                    </w:rPr>
                    <w:t>1座</w:t>
                  </w:r>
                  <w:r>
                    <w:rPr>
                      <w:rFonts w:hint="eastAsia" w:cs="Times New Roman"/>
                      <w:color w:val="auto"/>
                      <w:sz w:val="21"/>
                      <w:szCs w:val="21"/>
                      <w:highlight w:val="none"/>
                      <w:lang w:val="en-US" w:eastAsia="zh-CN"/>
                    </w:rPr>
                    <w:t>15m</w:t>
                  </w:r>
                  <w:r>
                    <w:rPr>
                      <w:rFonts w:hint="default" w:ascii="Times New Roman" w:hAnsi="Times New Roman" w:eastAsia="宋体" w:cs="Times New Roman"/>
                      <w:color w:val="auto"/>
                      <w:sz w:val="21"/>
                      <w:szCs w:val="21"/>
                      <w:highlight w:val="none"/>
                      <w:lang w:val="en-US" w:eastAsia="zh-CN"/>
                    </w:rPr>
                    <w:t>高烟囱排放，</w:t>
                  </w:r>
                  <w:r>
                    <w:rPr>
                      <w:rFonts w:hint="eastAsia" w:ascii="Times New Roman" w:hAnsi="Times New Roman" w:eastAsia="宋体" w:cs="Times New Roman"/>
                      <w:color w:val="auto"/>
                      <w:sz w:val="21"/>
                      <w:szCs w:val="21"/>
                      <w:highlight w:val="none"/>
                      <w:lang w:val="en-US" w:eastAsia="zh-CN"/>
                    </w:rPr>
                    <w:t>烟尘、二氧化硫、烟气黑度及汞</w:t>
                  </w:r>
                  <w:r>
                    <w:rPr>
                      <w:rFonts w:hint="default" w:ascii="Times New Roman" w:hAnsi="Times New Roman" w:eastAsia="宋体" w:cs="Times New Roman"/>
                      <w:color w:val="auto"/>
                      <w:sz w:val="21"/>
                      <w:szCs w:val="21"/>
                      <w:highlight w:val="none"/>
                      <w:lang w:val="en-US" w:eastAsia="zh-CN"/>
                    </w:rPr>
                    <w:t>排放浓度满足《工业炉窑大气污染物排放标准》（GB9078-1996）表2、表4中标准要求</w:t>
                  </w:r>
                  <w:r>
                    <w:rPr>
                      <w:rFonts w:hint="eastAsia" w:ascii="Times New Roman" w:hAnsi="Times New Roman" w:eastAsia="宋体" w:cs="Times New Roman"/>
                      <w:color w:val="auto"/>
                      <w:sz w:val="21"/>
                      <w:szCs w:val="21"/>
                      <w:highlight w:val="none"/>
                      <w:lang w:val="en-US" w:eastAsia="zh-CN"/>
                    </w:rPr>
                    <w:t>。</w:t>
                  </w:r>
                </w:p>
              </w:tc>
              <w:tc>
                <w:tcPr>
                  <w:tcW w:w="1406" w:type="dxa"/>
                  <w:noWrap w:val="0"/>
                  <w:vAlign w:val="center"/>
                </w:tcPr>
                <w:p w14:paraId="34D26B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新建</w:t>
                  </w:r>
                </w:p>
              </w:tc>
            </w:tr>
            <w:tr w14:paraId="6B554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tblHeader/>
              </w:trPr>
              <w:tc>
                <w:tcPr>
                  <w:tcW w:w="767" w:type="dxa"/>
                  <w:vMerge w:val="continue"/>
                  <w:noWrap w:val="0"/>
                  <w:vAlign w:val="center"/>
                </w:tcPr>
                <w:p w14:paraId="12A6096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947" w:type="dxa"/>
                  <w:vMerge w:val="continue"/>
                  <w:noWrap w:val="0"/>
                  <w:vAlign w:val="center"/>
                </w:tcPr>
                <w:p w14:paraId="0C5E241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4118" w:type="dxa"/>
                  <w:noWrap w:val="0"/>
                  <w:vAlign w:val="center"/>
                </w:tcPr>
                <w:p w14:paraId="1F49DDC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采取</w:t>
                  </w:r>
                  <w:r>
                    <w:rPr>
                      <w:rFonts w:hint="eastAsia" w:ascii="Times New Roman" w:hAnsi="Times New Roman" w:eastAsia="宋体" w:cs="Times New Roman"/>
                      <w:color w:val="auto"/>
                      <w:sz w:val="21"/>
                      <w:szCs w:val="21"/>
                      <w:highlight w:val="none"/>
                      <w:lang w:val="en-US" w:eastAsia="zh-CN"/>
                    </w:rPr>
                    <w:t>输送传送带封闭设置，装卸区</w:t>
                  </w:r>
                  <w:r>
                    <w:rPr>
                      <w:rFonts w:hint="eastAsia" w:cs="Times New Roman"/>
                      <w:color w:val="auto"/>
                      <w:sz w:val="21"/>
                      <w:szCs w:val="21"/>
                      <w:highlight w:val="none"/>
                      <w:lang w:val="en-US" w:eastAsia="zh-CN"/>
                    </w:rPr>
                    <w:t>采取密闭装卸</w:t>
                  </w:r>
                  <w:r>
                    <w:rPr>
                      <w:rFonts w:hint="eastAsia" w:ascii="Times New Roman" w:hAnsi="Times New Roman" w:eastAsia="宋体" w:cs="Times New Roman"/>
                      <w:color w:val="auto"/>
                      <w:sz w:val="21"/>
                      <w:szCs w:val="21"/>
                      <w:highlight w:val="none"/>
                      <w:lang w:val="en-US" w:eastAsia="zh-CN"/>
                    </w:rPr>
                    <w:t>，清选工艺采用封闭式清理筛；烘干塔体</w:t>
                  </w:r>
                  <w:r>
                    <w:rPr>
                      <w:rFonts w:hint="eastAsia" w:cs="Times New Roman"/>
                      <w:color w:val="auto"/>
                      <w:sz w:val="21"/>
                      <w:szCs w:val="21"/>
                      <w:highlight w:val="none"/>
                      <w:lang w:val="en-US" w:eastAsia="zh-CN"/>
                    </w:rPr>
                    <w:t>设置彩钢罩</w:t>
                  </w:r>
                  <w:r>
                    <w:rPr>
                      <w:rFonts w:hint="eastAsia" w:ascii="Times New Roman" w:hAnsi="Times New Roman" w:eastAsia="宋体" w:cs="Times New Roman"/>
                      <w:color w:val="auto"/>
                      <w:sz w:val="21"/>
                      <w:szCs w:val="21"/>
                      <w:highlight w:val="none"/>
                      <w:lang w:val="en-US" w:eastAsia="zh-CN"/>
                    </w:rPr>
                    <w:t>，能有效控制杂质及大粒径粉尘的排放，拦尘效率90%，烘干塔废气经塔体两侧排气孔排出</w:t>
                  </w:r>
                  <w:r>
                    <w:rPr>
                      <w:rFonts w:hint="eastAsia" w:cs="Times New Roman"/>
                      <w:color w:val="auto"/>
                      <w:sz w:val="21"/>
                      <w:szCs w:val="21"/>
                      <w:highlight w:val="none"/>
                      <w:lang w:val="en-US" w:eastAsia="zh-CN"/>
                    </w:rPr>
                    <w:t>，烘干塔塔底设置围挡，沉降的粉尘定期清扫收集。</w:t>
                  </w:r>
                  <w:r>
                    <w:rPr>
                      <w:rFonts w:hint="eastAsia" w:ascii="Times New Roman" w:hAnsi="Times New Roman" w:eastAsia="宋体" w:cs="Times New Roman"/>
                      <w:color w:val="auto"/>
                      <w:sz w:val="21"/>
                      <w:szCs w:val="21"/>
                      <w:highlight w:val="none"/>
                      <w:lang w:val="en-US" w:eastAsia="zh-CN"/>
                    </w:rPr>
                    <w:t>经上述废气治理措施治理后，本项目无组织排放的颗粒物可满足《大气污染物综合排放标准》（GB16297-1996）表 2 中颗粒物无组织排放监控浓度限值。</w:t>
                  </w:r>
                </w:p>
              </w:tc>
              <w:tc>
                <w:tcPr>
                  <w:tcW w:w="1406" w:type="dxa"/>
                  <w:noWrap w:val="0"/>
                  <w:vAlign w:val="center"/>
                </w:tcPr>
                <w:p w14:paraId="1D94BB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新建</w:t>
                  </w:r>
                </w:p>
              </w:tc>
            </w:tr>
            <w:tr w14:paraId="771EF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blHeader/>
              </w:trPr>
              <w:tc>
                <w:tcPr>
                  <w:tcW w:w="767" w:type="dxa"/>
                  <w:noWrap w:val="0"/>
                  <w:vAlign w:val="center"/>
                </w:tcPr>
                <w:p w14:paraId="4F2FBF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w:t>
                  </w:r>
                </w:p>
              </w:tc>
              <w:tc>
                <w:tcPr>
                  <w:tcW w:w="1947" w:type="dxa"/>
                  <w:noWrap w:val="0"/>
                  <w:vAlign w:val="center"/>
                </w:tcPr>
                <w:p w14:paraId="1387DE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Ansi="宋体"/>
                      <w:color w:val="auto"/>
                      <w:sz w:val="21"/>
                      <w:szCs w:val="21"/>
                      <w:highlight w:val="none"/>
                      <w:lang w:val="zh-CN"/>
                    </w:rPr>
                    <w:t>噪声治理措施</w:t>
                  </w:r>
                </w:p>
              </w:tc>
              <w:tc>
                <w:tcPr>
                  <w:tcW w:w="4118" w:type="dxa"/>
                  <w:noWrap w:val="0"/>
                  <w:vAlign w:val="center"/>
                </w:tcPr>
                <w:p w14:paraId="0594F90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清粮筛分</w:t>
                  </w:r>
                  <w:r>
                    <w:rPr>
                      <w:rFonts w:hint="default" w:ascii="Times New Roman" w:hAnsi="Times New Roman" w:eastAsia="宋体" w:cs="Times New Roman"/>
                      <w:color w:val="auto"/>
                      <w:sz w:val="21"/>
                      <w:szCs w:val="21"/>
                      <w:highlight w:val="none"/>
                      <w:lang w:val="en-US" w:eastAsia="zh-CN"/>
                    </w:rPr>
                    <w:t>机</w:t>
                  </w:r>
                  <w:r>
                    <w:rPr>
                      <w:rFonts w:hint="eastAsia" w:ascii="Times New Roman" w:hAnsi="Times New Roman" w:eastAsia="宋体" w:cs="Times New Roman"/>
                      <w:color w:val="auto"/>
                      <w:sz w:val="21"/>
                      <w:szCs w:val="21"/>
                      <w:highlight w:val="none"/>
                      <w:lang w:val="en-US" w:eastAsia="zh-CN"/>
                    </w:rPr>
                    <w:t>、输送机、风机、烘干塔</w:t>
                  </w:r>
                  <w:r>
                    <w:rPr>
                      <w:rFonts w:hint="default" w:ascii="Times New Roman" w:hAnsi="Times New Roman" w:eastAsia="宋体" w:cs="Times New Roman"/>
                      <w:color w:val="auto"/>
                      <w:sz w:val="21"/>
                      <w:szCs w:val="21"/>
                      <w:highlight w:val="none"/>
                      <w:lang w:val="en-US" w:eastAsia="zh-CN"/>
                    </w:rPr>
                    <w:t>等设备选用低噪声设备，通过厂房隔声、基础减振等措施，</w:t>
                  </w:r>
                  <w:r>
                    <w:rPr>
                      <w:rFonts w:hint="eastAsia" w:ascii="Times New Roman" w:hAnsi="Times New Roman" w:eastAsia="宋体" w:cs="Times New Roman"/>
                      <w:color w:val="auto"/>
                      <w:sz w:val="21"/>
                      <w:szCs w:val="21"/>
                      <w:highlight w:val="none"/>
                      <w:lang w:val="en-US" w:eastAsia="zh-CN"/>
                    </w:rPr>
                    <w:t>振动较大的设备采取独立基础，设置减振器，风机进出口均设软管连接等措施，</w:t>
                  </w:r>
                  <w:r>
                    <w:rPr>
                      <w:rFonts w:hint="default" w:ascii="Times New Roman" w:hAnsi="Times New Roman" w:eastAsia="宋体" w:cs="Times New Roman"/>
                      <w:color w:val="auto"/>
                      <w:sz w:val="21"/>
                      <w:szCs w:val="21"/>
                      <w:highlight w:val="none"/>
                      <w:lang w:val="en-US" w:eastAsia="zh-CN"/>
                    </w:rPr>
                    <w:t>限制噪声向外传播，通过厂区距离衰减后厂界噪声可满足《工业企业厂界环境噪声排放标准》（GB12348-2008）表1中</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类标准的要求。</w:t>
                  </w:r>
                </w:p>
              </w:tc>
              <w:tc>
                <w:tcPr>
                  <w:tcW w:w="1406" w:type="dxa"/>
                  <w:noWrap w:val="0"/>
                  <w:vAlign w:val="center"/>
                </w:tcPr>
                <w:p w14:paraId="2E42948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lang w:eastAsia="zh-CN"/>
                    </w:rPr>
                    <w:t>新建</w:t>
                  </w:r>
                </w:p>
              </w:tc>
            </w:tr>
            <w:tr w14:paraId="3EC03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4" w:hRule="atLeast"/>
                <w:tblHeader/>
              </w:trPr>
              <w:tc>
                <w:tcPr>
                  <w:tcW w:w="767" w:type="dxa"/>
                  <w:noWrap w:val="0"/>
                  <w:vAlign w:val="center"/>
                </w:tcPr>
                <w:p w14:paraId="35EC061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w:t>
                  </w:r>
                </w:p>
              </w:tc>
              <w:tc>
                <w:tcPr>
                  <w:tcW w:w="1947" w:type="dxa"/>
                  <w:noWrap w:val="0"/>
                  <w:vAlign w:val="center"/>
                </w:tcPr>
                <w:p w14:paraId="4465026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Ansi="宋体"/>
                      <w:color w:val="auto"/>
                      <w:sz w:val="21"/>
                      <w:szCs w:val="21"/>
                      <w:highlight w:val="none"/>
                      <w:lang w:val="zh-CN"/>
                    </w:rPr>
                  </w:pPr>
                  <w:r>
                    <w:rPr>
                      <w:rFonts w:hint="eastAsia" w:hAnsi="宋体"/>
                      <w:color w:val="auto"/>
                      <w:sz w:val="21"/>
                      <w:szCs w:val="21"/>
                      <w:highlight w:val="none"/>
                      <w:lang w:val="zh-CN"/>
                    </w:rPr>
                    <w:t>固废治理措施</w:t>
                  </w:r>
                </w:p>
              </w:tc>
              <w:tc>
                <w:tcPr>
                  <w:tcW w:w="4118" w:type="dxa"/>
                  <w:noWrap w:val="0"/>
                  <w:vAlign w:val="center"/>
                </w:tcPr>
                <w:p w14:paraId="7DFBAA2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Ansi="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项目生活垃圾由市政部门统一进行处置；烘干塔</w:t>
                  </w:r>
                  <w:r>
                    <w:rPr>
                      <w:rFonts w:hint="eastAsia" w:cs="Times New Roman"/>
                      <w:color w:val="auto"/>
                      <w:sz w:val="21"/>
                      <w:szCs w:val="21"/>
                      <w:highlight w:val="none"/>
                      <w:lang w:val="en-US" w:eastAsia="zh-CN"/>
                    </w:rPr>
                    <w:t>围挡</w:t>
                  </w:r>
                  <w:r>
                    <w:rPr>
                      <w:rFonts w:hint="default" w:ascii="Times New Roman" w:hAnsi="Times New Roman" w:eastAsia="宋体" w:cs="Times New Roman"/>
                      <w:color w:val="auto"/>
                      <w:sz w:val="21"/>
                      <w:szCs w:val="21"/>
                      <w:highlight w:val="none"/>
                      <w:lang w:val="en-US" w:eastAsia="zh-CN"/>
                    </w:rPr>
                    <w:t>收尘</w:t>
                  </w:r>
                  <w:r>
                    <w:rPr>
                      <w:rFonts w:hint="eastAsia" w:ascii="Times New Roman" w:hAnsi="Times New Roman" w:eastAsia="宋体" w:cs="Times New Roman"/>
                      <w:color w:val="auto"/>
                      <w:sz w:val="21"/>
                      <w:szCs w:val="21"/>
                      <w:highlight w:val="none"/>
                      <w:lang w:val="en-US" w:eastAsia="zh-CN"/>
                    </w:rPr>
                    <w:t>定期清理装袋，</w:t>
                  </w:r>
                  <w:r>
                    <w:rPr>
                      <w:rFonts w:hint="eastAsia" w:cs="Times New Roman"/>
                      <w:color w:val="auto"/>
                      <w:sz w:val="21"/>
                      <w:szCs w:val="21"/>
                      <w:highlight w:val="none"/>
                      <w:lang w:val="en-US" w:eastAsia="zh-CN"/>
                    </w:rPr>
                    <w:t>与废布袋及</w:t>
                  </w:r>
                  <w:r>
                    <w:rPr>
                      <w:rFonts w:hint="eastAsia" w:ascii="Times New Roman" w:hAnsi="Times New Roman" w:eastAsia="宋体" w:cs="Times New Roman"/>
                      <w:color w:val="auto"/>
                      <w:sz w:val="21"/>
                      <w:szCs w:val="21"/>
                      <w:highlight w:val="none"/>
                      <w:lang w:val="en-US" w:eastAsia="zh-CN"/>
                    </w:rPr>
                    <w:t>筛选杂质定期外售综合利用</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热风炉产生的炉渣、布袋除尘器收集的粉尘，收集后暂存于全封闭灰渣仓内，定期外售综合利用。废矿物油、及废矿物油桶收集后存储于危废贮存库内，委托有资质的单位进行清运处置。</w:t>
                  </w:r>
                </w:p>
              </w:tc>
              <w:tc>
                <w:tcPr>
                  <w:tcW w:w="1406" w:type="dxa"/>
                  <w:noWrap w:val="0"/>
                  <w:vAlign w:val="center"/>
                </w:tcPr>
                <w:p w14:paraId="594299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lang w:eastAsia="zh-CN"/>
                    </w:rPr>
                    <w:t>新建</w:t>
                  </w:r>
                </w:p>
              </w:tc>
            </w:tr>
          </w:tbl>
          <w:p w14:paraId="5F4777AC">
            <w:pPr>
              <w:spacing w:line="360" w:lineRule="auto"/>
              <w:ind w:firstLine="422" w:firstLineChars="200"/>
              <w:rPr>
                <w:rFonts w:hint="eastAsia" w:eastAsia="宋体"/>
                <w:b/>
                <w:color w:val="auto"/>
                <w:sz w:val="21"/>
                <w:szCs w:val="21"/>
                <w:lang w:eastAsia="zh-CN"/>
              </w:rPr>
            </w:pPr>
            <w:r>
              <w:rPr>
                <w:rFonts w:hint="eastAsia"/>
                <w:b/>
                <w:color w:val="auto"/>
                <w:sz w:val="21"/>
                <w:szCs w:val="21"/>
                <w:lang w:eastAsia="zh-CN"/>
              </w:rPr>
              <w:t>注：本项目不设置晾晒场，无熏蒸工艺。</w:t>
            </w:r>
          </w:p>
          <w:p w14:paraId="15EC216E">
            <w:pPr>
              <w:spacing w:line="360" w:lineRule="auto"/>
              <w:ind w:firstLine="482" w:firstLineChars="200"/>
              <w:rPr>
                <w:b/>
                <w:color w:val="auto"/>
                <w:sz w:val="24"/>
              </w:rPr>
            </w:pPr>
            <w:r>
              <w:rPr>
                <w:b/>
                <w:color w:val="auto"/>
                <w:sz w:val="24"/>
              </w:rPr>
              <w:t>二、产品方案</w:t>
            </w:r>
          </w:p>
          <w:p w14:paraId="49186993">
            <w:pPr>
              <w:spacing w:line="360" w:lineRule="auto"/>
              <w:ind w:firstLine="480" w:firstLineChars="200"/>
              <w:rPr>
                <w:b/>
                <w:bCs/>
                <w:color w:val="auto"/>
                <w:kern w:val="0"/>
                <w:sz w:val="24"/>
              </w:rPr>
            </w:pPr>
            <w:r>
              <w:rPr>
                <w:rFonts w:hint="eastAsia"/>
                <w:color w:val="auto"/>
                <w:kern w:val="0"/>
                <w:sz w:val="24"/>
              </w:rPr>
              <w:t>本项目</w:t>
            </w:r>
            <w:r>
              <w:rPr>
                <w:rFonts w:hint="eastAsia"/>
                <w:color w:val="auto"/>
                <w:kern w:val="0"/>
                <w:sz w:val="24"/>
                <w:lang w:eastAsia="zh-CN"/>
              </w:rPr>
              <w:t>年</w:t>
            </w:r>
            <w:r>
              <w:rPr>
                <w:rFonts w:hint="eastAsia"/>
                <w:color w:val="auto"/>
                <w:kern w:val="0"/>
                <w:sz w:val="24"/>
              </w:rPr>
              <w:t>烘玉米</w:t>
            </w:r>
            <w:r>
              <w:rPr>
                <w:rFonts w:hint="eastAsia"/>
                <w:color w:val="auto"/>
                <w:kern w:val="0"/>
                <w:sz w:val="24"/>
                <w:lang w:val="en-US" w:eastAsia="zh-CN"/>
              </w:rPr>
              <w:t>25000</w:t>
            </w:r>
            <w:r>
              <w:rPr>
                <w:rFonts w:hint="eastAsia"/>
                <w:color w:val="auto"/>
                <w:kern w:val="0"/>
                <w:sz w:val="24"/>
              </w:rPr>
              <w:t>吨，</w:t>
            </w:r>
            <w:r>
              <w:rPr>
                <w:color w:val="auto"/>
                <w:sz w:val="24"/>
              </w:rPr>
              <w:t>产品产量见表2-</w:t>
            </w:r>
            <w:r>
              <w:rPr>
                <w:rFonts w:hint="eastAsia"/>
                <w:color w:val="auto"/>
                <w:sz w:val="24"/>
              </w:rPr>
              <w:t>2</w:t>
            </w:r>
            <w:r>
              <w:rPr>
                <w:rFonts w:hint="eastAsia"/>
                <w:color w:val="auto"/>
                <w:sz w:val="24"/>
                <w:lang w:eastAsia="zh-CN"/>
              </w:rPr>
              <w:t>，物料平衡见表</w:t>
            </w:r>
            <w:r>
              <w:rPr>
                <w:rFonts w:hint="eastAsia"/>
                <w:color w:val="auto"/>
                <w:sz w:val="24"/>
                <w:lang w:val="en-US" w:eastAsia="zh-CN"/>
              </w:rPr>
              <w:t>2-3。</w:t>
            </w:r>
          </w:p>
          <w:p w14:paraId="340D23E4">
            <w:pPr>
              <w:jc w:val="center"/>
              <w:textAlignment w:val="baseline"/>
              <w:rPr>
                <w:b/>
                <w:bCs/>
                <w:color w:val="auto"/>
                <w:kern w:val="0"/>
                <w:sz w:val="24"/>
                <w:highlight w:val="none"/>
              </w:rPr>
            </w:pPr>
            <w:r>
              <w:rPr>
                <w:b/>
                <w:bCs/>
                <w:color w:val="auto"/>
                <w:kern w:val="0"/>
                <w:sz w:val="24"/>
                <w:highlight w:val="none"/>
              </w:rPr>
              <w:t>表2-</w:t>
            </w:r>
            <w:r>
              <w:rPr>
                <w:rFonts w:hint="eastAsia"/>
                <w:b/>
                <w:bCs/>
                <w:color w:val="auto"/>
                <w:kern w:val="0"/>
                <w:sz w:val="24"/>
                <w:highlight w:val="none"/>
              </w:rPr>
              <w:t>2</w:t>
            </w:r>
            <w:r>
              <w:rPr>
                <w:b/>
                <w:bCs/>
                <w:color w:val="auto"/>
                <w:kern w:val="0"/>
                <w:sz w:val="24"/>
                <w:highlight w:val="none"/>
              </w:rPr>
              <w:t>产品方案</w:t>
            </w:r>
          </w:p>
          <w:tbl>
            <w:tblPr>
              <w:tblStyle w:val="32"/>
              <w:tblW w:w="8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8"/>
              <w:gridCol w:w="813"/>
              <w:gridCol w:w="920"/>
              <w:gridCol w:w="990"/>
              <w:gridCol w:w="1113"/>
              <w:gridCol w:w="1275"/>
              <w:gridCol w:w="1237"/>
              <w:gridCol w:w="1161"/>
            </w:tblGrid>
            <w:tr w14:paraId="236A6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08" w:type="dxa"/>
                  <w:vMerge w:val="restart"/>
                  <w:tcBorders>
                    <w:tl2br w:val="nil"/>
                    <w:tr2bl w:val="nil"/>
                  </w:tcBorders>
                  <w:noWrap/>
                  <w:vAlign w:val="center"/>
                </w:tcPr>
                <w:p w14:paraId="0F8768D6">
                  <w:pPr>
                    <w:jc w:val="center"/>
                    <w:rPr>
                      <w:color w:val="auto"/>
                      <w:szCs w:val="21"/>
                      <w:highlight w:val="none"/>
                    </w:rPr>
                  </w:pPr>
                  <w:r>
                    <w:rPr>
                      <w:rFonts w:hint="eastAsia"/>
                      <w:color w:val="auto"/>
                      <w:szCs w:val="21"/>
                      <w:highlight w:val="none"/>
                    </w:rPr>
                    <w:t>序号</w:t>
                  </w:r>
                </w:p>
              </w:tc>
              <w:tc>
                <w:tcPr>
                  <w:tcW w:w="813" w:type="dxa"/>
                  <w:vMerge w:val="restart"/>
                  <w:tcBorders>
                    <w:tl2br w:val="nil"/>
                    <w:tr2bl w:val="nil"/>
                  </w:tcBorders>
                  <w:noWrap/>
                  <w:vAlign w:val="center"/>
                </w:tcPr>
                <w:p w14:paraId="5FFFF3E3">
                  <w:pPr>
                    <w:jc w:val="center"/>
                    <w:rPr>
                      <w:color w:val="auto"/>
                      <w:szCs w:val="21"/>
                      <w:highlight w:val="none"/>
                    </w:rPr>
                  </w:pPr>
                  <w:r>
                    <w:rPr>
                      <w:rFonts w:hint="eastAsia"/>
                      <w:color w:val="auto"/>
                      <w:szCs w:val="21"/>
                      <w:highlight w:val="none"/>
                    </w:rPr>
                    <w:t>粮食</w:t>
                  </w:r>
                </w:p>
                <w:p w14:paraId="169BEB7F">
                  <w:pPr>
                    <w:jc w:val="center"/>
                    <w:rPr>
                      <w:color w:val="auto"/>
                      <w:szCs w:val="21"/>
                      <w:highlight w:val="none"/>
                    </w:rPr>
                  </w:pPr>
                  <w:r>
                    <w:rPr>
                      <w:rFonts w:hint="eastAsia"/>
                      <w:color w:val="auto"/>
                      <w:szCs w:val="21"/>
                      <w:highlight w:val="none"/>
                    </w:rPr>
                    <w:t>种类</w:t>
                  </w:r>
                </w:p>
              </w:tc>
              <w:tc>
                <w:tcPr>
                  <w:tcW w:w="1910" w:type="dxa"/>
                  <w:gridSpan w:val="2"/>
                  <w:tcBorders>
                    <w:tl2br w:val="nil"/>
                    <w:tr2bl w:val="nil"/>
                  </w:tcBorders>
                  <w:noWrap/>
                  <w:vAlign w:val="center"/>
                </w:tcPr>
                <w:p w14:paraId="3B3FB267">
                  <w:pPr>
                    <w:jc w:val="center"/>
                    <w:rPr>
                      <w:color w:val="auto"/>
                      <w:szCs w:val="21"/>
                      <w:highlight w:val="none"/>
                    </w:rPr>
                  </w:pPr>
                  <w:r>
                    <w:rPr>
                      <w:rFonts w:hint="eastAsia"/>
                      <w:color w:val="auto"/>
                      <w:szCs w:val="21"/>
                      <w:highlight w:val="none"/>
                    </w:rPr>
                    <w:t>含水量</w:t>
                  </w:r>
                </w:p>
              </w:tc>
              <w:tc>
                <w:tcPr>
                  <w:tcW w:w="1113" w:type="dxa"/>
                  <w:vMerge w:val="restart"/>
                  <w:tcBorders>
                    <w:tl2br w:val="nil"/>
                    <w:tr2bl w:val="nil"/>
                  </w:tcBorders>
                  <w:noWrap/>
                  <w:vAlign w:val="center"/>
                </w:tcPr>
                <w:p w14:paraId="7CE572F3">
                  <w:pPr>
                    <w:jc w:val="center"/>
                    <w:rPr>
                      <w:color w:val="auto"/>
                      <w:szCs w:val="21"/>
                      <w:highlight w:val="none"/>
                    </w:rPr>
                  </w:pPr>
                  <w:r>
                    <w:rPr>
                      <w:rFonts w:hint="eastAsia"/>
                      <w:color w:val="auto"/>
                      <w:szCs w:val="21"/>
                      <w:highlight w:val="none"/>
                    </w:rPr>
                    <w:t>日烘干潮粮（吨）</w:t>
                  </w:r>
                </w:p>
              </w:tc>
              <w:tc>
                <w:tcPr>
                  <w:tcW w:w="1275" w:type="dxa"/>
                  <w:vMerge w:val="restart"/>
                  <w:tcBorders>
                    <w:tl2br w:val="nil"/>
                    <w:tr2bl w:val="nil"/>
                  </w:tcBorders>
                  <w:noWrap/>
                  <w:vAlign w:val="center"/>
                </w:tcPr>
                <w:p w14:paraId="2013BE29">
                  <w:pPr>
                    <w:jc w:val="center"/>
                    <w:rPr>
                      <w:color w:val="auto"/>
                      <w:szCs w:val="21"/>
                      <w:highlight w:val="none"/>
                    </w:rPr>
                  </w:pPr>
                  <w:r>
                    <w:rPr>
                      <w:rFonts w:hint="eastAsia"/>
                      <w:color w:val="auto"/>
                      <w:szCs w:val="21"/>
                      <w:highlight w:val="none"/>
                    </w:rPr>
                    <w:t>年烘干潮粮（吨）</w:t>
                  </w:r>
                </w:p>
              </w:tc>
              <w:tc>
                <w:tcPr>
                  <w:tcW w:w="1237" w:type="dxa"/>
                  <w:vMerge w:val="restart"/>
                  <w:tcBorders>
                    <w:tl2br w:val="nil"/>
                    <w:tr2bl w:val="nil"/>
                  </w:tcBorders>
                  <w:noWrap/>
                  <w:vAlign w:val="center"/>
                </w:tcPr>
                <w:p w14:paraId="3C80E3F0">
                  <w:pPr>
                    <w:jc w:val="center"/>
                    <w:rPr>
                      <w:color w:val="auto"/>
                      <w:szCs w:val="21"/>
                      <w:highlight w:val="none"/>
                    </w:rPr>
                  </w:pPr>
                  <w:r>
                    <w:rPr>
                      <w:rFonts w:hint="eastAsia"/>
                      <w:color w:val="auto"/>
                      <w:szCs w:val="21"/>
                      <w:highlight w:val="none"/>
                    </w:rPr>
                    <w:t>日产干粮</w:t>
                  </w:r>
                </w:p>
              </w:tc>
              <w:tc>
                <w:tcPr>
                  <w:tcW w:w="1161" w:type="dxa"/>
                  <w:vMerge w:val="restart"/>
                  <w:tcBorders>
                    <w:tl2br w:val="nil"/>
                    <w:tr2bl w:val="nil"/>
                  </w:tcBorders>
                  <w:noWrap/>
                  <w:vAlign w:val="center"/>
                </w:tcPr>
                <w:p w14:paraId="72473FC1">
                  <w:pPr>
                    <w:jc w:val="center"/>
                    <w:rPr>
                      <w:color w:val="auto"/>
                      <w:szCs w:val="21"/>
                      <w:highlight w:val="none"/>
                    </w:rPr>
                  </w:pPr>
                  <w:r>
                    <w:rPr>
                      <w:rFonts w:hint="eastAsia"/>
                      <w:color w:val="auto"/>
                      <w:szCs w:val="21"/>
                      <w:highlight w:val="none"/>
                    </w:rPr>
                    <w:t>年产干粮</w:t>
                  </w:r>
                </w:p>
              </w:tc>
            </w:tr>
            <w:tr w14:paraId="77D730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508" w:type="dxa"/>
                  <w:vMerge w:val="continue"/>
                  <w:tcBorders>
                    <w:tl2br w:val="nil"/>
                    <w:tr2bl w:val="nil"/>
                  </w:tcBorders>
                  <w:noWrap/>
                  <w:vAlign w:val="center"/>
                </w:tcPr>
                <w:p w14:paraId="1B105058">
                  <w:pPr>
                    <w:jc w:val="center"/>
                    <w:rPr>
                      <w:color w:val="auto"/>
                      <w:szCs w:val="21"/>
                      <w:highlight w:val="none"/>
                    </w:rPr>
                  </w:pPr>
                </w:p>
              </w:tc>
              <w:tc>
                <w:tcPr>
                  <w:tcW w:w="813" w:type="dxa"/>
                  <w:vMerge w:val="continue"/>
                  <w:tcBorders>
                    <w:tl2br w:val="nil"/>
                    <w:tr2bl w:val="nil"/>
                  </w:tcBorders>
                  <w:noWrap/>
                  <w:vAlign w:val="center"/>
                </w:tcPr>
                <w:p w14:paraId="4A182AC9">
                  <w:pPr>
                    <w:jc w:val="center"/>
                    <w:rPr>
                      <w:color w:val="auto"/>
                      <w:szCs w:val="21"/>
                      <w:highlight w:val="none"/>
                    </w:rPr>
                  </w:pPr>
                </w:p>
              </w:tc>
              <w:tc>
                <w:tcPr>
                  <w:tcW w:w="920" w:type="dxa"/>
                  <w:tcBorders>
                    <w:tl2br w:val="nil"/>
                    <w:tr2bl w:val="nil"/>
                  </w:tcBorders>
                  <w:noWrap/>
                  <w:vAlign w:val="center"/>
                </w:tcPr>
                <w:p w14:paraId="28420626">
                  <w:pPr>
                    <w:jc w:val="center"/>
                    <w:rPr>
                      <w:color w:val="auto"/>
                      <w:szCs w:val="21"/>
                      <w:highlight w:val="none"/>
                    </w:rPr>
                  </w:pPr>
                  <w:r>
                    <w:rPr>
                      <w:rFonts w:hint="eastAsia"/>
                      <w:color w:val="auto"/>
                      <w:szCs w:val="21"/>
                      <w:highlight w:val="none"/>
                    </w:rPr>
                    <w:t>烘干前</w:t>
                  </w:r>
                </w:p>
              </w:tc>
              <w:tc>
                <w:tcPr>
                  <w:tcW w:w="990" w:type="dxa"/>
                  <w:tcBorders>
                    <w:tl2br w:val="nil"/>
                    <w:tr2bl w:val="nil"/>
                  </w:tcBorders>
                  <w:noWrap/>
                  <w:vAlign w:val="center"/>
                </w:tcPr>
                <w:p w14:paraId="4F9D7118">
                  <w:pPr>
                    <w:jc w:val="center"/>
                    <w:rPr>
                      <w:color w:val="auto"/>
                      <w:szCs w:val="21"/>
                      <w:highlight w:val="none"/>
                    </w:rPr>
                  </w:pPr>
                  <w:r>
                    <w:rPr>
                      <w:rFonts w:hint="eastAsia"/>
                      <w:color w:val="auto"/>
                      <w:szCs w:val="21"/>
                      <w:highlight w:val="none"/>
                    </w:rPr>
                    <w:t>烘干后</w:t>
                  </w:r>
                </w:p>
              </w:tc>
              <w:tc>
                <w:tcPr>
                  <w:tcW w:w="1113" w:type="dxa"/>
                  <w:vMerge w:val="continue"/>
                  <w:tcBorders>
                    <w:tl2br w:val="nil"/>
                    <w:tr2bl w:val="nil"/>
                  </w:tcBorders>
                  <w:noWrap/>
                  <w:vAlign w:val="center"/>
                </w:tcPr>
                <w:p w14:paraId="429FE4ED">
                  <w:pPr>
                    <w:jc w:val="center"/>
                    <w:rPr>
                      <w:color w:val="auto"/>
                      <w:szCs w:val="21"/>
                      <w:highlight w:val="none"/>
                    </w:rPr>
                  </w:pPr>
                </w:p>
              </w:tc>
              <w:tc>
                <w:tcPr>
                  <w:tcW w:w="1275" w:type="dxa"/>
                  <w:vMerge w:val="continue"/>
                  <w:tcBorders>
                    <w:tl2br w:val="nil"/>
                    <w:tr2bl w:val="nil"/>
                  </w:tcBorders>
                  <w:noWrap/>
                  <w:vAlign w:val="center"/>
                </w:tcPr>
                <w:p w14:paraId="07D77843">
                  <w:pPr>
                    <w:jc w:val="center"/>
                    <w:rPr>
                      <w:color w:val="auto"/>
                      <w:szCs w:val="21"/>
                      <w:highlight w:val="none"/>
                    </w:rPr>
                  </w:pPr>
                </w:p>
              </w:tc>
              <w:tc>
                <w:tcPr>
                  <w:tcW w:w="1237" w:type="dxa"/>
                  <w:vMerge w:val="continue"/>
                  <w:tcBorders>
                    <w:tl2br w:val="nil"/>
                    <w:tr2bl w:val="nil"/>
                  </w:tcBorders>
                  <w:noWrap/>
                  <w:vAlign w:val="center"/>
                </w:tcPr>
                <w:p w14:paraId="0AD99CB0">
                  <w:pPr>
                    <w:jc w:val="center"/>
                    <w:rPr>
                      <w:color w:val="auto"/>
                      <w:szCs w:val="21"/>
                      <w:highlight w:val="none"/>
                    </w:rPr>
                  </w:pPr>
                </w:p>
              </w:tc>
              <w:tc>
                <w:tcPr>
                  <w:tcW w:w="1161" w:type="dxa"/>
                  <w:vMerge w:val="continue"/>
                  <w:tcBorders>
                    <w:tl2br w:val="nil"/>
                    <w:tr2bl w:val="nil"/>
                  </w:tcBorders>
                  <w:noWrap/>
                  <w:vAlign w:val="center"/>
                </w:tcPr>
                <w:p w14:paraId="773E208D">
                  <w:pPr>
                    <w:jc w:val="center"/>
                    <w:rPr>
                      <w:color w:val="auto"/>
                      <w:szCs w:val="21"/>
                      <w:highlight w:val="none"/>
                    </w:rPr>
                  </w:pPr>
                </w:p>
              </w:tc>
            </w:tr>
            <w:tr w14:paraId="301CA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508" w:type="dxa"/>
                  <w:tcBorders>
                    <w:tl2br w:val="nil"/>
                    <w:tr2bl w:val="nil"/>
                  </w:tcBorders>
                  <w:noWrap/>
                  <w:vAlign w:val="center"/>
                </w:tcPr>
                <w:p w14:paraId="2A240E44">
                  <w:pPr>
                    <w:jc w:val="center"/>
                    <w:rPr>
                      <w:color w:val="auto"/>
                      <w:szCs w:val="21"/>
                      <w:highlight w:val="none"/>
                    </w:rPr>
                  </w:pPr>
                  <w:r>
                    <w:rPr>
                      <w:rFonts w:hint="eastAsia"/>
                      <w:color w:val="auto"/>
                      <w:szCs w:val="21"/>
                      <w:highlight w:val="none"/>
                    </w:rPr>
                    <w:t>1</w:t>
                  </w:r>
                </w:p>
              </w:tc>
              <w:tc>
                <w:tcPr>
                  <w:tcW w:w="813" w:type="dxa"/>
                  <w:tcBorders>
                    <w:tl2br w:val="nil"/>
                    <w:tr2bl w:val="nil"/>
                  </w:tcBorders>
                  <w:noWrap/>
                  <w:vAlign w:val="center"/>
                </w:tcPr>
                <w:p w14:paraId="7641D86B">
                  <w:pPr>
                    <w:jc w:val="center"/>
                    <w:rPr>
                      <w:color w:val="auto"/>
                      <w:szCs w:val="21"/>
                      <w:highlight w:val="none"/>
                    </w:rPr>
                  </w:pPr>
                  <w:r>
                    <w:rPr>
                      <w:rFonts w:hint="eastAsia"/>
                      <w:color w:val="auto"/>
                      <w:szCs w:val="21"/>
                      <w:highlight w:val="none"/>
                    </w:rPr>
                    <w:t>玉米</w:t>
                  </w:r>
                </w:p>
              </w:tc>
              <w:tc>
                <w:tcPr>
                  <w:tcW w:w="920" w:type="dxa"/>
                  <w:tcBorders>
                    <w:tl2br w:val="nil"/>
                    <w:tr2bl w:val="nil"/>
                  </w:tcBorders>
                  <w:noWrap/>
                  <w:vAlign w:val="center"/>
                </w:tcPr>
                <w:p w14:paraId="7760DEFF">
                  <w:pPr>
                    <w:jc w:val="center"/>
                    <w:rPr>
                      <w:color w:val="auto"/>
                      <w:szCs w:val="21"/>
                      <w:highlight w:val="none"/>
                    </w:rPr>
                  </w:pPr>
                  <w:r>
                    <w:rPr>
                      <w:rFonts w:hint="eastAsia"/>
                      <w:color w:val="auto"/>
                      <w:szCs w:val="21"/>
                      <w:highlight w:val="none"/>
                    </w:rPr>
                    <w:t>30</w:t>
                  </w:r>
                </w:p>
              </w:tc>
              <w:tc>
                <w:tcPr>
                  <w:tcW w:w="990" w:type="dxa"/>
                  <w:tcBorders>
                    <w:tl2br w:val="nil"/>
                    <w:tr2bl w:val="nil"/>
                  </w:tcBorders>
                  <w:noWrap/>
                  <w:vAlign w:val="center"/>
                </w:tcPr>
                <w:p w14:paraId="2EEE8B5C">
                  <w:pPr>
                    <w:jc w:val="center"/>
                    <w:rPr>
                      <w:color w:val="auto"/>
                      <w:szCs w:val="21"/>
                      <w:highlight w:val="none"/>
                    </w:rPr>
                  </w:pPr>
                  <w:r>
                    <w:rPr>
                      <w:rFonts w:hint="eastAsia"/>
                      <w:color w:val="auto"/>
                      <w:szCs w:val="21"/>
                      <w:highlight w:val="none"/>
                    </w:rPr>
                    <w:t>14</w:t>
                  </w:r>
                </w:p>
              </w:tc>
              <w:tc>
                <w:tcPr>
                  <w:tcW w:w="1113" w:type="dxa"/>
                  <w:tcBorders>
                    <w:tl2br w:val="nil"/>
                    <w:tr2bl w:val="nil"/>
                  </w:tcBorders>
                  <w:noWrap/>
                  <w:vAlign w:val="center"/>
                </w:tcPr>
                <w:p w14:paraId="021019DA">
                  <w:pPr>
                    <w:jc w:val="center"/>
                    <w:rPr>
                      <w:rFonts w:hint="default" w:eastAsia="宋体"/>
                      <w:color w:val="auto"/>
                      <w:szCs w:val="21"/>
                      <w:highlight w:val="none"/>
                      <w:lang w:val="en-US" w:eastAsia="zh-CN"/>
                    </w:rPr>
                  </w:pPr>
                  <w:r>
                    <w:rPr>
                      <w:rFonts w:hint="eastAsia"/>
                      <w:color w:val="auto"/>
                      <w:szCs w:val="21"/>
                      <w:highlight w:val="none"/>
                      <w:lang w:val="en-US" w:eastAsia="zh-CN"/>
                    </w:rPr>
                    <w:t>500</w:t>
                  </w:r>
                </w:p>
              </w:tc>
              <w:tc>
                <w:tcPr>
                  <w:tcW w:w="1275" w:type="dxa"/>
                  <w:tcBorders>
                    <w:tl2br w:val="nil"/>
                    <w:tr2bl w:val="nil"/>
                  </w:tcBorders>
                  <w:noWrap/>
                  <w:vAlign w:val="center"/>
                </w:tcPr>
                <w:p w14:paraId="07EF9CBA">
                  <w:pPr>
                    <w:jc w:val="center"/>
                    <w:rPr>
                      <w:rFonts w:hint="default" w:eastAsia="宋体"/>
                      <w:color w:val="auto"/>
                      <w:szCs w:val="21"/>
                      <w:highlight w:val="none"/>
                      <w:lang w:val="en-US" w:eastAsia="zh-CN"/>
                    </w:rPr>
                  </w:pPr>
                  <w:r>
                    <w:rPr>
                      <w:rFonts w:hint="eastAsia"/>
                      <w:color w:val="auto"/>
                      <w:szCs w:val="21"/>
                      <w:highlight w:val="none"/>
                      <w:lang w:val="en-US" w:eastAsia="zh-CN"/>
                    </w:rPr>
                    <w:t>25000</w:t>
                  </w:r>
                </w:p>
              </w:tc>
              <w:tc>
                <w:tcPr>
                  <w:tcW w:w="1237" w:type="dxa"/>
                  <w:tcBorders>
                    <w:tl2br w:val="nil"/>
                    <w:tr2bl w:val="nil"/>
                  </w:tcBorders>
                  <w:noWrap/>
                  <w:vAlign w:val="center"/>
                </w:tcPr>
                <w:p w14:paraId="640207B3">
                  <w:pPr>
                    <w:keepNext w:val="0"/>
                    <w:keepLines w:val="0"/>
                    <w:widowControl/>
                    <w:suppressLineNumbers w:val="0"/>
                    <w:jc w:val="center"/>
                    <w:textAlignment w:val="center"/>
                    <w:rPr>
                      <w:rFonts w:hint="default" w:eastAsia="宋体"/>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406.33</w:t>
                  </w:r>
                </w:p>
              </w:tc>
              <w:tc>
                <w:tcPr>
                  <w:tcW w:w="1161" w:type="dxa"/>
                  <w:tcBorders>
                    <w:tl2br w:val="nil"/>
                    <w:tr2bl w:val="nil"/>
                  </w:tcBorders>
                  <w:noWrap/>
                  <w:vAlign w:val="center"/>
                </w:tcPr>
                <w:p w14:paraId="4708A829">
                  <w:pPr>
                    <w:keepNext w:val="0"/>
                    <w:keepLines w:val="0"/>
                    <w:widowControl/>
                    <w:suppressLineNumbers w:val="0"/>
                    <w:jc w:val="center"/>
                    <w:textAlignment w:val="center"/>
                    <w:rPr>
                      <w:rFonts w:hint="default" w:eastAsia="宋体"/>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20316.26</w:t>
                  </w:r>
                </w:p>
              </w:tc>
            </w:tr>
          </w:tbl>
          <w:p w14:paraId="631E769A">
            <w:pPr>
              <w:jc w:val="center"/>
              <w:textAlignment w:val="baseline"/>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表</w:t>
            </w:r>
            <w:r>
              <w:rPr>
                <w:rFonts w:hint="eastAsia" w:ascii="Times New Roman" w:hAnsi="Times New Roman" w:eastAsia="宋体" w:cs="Times New Roman"/>
                <w:b/>
                <w:bCs/>
                <w:color w:val="auto"/>
                <w:kern w:val="0"/>
                <w:sz w:val="24"/>
                <w:highlight w:val="none"/>
                <w:lang w:val="en-US" w:eastAsia="zh-CN"/>
              </w:rPr>
              <w:t>2-3   物料平衡</w:t>
            </w:r>
            <w:r>
              <w:rPr>
                <w:rFonts w:hint="default" w:ascii="Times New Roman" w:hAnsi="Times New Roman" w:eastAsia="宋体" w:cs="Times New Roman"/>
                <w:b/>
                <w:bCs/>
                <w:color w:val="auto"/>
                <w:kern w:val="0"/>
                <w:sz w:val="24"/>
                <w:highlight w:val="none"/>
              </w:rPr>
              <w:t>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3"/>
              <w:gridCol w:w="1722"/>
              <w:gridCol w:w="2813"/>
              <w:gridCol w:w="1660"/>
            </w:tblGrid>
            <w:tr w14:paraId="33465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tcBorders>
                    <w:right w:val="single" w:color="auto" w:sz="8" w:space="0"/>
                  </w:tcBorders>
                  <w:noWrap w:val="0"/>
                  <w:vAlign w:val="center"/>
                </w:tcPr>
                <w:p w14:paraId="11BE8F7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投料名称</w:t>
                  </w:r>
                </w:p>
              </w:tc>
              <w:tc>
                <w:tcPr>
                  <w:tcW w:w="1042" w:type="pct"/>
                  <w:tcBorders>
                    <w:left w:val="single" w:color="auto" w:sz="8" w:space="0"/>
                    <w:right w:val="single" w:color="auto" w:sz="8" w:space="0"/>
                  </w:tcBorders>
                  <w:noWrap w:val="0"/>
                  <w:vAlign w:val="center"/>
                </w:tcPr>
                <w:p w14:paraId="2ADB861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投料量(t/a)</w:t>
                  </w:r>
                </w:p>
              </w:tc>
              <w:tc>
                <w:tcPr>
                  <w:tcW w:w="1703" w:type="pct"/>
                  <w:tcBorders>
                    <w:left w:val="single" w:color="auto" w:sz="8" w:space="0"/>
                    <w:right w:val="single" w:color="auto" w:sz="8" w:space="0"/>
                  </w:tcBorders>
                  <w:noWrap w:val="0"/>
                  <w:vAlign w:val="center"/>
                </w:tcPr>
                <w:p w14:paraId="3603A169">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产出物名称</w:t>
                  </w:r>
                </w:p>
              </w:tc>
              <w:tc>
                <w:tcPr>
                  <w:tcW w:w="1005" w:type="pct"/>
                  <w:tcBorders>
                    <w:left w:val="single" w:color="auto" w:sz="8" w:space="0"/>
                  </w:tcBorders>
                  <w:noWrap w:val="0"/>
                  <w:vAlign w:val="center"/>
                </w:tcPr>
                <w:p w14:paraId="06FC207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产出量(t/a)</w:t>
                  </w:r>
                </w:p>
              </w:tc>
            </w:tr>
            <w:tr w14:paraId="1427EA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tcBorders>
                    <w:right w:val="single" w:color="auto" w:sz="8" w:space="0"/>
                  </w:tcBorders>
                  <w:noWrap w:val="0"/>
                  <w:vAlign w:val="center"/>
                </w:tcPr>
                <w:p w14:paraId="3F124F9B">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玉米潮粮</w:t>
                  </w:r>
                </w:p>
              </w:tc>
              <w:tc>
                <w:tcPr>
                  <w:tcW w:w="1042" w:type="pct"/>
                  <w:tcBorders>
                    <w:left w:val="single" w:color="auto" w:sz="8" w:space="0"/>
                    <w:right w:val="single" w:color="auto" w:sz="8" w:space="0"/>
                  </w:tcBorders>
                  <w:noWrap w:val="0"/>
                  <w:vAlign w:val="center"/>
                </w:tcPr>
                <w:p w14:paraId="1578877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25000</w:t>
                  </w:r>
                </w:p>
              </w:tc>
              <w:tc>
                <w:tcPr>
                  <w:tcW w:w="1703" w:type="pct"/>
                  <w:tcBorders>
                    <w:left w:val="single" w:color="auto" w:sz="8" w:space="0"/>
                    <w:right w:val="single" w:color="auto" w:sz="8" w:space="0"/>
                  </w:tcBorders>
                  <w:noWrap w:val="0"/>
                  <w:vAlign w:val="center"/>
                </w:tcPr>
                <w:p w14:paraId="3642981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玉米干粮</w:t>
                  </w:r>
                </w:p>
              </w:tc>
              <w:tc>
                <w:tcPr>
                  <w:tcW w:w="1005" w:type="pct"/>
                  <w:tcBorders>
                    <w:left w:val="single" w:color="auto" w:sz="8" w:space="0"/>
                  </w:tcBorders>
                  <w:noWrap w:val="0"/>
                  <w:vAlign w:val="center"/>
                </w:tcPr>
                <w:p w14:paraId="396346E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20316.26</w:t>
                  </w:r>
                </w:p>
              </w:tc>
            </w:tr>
            <w:tr w14:paraId="55065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Merge w:val="restart"/>
                  <w:tcBorders>
                    <w:right w:val="single" w:color="auto" w:sz="8" w:space="0"/>
                  </w:tcBorders>
                  <w:noWrap w:val="0"/>
                  <w:vAlign w:val="center"/>
                </w:tcPr>
                <w:p w14:paraId="21B34CC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042" w:type="pct"/>
                  <w:vMerge w:val="restart"/>
                  <w:tcBorders>
                    <w:left w:val="single" w:color="auto" w:sz="8" w:space="0"/>
                    <w:right w:val="single" w:color="auto" w:sz="8" w:space="0"/>
                  </w:tcBorders>
                  <w:noWrap w:val="0"/>
                  <w:vAlign w:val="center"/>
                </w:tcPr>
                <w:p w14:paraId="516B86A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703" w:type="pct"/>
                  <w:tcBorders>
                    <w:left w:val="single" w:color="auto" w:sz="8" w:space="0"/>
                    <w:right w:val="single" w:color="auto" w:sz="8" w:space="0"/>
                  </w:tcBorders>
                  <w:noWrap w:val="0"/>
                  <w:vAlign w:val="center"/>
                </w:tcPr>
                <w:p w14:paraId="3F6D795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筛选杂质</w:t>
                  </w:r>
                </w:p>
              </w:tc>
              <w:tc>
                <w:tcPr>
                  <w:tcW w:w="1005" w:type="pct"/>
                  <w:tcBorders>
                    <w:left w:val="single" w:color="auto" w:sz="8" w:space="0"/>
                  </w:tcBorders>
                  <w:noWrap w:val="0"/>
                  <w:vAlign w:val="center"/>
                </w:tcPr>
                <w:p w14:paraId="4F9B431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r>
            <w:tr w14:paraId="093EE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1249" w:type="pct"/>
                  <w:vMerge w:val="continue"/>
                  <w:tcBorders>
                    <w:right w:val="single" w:color="auto" w:sz="8" w:space="0"/>
                  </w:tcBorders>
                  <w:noWrap w:val="0"/>
                  <w:vAlign w:val="center"/>
                </w:tcPr>
                <w:p w14:paraId="714776B3">
                  <w:pPr>
                    <w:jc w:val="center"/>
                    <w:rPr>
                      <w:rFonts w:hint="default" w:ascii="Times New Roman" w:hAnsi="Times New Roman" w:eastAsia="宋体" w:cs="Times New Roman"/>
                      <w:color w:val="auto"/>
                      <w:sz w:val="21"/>
                      <w:szCs w:val="21"/>
                      <w:highlight w:val="none"/>
                      <w:lang w:val="en-US" w:eastAsia="zh-CN"/>
                    </w:rPr>
                  </w:pPr>
                </w:p>
              </w:tc>
              <w:tc>
                <w:tcPr>
                  <w:tcW w:w="1042" w:type="pct"/>
                  <w:vMerge w:val="continue"/>
                  <w:tcBorders>
                    <w:left w:val="single" w:color="auto" w:sz="8" w:space="0"/>
                    <w:right w:val="single" w:color="auto" w:sz="8" w:space="0"/>
                  </w:tcBorders>
                  <w:noWrap w:val="0"/>
                  <w:vAlign w:val="center"/>
                </w:tcPr>
                <w:p w14:paraId="02306353">
                  <w:pPr>
                    <w:jc w:val="center"/>
                    <w:rPr>
                      <w:rFonts w:hint="default" w:ascii="Times New Roman" w:hAnsi="Times New Roman" w:eastAsia="宋体" w:cs="Times New Roman"/>
                      <w:color w:val="auto"/>
                      <w:sz w:val="21"/>
                      <w:szCs w:val="21"/>
                      <w:highlight w:val="none"/>
                      <w:lang w:val="en-US" w:eastAsia="zh-CN"/>
                    </w:rPr>
                  </w:pPr>
                </w:p>
              </w:tc>
              <w:tc>
                <w:tcPr>
                  <w:tcW w:w="1703" w:type="pct"/>
                  <w:tcBorders>
                    <w:left w:val="single" w:color="auto" w:sz="8" w:space="0"/>
                    <w:right w:val="single" w:color="auto" w:sz="8" w:space="0"/>
                  </w:tcBorders>
                  <w:noWrap w:val="0"/>
                  <w:vAlign w:val="center"/>
                </w:tcPr>
                <w:p w14:paraId="37785158">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蒸发水分</w:t>
                  </w:r>
                </w:p>
              </w:tc>
              <w:tc>
                <w:tcPr>
                  <w:tcW w:w="1005" w:type="pct"/>
                  <w:tcBorders>
                    <w:left w:val="single" w:color="auto" w:sz="8" w:space="0"/>
                  </w:tcBorders>
                  <w:noWrap w:val="0"/>
                  <w:vAlign w:val="center"/>
                </w:tcPr>
                <w:p w14:paraId="087B1B27">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4651.16</w:t>
                  </w:r>
                </w:p>
              </w:tc>
            </w:tr>
            <w:tr w14:paraId="261A28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Merge w:val="continue"/>
                  <w:tcBorders>
                    <w:right w:val="single" w:color="auto" w:sz="8" w:space="0"/>
                  </w:tcBorders>
                  <w:noWrap w:val="0"/>
                  <w:vAlign w:val="center"/>
                </w:tcPr>
                <w:p w14:paraId="505E1799">
                  <w:pPr>
                    <w:jc w:val="center"/>
                    <w:rPr>
                      <w:rFonts w:hint="default" w:ascii="Times New Roman" w:hAnsi="Times New Roman" w:eastAsia="宋体" w:cs="Times New Roman"/>
                      <w:color w:val="auto"/>
                      <w:sz w:val="21"/>
                      <w:szCs w:val="21"/>
                      <w:highlight w:val="none"/>
                      <w:lang w:val="en-US" w:eastAsia="zh-CN"/>
                    </w:rPr>
                  </w:pPr>
                </w:p>
              </w:tc>
              <w:tc>
                <w:tcPr>
                  <w:tcW w:w="1042" w:type="pct"/>
                  <w:vMerge w:val="continue"/>
                  <w:tcBorders>
                    <w:left w:val="single" w:color="auto" w:sz="8" w:space="0"/>
                    <w:right w:val="single" w:color="auto" w:sz="8" w:space="0"/>
                  </w:tcBorders>
                  <w:noWrap w:val="0"/>
                  <w:vAlign w:val="center"/>
                </w:tcPr>
                <w:p w14:paraId="1331643B">
                  <w:pPr>
                    <w:jc w:val="center"/>
                    <w:rPr>
                      <w:rFonts w:hint="default" w:ascii="Times New Roman" w:hAnsi="Times New Roman" w:eastAsia="宋体" w:cs="Times New Roman"/>
                      <w:color w:val="auto"/>
                      <w:sz w:val="21"/>
                      <w:szCs w:val="21"/>
                      <w:highlight w:val="none"/>
                      <w:lang w:val="en-US" w:eastAsia="zh-CN"/>
                    </w:rPr>
                  </w:pPr>
                </w:p>
              </w:tc>
              <w:tc>
                <w:tcPr>
                  <w:tcW w:w="1703" w:type="pct"/>
                  <w:tcBorders>
                    <w:left w:val="single" w:color="auto" w:sz="8" w:space="0"/>
                    <w:right w:val="single" w:color="auto" w:sz="8" w:space="0"/>
                  </w:tcBorders>
                  <w:noWrap w:val="0"/>
                  <w:vAlign w:val="center"/>
                </w:tcPr>
                <w:p w14:paraId="78D06EC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稻谷装卸、筛分、输送</w:t>
                  </w:r>
                  <w:r>
                    <w:rPr>
                      <w:rFonts w:hint="eastAsia" w:ascii="Times New Roman" w:hAnsi="Times New Roman" w:eastAsia="宋体" w:cs="Times New Roman"/>
                      <w:color w:val="auto"/>
                      <w:sz w:val="21"/>
                      <w:szCs w:val="21"/>
                      <w:highlight w:val="none"/>
                      <w:lang w:val="en-US" w:eastAsia="zh-CN"/>
                    </w:rPr>
                    <w:t>粉尘</w:t>
                  </w:r>
                </w:p>
              </w:tc>
              <w:tc>
                <w:tcPr>
                  <w:tcW w:w="1005" w:type="pct"/>
                  <w:tcBorders>
                    <w:left w:val="single" w:color="auto" w:sz="8" w:space="0"/>
                  </w:tcBorders>
                  <w:noWrap w:val="0"/>
                  <w:vAlign w:val="center"/>
                </w:tcPr>
                <w:p w14:paraId="5BF0523C">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r>
            <w:tr w14:paraId="57272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vMerge w:val="continue"/>
                  <w:tcBorders>
                    <w:right w:val="single" w:color="auto" w:sz="8" w:space="0"/>
                  </w:tcBorders>
                  <w:noWrap w:val="0"/>
                  <w:vAlign w:val="center"/>
                </w:tcPr>
                <w:p w14:paraId="45D1DE9F">
                  <w:pPr>
                    <w:jc w:val="center"/>
                    <w:rPr>
                      <w:rFonts w:hint="default" w:ascii="Times New Roman" w:hAnsi="Times New Roman" w:eastAsia="宋体" w:cs="Times New Roman"/>
                      <w:color w:val="auto"/>
                      <w:sz w:val="21"/>
                      <w:szCs w:val="21"/>
                      <w:highlight w:val="none"/>
                      <w:lang w:val="en-US" w:eastAsia="zh-CN"/>
                    </w:rPr>
                  </w:pPr>
                </w:p>
              </w:tc>
              <w:tc>
                <w:tcPr>
                  <w:tcW w:w="1042" w:type="pct"/>
                  <w:vMerge w:val="continue"/>
                  <w:tcBorders>
                    <w:left w:val="single" w:color="auto" w:sz="8" w:space="0"/>
                    <w:right w:val="single" w:color="auto" w:sz="8" w:space="0"/>
                  </w:tcBorders>
                  <w:noWrap w:val="0"/>
                  <w:vAlign w:val="center"/>
                </w:tcPr>
                <w:p w14:paraId="637F98EF">
                  <w:pPr>
                    <w:jc w:val="center"/>
                    <w:rPr>
                      <w:rFonts w:hint="default" w:ascii="Times New Roman" w:hAnsi="Times New Roman" w:eastAsia="宋体" w:cs="Times New Roman"/>
                      <w:color w:val="auto"/>
                      <w:sz w:val="21"/>
                      <w:szCs w:val="21"/>
                      <w:highlight w:val="none"/>
                      <w:lang w:val="en-US" w:eastAsia="zh-CN"/>
                    </w:rPr>
                  </w:pPr>
                </w:p>
              </w:tc>
              <w:tc>
                <w:tcPr>
                  <w:tcW w:w="1703" w:type="pct"/>
                  <w:tcBorders>
                    <w:left w:val="single" w:color="auto" w:sz="8" w:space="0"/>
                    <w:right w:val="single" w:color="auto" w:sz="8" w:space="0"/>
                  </w:tcBorders>
                  <w:noWrap w:val="0"/>
                  <w:vAlign w:val="center"/>
                </w:tcPr>
                <w:p w14:paraId="7019458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烘干粉尘</w:t>
                  </w:r>
                </w:p>
              </w:tc>
              <w:tc>
                <w:tcPr>
                  <w:tcW w:w="1005" w:type="pct"/>
                  <w:tcBorders>
                    <w:left w:val="single" w:color="auto" w:sz="8" w:space="0"/>
                  </w:tcBorders>
                  <w:noWrap w:val="0"/>
                  <w:vAlign w:val="center"/>
                </w:tcPr>
                <w:p w14:paraId="54F912E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5.08</w:t>
                  </w:r>
                </w:p>
              </w:tc>
            </w:tr>
            <w:tr w14:paraId="073D2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249" w:type="pct"/>
                  <w:tcBorders>
                    <w:right w:val="single" w:color="auto" w:sz="8" w:space="0"/>
                  </w:tcBorders>
                  <w:noWrap w:val="0"/>
                  <w:vAlign w:val="center"/>
                </w:tcPr>
                <w:p w14:paraId="31C4831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1042" w:type="pct"/>
                  <w:tcBorders>
                    <w:left w:val="single" w:color="auto" w:sz="8" w:space="0"/>
                    <w:right w:val="single" w:color="auto" w:sz="8" w:space="0"/>
                  </w:tcBorders>
                  <w:noWrap w:val="0"/>
                  <w:vAlign w:val="center"/>
                </w:tcPr>
                <w:p w14:paraId="2064FD45">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25000</w:t>
                  </w:r>
                </w:p>
              </w:tc>
              <w:tc>
                <w:tcPr>
                  <w:tcW w:w="1703" w:type="pct"/>
                  <w:tcBorders>
                    <w:left w:val="single" w:color="auto" w:sz="8" w:space="0"/>
                    <w:right w:val="single" w:color="auto" w:sz="8" w:space="0"/>
                  </w:tcBorders>
                  <w:noWrap w:val="0"/>
                  <w:vAlign w:val="center"/>
                </w:tcPr>
                <w:p w14:paraId="60A5281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合计</w:t>
                  </w:r>
                </w:p>
              </w:tc>
              <w:tc>
                <w:tcPr>
                  <w:tcW w:w="1005" w:type="pct"/>
                  <w:tcBorders>
                    <w:left w:val="single" w:color="auto" w:sz="8" w:space="0"/>
                  </w:tcBorders>
                  <w:noWrap w:val="0"/>
                  <w:vAlign w:val="center"/>
                </w:tcPr>
                <w:p w14:paraId="6C0E8D07">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25000</w:t>
                  </w:r>
                </w:p>
              </w:tc>
            </w:tr>
          </w:tbl>
          <w:p w14:paraId="5709D372">
            <w:pPr>
              <w:spacing w:line="360" w:lineRule="auto"/>
              <w:ind w:firstLine="480" w:firstLineChars="200"/>
              <w:rPr>
                <w:rFonts w:hint="default"/>
                <w:color w:val="auto"/>
                <w:kern w:val="0"/>
                <w:sz w:val="24"/>
                <w:lang w:val="en-US" w:eastAsia="zh-CN"/>
              </w:rPr>
            </w:pPr>
            <w:r>
              <w:rPr>
                <w:rFonts w:hint="eastAsia"/>
                <w:color w:val="auto"/>
                <w:kern w:val="0"/>
                <w:sz w:val="24"/>
                <w:lang w:eastAsia="zh-CN"/>
              </w:rPr>
              <w:t>扩建后，全厂产品方案及产量见表</w:t>
            </w:r>
            <w:r>
              <w:rPr>
                <w:rFonts w:hint="eastAsia"/>
                <w:color w:val="auto"/>
                <w:kern w:val="0"/>
                <w:sz w:val="24"/>
                <w:lang w:val="en-US" w:eastAsia="zh-CN"/>
              </w:rPr>
              <w:t>2-4。</w:t>
            </w:r>
          </w:p>
          <w:p w14:paraId="1247AC99">
            <w:pPr>
              <w:pStyle w:val="145"/>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before="0" w:line="240" w:lineRule="auto"/>
              <w:ind w:left="420" w:leftChars="0" w:right="0" w:rightChars="0"/>
              <w:jc w:val="center"/>
              <w:textAlignment w:val="auto"/>
              <w:rPr>
                <w:rFonts w:hint="default"/>
                <w:b/>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u w:val="none"/>
                <w:shd w:val="clear" w:color="auto" w:fill="auto"/>
                <w:lang w:val="en-US" w:eastAsia="zh-CN" w:bidi="ar-SA"/>
              </w:rPr>
              <w:t>表2-4</w:t>
            </w:r>
            <w:r>
              <w:rPr>
                <w:rFonts w:hint="eastAsia" w:ascii="Times New Roman" w:hAnsi="Times New Roman" w:cs="Times New Roman"/>
                <w:b/>
                <w:bCs/>
                <w:color w:val="auto"/>
                <w:kern w:val="2"/>
                <w:sz w:val="24"/>
                <w:szCs w:val="24"/>
                <w:highlight w:val="none"/>
                <w:u w:val="none"/>
                <w:shd w:val="clear" w:color="auto" w:fill="auto"/>
                <w:lang w:val="en-US" w:eastAsia="zh-CN" w:bidi="ar-SA"/>
              </w:rPr>
              <w:t xml:space="preserve">  </w:t>
            </w:r>
            <w:r>
              <w:rPr>
                <w:rFonts w:hint="eastAsia"/>
                <w:b/>
                <w:color w:val="auto"/>
                <w:sz w:val="24"/>
                <w:szCs w:val="24"/>
                <w:highlight w:val="none"/>
                <w:lang w:val="en-US" w:eastAsia="zh-CN"/>
              </w:rPr>
              <w:t>全厂产品一览表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667"/>
              <w:gridCol w:w="2805"/>
              <w:gridCol w:w="2888"/>
            </w:tblGrid>
            <w:tr w14:paraId="2EDF3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3" w:type="pct"/>
                  <w:tcBorders>
                    <w:tl2br w:val="nil"/>
                    <w:tr2bl w:val="nil"/>
                  </w:tcBorders>
                  <w:noWrap w:val="0"/>
                  <w:vAlign w:val="center"/>
                </w:tcPr>
                <w:p w14:paraId="4A07713C">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序号</w:t>
                  </w:r>
                </w:p>
              </w:tc>
              <w:tc>
                <w:tcPr>
                  <w:tcW w:w="1009" w:type="pct"/>
                  <w:tcBorders>
                    <w:tl2br w:val="nil"/>
                    <w:tr2bl w:val="nil"/>
                  </w:tcBorders>
                  <w:noWrap w:val="0"/>
                  <w:vAlign w:val="center"/>
                </w:tcPr>
                <w:p w14:paraId="28E76F64">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产品名称</w:t>
                  </w:r>
                </w:p>
              </w:tc>
              <w:tc>
                <w:tcPr>
                  <w:tcW w:w="1698" w:type="pct"/>
                  <w:tcBorders>
                    <w:tl2br w:val="nil"/>
                    <w:tr2bl w:val="nil"/>
                  </w:tcBorders>
                  <w:noWrap w:val="0"/>
                  <w:vAlign w:val="center"/>
                </w:tcPr>
                <w:p w14:paraId="0ED57A6A">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原有产能</w:t>
                  </w:r>
                  <w:r>
                    <w:rPr>
                      <w:rFonts w:hint="eastAsia" w:ascii="Times New Roman" w:hAnsi="Times New Roman" w:eastAsia="宋体" w:cs="Times New Roman"/>
                      <w:color w:val="auto"/>
                      <w:spacing w:val="5"/>
                      <w:sz w:val="21"/>
                      <w:szCs w:val="21"/>
                      <w:lang w:val="en-US" w:eastAsia="zh-CN"/>
                    </w:rPr>
                    <w:t>（t/a）</w:t>
                  </w:r>
                </w:p>
              </w:tc>
              <w:tc>
                <w:tcPr>
                  <w:tcW w:w="1748" w:type="pct"/>
                  <w:tcBorders>
                    <w:tl2br w:val="nil"/>
                    <w:tr2bl w:val="nil"/>
                  </w:tcBorders>
                  <w:noWrap w:val="0"/>
                  <w:vAlign w:val="center"/>
                </w:tcPr>
                <w:p w14:paraId="3931ACC1">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扩建后产能</w:t>
                  </w:r>
                  <w:r>
                    <w:rPr>
                      <w:rFonts w:hint="eastAsia" w:ascii="Times New Roman" w:hAnsi="Times New Roman" w:eastAsia="宋体" w:cs="Times New Roman"/>
                      <w:color w:val="auto"/>
                      <w:spacing w:val="5"/>
                      <w:sz w:val="21"/>
                      <w:szCs w:val="21"/>
                      <w:lang w:val="en-US" w:eastAsia="zh-CN"/>
                    </w:rPr>
                    <w:t>（t/a）</w:t>
                  </w:r>
                </w:p>
              </w:tc>
            </w:tr>
            <w:tr w14:paraId="72DD4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3" w:type="pct"/>
                  <w:tcBorders>
                    <w:tl2br w:val="nil"/>
                    <w:tr2bl w:val="nil"/>
                  </w:tcBorders>
                  <w:noWrap w:val="0"/>
                  <w:vAlign w:val="center"/>
                </w:tcPr>
                <w:p w14:paraId="66C7BE6B">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eastAsia="宋体" w:cs="Times New Roman"/>
                      <w:color w:val="auto"/>
                      <w:spacing w:val="5"/>
                      <w:sz w:val="21"/>
                      <w:szCs w:val="21"/>
                      <w:lang w:val="en-US" w:eastAsia="zh-CN"/>
                    </w:rPr>
                    <w:t>1</w:t>
                  </w:r>
                </w:p>
              </w:tc>
              <w:tc>
                <w:tcPr>
                  <w:tcW w:w="1009" w:type="pct"/>
                  <w:tcBorders>
                    <w:tl2br w:val="nil"/>
                    <w:tr2bl w:val="nil"/>
                  </w:tcBorders>
                  <w:noWrap w:val="0"/>
                  <w:vAlign w:val="center"/>
                </w:tcPr>
                <w:p w14:paraId="37E9EC5D">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玉米干粮</w:t>
                  </w:r>
                </w:p>
              </w:tc>
              <w:tc>
                <w:tcPr>
                  <w:tcW w:w="1698" w:type="pct"/>
                  <w:tcBorders>
                    <w:tl2br w:val="nil"/>
                    <w:tr2bl w:val="nil"/>
                  </w:tcBorders>
                  <w:noWrap w:val="0"/>
                  <w:vAlign w:val="center"/>
                </w:tcPr>
                <w:p w14:paraId="41B86C16">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8393.6</w:t>
                  </w:r>
                </w:p>
              </w:tc>
              <w:tc>
                <w:tcPr>
                  <w:tcW w:w="1748" w:type="pct"/>
                  <w:tcBorders>
                    <w:tl2br w:val="nil"/>
                    <w:tr2bl w:val="nil"/>
                  </w:tcBorders>
                  <w:noWrap w:val="0"/>
                  <w:vAlign w:val="center"/>
                </w:tcPr>
                <w:p w14:paraId="0A383085">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28709.86</w:t>
                  </w:r>
                </w:p>
              </w:tc>
            </w:tr>
            <w:tr w14:paraId="65093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3" w:type="pct"/>
                  <w:gridSpan w:val="2"/>
                  <w:tcBorders>
                    <w:tl2br w:val="nil"/>
                    <w:tr2bl w:val="nil"/>
                  </w:tcBorders>
                  <w:noWrap w:val="0"/>
                  <w:vAlign w:val="center"/>
                </w:tcPr>
                <w:p w14:paraId="43E9AC4C">
                  <w:pPr>
                    <w:pStyle w:val="14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合计</w:t>
                  </w:r>
                </w:p>
              </w:tc>
              <w:tc>
                <w:tcPr>
                  <w:tcW w:w="2805" w:type="dxa"/>
                  <w:tcBorders>
                    <w:tl2br w:val="nil"/>
                    <w:tr2bl w:val="nil"/>
                  </w:tcBorders>
                  <w:noWrap w:val="0"/>
                  <w:vAlign w:val="center"/>
                </w:tcPr>
                <w:p w14:paraId="4DAFD81B">
                  <w:pPr>
                    <w:pStyle w:val="14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8393.6</w:t>
                  </w:r>
                </w:p>
              </w:tc>
              <w:tc>
                <w:tcPr>
                  <w:tcW w:w="2888" w:type="dxa"/>
                  <w:tcBorders>
                    <w:tl2br w:val="nil"/>
                    <w:tr2bl w:val="nil"/>
                  </w:tcBorders>
                  <w:noWrap w:val="0"/>
                  <w:vAlign w:val="center"/>
                </w:tcPr>
                <w:p w14:paraId="56421FC0">
                  <w:pPr>
                    <w:pStyle w:val="14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5"/>
                      <w:sz w:val="21"/>
                      <w:szCs w:val="21"/>
                      <w:lang w:val="en-US" w:eastAsia="zh-CN"/>
                    </w:rPr>
                  </w:pPr>
                  <w:r>
                    <w:rPr>
                      <w:rFonts w:hint="eastAsia" w:ascii="Times New Roman" w:hAnsi="Times New Roman" w:cs="Times New Roman"/>
                      <w:color w:val="auto"/>
                      <w:spacing w:val="5"/>
                      <w:sz w:val="21"/>
                      <w:szCs w:val="21"/>
                      <w:lang w:val="en-US" w:eastAsia="zh-CN"/>
                    </w:rPr>
                    <w:t>28709.86</w:t>
                  </w:r>
                </w:p>
              </w:tc>
            </w:tr>
          </w:tbl>
          <w:p w14:paraId="6F11CF58">
            <w:pPr>
              <w:spacing w:line="360" w:lineRule="auto"/>
              <w:ind w:firstLine="482" w:firstLineChars="200"/>
              <w:rPr>
                <w:b/>
                <w:color w:val="auto"/>
                <w:sz w:val="24"/>
              </w:rPr>
            </w:pPr>
            <w:r>
              <w:rPr>
                <w:b/>
                <w:color w:val="auto"/>
                <w:sz w:val="24"/>
              </w:rPr>
              <w:t>三、原辅材料用量</w:t>
            </w:r>
          </w:p>
          <w:p w14:paraId="0ECEA9AC">
            <w:pPr>
              <w:autoSpaceDE w:val="0"/>
              <w:autoSpaceDN w:val="0"/>
              <w:spacing w:line="360" w:lineRule="auto"/>
              <w:ind w:firstLine="480" w:firstLineChars="200"/>
              <w:rPr>
                <w:color w:val="auto"/>
                <w:sz w:val="24"/>
              </w:rPr>
            </w:pPr>
            <w:r>
              <w:rPr>
                <w:color w:val="auto"/>
                <w:sz w:val="24"/>
              </w:rPr>
              <w:t>原辅材料一览表见表2-</w:t>
            </w:r>
            <w:r>
              <w:rPr>
                <w:rFonts w:hint="eastAsia"/>
                <w:color w:val="auto"/>
                <w:sz w:val="24"/>
                <w:lang w:val="en-US" w:eastAsia="zh-CN"/>
              </w:rPr>
              <w:t>5</w:t>
            </w:r>
            <w:r>
              <w:rPr>
                <w:color w:val="auto"/>
                <w:sz w:val="24"/>
              </w:rPr>
              <w:t>。</w:t>
            </w:r>
          </w:p>
          <w:p w14:paraId="4BA0EA81">
            <w:pPr>
              <w:jc w:val="center"/>
              <w:textAlignment w:val="baseline"/>
              <w:rPr>
                <w:b/>
                <w:bCs/>
                <w:color w:val="auto"/>
                <w:kern w:val="0"/>
                <w:sz w:val="24"/>
              </w:rPr>
            </w:pPr>
            <w:r>
              <w:rPr>
                <w:b/>
                <w:bCs/>
                <w:color w:val="auto"/>
                <w:kern w:val="0"/>
                <w:sz w:val="24"/>
              </w:rPr>
              <w:t>表</w:t>
            </w:r>
            <w:r>
              <w:rPr>
                <w:rFonts w:hint="eastAsia"/>
                <w:b/>
                <w:bCs/>
                <w:color w:val="auto"/>
                <w:kern w:val="0"/>
                <w:sz w:val="24"/>
              </w:rPr>
              <w:t>2-</w:t>
            </w:r>
            <w:r>
              <w:rPr>
                <w:rFonts w:hint="eastAsia"/>
                <w:b/>
                <w:bCs/>
                <w:color w:val="auto"/>
                <w:kern w:val="0"/>
                <w:sz w:val="24"/>
                <w:lang w:val="en-US" w:eastAsia="zh-CN"/>
              </w:rPr>
              <w:t>5</w:t>
            </w:r>
            <w:r>
              <w:rPr>
                <w:b/>
                <w:bCs/>
                <w:color w:val="auto"/>
                <w:kern w:val="0"/>
                <w:sz w:val="24"/>
              </w:rPr>
              <w:t xml:space="preserve"> 主要原辅材料消耗</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135"/>
              <w:gridCol w:w="1592"/>
              <w:gridCol w:w="1492"/>
              <w:gridCol w:w="2223"/>
            </w:tblGrid>
            <w:tr w14:paraId="57AC2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4" w:type="pct"/>
                  <w:vAlign w:val="center"/>
                </w:tcPr>
                <w:p w14:paraId="6D444EA1">
                  <w:pPr>
                    <w:pStyle w:val="136"/>
                    <w:rPr>
                      <w:color w:val="auto"/>
                      <w:sz w:val="21"/>
                      <w:szCs w:val="21"/>
                    </w:rPr>
                  </w:pPr>
                  <w:r>
                    <w:rPr>
                      <w:color w:val="auto"/>
                      <w:sz w:val="21"/>
                      <w:szCs w:val="21"/>
                    </w:rPr>
                    <w:t>序号</w:t>
                  </w:r>
                </w:p>
              </w:tc>
              <w:tc>
                <w:tcPr>
                  <w:tcW w:w="1292" w:type="pct"/>
                  <w:vAlign w:val="center"/>
                </w:tcPr>
                <w:p w14:paraId="094CD352">
                  <w:pPr>
                    <w:pStyle w:val="136"/>
                    <w:rPr>
                      <w:color w:val="auto"/>
                      <w:sz w:val="21"/>
                      <w:szCs w:val="21"/>
                    </w:rPr>
                  </w:pPr>
                  <w:r>
                    <w:rPr>
                      <w:color w:val="auto"/>
                      <w:sz w:val="21"/>
                      <w:szCs w:val="21"/>
                    </w:rPr>
                    <w:t>名称</w:t>
                  </w:r>
                </w:p>
              </w:tc>
              <w:tc>
                <w:tcPr>
                  <w:tcW w:w="963" w:type="pct"/>
                  <w:vAlign w:val="center"/>
                </w:tcPr>
                <w:p w14:paraId="00ABC7EC">
                  <w:pPr>
                    <w:pStyle w:val="136"/>
                    <w:rPr>
                      <w:color w:val="auto"/>
                      <w:sz w:val="21"/>
                      <w:szCs w:val="21"/>
                    </w:rPr>
                  </w:pPr>
                  <w:r>
                    <w:rPr>
                      <w:rFonts w:hint="eastAsia"/>
                      <w:color w:val="auto"/>
                      <w:sz w:val="21"/>
                      <w:szCs w:val="21"/>
                    </w:rPr>
                    <w:t>现有工程t/a</w:t>
                  </w:r>
                </w:p>
              </w:tc>
              <w:tc>
                <w:tcPr>
                  <w:tcW w:w="903" w:type="pct"/>
                  <w:vAlign w:val="center"/>
                </w:tcPr>
                <w:p w14:paraId="2BC9D70C">
                  <w:pPr>
                    <w:pStyle w:val="136"/>
                    <w:rPr>
                      <w:color w:val="auto"/>
                      <w:sz w:val="21"/>
                      <w:szCs w:val="21"/>
                    </w:rPr>
                  </w:pPr>
                  <w:r>
                    <w:rPr>
                      <w:rFonts w:hint="eastAsia"/>
                      <w:color w:val="auto"/>
                      <w:sz w:val="21"/>
                      <w:szCs w:val="21"/>
                    </w:rPr>
                    <w:t>本项目t/a</w:t>
                  </w:r>
                </w:p>
              </w:tc>
              <w:tc>
                <w:tcPr>
                  <w:tcW w:w="1345" w:type="pct"/>
                  <w:vAlign w:val="center"/>
                </w:tcPr>
                <w:p w14:paraId="5F239EB9">
                  <w:pPr>
                    <w:pStyle w:val="136"/>
                    <w:rPr>
                      <w:color w:val="auto"/>
                      <w:sz w:val="21"/>
                      <w:szCs w:val="21"/>
                    </w:rPr>
                  </w:pPr>
                  <w:r>
                    <w:rPr>
                      <w:rFonts w:hint="eastAsia"/>
                      <w:color w:val="auto"/>
                      <w:sz w:val="21"/>
                      <w:szCs w:val="21"/>
                    </w:rPr>
                    <w:t>本项目建成后全厂t/a</w:t>
                  </w:r>
                </w:p>
              </w:tc>
            </w:tr>
            <w:tr w14:paraId="28B56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4" w:type="pct"/>
                  <w:vAlign w:val="center"/>
                </w:tcPr>
                <w:p w14:paraId="069C75BE">
                  <w:pPr>
                    <w:pStyle w:val="136"/>
                    <w:rPr>
                      <w:color w:val="auto"/>
                      <w:sz w:val="21"/>
                      <w:szCs w:val="21"/>
                    </w:rPr>
                  </w:pPr>
                  <w:r>
                    <w:rPr>
                      <w:color w:val="auto"/>
                      <w:sz w:val="21"/>
                      <w:szCs w:val="21"/>
                    </w:rPr>
                    <w:t>1</w:t>
                  </w:r>
                </w:p>
              </w:tc>
              <w:tc>
                <w:tcPr>
                  <w:tcW w:w="1292" w:type="pct"/>
                  <w:vAlign w:val="center"/>
                </w:tcPr>
                <w:p w14:paraId="6620E08F">
                  <w:pPr>
                    <w:pStyle w:val="136"/>
                    <w:rPr>
                      <w:rFonts w:hint="eastAsia" w:eastAsia="宋体"/>
                      <w:color w:val="auto"/>
                      <w:sz w:val="21"/>
                      <w:szCs w:val="21"/>
                      <w:lang w:eastAsia="zh-CN"/>
                    </w:rPr>
                  </w:pPr>
                  <w:r>
                    <w:rPr>
                      <w:rFonts w:hint="eastAsia"/>
                      <w:color w:val="auto"/>
                      <w:sz w:val="21"/>
                      <w:szCs w:val="21"/>
                      <w:lang w:eastAsia="zh-CN"/>
                    </w:rPr>
                    <w:t>玉米潮粮</w:t>
                  </w:r>
                </w:p>
              </w:tc>
              <w:tc>
                <w:tcPr>
                  <w:tcW w:w="963" w:type="pct"/>
                  <w:vAlign w:val="center"/>
                </w:tcPr>
                <w:p w14:paraId="4E9F98B4">
                  <w:pPr>
                    <w:pStyle w:val="136"/>
                    <w:rPr>
                      <w:color w:val="auto"/>
                      <w:sz w:val="21"/>
                      <w:szCs w:val="21"/>
                    </w:rPr>
                  </w:pPr>
                  <w:r>
                    <w:rPr>
                      <w:rFonts w:hint="eastAsia"/>
                      <w:color w:val="auto"/>
                      <w:sz w:val="21"/>
                      <w:szCs w:val="21"/>
                    </w:rPr>
                    <w:t>10000</w:t>
                  </w:r>
                </w:p>
              </w:tc>
              <w:tc>
                <w:tcPr>
                  <w:tcW w:w="903" w:type="pct"/>
                  <w:vAlign w:val="center"/>
                </w:tcPr>
                <w:p w14:paraId="0284A80C">
                  <w:pPr>
                    <w:pStyle w:val="136"/>
                    <w:rPr>
                      <w:rFonts w:hint="default" w:eastAsia="宋体"/>
                      <w:color w:val="auto"/>
                      <w:sz w:val="21"/>
                      <w:szCs w:val="21"/>
                      <w:lang w:val="en-US" w:eastAsia="zh-CN"/>
                    </w:rPr>
                  </w:pPr>
                  <w:r>
                    <w:rPr>
                      <w:rFonts w:hint="eastAsia"/>
                      <w:color w:val="auto"/>
                      <w:sz w:val="21"/>
                      <w:szCs w:val="21"/>
                      <w:lang w:val="en-US" w:eastAsia="zh-CN"/>
                    </w:rPr>
                    <w:t>25000</w:t>
                  </w:r>
                </w:p>
              </w:tc>
              <w:tc>
                <w:tcPr>
                  <w:tcW w:w="1345" w:type="pct"/>
                  <w:vAlign w:val="center"/>
                </w:tcPr>
                <w:p w14:paraId="67C85D16">
                  <w:pPr>
                    <w:pStyle w:val="136"/>
                    <w:rPr>
                      <w:rFonts w:hint="default" w:eastAsia="宋体"/>
                      <w:color w:val="auto"/>
                      <w:sz w:val="21"/>
                      <w:szCs w:val="21"/>
                      <w:lang w:val="en-US" w:eastAsia="zh-CN"/>
                    </w:rPr>
                  </w:pPr>
                  <w:r>
                    <w:rPr>
                      <w:rFonts w:hint="eastAsia"/>
                      <w:color w:val="auto"/>
                      <w:sz w:val="21"/>
                      <w:szCs w:val="21"/>
                      <w:lang w:val="en-US" w:eastAsia="zh-CN"/>
                    </w:rPr>
                    <w:t>35000</w:t>
                  </w:r>
                </w:p>
              </w:tc>
            </w:tr>
            <w:tr w14:paraId="376EC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494" w:type="pct"/>
                  <w:vAlign w:val="center"/>
                </w:tcPr>
                <w:p w14:paraId="23885097">
                  <w:pPr>
                    <w:pStyle w:val="136"/>
                    <w:rPr>
                      <w:color w:val="auto"/>
                      <w:sz w:val="21"/>
                      <w:szCs w:val="21"/>
                    </w:rPr>
                  </w:pPr>
                  <w:r>
                    <w:rPr>
                      <w:rFonts w:hint="eastAsia"/>
                      <w:color w:val="auto"/>
                      <w:sz w:val="21"/>
                      <w:szCs w:val="21"/>
                    </w:rPr>
                    <w:t>2</w:t>
                  </w:r>
                </w:p>
              </w:tc>
              <w:tc>
                <w:tcPr>
                  <w:tcW w:w="1292" w:type="pct"/>
                  <w:vAlign w:val="center"/>
                </w:tcPr>
                <w:p w14:paraId="5A16DD4F">
                  <w:pPr>
                    <w:pStyle w:val="136"/>
                    <w:rPr>
                      <w:rFonts w:hint="eastAsia" w:eastAsia="宋体"/>
                      <w:color w:val="auto"/>
                      <w:sz w:val="21"/>
                      <w:szCs w:val="21"/>
                      <w:lang w:eastAsia="zh-CN"/>
                    </w:rPr>
                  </w:pPr>
                  <w:r>
                    <w:rPr>
                      <w:rFonts w:hint="eastAsia"/>
                      <w:color w:val="auto"/>
                      <w:sz w:val="21"/>
                      <w:szCs w:val="21"/>
                      <w:lang w:eastAsia="zh-CN"/>
                    </w:rPr>
                    <w:t>生物质</w:t>
                  </w:r>
                </w:p>
              </w:tc>
              <w:tc>
                <w:tcPr>
                  <w:tcW w:w="963" w:type="pct"/>
                  <w:vAlign w:val="center"/>
                </w:tcPr>
                <w:p w14:paraId="02C225D6">
                  <w:pPr>
                    <w:pStyle w:val="136"/>
                    <w:rPr>
                      <w:rFonts w:hint="default" w:eastAsia="宋体"/>
                      <w:color w:val="auto"/>
                      <w:sz w:val="21"/>
                      <w:szCs w:val="21"/>
                      <w:lang w:val="en-US" w:eastAsia="zh-CN"/>
                    </w:rPr>
                  </w:pPr>
                  <w:r>
                    <w:rPr>
                      <w:rFonts w:hint="eastAsia"/>
                      <w:color w:val="auto"/>
                      <w:sz w:val="21"/>
                      <w:szCs w:val="21"/>
                      <w:lang w:val="en-US" w:eastAsia="zh-CN"/>
                    </w:rPr>
                    <w:t>1892.6</w:t>
                  </w:r>
                </w:p>
              </w:tc>
              <w:tc>
                <w:tcPr>
                  <w:tcW w:w="903" w:type="pct"/>
                  <w:vAlign w:val="center"/>
                </w:tcPr>
                <w:p w14:paraId="2BAA6890">
                  <w:pPr>
                    <w:pStyle w:val="136"/>
                    <w:rPr>
                      <w:rFonts w:hint="default" w:eastAsia="宋体"/>
                      <w:color w:val="auto"/>
                      <w:sz w:val="21"/>
                      <w:szCs w:val="21"/>
                      <w:lang w:val="en-US" w:eastAsia="zh-CN"/>
                    </w:rPr>
                  </w:pPr>
                  <w:r>
                    <w:rPr>
                      <w:rFonts w:hint="eastAsia"/>
                      <w:color w:val="auto"/>
                      <w:sz w:val="21"/>
                      <w:szCs w:val="21"/>
                      <w:lang w:val="en-US" w:eastAsia="zh-CN"/>
                    </w:rPr>
                    <w:t>1762</w:t>
                  </w:r>
                </w:p>
              </w:tc>
              <w:tc>
                <w:tcPr>
                  <w:tcW w:w="1345" w:type="pct"/>
                  <w:vAlign w:val="center"/>
                </w:tcPr>
                <w:p w14:paraId="13CC23D7">
                  <w:pPr>
                    <w:pStyle w:val="136"/>
                    <w:rPr>
                      <w:rFonts w:hint="default" w:eastAsia="宋体"/>
                      <w:color w:val="auto"/>
                      <w:sz w:val="21"/>
                      <w:szCs w:val="21"/>
                      <w:lang w:val="en-US" w:eastAsia="zh-CN"/>
                    </w:rPr>
                  </w:pPr>
                  <w:r>
                    <w:rPr>
                      <w:rFonts w:hint="eastAsia"/>
                      <w:color w:val="auto"/>
                      <w:sz w:val="21"/>
                      <w:szCs w:val="21"/>
                      <w:lang w:val="en-US" w:eastAsia="zh-CN"/>
                    </w:rPr>
                    <w:t>3654.6</w:t>
                  </w:r>
                </w:p>
              </w:tc>
            </w:tr>
          </w:tbl>
          <w:p w14:paraId="19E3380F">
            <w:pPr>
              <w:jc w:val="center"/>
              <w:textAlignment w:val="baseline"/>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rPr>
              <w:t>表2-</w:t>
            </w:r>
            <w:r>
              <w:rPr>
                <w:rFonts w:hint="eastAsia" w:cs="Times New Roman"/>
                <w:b/>
                <w:bCs/>
                <w:color w:val="auto"/>
                <w:kern w:val="0"/>
                <w:sz w:val="24"/>
                <w:highlight w:val="none"/>
                <w:lang w:val="en-US" w:eastAsia="zh-CN"/>
              </w:rPr>
              <w:t>6</w:t>
            </w:r>
            <w:r>
              <w:rPr>
                <w:rFonts w:hint="eastAsia" w:ascii="Times New Roman" w:hAnsi="Times New Roman" w:eastAsia="宋体" w:cs="Times New Roman"/>
                <w:b/>
                <w:bCs/>
                <w:color w:val="auto"/>
                <w:kern w:val="0"/>
                <w:sz w:val="24"/>
                <w:highlight w:val="none"/>
                <w:lang w:val="en-US" w:eastAsia="zh-CN"/>
              </w:rPr>
              <w:t xml:space="preserve">  </w:t>
            </w:r>
            <w:r>
              <w:rPr>
                <w:rFonts w:hint="default" w:ascii="Times New Roman" w:hAnsi="Times New Roman" w:eastAsia="宋体" w:cs="Times New Roman"/>
                <w:b/>
                <w:bCs/>
                <w:color w:val="auto"/>
                <w:kern w:val="0"/>
                <w:sz w:val="24"/>
                <w:highlight w:val="none"/>
              </w:rPr>
              <w:t>燃料</w:t>
            </w:r>
            <w:r>
              <w:rPr>
                <w:rFonts w:hint="eastAsia" w:ascii="Times New Roman" w:hAnsi="Times New Roman" w:eastAsia="宋体" w:cs="Times New Roman"/>
                <w:b/>
                <w:bCs/>
                <w:color w:val="auto"/>
                <w:kern w:val="0"/>
                <w:sz w:val="24"/>
                <w:highlight w:val="none"/>
                <w:lang w:eastAsia="zh-CN"/>
              </w:rPr>
              <w:t>生物质</w:t>
            </w:r>
            <w:r>
              <w:rPr>
                <w:rFonts w:hint="default" w:ascii="Times New Roman" w:hAnsi="Times New Roman" w:eastAsia="宋体" w:cs="Times New Roman"/>
                <w:b/>
                <w:bCs/>
                <w:color w:val="auto"/>
                <w:kern w:val="0"/>
                <w:sz w:val="24"/>
                <w:highlight w:val="none"/>
              </w:rPr>
              <w:t>成分分析一览表</w:t>
            </w:r>
          </w:p>
          <w:tbl>
            <w:tblPr>
              <w:tblStyle w:val="31"/>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046"/>
              <w:gridCol w:w="1358"/>
              <w:gridCol w:w="1586"/>
              <w:gridCol w:w="2269"/>
            </w:tblGrid>
            <w:tr w14:paraId="5532B1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63BA8253">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名称</w:t>
                  </w:r>
                </w:p>
              </w:tc>
              <w:tc>
                <w:tcPr>
                  <w:tcW w:w="822" w:type="pct"/>
                  <w:noWrap w:val="0"/>
                  <w:vAlign w:val="center"/>
                </w:tcPr>
                <w:p w14:paraId="56B187E1">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5"/>
                      <w:sz w:val="21"/>
                      <w:szCs w:val="21"/>
                      <w:highlight w:val="none"/>
                      <w:shd w:val="clear" w:color="auto" w:fill="auto"/>
                    </w:rPr>
                    <w:t>符号</w:t>
                  </w:r>
                </w:p>
              </w:tc>
              <w:tc>
                <w:tcPr>
                  <w:tcW w:w="960" w:type="pct"/>
                  <w:noWrap w:val="0"/>
                  <w:vAlign w:val="center"/>
                </w:tcPr>
                <w:p w14:paraId="030961B6">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单位</w:t>
                  </w:r>
                </w:p>
              </w:tc>
              <w:tc>
                <w:tcPr>
                  <w:tcW w:w="1373" w:type="pct"/>
                  <w:noWrap w:val="0"/>
                  <w:vAlign w:val="center"/>
                </w:tcPr>
                <w:p w14:paraId="78F46B2B">
                  <w:pPr>
                    <w:jc w:val="center"/>
                    <w:rPr>
                      <w:rFonts w:hint="eastAsia" w:ascii="Times New Roman" w:hAnsi="Times New Roman" w:eastAsia="宋体" w:cs="Times New Roman"/>
                      <w:color w:val="auto"/>
                      <w:sz w:val="21"/>
                      <w:szCs w:val="21"/>
                      <w:highlight w:val="none"/>
                      <w:shd w:val="clear" w:color="auto" w:fill="auto"/>
                      <w:lang w:eastAsia="zh-CN"/>
                    </w:rPr>
                  </w:pPr>
                  <w:r>
                    <w:rPr>
                      <w:rFonts w:hint="eastAsia" w:ascii="Times New Roman" w:hAnsi="Times New Roman" w:cs="Times New Roman"/>
                      <w:color w:val="auto"/>
                      <w:sz w:val="21"/>
                      <w:szCs w:val="21"/>
                      <w:highlight w:val="none"/>
                      <w:shd w:val="clear" w:color="auto" w:fill="auto"/>
                      <w:lang w:eastAsia="zh-CN"/>
                    </w:rPr>
                    <w:t>生物质</w:t>
                  </w:r>
                </w:p>
              </w:tc>
            </w:tr>
            <w:tr w14:paraId="791F55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52BF0857">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全水分</w:t>
                  </w:r>
                </w:p>
              </w:tc>
              <w:tc>
                <w:tcPr>
                  <w:tcW w:w="822" w:type="pct"/>
                  <w:noWrap w:val="0"/>
                  <w:vAlign w:val="center"/>
                </w:tcPr>
                <w:p w14:paraId="11170EB5">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Mar</w:t>
                  </w:r>
                </w:p>
              </w:tc>
              <w:tc>
                <w:tcPr>
                  <w:tcW w:w="960" w:type="pct"/>
                  <w:noWrap w:val="0"/>
                  <w:vAlign w:val="center"/>
                </w:tcPr>
                <w:p w14:paraId="583A35C5">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08A4B2AE">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4"/>
                      <w:sz w:val="21"/>
                      <w:szCs w:val="21"/>
                      <w:highlight w:val="none"/>
                      <w:shd w:val="clear" w:color="auto" w:fill="auto"/>
                      <w:lang w:val="en-US" w:eastAsia="zh-CN"/>
                    </w:rPr>
                    <w:t>5.5</w:t>
                  </w:r>
                </w:p>
              </w:tc>
            </w:tr>
            <w:tr w14:paraId="0DD04D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4F3CE830">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空气干燥基水分</w:t>
                  </w:r>
                </w:p>
              </w:tc>
              <w:tc>
                <w:tcPr>
                  <w:tcW w:w="822" w:type="pct"/>
                  <w:noWrap w:val="0"/>
                  <w:vAlign w:val="center"/>
                </w:tcPr>
                <w:p w14:paraId="6E286053">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Mad</w:t>
                  </w:r>
                </w:p>
              </w:tc>
              <w:tc>
                <w:tcPr>
                  <w:tcW w:w="960" w:type="pct"/>
                  <w:noWrap w:val="0"/>
                  <w:vAlign w:val="center"/>
                </w:tcPr>
                <w:p w14:paraId="4973AFCD">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4CAAEC11">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2"/>
                      <w:sz w:val="21"/>
                      <w:szCs w:val="21"/>
                      <w:highlight w:val="none"/>
                      <w:shd w:val="clear" w:color="auto" w:fill="auto"/>
                      <w:lang w:val="en-US" w:eastAsia="zh-CN"/>
                    </w:rPr>
                    <w:t>5.55</w:t>
                  </w:r>
                </w:p>
              </w:tc>
            </w:tr>
            <w:tr w14:paraId="6BC177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4AB2E4A3">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空气干燥基灰分</w:t>
                  </w:r>
                </w:p>
              </w:tc>
              <w:tc>
                <w:tcPr>
                  <w:tcW w:w="822" w:type="pct"/>
                  <w:noWrap w:val="0"/>
                  <w:vAlign w:val="center"/>
                </w:tcPr>
                <w:p w14:paraId="4CF9F291">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Aad</w:t>
                  </w:r>
                </w:p>
              </w:tc>
              <w:tc>
                <w:tcPr>
                  <w:tcW w:w="960" w:type="pct"/>
                  <w:noWrap w:val="0"/>
                  <w:vAlign w:val="center"/>
                </w:tcPr>
                <w:p w14:paraId="03A11891">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4B0A53C9">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2"/>
                      <w:sz w:val="21"/>
                      <w:szCs w:val="21"/>
                      <w:highlight w:val="none"/>
                      <w:shd w:val="clear" w:color="auto" w:fill="auto"/>
                      <w:lang w:val="en-US" w:eastAsia="zh-CN"/>
                    </w:rPr>
                    <w:t>6.56</w:t>
                  </w:r>
                </w:p>
              </w:tc>
            </w:tr>
            <w:tr w14:paraId="5C4D91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5230384E">
                  <w:pPr>
                    <w:jc w:val="center"/>
                    <w:rPr>
                      <w:rFonts w:hint="eastAsia" w:ascii="Times New Roman" w:hAnsi="Times New Roman" w:eastAsia="宋体" w:cs="Times New Roman"/>
                      <w:color w:val="auto"/>
                      <w:spacing w:val="-4"/>
                      <w:sz w:val="21"/>
                      <w:szCs w:val="21"/>
                      <w:highlight w:val="none"/>
                      <w:shd w:val="clear" w:color="auto" w:fill="auto"/>
                      <w:lang w:eastAsia="zh-CN"/>
                    </w:rPr>
                  </w:pPr>
                  <w:r>
                    <w:rPr>
                      <w:rFonts w:hint="eastAsia" w:cs="Times New Roman"/>
                      <w:color w:val="auto"/>
                      <w:spacing w:val="-4"/>
                      <w:sz w:val="21"/>
                      <w:szCs w:val="21"/>
                      <w:highlight w:val="none"/>
                      <w:shd w:val="clear" w:color="auto" w:fill="auto"/>
                      <w:lang w:eastAsia="zh-CN"/>
                    </w:rPr>
                    <w:t>收到基灰分</w:t>
                  </w:r>
                </w:p>
              </w:tc>
              <w:tc>
                <w:tcPr>
                  <w:tcW w:w="822" w:type="pct"/>
                  <w:noWrap w:val="0"/>
                  <w:vAlign w:val="center"/>
                </w:tcPr>
                <w:p w14:paraId="18D453E6">
                  <w:pPr>
                    <w:jc w:val="center"/>
                    <w:rPr>
                      <w:rFonts w:hint="default" w:ascii="Times New Roman" w:hAnsi="Times New Roman" w:eastAsia="宋体" w:cs="Times New Roman"/>
                      <w:color w:val="auto"/>
                      <w:spacing w:val="1"/>
                      <w:sz w:val="21"/>
                      <w:szCs w:val="21"/>
                      <w:highlight w:val="none"/>
                      <w:shd w:val="clear" w:color="auto" w:fill="auto"/>
                      <w:lang w:val="en-US" w:eastAsia="zh-CN"/>
                    </w:rPr>
                  </w:pPr>
                  <w:r>
                    <w:rPr>
                      <w:rFonts w:hint="eastAsia" w:cs="Times New Roman"/>
                      <w:color w:val="auto"/>
                      <w:spacing w:val="1"/>
                      <w:sz w:val="21"/>
                      <w:szCs w:val="21"/>
                      <w:highlight w:val="none"/>
                      <w:shd w:val="clear" w:color="auto" w:fill="auto"/>
                      <w:lang w:val="en-US" w:eastAsia="zh-CN"/>
                    </w:rPr>
                    <w:t>Aar</w:t>
                  </w:r>
                </w:p>
              </w:tc>
              <w:tc>
                <w:tcPr>
                  <w:tcW w:w="960" w:type="pct"/>
                  <w:noWrap w:val="0"/>
                  <w:vAlign w:val="center"/>
                </w:tcPr>
                <w:p w14:paraId="34DC285E">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0E21CDAA">
                  <w:pPr>
                    <w:jc w:val="center"/>
                    <w:rPr>
                      <w:rFonts w:hint="default" w:ascii="Times New Roman" w:hAnsi="Times New Roman" w:cs="Times New Roman"/>
                      <w:color w:val="auto"/>
                      <w:spacing w:val="-2"/>
                      <w:sz w:val="21"/>
                      <w:szCs w:val="21"/>
                      <w:highlight w:val="none"/>
                      <w:shd w:val="clear" w:color="auto" w:fill="auto"/>
                      <w:lang w:val="en-US" w:eastAsia="zh-CN"/>
                    </w:rPr>
                  </w:pPr>
                  <w:r>
                    <w:rPr>
                      <w:rFonts w:hint="eastAsia" w:cs="Times New Roman"/>
                      <w:color w:val="auto"/>
                      <w:spacing w:val="-2"/>
                      <w:sz w:val="21"/>
                      <w:szCs w:val="21"/>
                      <w:highlight w:val="none"/>
                      <w:shd w:val="clear" w:color="auto" w:fill="auto"/>
                      <w:lang w:val="en-US" w:eastAsia="zh-CN"/>
                    </w:rPr>
                    <w:t>6.56</w:t>
                  </w:r>
                </w:p>
              </w:tc>
            </w:tr>
            <w:tr w14:paraId="7CA1E9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3C543F30">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3"/>
                      <w:sz w:val="21"/>
                      <w:szCs w:val="21"/>
                      <w:highlight w:val="none"/>
                      <w:shd w:val="clear" w:color="auto" w:fill="auto"/>
                    </w:rPr>
                    <w:t>空气干燥基挥发分</w:t>
                  </w:r>
                </w:p>
              </w:tc>
              <w:tc>
                <w:tcPr>
                  <w:tcW w:w="822" w:type="pct"/>
                  <w:noWrap w:val="0"/>
                  <w:vAlign w:val="center"/>
                </w:tcPr>
                <w:p w14:paraId="18EB4E2F">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Vad</w:t>
                  </w:r>
                </w:p>
              </w:tc>
              <w:tc>
                <w:tcPr>
                  <w:tcW w:w="960" w:type="pct"/>
                  <w:noWrap w:val="0"/>
                  <w:vAlign w:val="center"/>
                </w:tcPr>
                <w:p w14:paraId="021E4E6F">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7FB2E9EE">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2"/>
                      <w:sz w:val="21"/>
                      <w:szCs w:val="21"/>
                      <w:highlight w:val="none"/>
                      <w:shd w:val="clear" w:color="auto" w:fill="auto"/>
                      <w:lang w:val="en-US" w:eastAsia="zh-CN"/>
                    </w:rPr>
                    <w:t>73.22</w:t>
                  </w:r>
                </w:p>
              </w:tc>
            </w:tr>
            <w:tr w14:paraId="705FDB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5A9D1FE2">
                  <w:pPr>
                    <w:jc w:val="center"/>
                    <w:rPr>
                      <w:rFonts w:hint="eastAsia" w:ascii="Times New Roman" w:hAnsi="Times New Roman" w:eastAsia="宋体" w:cs="Times New Roman"/>
                      <w:color w:val="auto"/>
                      <w:spacing w:val="-3"/>
                      <w:sz w:val="21"/>
                      <w:szCs w:val="21"/>
                      <w:highlight w:val="none"/>
                      <w:shd w:val="clear" w:color="auto" w:fill="auto"/>
                      <w:lang w:eastAsia="zh-CN"/>
                    </w:rPr>
                  </w:pPr>
                  <w:r>
                    <w:rPr>
                      <w:rFonts w:hint="eastAsia" w:cs="Times New Roman"/>
                      <w:color w:val="auto"/>
                      <w:spacing w:val="-3"/>
                      <w:sz w:val="21"/>
                      <w:szCs w:val="21"/>
                      <w:highlight w:val="none"/>
                      <w:shd w:val="clear" w:color="auto" w:fill="auto"/>
                      <w:lang w:eastAsia="zh-CN"/>
                    </w:rPr>
                    <w:t>干燥无灰基挥发分</w:t>
                  </w:r>
                </w:p>
              </w:tc>
              <w:tc>
                <w:tcPr>
                  <w:tcW w:w="822" w:type="pct"/>
                  <w:noWrap w:val="0"/>
                  <w:vAlign w:val="center"/>
                </w:tcPr>
                <w:p w14:paraId="70BA9F36">
                  <w:pPr>
                    <w:jc w:val="center"/>
                    <w:rPr>
                      <w:rFonts w:hint="default" w:ascii="Times New Roman" w:hAnsi="Times New Roman" w:eastAsia="宋体" w:cs="Times New Roman"/>
                      <w:color w:val="auto"/>
                      <w:spacing w:val="1"/>
                      <w:sz w:val="21"/>
                      <w:szCs w:val="21"/>
                      <w:highlight w:val="none"/>
                      <w:shd w:val="clear" w:color="auto" w:fill="auto"/>
                      <w:lang w:val="en-US" w:eastAsia="zh-CN"/>
                    </w:rPr>
                  </w:pPr>
                  <w:r>
                    <w:rPr>
                      <w:rFonts w:hint="default" w:ascii="Times New Roman" w:hAnsi="Times New Roman" w:cs="Times New Roman"/>
                      <w:color w:val="auto"/>
                      <w:spacing w:val="1"/>
                      <w:sz w:val="21"/>
                      <w:szCs w:val="21"/>
                      <w:highlight w:val="none"/>
                      <w:shd w:val="clear" w:color="auto" w:fill="auto"/>
                    </w:rPr>
                    <w:t>V</w:t>
                  </w:r>
                  <w:r>
                    <w:rPr>
                      <w:rFonts w:hint="eastAsia" w:ascii="Times New Roman" w:hAnsi="Times New Roman" w:cs="Times New Roman"/>
                      <w:color w:val="auto"/>
                      <w:spacing w:val="1"/>
                      <w:sz w:val="21"/>
                      <w:szCs w:val="21"/>
                      <w:highlight w:val="none"/>
                      <w:shd w:val="clear" w:color="auto" w:fill="auto"/>
                      <w:lang w:val="en-US" w:eastAsia="zh-CN"/>
                    </w:rPr>
                    <w:t>daf</w:t>
                  </w:r>
                </w:p>
              </w:tc>
              <w:tc>
                <w:tcPr>
                  <w:tcW w:w="960" w:type="pct"/>
                  <w:noWrap w:val="0"/>
                  <w:vAlign w:val="center"/>
                </w:tcPr>
                <w:p w14:paraId="7A7F1A88">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205FF0CC">
                  <w:pPr>
                    <w:jc w:val="center"/>
                    <w:rPr>
                      <w:rFonts w:hint="default" w:ascii="Times New Roman" w:hAnsi="Times New Roman" w:cs="Times New Roman"/>
                      <w:color w:val="auto"/>
                      <w:spacing w:val="-2"/>
                      <w:sz w:val="21"/>
                      <w:szCs w:val="21"/>
                      <w:highlight w:val="none"/>
                      <w:shd w:val="clear" w:color="auto" w:fill="auto"/>
                      <w:lang w:val="en-US" w:eastAsia="zh-CN"/>
                    </w:rPr>
                  </w:pPr>
                  <w:r>
                    <w:rPr>
                      <w:rFonts w:hint="eastAsia" w:cs="Times New Roman"/>
                      <w:color w:val="auto"/>
                      <w:spacing w:val="-2"/>
                      <w:sz w:val="21"/>
                      <w:szCs w:val="21"/>
                      <w:highlight w:val="none"/>
                      <w:shd w:val="clear" w:color="auto" w:fill="auto"/>
                      <w:lang w:val="en-US" w:eastAsia="zh-CN"/>
                    </w:rPr>
                    <w:t>83.31</w:t>
                  </w:r>
                </w:p>
              </w:tc>
            </w:tr>
            <w:tr w14:paraId="04EC4F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76F466EF">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4"/>
                      <w:sz w:val="21"/>
                      <w:szCs w:val="21"/>
                      <w:highlight w:val="none"/>
                      <w:shd w:val="clear" w:color="auto" w:fill="auto"/>
                    </w:rPr>
                    <w:t>空气干燥基全硫</w:t>
                  </w:r>
                </w:p>
              </w:tc>
              <w:tc>
                <w:tcPr>
                  <w:tcW w:w="822" w:type="pct"/>
                  <w:noWrap w:val="0"/>
                  <w:vAlign w:val="center"/>
                </w:tcPr>
                <w:p w14:paraId="59DF0ECA">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3"/>
                      <w:sz w:val="21"/>
                      <w:szCs w:val="21"/>
                      <w:highlight w:val="none"/>
                      <w:shd w:val="clear" w:color="auto" w:fill="auto"/>
                    </w:rPr>
                    <w:t>St,ad</w:t>
                  </w:r>
                </w:p>
              </w:tc>
              <w:tc>
                <w:tcPr>
                  <w:tcW w:w="960" w:type="pct"/>
                  <w:noWrap w:val="0"/>
                  <w:vAlign w:val="center"/>
                </w:tcPr>
                <w:p w14:paraId="46DF8C90">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40300501">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cs="Times New Roman"/>
                      <w:color w:val="auto"/>
                      <w:spacing w:val="-1"/>
                      <w:sz w:val="21"/>
                      <w:szCs w:val="21"/>
                      <w:highlight w:val="none"/>
                      <w:shd w:val="clear" w:color="auto" w:fill="auto"/>
                    </w:rPr>
                    <w:t>0.</w:t>
                  </w:r>
                  <w:r>
                    <w:rPr>
                      <w:rFonts w:hint="eastAsia" w:ascii="Times New Roman" w:hAnsi="Times New Roman" w:cs="Times New Roman"/>
                      <w:color w:val="auto"/>
                      <w:spacing w:val="-1"/>
                      <w:sz w:val="21"/>
                      <w:szCs w:val="21"/>
                      <w:highlight w:val="none"/>
                      <w:shd w:val="clear" w:color="auto" w:fill="auto"/>
                      <w:lang w:val="en-US" w:eastAsia="zh-CN"/>
                    </w:rPr>
                    <w:t>02</w:t>
                  </w:r>
                </w:p>
              </w:tc>
            </w:tr>
            <w:tr w14:paraId="16F6B4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noWrap w:val="0"/>
                  <w:vAlign w:val="center"/>
                </w:tcPr>
                <w:p w14:paraId="117AAA53">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5"/>
                      <w:sz w:val="21"/>
                      <w:szCs w:val="21"/>
                      <w:highlight w:val="none"/>
                      <w:shd w:val="clear" w:color="auto" w:fill="auto"/>
                    </w:rPr>
                    <w:t>收到基全硫</w:t>
                  </w:r>
                </w:p>
              </w:tc>
              <w:tc>
                <w:tcPr>
                  <w:tcW w:w="822" w:type="pct"/>
                  <w:noWrap w:val="0"/>
                  <w:vAlign w:val="center"/>
                </w:tcPr>
                <w:p w14:paraId="5BBF0E50">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2"/>
                      <w:sz w:val="21"/>
                      <w:szCs w:val="21"/>
                      <w:highlight w:val="none"/>
                      <w:shd w:val="clear" w:color="auto" w:fill="auto"/>
                    </w:rPr>
                    <w:t>St,ar</w:t>
                  </w:r>
                </w:p>
              </w:tc>
              <w:tc>
                <w:tcPr>
                  <w:tcW w:w="960" w:type="pct"/>
                  <w:noWrap w:val="0"/>
                  <w:vAlign w:val="center"/>
                </w:tcPr>
                <w:p w14:paraId="0B438E3F">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w:t>
                  </w:r>
                </w:p>
              </w:tc>
              <w:tc>
                <w:tcPr>
                  <w:tcW w:w="1373" w:type="pct"/>
                  <w:noWrap w:val="0"/>
                  <w:vAlign w:val="center"/>
                </w:tcPr>
                <w:p w14:paraId="0A87A3FE">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1"/>
                      <w:sz w:val="21"/>
                      <w:szCs w:val="21"/>
                      <w:highlight w:val="none"/>
                      <w:shd w:val="clear" w:color="auto" w:fill="auto"/>
                      <w:lang w:val="en-US" w:eastAsia="zh-CN"/>
                    </w:rPr>
                    <w:t>0.02</w:t>
                  </w:r>
                </w:p>
              </w:tc>
            </w:tr>
            <w:tr w14:paraId="26BCA7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vMerge w:val="restart"/>
                  <w:noWrap w:val="0"/>
                  <w:vAlign w:val="center"/>
                </w:tcPr>
                <w:p w14:paraId="7EE43536">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3"/>
                      <w:sz w:val="21"/>
                      <w:szCs w:val="21"/>
                      <w:highlight w:val="none"/>
                      <w:shd w:val="clear" w:color="auto" w:fill="auto"/>
                    </w:rPr>
                    <w:t>收到基低位发热量</w:t>
                  </w:r>
                </w:p>
              </w:tc>
              <w:tc>
                <w:tcPr>
                  <w:tcW w:w="822" w:type="pct"/>
                  <w:vMerge w:val="restart"/>
                  <w:noWrap w:val="0"/>
                  <w:vAlign w:val="center"/>
                </w:tcPr>
                <w:p w14:paraId="5DF36769">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Qnet,ar</w:t>
                  </w:r>
                </w:p>
              </w:tc>
              <w:tc>
                <w:tcPr>
                  <w:tcW w:w="960" w:type="pct"/>
                  <w:noWrap w:val="0"/>
                  <w:vAlign w:val="center"/>
                </w:tcPr>
                <w:p w14:paraId="118C894F">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5"/>
                      <w:w w:val="105"/>
                      <w:sz w:val="21"/>
                      <w:szCs w:val="21"/>
                      <w:highlight w:val="none"/>
                      <w:shd w:val="clear" w:color="auto" w:fill="auto"/>
                    </w:rPr>
                    <w:t>MJ/kg</w:t>
                  </w:r>
                </w:p>
              </w:tc>
              <w:tc>
                <w:tcPr>
                  <w:tcW w:w="1373" w:type="pct"/>
                  <w:noWrap w:val="0"/>
                  <w:vAlign w:val="center"/>
                </w:tcPr>
                <w:p w14:paraId="081365EF">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1"/>
                      <w:sz w:val="21"/>
                      <w:szCs w:val="21"/>
                      <w:highlight w:val="none"/>
                      <w:shd w:val="clear" w:color="auto" w:fill="auto"/>
                      <w:lang w:val="en-US" w:eastAsia="zh-CN"/>
                    </w:rPr>
                    <w:t>16.77</w:t>
                  </w:r>
                </w:p>
              </w:tc>
            </w:tr>
            <w:tr w14:paraId="65DE36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43" w:type="pct"/>
                  <w:vMerge w:val="continue"/>
                  <w:noWrap w:val="0"/>
                  <w:vAlign w:val="center"/>
                </w:tcPr>
                <w:p w14:paraId="0167F90F">
                  <w:pPr>
                    <w:jc w:val="center"/>
                    <w:rPr>
                      <w:rFonts w:hint="default" w:ascii="Times New Roman" w:hAnsi="Times New Roman" w:cs="Times New Roman"/>
                      <w:color w:val="auto"/>
                      <w:sz w:val="21"/>
                      <w:szCs w:val="21"/>
                      <w:highlight w:val="none"/>
                      <w:shd w:val="clear" w:color="auto" w:fill="auto"/>
                    </w:rPr>
                  </w:pPr>
                </w:p>
              </w:tc>
              <w:tc>
                <w:tcPr>
                  <w:tcW w:w="822" w:type="pct"/>
                  <w:vMerge w:val="continue"/>
                  <w:noWrap w:val="0"/>
                  <w:vAlign w:val="center"/>
                </w:tcPr>
                <w:p w14:paraId="695FFB8E">
                  <w:pPr>
                    <w:jc w:val="center"/>
                    <w:rPr>
                      <w:rFonts w:hint="default" w:ascii="Times New Roman" w:hAnsi="Times New Roman" w:cs="Times New Roman"/>
                      <w:color w:val="auto"/>
                      <w:sz w:val="21"/>
                      <w:szCs w:val="21"/>
                      <w:highlight w:val="none"/>
                      <w:shd w:val="clear" w:color="auto" w:fill="auto"/>
                    </w:rPr>
                  </w:pPr>
                </w:p>
              </w:tc>
              <w:tc>
                <w:tcPr>
                  <w:tcW w:w="960" w:type="pct"/>
                  <w:noWrap w:val="0"/>
                  <w:vAlign w:val="center"/>
                </w:tcPr>
                <w:p w14:paraId="36A52042">
                  <w:pPr>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pacing w:val="-1"/>
                      <w:sz w:val="21"/>
                      <w:szCs w:val="21"/>
                      <w:highlight w:val="none"/>
                      <w:shd w:val="clear" w:color="auto" w:fill="auto"/>
                    </w:rPr>
                    <w:t>Kcal/kg</w:t>
                  </w:r>
                </w:p>
              </w:tc>
              <w:tc>
                <w:tcPr>
                  <w:tcW w:w="1373" w:type="pct"/>
                  <w:noWrap w:val="0"/>
                  <w:vAlign w:val="center"/>
                </w:tcPr>
                <w:p w14:paraId="4A4901FB">
                  <w:pPr>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cs="Times New Roman"/>
                      <w:color w:val="auto"/>
                      <w:spacing w:val="-2"/>
                      <w:sz w:val="21"/>
                      <w:szCs w:val="21"/>
                      <w:highlight w:val="none"/>
                      <w:shd w:val="clear" w:color="auto" w:fill="auto"/>
                      <w:lang w:val="en-US" w:eastAsia="zh-CN"/>
                    </w:rPr>
                    <w:t>4010</w:t>
                  </w:r>
                </w:p>
              </w:tc>
            </w:tr>
          </w:tbl>
          <w:p w14:paraId="2B7FCDBF">
            <w:pPr>
              <w:spacing w:line="360" w:lineRule="auto"/>
              <w:ind w:firstLine="422" w:firstLineChars="200"/>
              <w:jc w:val="left"/>
              <w:rPr>
                <w:b/>
                <w:bCs/>
                <w:color w:val="auto"/>
                <w:kern w:val="0"/>
                <w:szCs w:val="21"/>
                <w:highlight w:val="none"/>
                <w:shd w:val="clear" w:color="auto" w:fill="auto"/>
              </w:rPr>
            </w:pPr>
            <w:r>
              <w:rPr>
                <w:b/>
                <w:bCs/>
                <w:color w:val="auto"/>
                <w:kern w:val="0"/>
                <w:szCs w:val="21"/>
                <w:highlight w:val="none"/>
                <w:shd w:val="clear" w:color="auto" w:fill="auto"/>
              </w:rPr>
              <w:t>注：收到基Xar=Xad（空气干燥基）×（100-Mar）/（100-Mad）</w:t>
            </w:r>
          </w:p>
          <w:p w14:paraId="42FED08F">
            <w:pPr>
              <w:spacing w:line="360" w:lineRule="auto"/>
              <w:ind w:firstLine="843" w:firstLineChars="400"/>
              <w:jc w:val="left"/>
              <w:rPr>
                <w:rFonts w:hint="default" w:ascii="Times New Roman" w:hAnsi="Times New Roman" w:eastAsia="宋体" w:cs="Times New Roman"/>
                <w:b/>
                <w:bCs/>
                <w:color w:val="auto"/>
                <w:kern w:val="0"/>
                <w:szCs w:val="21"/>
                <w:highlight w:val="none"/>
                <w:shd w:val="clear" w:color="auto" w:fill="auto"/>
                <w:lang w:val="en-US" w:eastAsia="zh-CN"/>
              </w:rPr>
            </w:pPr>
            <w:r>
              <w:rPr>
                <w:rFonts w:hint="eastAsia" w:ascii="Times New Roman" w:hAnsi="Times New Roman" w:eastAsia="宋体" w:cs="Times New Roman"/>
                <w:b/>
                <w:bCs/>
                <w:color w:val="auto"/>
                <w:kern w:val="0"/>
                <w:szCs w:val="21"/>
                <w:highlight w:val="none"/>
                <w:shd w:val="clear" w:color="auto" w:fill="auto"/>
                <w:lang w:eastAsia="zh-CN"/>
              </w:rPr>
              <w:t>干燥无灰基挥发分</w:t>
            </w:r>
            <w:r>
              <w:rPr>
                <w:rFonts w:hint="eastAsia" w:ascii="Times New Roman" w:hAnsi="Times New Roman" w:eastAsia="宋体" w:cs="Times New Roman"/>
                <w:b/>
                <w:bCs/>
                <w:color w:val="auto"/>
                <w:kern w:val="0"/>
                <w:szCs w:val="21"/>
                <w:highlight w:val="none"/>
                <w:shd w:val="clear" w:color="auto" w:fill="auto"/>
                <w:lang w:val="en-US" w:eastAsia="zh-CN"/>
              </w:rPr>
              <w:t>Vdaf=</w:t>
            </w:r>
            <w:r>
              <w:rPr>
                <w:rFonts w:hint="default" w:ascii="Times New Roman" w:hAnsi="Times New Roman" w:eastAsia="宋体" w:cs="Times New Roman"/>
                <w:b/>
                <w:bCs/>
                <w:color w:val="auto"/>
                <w:kern w:val="0"/>
                <w:szCs w:val="21"/>
                <w:highlight w:val="none"/>
                <w:shd w:val="clear" w:color="auto" w:fill="auto"/>
              </w:rPr>
              <w:t>Vad</w:t>
            </w:r>
            <w:r>
              <w:rPr>
                <w:rFonts w:hint="eastAsia" w:ascii="Times New Roman" w:hAnsi="Times New Roman" w:eastAsia="宋体" w:cs="Times New Roman"/>
                <w:b/>
                <w:bCs/>
                <w:color w:val="auto"/>
                <w:kern w:val="0"/>
                <w:szCs w:val="21"/>
                <w:highlight w:val="none"/>
                <w:shd w:val="clear" w:color="auto" w:fill="auto"/>
                <w:lang w:val="en-US" w:eastAsia="zh-CN"/>
              </w:rPr>
              <w:t>/（100-</w:t>
            </w:r>
            <w:r>
              <w:rPr>
                <w:rFonts w:hint="default" w:ascii="Times New Roman" w:hAnsi="Times New Roman" w:eastAsia="宋体" w:cs="Times New Roman"/>
                <w:b/>
                <w:bCs/>
                <w:color w:val="auto"/>
                <w:kern w:val="0"/>
                <w:szCs w:val="21"/>
                <w:highlight w:val="none"/>
                <w:shd w:val="clear" w:color="auto" w:fill="auto"/>
              </w:rPr>
              <w:t>Mad</w:t>
            </w:r>
            <w:r>
              <w:rPr>
                <w:rFonts w:hint="eastAsia" w:ascii="Times New Roman" w:hAnsi="Times New Roman" w:eastAsia="宋体" w:cs="Times New Roman"/>
                <w:b/>
                <w:bCs/>
                <w:color w:val="auto"/>
                <w:kern w:val="0"/>
                <w:szCs w:val="21"/>
                <w:highlight w:val="none"/>
                <w:shd w:val="clear" w:color="auto" w:fill="auto"/>
                <w:lang w:val="en-US" w:eastAsia="zh-CN"/>
              </w:rPr>
              <w:t>-</w:t>
            </w:r>
            <w:r>
              <w:rPr>
                <w:rFonts w:hint="default" w:ascii="Times New Roman" w:hAnsi="Times New Roman" w:eastAsia="宋体" w:cs="Times New Roman"/>
                <w:b/>
                <w:bCs/>
                <w:color w:val="auto"/>
                <w:kern w:val="0"/>
                <w:szCs w:val="21"/>
                <w:highlight w:val="none"/>
                <w:shd w:val="clear" w:color="auto" w:fill="auto"/>
              </w:rPr>
              <w:t>Aad</w:t>
            </w:r>
            <w:r>
              <w:rPr>
                <w:rFonts w:hint="eastAsia" w:ascii="Times New Roman" w:hAnsi="Times New Roman" w:eastAsia="宋体" w:cs="Times New Roman"/>
                <w:b/>
                <w:bCs/>
                <w:color w:val="auto"/>
                <w:kern w:val="0"/>
                <w:szCs w:val="21"/>
                <w:highlight w:val="none"/>
                <w:shd w:val="clear" w:color="auto" w:fill="auto"/>
                <w:lang w:val="en-US" w:eastAsia="zh-CN"/>
              </w:rPr>
              <w:t>）</w:t>
            </w:r>
            <w:r>
              <w:rPr>
                <w:rFonts w:ascii="Times New Roman" w:hAnsi="Times New Roman" w:eastAsia="宋体" w:cs="Times New Roman"/>
                <w:b/>
                <w:bCs/>
                <w:color w:val="auto"/>
                <w:kern w:val="0"/>
                <w:szCs w:val="21"/>
                <w:highlight w:val="none"/>
                <w:shd w:val="clear" w:color="auto" w:fill="auto"/>
              </w:rPr>
              <w:t>×</w:t>
            </w:r>
            <w:r>
              <w:rPr>
                <w:rFonts w:hint="eastAsia" w:ascii="Times New Roman" w:hAnsi="Times New Roman" w:eastAsia="宋体" w:cs="Times New Roman"/>
                <w:b/>
                <w:bCs/>
                <w:color w:val="auto"/>
                <w:kern w:val="0"/>
                <w:szCs w:val="21"/>
                <w:highlight w:val="none"/>
                <w:shd w:val="clear" w:color="auto" w:fill="auto"/>
                <w:lang w:val="en-US" w:eastAsia="zh-CN"/>
              </w:rPr>
              <w:t>100</w:t>
            </w:r>
          </w:p>
          <w:p w14:paraId="7FF725D7">
            <w:pPr>
              <w:spacing w:line="360" w:lineRule="auto"/>
              <w:ind w:firstLine="480" w:firstLineChars="200"/>
              <w:jc w:val="left"/>
              <w:rPr>
                <w:color w:val="auto"/>
                <w:sz w:val="24"/>
              </w:rPr>
            </w:pPr>
            <w:r>
              <w:rPr>
                <w:rFonts w:hint="eastAsia"/>
                <w:color w:val="auto"/>
                <w:sz w:val="24"/>
                <w:lang w:eastAsia="zh-CN"/>
              </w:rPr>
              <w:t>生物质</w:t>
            </w:r>
            <w:r>
              <w:rPr>
                <w:rFonts w:hint="eastAsia"/>
                <w:color w:val="auto"/>
                <w:sz w:val="24"/>
              </w:rPr>
              <w:t>消耗量计算：</w:t>
            </w:r>
          </w:p>
          <w:p w14:paraId="08905255">
            <w:pPr>
              <w:spacing w:line="360" w:lineRule="auto"/>
              <w:ind w:firstLine="480" w:firstLineChars="200"/>
              <w:jc w:val="left"/>
              <w:rPr>
                <w:color w:val="auto"/>
                <w:sz w:val="24"/>
                <w:highlight w:val="none"/>
              </w:rPr>
            </w:pPr>
            <w:r>
              <w:rPr>
                <w:color w:val="auto"/>
                <w:sz w:val="24"/>
                <w:highlight w:val="none"/>
              </w:rPr>
              <w:t>本项目设置</w:t>
            </w:r>
            <w:r>
              <w:rPr>
                <w:rFonts w:hint="eastAsia"/>
                <w:color w:val="auto"/>
                <w:sz w:val="24"/>
                <w:highlight w:val="none"/>
              </w:rPr>
              <w:t>1台</w:t>
            </w:r>
            <w:r>
              <w:rPr>
                <w:rFonts w:hint="eastAsia"/>
                <w:color w:val="auto"/>
                <w:sz w:val="24"/>
                <w:highlight w:val="none"/>
                <w:lang w:val="en-US" w:eastAsia="zh-CN"/>
              </w:rPr>
              <w:t>500</w:t>
            </w:r>
            <w:r>
              <w:rPr>
                <w:rFonts w:hint="eastAsia"/>
                <w:color w:val="auto"/>
                <w:sz w:val="24"/>
                <w:highlight w:val="none"/>
              </w:rPr>
              <w:t>t/d的烘干塔。年烘干玉米</w:t>
            </w:r>
            <w:r>
              <w:rPr>
                <w:rFonts w:hint="eastAsia"/>
                <w:color w:val="auto"/>
                <w:sz w:val="24"/>
                <w:highlight w:val="none"/>
                <w:lang w:val="en-US" w:eastAsia="zh-CN"/>
              </w:rPr>
              <w:t>25000</w:t>
            </w:r>
            <w:r>
              <w:rPr>
                <w:rFonts w:hint="eastAsia"/>
                <w:color w:val="auto"/>
                <w:sz w:val="24"/>
                <w:highlight w:val="none"/>
              </w:rPr>
              <w:t>吨，</w:t>
            </w:r>
            <w:r>
              <w:rPr>
                <w:color w:val="auto"/>
                <w:sz w:val="24"/>
                <w:highlight w:val="none"/>
              </w:rPr>
              <w:t>年烘干时间</w:t>
            </w:r>
            <w:r>
              <w:rPr>
                <w:rFonts w:hint="eastAsia"/>
                <w:color w:val="auto"/>
                <w:sz w:val="24"/>
                <w:highlight w:val="none"/>
                <w:lang w:val="en-US" w:eastAsia="zh-CN"/>
              </w:rPr>
              <w:t>50</w:t>
            </w:r>
            <w:r>
              <w:rPr>
                <w:color w:val="auto"/>
                <w:sz w:val="24"/>
                <w:highlight w:val="none"/>
              </w:rPr>
              <w:t>天</w:t>
            </w:r>
            <w:r>
              <w:rPr>
                <w:rFonts w:hint="eastAsia"/>
                <w:color w:val="auto"/>
                <w:sz w:val="24"/>
                <w:highlight w:val="none"/>
              </w:rPr>
              <w:t>，</w:t>
            </w:r>
            <w:r>
              <w:rPr>
                <w:color w:val="auto"/>
                <w:sz w:val="24"/>
                <w:highlight w:val="none"/>
              </w:rPr>
              <w:t>每天24h</w:t>
            </w:r>
            <w:r>
              <w:rPr>
                <w:rFonts w:hint="eastAsia"/>
                <w:color w:val="auto"/>
                <w:sz w:val="24"/>
                <w:highlight w:val="none"/>
              </w:rPr>
              <w:t>。</w:t>
            </w:r>
          </w:p>
          <w:p w14:paraId="2AEA1EB6">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生物质燃料热值取</w:t>
            </w:r>
            <w:r>
              <w:rPr>
                <w:rFonts w:hint="eastAsia" w:cs="Times New Roman"/>
                <w:color w:val="auto"/>
                <w:sz w:val="24"/>
                <w:szCs w:val="24"/>
                <w:highlight w:val="none"/>
                <w:lang w:val="en-US" w:eastAsia="zh-CN"/>
              </w:rPr>
              <w:t>16.77</w:t>
            </w:r>
            <w:r>
              <w:rPr>
                <w:rFonts w:ascii="Times New Roman" w:hAnsi="Times New Roman" w:cs="Times New Roman"/>
                <w:color w:val="auto"/>
                <w:sz w:val="24"/>
                <w:szCs w:val="24"/>
                <w:highlight w:val="none"/>
              </w:rPr>
              <w:t>MJ/kg</w:t>
            </w:r>
            <w:r>
              <w:rPr>
                <w:rFonts w:hint="eastAsia" w:ascii="Times New Roman" w:hAnsi="Times New Roman" w:cs="Times New Roman"/>
                <w:color w:val="auto"/>
                <w:sz w:val="24"/>
                <w:szCs w:val="24"/>
                <w:highlight w:val="none"/>
              </w:rPr>
              <w:t>，热风炉热效率为</w:t>
            </w:r>
            <w:r>
              <w:rPr>
                <w:rFonts w:hint="eastAsia" w:cs="Times New Roman"/>
                <w:color w:val="auto"/>
                <w:sz w:val="24"/>
                <w:szCs w:val="24"/>
                <w:highlight w:val="none"/>
                <w:lang w:val="en-US" w:eastAsia="zh-CN"/>
              </w:rPr>
              <w:t>85</w:t>
            </w:r>
            <w:r>
              <w:rPr>
                <w:rFonts w:hint="eastAsia" w:ascii="Times New Roman" w:hAnsi="Times New Roman" w:cs="Times New Roman"/>
                <w:color w:val="auto"/>
                <w:sz w:val="24"/>
                <w:szCs w:val="24"/>
                <w:highlight w:val="none"/>
              </w:rPr>
              <w:t>%，参考尹协镇《粮食烘干过程中不同外部条件对烘干能耗的影响》，每烘干1kg水能耗取5400kJ/kg热量，本项目收购玉米含水率约为</w:t>
            </w:r>
            <w:r>
              <w:rPr>
                <w:rFonts w:hint="eastAsia" w:ascii="Times New Roman" w:hAnsi="Times New Roman" w:cs="Times New Roman"/>
                <w:color w:val="auto"/>
                <w:sz w:val="24"/>
                <w:szCs w:val="24"/>
                <w:highlight w:val="none"/>
                <w:lang w:val="en-US" w:eastAsia="zh-CN"/>
              </w:rPr>
              <w:t>30</w:t>
            </w:r>
            <w:r>
              <w:rPr>
                <w:rFonts w:hint="eastAsia" w:ascii="Times New Roman" w:hAnsi="Times New Roman" w:cs="Times New Roman"/>
                <w:color w:val="auto"/>
                <w:sz w:val="24"/>
                <w:szCs w:val="24"/>
                <w:highlight w:val="none"/>
              </w:rPr>
              <w:t>%，储存时含水率约为14%</w:t>
            </w:r>
            <w:r>
              <w:rPr>
                <w:rFonts w:hint="eastAsia" w:cs="Times New Roman"/>
                <w:color w:val="auto"/>
                <w:sz w:val="24"/>
                <w:szCs w:val="24"/>
                <w:highlight w:val="none"/>
                <w:lang w:eastAsia="zh-CN"/>
              </w:rPr>
              <w:t>；</w:t>
            </w:r>
            <w:r>
              <w:rPr>
                <w:rFonts w:ascii="Times New Roman" w:hAnsi="Times New Roman" w:cs="Times New Roman"/>
                <w:color w:val="auto"/>
                <w:sz w:val="24"/>
                <w:szCs w:val="24"/>
                <w:highlight w:val="none"/>
              </w:rPr>
              <w:t>本项目水分蒸发量依据W=G（ω</w:t>
            </w:r>
            <w:r>
              <w:rPr>
                <w:rFonts w:ascii="Times New Roman" w:hAnsi="Times New Roman" w:cs="Times New Roman"/>
                <w:color w:val="auto"/>
                <w:sz w:val="24"/>
                <w:szCs w:val="24"/>
                <w:highlight w:val="none"/>
                <w:vertAlign w:val="subscript"/>
              </w:rPr>
              <w:t>1</w:t>
            </w:r>
            <w:r>
              <w:rPr>
                <w:rFonts w:ascii="Times New Roman" w:hAnsi="Times New Roman" w:cs="Times New Roman"/>
                <w:color w:val="auto"/>
                <w:sz w:val="24"/>
                <w:szCs w:val="24"/>
                <w:highlight w:val="none"/>
              </w:rPr>
              <w:t>-ω</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）/（100-ω</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）进行计算。</w:t>
            </w:r>
          </w:p>
          <w:p w14:paraId="4CD989A6">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w:t>
            </w:r>
            <w:r>
              <w:rPr>
                <w:rFonts w:ascii="Times New Roman" w:hAnsi="Times New Roman"/>
                <w:color w:val="auto"/>
                <w:sz w:val="24"/>
                <w:szCs w:val="24"/>
                <w:highlight w:val="none"/>
              </w:rPr>
              <w:t>玉米水分蒸发量：</w:t>
            </w:r>
          </w:p>
          <w:p w14:paraId="5977206C">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W：水分蒸发量</w:t>
            </w:r>
          </w:p>
          <w:p w14:paraId="2F6D7059">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G：处理量（本项目为</w:t>
            </w:r>
            <w:r>
              <w:rPr>
                <w:rFonts w:hint="eastAsia" w:cs="Times New Roman"/>
                <w:color w:val="auto"/>
                <w:sz w:val="24"/>
                <w:szCs w:val="24"/>
                <w:highlight w:val="none"/>
                <w:lang w:val="en-US" w:eastAsia="zh-CN"/>
              </w:rPr>
              <w:t>25000</w:t>
            </w:r>
            <w:r>
              <w:rPr>
                <w:rFonts w:ascii="Times New Roman" w:hAnsi="Times New Roman" w:cs="Times New Roman"/>
                <w:color w:val="auto"/>
                <w:sz w:val="24"/>
                <w:szCs w:val="24"/>
                <w:highlight w:val="none"/>
              </w:rPr>
              <w:t>t）</w:t>
            </w:r>
          </w:p>
          <w:p w14:paraId="5B625BC7">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ω</w:t>
            </w:r>
            <w:r>
              <w:rPr>
                <w:rFonts w:ascii="Times New Roman" w:hAnsi="Times New Roman" w:cs="Times New Roman"/>
                <w:color w:val="auto"/>
                <w:sz w:val="24"/>
                <w:szCs w:val="24"/>
                <w:highlight w:val="none"/>
                <w:vertAlign w:val="subscript"/>
              </w:rPr>
              <w:t>1</w:t>
            </w:r>
            <w:r>
              <w:rPr>
                <w:rFonts w:ascii="Times New Roman" w:hAnsi="Times New Roman" w:cs="Times New Roman"/>
                <w:color w:val="auto"/>
                <w:sz w:val="24"/>
                <w:szCs w:val="24"/>
                <w:highlight w:val="none"/>
              </w:rPr>
              <w:t>：进料含水量百分数（本项目为</w:t>
            </w:r>
            <w:r>
              <w:rPr>
                <w:rFonts w:hint="eastAsia" w:ascii="Times New Roman" w:hAnsi="Times New Roman" w:cs="Times New Roman"/>
                <w:color w:val="auto"/>
                <w:sz w:val="24"/>
                <w:szCs w:val="24"/>
                <w:highlight w:val="none"/>
                <w:lang w:val="en-US" w:eastAsia="zh-CN"/>
              </w:rPr>
              <w:t>30</w:t>
            </w:r>
            <w:r>
              <w:rPr>
                <w:rFonts w:ascii="Times New Roman" w:hAnsi="Times New Roman" w:cs="Times New Roman"/>
                <w:color w:val="auto"/>
                <w:sz w:val="24"/>
                <w:szCs w:val="24"/>
                <w:highlight w:val="none"/>
              </w:rPr>
              <w:t>）</w:t>
            </w:r>
          </w:p>
          <w:p w14:paraId="19CDCA3F">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ω</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：出料含水量百分数（本项目为14）</w:t>
            </w:r>
          </w:p>
          <w:p w14:paraId="713B2A45">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本项目玉米水分蒸发量为：W=G（ω</w:t>
            </w:r>
            <w:r>
              <w:rPr>
                <w:rFonts w:ascii="Times New Roman" w:hAnsi="Times New Roman" w:cs="Times New Roman"/>
                <w:color w:val="auto"/>
                <w:sz w:val="24"/>
                <w:szCs w:val="24"/>
                <w:highlight w:val="none"/>
                <w:vertAlign w:val="subscript"/>
              </w:rPr>
              <w:t>1</w:t>
            </w:r>
            <w:r>
              <w:rPr>
                <w:rFonts w:ascii="Times New Roman" w:hAnsi="Times New Roman" w:cs="Times New Roman"/>
                <w:color w:val="auto"/>
                <w:sz w:val="24"/>
                <w:szCs w:val="24"/>
                <w:highlight w:val="none"/>
              </w:rPr>
              <w:t>-ω</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）/（100-ω</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25000</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30</w:t>
            </w:r>
            <w:r>
              <w:rPr>
                <w:rFonts w:ascii="Times New Roman" w:hAnsi="Times New Roman" w:cs="Times New Roman"/>
                <w:color w:val="auto"/>
                <w:sz w:val="24"/>
                <w:szCs w:val="24"/>
                <w:highlight w:val="none"/>
              </w:rPr>
              <w:t>-14）/（100-14）=</w:t>
            </w:r>
            <w:r>
              <w:rPr>
                <w:rFonts w:hint="eastAsia" w:cs="Times New Roman"/>
                <w:color w:val="auto"/>
                <w:sz w:val="24"/>
                <w:szCs w:val="24"/>
                <w:highlight w:val="none"/>
                <w:lang w:val="en-US" w:eastAsia="zh-CN"/>
              </w:rPr>
              <w:t>4651.16</w:t>
            </w:r>
            <w:r>
              <w:rPr>
                <w:rFonts w:ascii="Times New Roman" w:hAnsi="Times New Roman" w:cs="Times New Roman"/>
                <w:color w:val="auto"/>
                <w:sz w:val="24"/>
                <w:szCs w:val="24"/>
                <w:highlight w:val="none"/>
              </w:rPr>
              <w:t>t/a</w:t>
            </w:r>
            <w:r>
              <w:rPr>
                <w:rFonts w:hint="eastAsia" w:ascii="Times New Roman" w:hAnsi="Times New Roman" w:cs="Times New Roman"/>
                <w:color w:val="auto"/>
                <w:sz w:val="24"/>
                <w:szCs w:val="24"/>
                <w:highlight w:val="none"/>
              </w:rPr>
              <w:t>；</w:t>
            </w:r>
          </w:p>
          <w:p w14:paraId="7AB26A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烘干能耗为E=</w:t>
            </w:r>
            <w:r>
              <w:rPr>
                <w:rFonts w:hint="eastAsia" w:cs="Times New Roman"/>
                <w:color w:val="auto"/>
                <w:sz w:val="24"/>
                <w:szCs w:val="24"/>
                <w:highlight w:val="none"/>
                <w:lang w:val="en-US" w:eastAsia="zh-CN"/>
              </w:rPr>
              <w:t>4651.16</w:t>
            </w:r>
            <w:r>
              <w:rPr>
                <w:rFonts w:ascii="Times New Roman" w:hAnsi="Times New Roman" w:cs="Times New Roman"/>
                <w:color w:val="auto"/>
                <w:sz w:val="24"/>
                <w:szCs w:val="24"/>
                <w:highlight w:val="none"/>
              </w:rPr>
              <w:t>×10</w:t>
            </w:r>
            <w:r>
              <w:rPr>
                <w:rFonts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rPr>
              <w:t>kg /a×5400kJ/kg=</w:t>
            </w:r>
            <w:r>
              <w:rPr>
                <w:rFonts w:hint="eastAsia" w:cs="Times New Roman"/>
                <w:color w:val="auto"/>
                <w:sz w:val="24"/>
                <w:szCs w:val="24"/>
                <w:highlight w:val="none"/>
                <w:lang w:val="en-US" w:eastAsia="zh-CN"/>
              </w:rPr>
              <w:t>25116264000</w:t>
            </w:r>
            <w:r>
              <w:rPr>
                <w:rFonts w:hint="eastAsia" w:ascii="Times New Roman" w:hAnsi="Times New Roman" w:cs="Times New Roman"/>
                <w:color w:val="auto"/>
                <w:sz w:val="24"/>
                <w:szCs w:val="24"/>
                <w:highlight w:val="none"/>
              </w:rPr>
              <w:t>kJ/a；</w:t>
            </w:r>
          </w:p>
          <w:p w14:paraId="2607CD6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烘干所需生物质</w:t>
            </w:r>
            <w:r>
              <w:rPr>
                <w:rFonts w:hint="eastAsia" w:cs="Times New Roman"/>
                <w:color w:val="auto"/>
                <w:sz w:val="24"/>
                <w:szCs w:val="24"/>
                <w:highlight w:val="none"/>
                <w:lang w:eastAsia="zh-CN"/>
              </w:rPr>
              <w:t>颗粒</w:t>
            </w:r>
            <w:r>
              <w:rPr>
                <w:rFonts w:hint="eastAsia" w:ascii="Times New Roman" w:hAnsi="Times New Roman" w:cs="Times New Roman"/>
                <w:color w:val="auto"/>
                <w:sz w:val="24"/>
                <w:szCs w:val="24"/>
                <w:highlight w:val="none"/>
              </w:rPr>
              <w:t>颗粒消耗量为</w:t>
            </w:r>
            <w:r>
              <w:rPr>
                <w:rFonts w:hint="eastAsia" w:cs="Times New Roman"/>
                <w:color w:val="auto"/>
                <w:sz w:val="24"/>
                <w:szCs w:val="24"/>
                <w:highlight w:val="none"/>
                <w:lang w:val="en-US" w:eastAsia="zh-CN"/>
              </w:rPr>
              <w:t>25116264000</w:t>
            </w:r>
            <w:r>
              <w:rPr>
                <w:rFonts w:hint="eastAsia" w:ascii="Times New Roman" w:hAnsi="Times New Roman" w:cs="Times New Roman"/>
                <w:color w:val="auto"/>
                <w:sz w:val="24"/>
                <w:szCs w:val="24"/>
                <w:highlight w:val="none"/>
              </w:rPr>
              <w:t>kJ/a÷</w:t>
            </w:r>
            <w:r>
              <w:rPr>
                <w:rFonts w:hint="eastAsia" w:ascii="Times New Roman" w:hAnsi="Times New Roman"/>
                <w:color w:val="auto"/>
                <w:sz w:val="24"/>
                <w:szCs w:val="24"/>
                <w:highlight w:val="none"/>
              </w:rPr>
              <w:t>16.</w:t>
            </w:r>
            <w:r>
              <w:rPr>
                <w:rFonts w:hint="eastAsia"/>
                <w:color w:val="auto"/>
                <w:sz w:val="24"/>
                <w:szCs w:val="24"/>
                <w:highlight w:val="none"/>
                <w:lang w:val="en-US" w:eastAsia="zh-CN"/>
              </w:rPr>
              <w:t>77</w:t>
            </w:r>
            <w:r>
              <w:rPr>
                <w:rFonts w:ascii="Times New Roman" w:hAnsi="Times New Roman"/>
                <w:color w:val="auto"/>
                <w:sz w:val="24"/>
                <w:szCs w:val="24"/>
                <w:highlight w:val="none"/>
              </w:rPr>
              <w:t>MJ/kg</w:t>
            </w:r>
            <w:r>
              <w:rPr>
                <w:rFonts w:hint="eastAsia"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85</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w:t>
            </w:r>
            <w:r>
              <w:rPr>
                <w:rFonts w:ascii="Times New Roman" w:hAnsi="Times New Roman" w:cs="Times New Roman"/>
                <w:color w:val="auto"/>
                <w:sz w:val="24"/>
                <w:szCs w:val="24"/>
                <w:highlight w:val="none"/>
              </w:rPr>
              <w:t>10</w:t>
            </w:r>
            <w:r>
              <w:rPr>
                <w:rFonts w:ascii="Times New Roman" w:hAnsi="Times New Roman" w:cs="Times New Roman"/>
                <w:color w:val="auto"/>
                <w:sz w:val="24"/>
                <w:szCs w:val="24"/>
                <w:highlight w:val="none"/>
                <w:vertAlign w:val="superscript"/>
              </w:rPr>
              <w:t>-</w:t>
            </w:r>
            <w:r>
              <w:rPr>
                <w:rFonts w:hint="eastAsia" w:ascii="Times New Roman" w:hAnsi="Times New Roman" w:cs="Times New Roman"/>
                <w:color w:val="auto"/>
                <w:sz w:val="24"/>
                <w:szCs w:val="24"/>
                <w:highlight w:val="none"/>
                <w:vertAlign w:val="superscript"/>
                <w:lang w:val="en-US" w:eastAsia="zh-CN"/>
              </w:rPr>
              <w:t>6</w:t>
            </w:r>
            <w:r>
              <w:rPr>
                <w:rFonts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1762t</w:t>
            </w:r>
            <w:r>
              <w:rPr>
                <w:rFonts w:hint="eastAsia" w:ascii="Times New Roman" w:hAnsi="Times New Roman" w:cs="Times New Roman"/>
                <w:color w:val="auto"/>
                <w:sz w:val="24"/>
                <w:szCs w:val="24"/>
                <w:highlight w:val="none"/>
              </w:rPr>
              <w:t>/a。</w:t>
            </w:r>
          </w:p>
          <w:p w14:paraId="55A4BA07">
            <w:pPr>
              <w:spacing w:line="360" w:lineRule="auto"/>
              <w:ind w:firstLine="480" w:firstLineChars="200"/>
              <w:jc w:val="left"/>
              <w:rPr>
                <w:rFonts w:hAnsi="宋体"/>
                <w:color w:val="auto"/>
                <w:sz w:val="24"/>
                <w:highlight w:val="none"/>
              </w:rPr>
            </w:pPr>
            <w:r>
              <w:rPr>
                <w:rFonts w:hint="eastAsia" w:ascii="Times New Roman" w:hAnsi="Times New Roman"/>
                <w:color w:val="auto"/>
                <w:sz w:val="24"/>
                <w:szCs w:val="24"/>
                <w:highlight w:val="none"/>
              </w:rPr>
              <w:t>故本项目生物质燃料年使用量为</w:t>
            </w:r>
            <w:r>
              <w:rPr>
                <w:rFonts w:hint="eastAsia"/>
                <w:color w:val="auto"/>
                <w:sz w:val="24"/>
                <w:szCs w:val="24"/>
                <w:highlight w:val="none"/>
                <w:lang w:val="en-US" w:eastAsia="zh-CN"/>
              </w:rPr>
              <w:t>1762</w:t>
            </w:r>
            <w:r>
              <w:rPr>
                <w:rFonts w:hint="eastAsia" w:ascii="Times New Roman" w:hAnsi="Times New Roman"/>
                <w:color w:val="auto"/>
                <w:sz w:val="24"/>
                <w:szCs w:val="24"/>
                <w:highlight w:val="none"/>
              </w:rPr>
              <w:t>吨。</w:t>
            </w:r>
          </w:p>
          <w:p w14:paraId="3056E792">
            <w:pPr>
              <w:spacing w:line="360" w:lineRule="auto"/>
              <w:ind w:firstLine="482" w:firstLineChars="200"/>
              <w:rPr>
                <w:b/>
                <w:color w:val="auto"/>
                <w:sz w:val="24"/>
              </w:rPr>
            </w:pPr>
            <w:r>
              <w:rPr>
                <w:b/>
                <w:color w:val="auto"/>
                <w:sz w:val="24"/>
              </w:rPr>
              <w:t>四、主要设备</w:t>
            </w:r>
          </w:p>
          <w:p w14:paraId="2C0CC242">
            <w:pPr>
              <w:widowControl/>
              <w:spacing w:line="360" w:lineRule="auto"/>
              <w:ind w:firstLine="480" w:firstLineChars="200"/>
              <w:jc w:val="left"/>
              <w:rPr>
                <w:b/>
                <w:bCs/>
                <w:color w:val="auto"/>
                <w:kern w:val="0"/>
                <w:sz w:val="24"/>
              </w:rPr>
            </w:pPr>
            <w:r>
              <w:rPr>
                <w:color w:val="auto"/>
                <w:kern w:val="0"/>
                <w:sz w:val="24"/>
              </w:rPr>
              <w:t>本项目主要设备清单见表2-</w:t>
            </w:r>
            <w:r>
              <w:rPr>
                <w:rFonts w:hint="eastAsia"/>
                <w:color w:val="auto"/>
                <w:kern w:val="0"/>
                <w:sz w:val="24"/>
                <w:lang w:val="en-US" w:eastAsia="zh-CN"/>
              </w:rPr>
              <w:t>7</w:t>
            </w:r>
            <w:r>
              <w:rPr>
                <w:color w:val="auto"/>
                <w:kern w:val="0"/>
                <w:sz w:val="24"/>
              </w:rPr>
              <w:t>。</w:t>
            </w:r>
          </w:p>
          <w:p w14:paraId="76979FED">
            <w:pPr>
              <w:jc w:val="center"/>
              <w:textAlignment w:val="baseline"/>
              <w:rPr>
                <w:b/>
                <w:bCs/>
                <w:color w:val="auto"/>
                <w:kern w:val="0"/>
                <w:sz w:val="24"/>
              </w:rPr>
            </w:pPr>
            <w:r>
              <w:rPr>
                <w:b/>
                <w:bCs/>
                <w:color w:val="auto"/>
                <w:kern w:val="0"/>
                <w:sz w:val="24"/>
              </w:rPr>
              <w:t>表2-</w:t>
            </w:r>
            <w:r>
              <w:rPr>
                <w:rFonts w:hint="eastAsia"/>
                <w:b/>
                <w:bCs/>
                <w:color w:val="auto"/>
                <w:kern w:val="0"/>
                <w:sz w:val="24"/>
                <w:lang w:val="en-US" w:eastAsia="zh-CN"/>
              </w:rPr>
              <w:t>7</w:t>
            </w:r>
            <w:r>
              <w:rPr>
                <w:b/>
                <w:bCs/>
                <w:color w:val="auto"/>
                <w:kern w:val="0"/>
                <w:sz w:val="24"/>
              </w:rPr>
              <w:t xml:space="preserve"> 主要设备清单表</w:t>
            </w:r>
          </w:p>
          <w:tbl>
            <w:tblPr>
              <w:tblStyle w:val="3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
              <w:gridCol w:w="1489"/>
              <w:gridCol w:w="512"/>
              <w:gridCol w:w="850"/>
              <w:gridCol w:w="1430"/>
              <w:gridCol w:w="769"/>
              <w:gridCol w:w="1601"/>
              <w:gridCol w:w="1187"/>
            </w:tblGrid>
            <w:tr w14:paraId="0FFA04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5" w:type="pct"/>
                  <w:vAlign w:val="center"/>
                </w:tcPr>
                <w:p w14:paraId="301F6751">
                  <w:pPr>
                    <w:pStyle w:val="136"/>
                    <w:rPr>
                      <w:color w:val="auto"/>
                      <w:sz w:val="21"/>
                      <w:szCs w:val="21"/>
                    </w:rPr>
                  </w:pPr>
                  <w:r>
                    <w:rPr>
                      <w:color w:val="auto"/>
                      <w:sz w:val="21"/>
                      <w:szCs w:val="21"/>
                    </w:rPr>
                    <w:t>序号</w:t>
                  </w:r>
                </w:p>
              </w:tc>
              <w:tc>
                <w:tcPr>
                  <w:tcW w:w="901" w:type="pct"/>
                  <w:vAlign w:val="center"/>
                </w:tcPr>
                <w:p w14:paraId="4E9301F5">
                  <w:pPr>
                    <w:pStyle w:val="136"/>
                    <w:rPr>
                      <w:color w:val="auto"/>
                      <w:sz w:val="21"/>
                      <w:szCs w:val="21"/>
                    </w:rPr>
                  </w:pPr>
                  <w:r>
                    <w:rPr>
                      <w:color w:val="auto"/>
                      <w:sz w:val="21"/>
                      <w:szCs w:val="21"/>
                    </w:rPr>
                    <w:t>名称</w:t>
                  </w:r>
                </w:p>
              </w:tc>
              <w:tc>
                <w:tcPr>
                  <w:tcW w:w="309" w:type="pct"/>
                  <w:vAlign w:val="center"/>
                </w:tcPr>
                <w:p w14:paraId="54E4C3E9">
                  <w:pPr>
                    <w:pStyle w:val="136"/>
                    <w:rPr>
                      <w:color w:val="auto"/>
                      <w:sz w:val="21"/>
                      <w:szCs w:val="21"/>
                    </w:rPr>
                  </w:pPr>
                  <w:r>
                    <w:rPr>
                      <w:color w:val="auto"/>
                      <w:sz w:val="21"/>
                      <w:szCs w:val="21"/>
                    </w:rPr>
                    <w:t>单位</w:t>
                  </w:r>
                </w:p>
              </w:tc>
              <w:tc>
                <w:tcPr>
                  <w:tcW w:w="514" w:type="pct"/>
                  <w:vAlign w:val="center"/>
                </w:tcPr>
                <w:p w14:paraId="448F0D03">
                  <w:pPr>
                    <w:autoSpaceDE w:val="0"/>
                    <w:autoSpaceDN w:val="0"/>
                    <w:adjustRightInd w:val="0"/>
                    <w:snapToGrid w:val="0"/>
                    <w:jc w:val="center"/>
                    <w:rPr>
                      <w:color w:val="auto"/>
                      <w:sz w:val="21"/>
                      <w:szCs w:val="21"/>
                    </w:rPr>
                  </w:pPr>
                  <w:r>
                    <w:rPr>
                      <w:rFonts w:hint="eastAsia"/>
                      <w:bCs/>
                      <w:color w:val="auto"/>
                      <w:sz w:val="21"/>
                      <w:szCs w:val="21"/>
                    </w:rPr>
                    <w:t>现有工程</w:t>
                  </w:r>
                </w:p>
              </w:tc>
              <w:tc>
                <w:tcPr>
                  <w:tcW w:w="865" w:type="pct"/>
                  <w:vAlign w:val="center"/>
                </w:tcPr>
                <w:p w14:paraId="7BCCE303">
                  <w:pPr>
                    <w:autoSpaceDE w:val="0"/>
                    <w:autoSpaceDN w:val="0"/>
                    <w:adjustRightInd w:val="0"/>
                    <w:snapToGrid w:val="0"/>
                    <w:jc w:val="center"/>
                    <w:rPr>
                      <w:bCs/>
                      <w:color w:val="auto"/>
                      <w:sz w:val="21"/>
                      <w:szCs w:val="21"/>
                    </w:rPr>
                  </w:pPr>
                  <w:r>
                    <w:rPr>
                      <w:rFonts w:hint="eastAsia"/>
                      <w:bCs/>
                      <w:color w:val="auto"/>
                      <w:sz w:val="21"/>
                      <w:szCs w:val="21"/>
                    </w:rPr>
                    <w:t>设备型号</w:t>
                  </w:r>
                </w:p>
              </w:tc>
              <w:tc>
                <w:tcPr>
                  <w:tcW w:w="465" w:type="pct"/>
                  <w:vAlign w:val="center"/>
                </w:tcPr>
                <w:p w14:paraId="5ABAF177">
                  <w:pPr>
                    <w:autoSpaceDE w:val="0"/>
                    <w:autoSpaceDN w:val="0"/>
                    <w:adjustRightInd w:val="0"/>
                    <w:snapToGrid w:val="0"/>
                    <w:jc w:val="center"/>
                    <w:rPr>
                      <w:color w:val="auto"/>
                      <w:sz w:val="21"/>
                      <w:szCs w:val="21"/>
                    </w:rPr>
                  </w:pPr>
                  <w:r>
                    <w:rPr>
                      <w:rFonts w:hint="eastAsia"/>
                      <w:bCs/>
                      <w:color w:val="auto"/>
                      <w:sz w:val="21"/>
                      <w:szCs w:val="21"/>
                    </w:rPr>
                    <w:t>本项目</w:t>
                  </w:r>
                </w:p>
              </w:tc>
              <w:tc>
                <w:tcPr>
                  <w:tcW w:w="969" w:type="pct"/>
                  <w:vAlign w:val="center"/>
                </w:tcPr>
                <w:p w14:paraId="7CACC393">
                  <w:pPr>
                    <w:autoSpaceDE w:val="0"/>
                    <w:autoSpaceDN w:val="0"/>
                    <w:adjustRightInd w:val="0"/>
                    <w:snapToGrid w:val="0"/>
                    <w:jc w:val="center"/>
                    <w:rPr>
                      <w:bCs/>
                      <w:color w:val="auto"/>
                      <w:sz w:val="21"/>
                      <w:szCs w:val="21"/>
                    </w:rPr>
                  </w:pPr>
                  <w:r>
                    <w:rPr>
                      <w:rFonts w:hint="eastAsia"/>
                      <w:bCs/>
                      <w:color w:val="auto"/>
                      <w:sz w:val="21"/>
                      <w:szCs w:val="21"/>
                    </w:rPr>
                    <w:t>设备型号</w:t>
                  </w:r>
                </w:p>
              </w:tc>
              <w:tc>
                <w:tcPr>
                  <w:tcW w:w="718" w:type="pct"/>
                  <w:vAlign w:val="center"/>
                </w:tcPr>
                <w:p w14:paraId="2D74F4AA">
                  <w:pPr>
                    <w:autoSpaceDE w:val="0"/>
                    <w:autoSpaceDN w:val="0"/>
                    <w:adjustRightInd w:val="0"/>
                    <w:snapToGrid w:val="0"/>
                    <w:jc w:val="center"/>
                    <w:rPr>
                      <w:color w:val="auto"/>
                      <w:sz w:val="21"/>
                      <w:szCs w:val="21"/>
                    </w:rPr>
                  </w:pPr>
                  <w:r>
                    <w:rPr>
                      <w:rFonts w:hint="eastAsia"/>
                      <w:bCs/>
                      <w:color w:val="auto"/>
                      <w:sz w:val="21"/>
                      <w:szCs w:val="21"/>
                    </w:rPr>
                    <w:t>本项目建成后全厂</w:t>
                  </w:r>
                </w:p>
              </w:tc>
            </w:tr>
            <w:tr w14:paraId="2827A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3C07404C">
                  <w:pPr>
                    <w:pStyle w:val="136"/>
                    <w:rPr>
                      <w:color w:val="auto"/>
                      <w:sz w:val="21"/>
                      <w:szCs w:val="21"/>
                    </w:rPr>
                  </w:pPr>
                  <w:r>
                    <w:rPr>
                      <w:color w:val="auto"/>
                      <w:sz w:val="21"/>
                      <w:szCs w:val="21"/>
                    </w:rPr>
                    <w:t>1</w:t>
                  </w:r>
                </w:p>
              </w:tc>
              <w:tc>
                <w:tcPr>
                  <w:tcW w:w="901" w:type="pct"/>
                  <w:vAlign w:val="center"/>
                </w:tcPr>
                <w:p w14:paraId="14A657E8">
                  <w:pPr>
                    <w:jc w:val="center"/>
                    <w:rPr>
                      <w:rFonts w:hint="eastAsia" w:ascii="宋体" w:hAnsi="宋体" w:eastAsia="宋体" w:cs="宋体"/>
                      <w:bCs/>
                      <w:color w:val="auto"/>
                      <w:sz w:val="21"/>
                      <w:szCs w:val="21"/>
                      <w:lang w:eastAsia="zh-CN"/>
                    </w:rPr>
                  </w:pPr>
                  <w:r>
                    <w:rPr>
                      <w:rFonts w:hint="eastAsia" w:ascii="宋体" w:hAnsi="宋体" w:cs="宋体"/>
                      <w:bCs/>
                      <w:color w:val="auto"/>
                      <w:sz w:val="21"/>
                      <w:szCs w:val="21"/>
                      <w:lang w:eastAsia="zh-CN"/>
                    </w:rPr>
                    <w:t>生物质热风炉</w:t>
                  </w:r>
                </w:p>
              </w:tc>
              <w:tc>
                <w:tcPr>
                  <w:tcW w:w="309" w:type="pct"/>
                  <w:vAlign w:val="center"/>
                </w:tcPr>
                <w:p w14:paraId="7132B733">
                  <w:pPr>
                    <w:jc w:val="center"/>
                    <w:rPr>
                      <w:color w:val="auto"/>
                      <w:sz w:val="21"/>
                      <w:szCs w:val="21"/>
                    </w:rPr>
                  </w:pPr>
                  <w:r>
                    <w:rPr>
                      <w:rFonts w:hint="eastAsia"/>
                      <w:color w:val="auto"/>
                      <w:sz w:val="21"/>
                      <w:szCs w:val="21"/>
                    </w:rPr>
                    <w:t>台</w:t>
                  </w:r>
                </w:p>
              </w:tc>
              <w:tc>
                <w:tcPr>
                  <w:tcW w:w="514" w:type="pct"/>
                  <w:vAlign w:val="center"/>
                </w:tcPr>
                <w:p w14:paraId="168695B0">
                  <w:pPr>
                    <w:pStyle w:val="136"/>
                    <w:rPr>
                      <w:color w:val="auto"/>
                      <w:sz w:val="21"/>
                      <w:szCs w:val="21"/>
                    </w:rPr>
                  </w:pPr>
                  <w:r>
                    <w:rPr>
                      <w:rFonts w:hint="eastAsia"/>
                      <w:color w:val="auto"/>
                      <w:sz w:val="21"/>
                      <w:szCs w:val="21"/>
                    </w:rPr>
                    <w:t>1</w:t>
                  </w:r>
                </w:p>
              </w:tc>
              <w:tc>
                <w:tcPr>
                  <w:tcW w:w="865" w:type="pct"/>
                  <w:vAlign w:val="center"/>
                </w:tcPr>
                <w:p w14:paraId="535603C5">
                  <w:pPr>
                    <w:pStyle w:val="136"/>
                    <w:rPr>
                      <w:rFonts w:hint="default" w:eastAsia="宋体"/>
                      <w:color w:val="auto"/>
                      <w:sz w:val="21"/>
                      <w:szCs w:val="21"/>
                      <w:lang w:val="en-US" w:eastAsia="zh-CN"/>
                    </w:rPr>
                  </w:pPr>
                  <w:r>
                    <w:rPr>
                      <w:rFonts w:hint="eastAsia" w:cs="Times New Roman"/>
                      <w:color w:val="auto"/>
                      <w:sz w:val="21"/>
                      <w:szCs w:val="21"/>
                      <w:lang w:val="en-US" w:eastAsia="zh-CN"/>
                    </w:rPr>
                    <w:t>600</w:t>
                  </w:r>
                  <w:r>
                    <w:rPr>
                      <w:rFonts w:hint="eastAsia" w:ascii="Times New Roman" w:hAnsi="Times New Roman" w:eastAsia="宋体" w:cs="Times New Roman"/>
                      <w:color w:val="auto"/>
                      <w:sz w:val="21"/>
                      <w:szCs w:val="21"/>
                      <w:lang w:val="en-US" w:eastAsia="zh-CN"/>
                    </w:rPr>
                    <w:t>万kcal</w:t>
                  </w:r>
                </w:p>
              </w:tc>
              <w:tc>
                <w:tcPr>
                  <w:tcW w:w="465" w:type="pct"/>
                  <w:vAlign w:val="center"/>
                </w:tcPr>
                <w:p w14:paraId="09C2CABF">
                  <w:pPr>
                    <w:pStyle w:val="136"/>
                    <w:rPr>
                      <w:color w:val="auto"/>
                      <w:sz w:val="21"/>
                      <w:szCs w:val="21"/>
                    </w:rPr>
                  </w:pPr>
                  <w:r>
                    <w:rPr>
                      <w:rFonts w:hint="eastAsia"/>
                      <w:color w:val="auto"/>
                      <w:sz w:val="21"/>
                      <w:szCs w:val="21"/>
                    </w:rPr>
                    <w:t>1</w:t>
                  </w:r>
                </w:p>
              </w:tc>
              <w:tc>
                <w:tcPr>
                  <w:tcW w:w="969" w:type="pct"/>
                  <w:vAlign w:val="center"/>
                </w:tcPr>
                <w:p w14:paraId="3D06F4C5">
                  <w:pPr>
                    <w:pStyle w:val="136"/>
                    <w:rPr>
                      <w:color w:val="auto"/>
                      <w:sz w:val="21"/>
                      <w:szCs w:val="21"/>
                    </w:rPr>
                  </w:pPr>
                  <w:r>
                    <w:rPr>
                      <w:rFonts w:hint="eastAsia" w:cs="Times New Roman"/>
                      <w:color w:val="auto"/>
                      <w:sz w:val="21"/>
                      <w:szCs w:val="21"/>
                      <w:lang w:val="en-US" w:eastAsia="zh-CN"/>
                    </w:rPr>
                    <w:t>600</w:t>
                  </w:r>
                  <w:r>
                    <w:rPr>
                      <w:rFonts w:hint="eastAsia" w:ascii="Times New Roman" w:hAnsi="Times New Roman" w:eastAsia="宋体" w:cs="Times New Roman"/>
                      <w:color w:val="auto"/>
                      <w:sz w:val="21"/>
                      <w:szCs w:val="21"/>
                      <w:lang w:val="en-US" w:eastAsia="zh-CN"/>
                    </w:rPr>
                    <w:t>万kcal</w:t>
                  </w:r>
                </w:p>
              </w:tc>
              <w:tc>
                <w:tcPr>
                  <w:tcW w:w="718" w:type="pct"/>
                  <w:vAlign w:val="center"/>
                </w:tcPr>
                <w:p w14:paraId="09B0E972">
                  <w:pPr>
                    <w:pStyle w:val="136"/>
                    <w:rPr>
                      <w:color w:val="auto"/>
                      <w:sz w:val="21"/>
                      <w:szCs w:val="21"/>
                    </w:rPr>
                  </w:pPr>
                  <w:r>
                    <w:rPr>
                      <w:rFonts w:hint="eastAsia"/>
                      <w:color w:val="auto"/>
                      <w:sz w:val="21"/>
                      <w:szCs w:val="21"/>
                    </w:rPr>
                    <w:t>2</w:t>
                  </w:r>
                </w:p>
              </w:tc>
            </w:tr>
            <w:tr w14:paraId="62746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28227851">
                  <w:pPr>
                    <w:pStyle w:val="136"/>
                    <w:rPr>
                      <w:color w:val="auto"/>
                      <w:sz w:val="21"/>
                      <w:szCs w:val="21"/>
                    </w:rPr>
                  </w:pPr>
                  <w:r>
                    <w:rPr>
                      <w:color w:val="auto"/>
                      <w:sz w:val="21"/>
                      <w:szCs w:val="21"/>
                    </w:rPr>
                    <w:t>2</w:t>
                  </w:r>
                </w:p>
              </w:tc>
              <w:tc>
                <w:tcPr>
                  <w:tcW w:w="901" w:type="pct"/>
                  <w:vAlign w:val="center"/>
                </w:tcPr>
                <w:p w14:paraId="78102713">
                  <w:pPr>
                    <w:jc w:val="center"/>
                    <w:rPr>
                      <w:rFonts w:hint="eastAsia" w:ascii="宋体" w:hAnsi="宋体" w:eastAsia="宋体" w:cs="宋体"/>
                      <w:bCs/>
                      <w:color w:val="auto"/>
                      <w:sz w:val="21"/>
                      <w:szCs w:val="21"/>
                      <w:lang w:eastAsia="zh-CN"/>
                    </w:rPr>
                  </w:pPr>
                  <w:r>
                    <w:rPr>
                      <w:rFonts w:hint="eastAsia" w:ascii="宋体" w:hAnsi="宋体" w:cs="宋体"/>
                      <w:bCs/>
                      <w:color w:val="auto"/>
                      <w:sz w:val="21"/>
                      <w:szCs w:val="21"/>
                      <w:lang w:eastAsia="zh-CN"/>
                    </w:rPr>
                    <w:t>烘干塔</w:t>
                  </w:r>
                </w:p>
              </w:tc>
              <w:tc>
                <w:tcPr>
                  <w:tcW w:w="309" w:type="pct"/>
                  <w:vAlign w:val="center"/>
                </w:tcPr>
                <w:p w14:paraId="3C6C776C">
                  <w:pPr>
                    <w:jc w:val="center"/>
                    <w:rPr>
                      <w:color w:val="auto"/>
                      <w:sz w:val="21"/>
                      <w:szCs w:val="21"/>
                    </w:rPr>
                  </w:pPr>
                  <w:r>
                    <w:rPr>
                      <w:rFonts w:hint="eastAsia"/>
                      <w:color w:val="auto"/>
                      <w:sz w:val="21"/>
                      <w:szCs w:val="21"/>
                    </w:rPr>
                    <w:t>台</w:t>
                  </w:r>
                </w:p>
              </w:tc>
              <w:tc>
                <w:tcPr>
                  <w:tcW w:w="514" w:type="pct"/>
                  <w:vAlign w:val="center"/>
                </w:tcPr>
                <w:p w14:paraId="3EC3989A">
                  <w:pPr>
                    <w:pStyle w:val="136"/>
                    <w:rPr>
                      <w:color w:val="auto"/>
                      <w:sz w:val="21"/>
                      <w:szCs w:val="21"/>
                    </w:rPr>
                  </w:pPr>
                  <w:r>
                    <w:rPr>
                      <w:rFonts w:hint="eastAsia"/>
                      <w:color w:val="auto"/>
                      <w:sz w:val="21"/>
                      <w:szCs w:val="21"/>
                    </w:rPr>
                    <w:t>1</w:t>
                  </w:r>
                </w:p>
              </w:tc>
              <w:tc>
                <w:tcPr>
                  <w:tcW w:w="865" w:type="pct"/>
                  <w:vAlign w:val="center"/>
                </w:tcPr>
                <w:p w14:paraId="75394144">
                  <w:pPr>
                    <w:pStyle w:val="136"/>
                    <w:rPr>
                      <w:rFonts w:hint="default" w:eastAsia="宋体"/>
                      <w:color w:val="auto"/>
                      <w:sz w:val="21"/>
                      <w:szCs w:val="21"/>
                      <w:lang w:val="en-US" w:eastAsia="zh-CN"/>
                    </w:rPr>
                  </w:pPr>
                  <w:r>
                    <w:rPr>
                      <w:rFonts w:hint="eastAsia"/>
                      <w:color w:val="auto"/>
                      <w:sz w:val="21"/>
                      <w:szCs w:val="21"/>
                      <w:lang w:val="en-US" w:eastAsia="zh-CN"/>
                    </w:rPr>
                    <w:t>500T</w:t>
                  </w:r>
                </w:p>
              </w:tc>
              <w:tc>
                <w:tcPr>
                  <w:tcW w:w="465" w:type="pct"/>
                  <w:vAlign w:val="center"/>
                </w:tcPr>
                <w:p w14:paraId="05917CC3">
                  <w:pPr>
                    <w:pStyle w:val="136"/>
                    <w:rPr>
                      <w:color w:val="auto"/>
                      <w:sz w:val="21"/>
                      <w:szCs w:val="21"/>
                    </w:rPr>
                  </w:pPr>
                  <w:r>
                    <w:rPr>
                      <w:rFonts w:hint="eastAsia"/>
                      <w:color w:val="auto"/>
                      <w:sz w:val="21"/>
                      <w:szCs w:val="21"/>
                    </w:rPr>
                    <w:t>1</w:t>
                  </w:r>
                </w:p>
              </w:tc>
              <w:tc>
                <w:tcPr>
                  <w:tcW w:w="969" w:type="pct"/>
                  <w:vAlign w:val="center"/>
                </w:tcPr>
                <w:p w14:paraId="21CB8581">
                  <w:pPr>
                    <w:pStyle w:val="136"/>
                    <w:rPr>
                      <w:rFonts w:hint="default" w:eastAsia="宋体"/>
                      <w:color w:val="auto"/>
                      <w:sz w:val="21"/>
                      <w:szCs w:val="21"/>
                      <w:lang w:val="en-US" w:eastAsia="zh-CN"/>
                    </w:rPr>
                  </w:pPr>
                  <w:r>
                    <w:rPr>
                      <w:rFonts w:hint="eastAsia"/>
                      <w:color w:val="auto"/>
                      <w:sz w:val="21"/>
                      <w:szCs w:val="21"/>
                      <w:lang w:val="en-US" w:eastAsia="zh-CN"/>
                    </w:rPr>
                    <w:t>500T</w:t>
                  </w:r>
                </w:p>
              </w:tc>
              <w:tc>
                <w:tcPr>
                  <w:tcW w:w="718" w:type="pct"/>
                  <w:vAlign w:val="center"/>
                </w:tcPr>
                <w:p w14:paraId="73A99C8D">
                  <w:pPr>
                    <w:pStyle w:val="136"/>
                    <w:rPr>
                      <w:color w:val="auto"/>
                      <w:sz w:val="21"/>
                      <w:szCs w:val="21"/>
                    </w:rPr>
                  </w:pPr>
                  <w:r>
                    <w:rPr>
                      <w:rFonts w:hint="eastAsia"/>
                      <w:color w:val="auto"/>
                      <w:sz w:val="21"/>
                      <w:szCs w:val="21"/>
                    </w:rPr>
                    <w:t>2</w:t>
                  </w:r>
                </w:p>
              </w:tc>
            </w:tr>
            <w:tr w14:paraId="35FAE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71706ACF">
                  <w:pPr>
                    <w:pStyle w:val="136"/>
                    <w:rPr>
                      <w:color w:val="auto"/>
                      <w:sz w:val="21"/>
                      <w:szCs w:val="21"/>
                    </w:rPr>
                  </w:pPr>
                  <w:r>
                    <w:rPr>
                      <w:color w:val="auto"/>
                      <w:sz w:val="21"/>
                      <w:szCs w:val="21"/>
                    </w:rPr>
                    <w:t>3</w:t>
                  </w:r>
                </w:p>
              </w:tc>
              <w:tc>
                <w:tcPr>
                  <w:tcW w:w="901" w:type="pct"/>
                  <w:vAlign w:val="center"/>
                </w:tcPr>
                <w:p w14:paraId="5A5A7C5D">
                  <w:pPr>
                    <w:jc w:val="center"/>
                    <w:rPr>
                      <w:rFonts w:ascii="宋体" w:hAnsi="宋体" w:cs="宋体"/>
                      <w:bCs/>
                      <w:color w:val="auto"/>
                      <w:sz w:val="21"/>
                      <w:szCs w:val="21"/>
                    </w:rPr>
                  </w:pPr>
                  <w:r>
                    <w:rPr>
                      <w:color w:val="auto"/>
                      <w:sz w:val="21"/>
                      <w:szCs w:val="21"/>
                    </w:rPr>
                    <w:t>清理筛</w:t>
                  </w:r>
                  <w:r>
                    <w:rPr>
                      <w:rFonts w:hint="eastAsia"/>
                      <w:color w:val="auto"/>
                      <w:sz w:val="21"/>
                      <w:szCs w:val="21"/>
                    </w:rPr>
                    <w:t>分机</w:t>
                  </w:r>
                </w:p>
              </w:tc>
              <w:tc>
                <w:tcPr>
                  <w:tcW w:w="309" w:type="pct"/>
                  <w:vAlign w:val="center"/>
                </w:tcPr>
                <w:p w14:paraId="3BDCB42C">
                  <w:pPr>
                    <w:jc w:val="center"/>
                    <w:rPr>
                      <w:color w:val="auto"/>
                      <w:sz w:val="21"/>
                      <w:szCs w:val="21"/>
                    </w:rPr>
                  </w:pPr>
                  <w:r>
                    <w:rPr>
                      <w:rFonts w:hint="eastAsia"/>
                      <w:color w:val="auto"/>
                      <w:sz w:val="21"/>
                      <w:szCs w:val="21"/>
                    </w:rPr>
                    <w:t>台</w:t>
                  </w:r>
                </w:p>
              </w:tc>
              <w:tc>
                <w:tcPr>
                  <w:tcW w:w="514" w:type="pct"/>
                  <w:vAlign w:val="center"/>
                </w:tcPr>
                <w:p w14:paraId="329DDFD5">
                  <w:pPr>
                    <w:pStyle w:val="136"/>
                    <w:rPr>
                      <w:color w:val="auto"/>
                      <w:sz w:val="21"/>
                      <w:szCs w:val="21"/>
                    </w:rPr>
                  </w:pPr>
                  <w:r>
                    <w:rPr>
                      <w:rFonts w:hint="eastAsia"/>
                      <w:color w:val="auto"/>
                      <w:sz w:val="21"/>
                      <w:szCs w:val="21"/>
                    </w:rPr>
                    <w:t>1</w:t>
                  </w:r>
                </w:p>
              </w:tc>
              <w:tc>
                <w:tcPr>
                  <w:tcW w:w="865" w:type="pct"/>
                  <w:vAlign w:val="center"/>
                </w:tcPr>
                <w:p w14:paraId="4702290A">
                  <w:pPr>
                    <w:pStyle w:val="136"/>
                    <w:rPr>
                      <w:rFonts w:hint="eastAsia" w:eastAsia="宋体"/>
                      <w:color w:val="auto"/>
                      <w:sz w:val="21"/>
                      <w:szCs w:val="21"/>
                      <w:lang w:eastAsia="zh-CN"/>
                    </w:rPr>
                  </w:pPr>
                  <w:r>
                    <w:rPr>
                      <w:rFonts w:hint="eastAsia"/>
                      <w:color w:val="auto"/>
                      <w:sz w:val="21"/>
                      <w:szCs w:val="21"/>
                      <w:lang w:val="en-US" w:eastAsia="zh-CN"/>
                    </w:rPr>
                    <w:t>/</w:t>
                  </w:r>
                </w:p>
              </w:tc>
              <w:tc>
                <w:tcPr>
                  <w:tcW w:w="465" w:type="pct"/>
                  <w:vAlign w:val="center"/>
                </w:tcPr>
                <w:p w14:paraId="585578D6">
                  <w:pPr>
                    <w:pStyle w:val="136"/>
                    <w:rPr>
                      <w:rFonts w:hint="eastAsia" w:eastAsia="宋体"/>
                      <w:color w:val="auto"/>
                      <w:sz w:val="21"/>
                      <w:szCs w:val="21"/>
                      <w:lang w:eastAsia="zh-CN"/>
                    </w:rPr>
                  </w:pPr>
                  <w:r>
                    <w:rPr>
                      <w:rFonts w:hint="eastAsia"/>
                      <w:color w:val="auto"/>
                      <w:sz w:val="21"/>
                      <w:szCs w:val="21"/>
                      <w:lang w:val="en-US" w:eastAsia="zh-CN"/>
                    </w:rPr>
                    <w:t>1</w:t>
                  </w:r>
                </w:p>
              </w:tc>
              <w:tc>
                <w:tcPr>
                  <w:tcW w:w="969" w:type="pct"/>
                  <w:vAlign w:val="center"/>
                </w:tcPr>
                <w:p w14:paraId="22FABEBF">
                  <w:pPr>
                    <w:pStyle w:val="136"/>
                    <w:rPr>
                      <w:color w:val="auto"/>
                      <w:sz w:val="21"/>
                      <w:szCs w:val="21"/>
                    </w:rPr>
                  </w:pPr>
                  <w:r>
                    <w:rPr>
                      <w:rFonts w:hint="eastAsia"/>
                      <w:color w:val="auto"/>
                      <w:sz w:val="21"/>
                      <w:szCs w:val="21"/>
                    </w:rPr>
                    <w:t>/</w:t>
                  </w:r>
                </w:p>
              </w:tc>
              <w:tc>
                <w:tcPr>
                  <w:tcW w:w="718" w:type="pct"/>
                  <w:vAlign w:val="center"/>
                </w:tcPr>
                <w:p w14:paraId="6B869A9B">
                  <w:pPr>
                    <w:pStyle w:val="136"/>
                    <w:rPr>
                      <w:rFonts w:hint="eastAsia" w:eastAsia="宋体"/>
                      <w:color w:val="auto"/>
                      <w:sz w:val="21"/>
                      <w:szCs w:val="21"/>
                      <w:lang w:eastAsia="zh-CN"/>
                    </w:rPr>
                  </w:pPr>
                  <w:r>
                    <w:rPr>
                      <w:rFonts w:hint="eastAsia"/>
                      <w:color w:val="auto"/>
                      <w:sz w:val="21"/>
                      <w:szCs w:val="21"/>
                      <w:lang w:val="en-US" w:eastAsia="zh-CN"/>
                    </w:rPr>
                    <w:t>2</w:t>
                  </w:r>
                </w:p>
              </w:tc>
            </w:tr>
            <w:tr w14:paraId="0E12B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5ED8DDA1">
                  <w:pPr>
                    <w:pStyle w:val="136"/>
                    <w:rPr>
                      <w:color w:val="auto"/>
                      <w:sz w:val="21"/>
                      <w:szCs w:val="21"/>
                    </w:rPr>
                  </w:pPr>
                  <w:r>
                    <w:rPr>
                      <w:rFonts w:hint="eastAsia"/>
                      <w:color w:val="auto"/>
                      <w:sz w:val="21"/>
                      <w:szCs w:val="21"/>
                    </w:rPr>
                    <w:t>4</w:t>
                  </w:r>
                </w:p>
              </w:tc>
              <w:tc>
                <w:tcPr>
                  <w:tcW w:w="901" w:type="pct"/>
                  <w:vAlign w:val="center"/>
                </w:tcPr>
                <w:p w14:paraId="078CDC1E">
                  <w:pPr>
                    <w:jc w:val="center"/>
                    <w:rPr>
                      <w:rFonts w:hint="default" w:ascii="宋体" w:hAnsi="宋体" w:eastAsia="宋体" w:cs="宋体"/>
                      <w:bCs/>
                      <w:color w:val="auto"/>
                      <w:sz w:val="21"/>
                      <w:szCs w:val="21"/>
                      <w:lang w:val="en-US" w:eastAsia="zh-CN"/>
                    </w:rPr>
                  </w:pPr>
                  <w:r>
                    <w:rPr>
                      <w:rFonts w:hint="eastAsia" w:ascii="宋体" w:hAnsi="宋体" w:cs="宋体"/>
                      <w:bCs/>
                      <w:color w:val="auto"/>
                      <w:sz w:val="21"/>
                      <w:szCs w:val="21"/>
                      <w:lang w:val="en-US" w:eastAsia="zh-CN"/>
                    </w:rPr>
                    <w:t>提升机</w:t>
                  </w:r>
                </w:p>
              </w:tc>
              <w:tc>
                <w:tcPr>
                  <w:tcW w:w="309" w:type="pct"/>
                  <w:vAlign w:val="center"/>
                </w:tcPr>
                <w:p w14:paraId="67E854B6">
                  <w:pPr>
                    <w:pStyle w:val="136"/>
                    <w:rPr>
                      <w:rFonts w:hint="eastAsia" w:eastAsia="宋体"/>
                      <w:color w:val="auto"/>
                      <w:sz w:val="21"/>
                      <w:szCs w:val="21"/>
                      <w:lang w:eastAsia="zh-CN"/>
                    </w:rPr>
                  </w:pPr>
                  <w:r>
                    <w:rPr>
                      <w:rFonts w:hint="eastAsia"/>
                      <w:color w:val="auto"/>
                      <w:sz w:val="21"/>
                      <w:szCs w:val="21"/>
                      <w:lang w:eastAsia="zh-CN"/>
                    </w:rPr>
                    <w:t>台</w:t>
                  </w:r>
                </w:p>
              </w:tc>
              <w:tc>
                <w:tcPr>
                  <w:tcW w:w="514" w:type="pct"/>
                  <w:vAlign w:val="center"/>
                </w:tcPr>
                <w:p w14:paraId="72ACB9DA">
                  <w:pPr>
                    <w:pStyle w:val="136"/>
                    <w:rPr>
                      <w:color w:val="auto"/>
                      <w:sz w:val="21"/>
                      <w:szCs w:val="21"/>
                    </w:rPr>
                  </w:pPr>
                  <w:r>
                    <w:rPr>
                      <w:rFonts w:hint="eastAsia"/>
                      <w:color w:val="auto"/>
                      <w:sz w:val="21"/>
                      <w:szCs w:val="21"/>
                    </w:rPr>
                    <w:t>1</w:t>
                  </w:r>
                </w:p>
              </w:tc>
              <w:tc>
                <w:tcPr>
                  <w:tcW w:w="865" w:type="pct"/>
                  <w:vAlign w:val="center"/>
                </w:tcPr>
                <w:p w14:paraId="6ACD8DED">
                  <w:pPr>
                    <w:pStyle w:val="136"/>
                    <w:rPr>
                      <w:rFonts w:hint="eastAsia" w:eastAsia="宋体"/>
                      <w:color w:val="auto"/>
                      <w:sz w:val="21"/>
                      <w:szCs w:val="21"/>
                      <w:lang w:eastAsia="zh-CN"/>
                    </w:rPr>
                  </w:pPr>
                  <w:r>
                    <w:rPr>
                      <w:rFonts w:hint="eastAsia"/>
                      <w:color w:val="auto"/>
                      <w:sz w:val="21"/>
                      <w:szCs w:val="21"/>
                      <w:lang w:val="en-US" w:eastAsia="zh-CN"/>
                    </w:rPr>
                    <w:t>/</w:t>
                  </w:r>
                </w:p>
              </w:tc>
              <w:tc>
                <w:tcPr>
                  <w:tcW w:w="465" w:type="pct"/>
                  <w:vAlign w:val="center"/>
                </w:tcPr>
                <w:p w14:paraId="4C9CD444">
                  <w:pPr>
                    <w:pStyle w:val="136"/>
                    <w:rPr>
                      <w:rFonts w:hint="eastAsia" w:eastAsia="宋体"/>
                      <w:color w:val="auto"/>
                      <w:sz w:val="21"/>
                      <w:szCs w:val="21"/>
                      <w:lang w:eastAsia="zh-CN"/>
                    </w:rPr>
                  </w:pPr>
                  <w:r>
                    <w:rPr>
                      <w:rFonts w:hint="eastAsia"/>
                      <w:color w:val="auto"/>
                      <w:sz w:val="21"/>
                      <w:szCs w:val="21"/>
                      <w:lang w:val="en-US" w:eastAsia="zh-CN"/>
                    </w:rPr>
                    <w:t>1</w:t>
                  </w:r>
                </w:p>
              </w:tc>
              <w:tc>
                <w:tcPr>
                  <w:tcW w:w="969" w:type="pct"/>
                  <w:vAlign w:val="center"/>
                </w:tcPr>
                <w:p w14:paraId="05954816">
                  <w:pPr>
                    <w:pStyle w:val="136"/>
                    <w:rPr>
                      <w:color w:val="auto"/>
                      <w:sz w:val="21"/>
                      <w:szCs w:val="21"/>
                    </w:rPr>
                  </w:pPr>
                  <w:r>
                    <w:rPr>
                      <w:rFonts w:hint="eastAsia"/>
                      <w:color w:val="auto"/>
                      <w:sz w:val="21"/>
                      <w:szCs w:val="21"/>
                    </w:rPr>
                    <w:t>/</w:t>
                  </w:r>
                </w:p>
              </w:tc>
              <w:tc>
                <w:tcPr>
                  <w:tcW w:w="718" w:type="pct"/>
                  <w:vAlign w:val="center"/>
                </w:tcPr>
                <w:p w14:paraId="1ED13C96">
                  <w:pPr>
                    <w:pStyle w:val="136"/>
                    <w:rPr>
                      <w:rFonts w:hint="eastAsia" w:eastAsia="宋体"/>
                      <w:color w:val="auto"/>
                      <w:sz w:val="21"/>
                      <w:szCs w:val="21"/>
                      <w:lang w:eastAsia="zh-CN"/>
                    </w:rPr>
                  </w:pPr>
                  <w:r>
                    <w:rPr>
                      <w:rFonts w:hint="eastAsia"/>
                      <w:color w:val="auto"/>
                      <w:sz w:val="21"/>
                      <w:szCs w:val="21"/>
                      <w:lang w:val="en-US" w:eastAsia="zh-CN"/>
                    </w:rPr>
                    <w:t>2</w:t>
                  </w:r>
                </w:p>
              </w:tc>
            </w:tr>
            <w:tr w14:paraId="47322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1007FEC7">
                  <w:pPr>
                    <w:pStyle w:val="136"/>
                    <w:rPr>
                      <w:color w:val="auto"/>
                      <w:sz w:val="21"/>
                      <w:szCs w:val="21"/>
                    </w:rPr>
                  </w:pPr>
                  <w:r>
                    <w:rPr>
                      <w:rFonts w:hint="eastAsia"/>
                      <w:color w:val="auto"/>
                      <w:sz w:val="21"/>
                      <w:szCs w:val="21"/>
                    </w:rPr>
                    <w:t>5</w:t>
                  </w:r>
                </w:p>
              </w:tc>
              <w:tc>
                <w:tcPr>
                  <w:tcW w:w="901" w:type="pct"/>
                  <w:vAlign w:val="center"/>
                </w:tcPr>
                <w:p w14:paraId="33957807">
                  <w:pPr>
                    <w:adjustRightInd w:val="0"/>
                    <w:snapToGrid w:val="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输送机</w:t>
                  </w:r>
                </w:p>
              </w:tc>
              <w:tc>
                <w:tcPr>
                  <w:tcW w:w="309" w:type="pct"/>
                  <w:vAlign w:val="center"/>
                </w:tcPr>
                <w:p w14:paraId="04357530">
                  <w:pPr>
                    <w:pStyle w:val="136"/>
                    <w:rPr>
                      <w:rFonts w:hint="eastAsia" w:eastAsia="宋体"/>
                      <w:color w:val="auto"/>
                      <w:sz w:val="21"/>
                      <w:szCs w:val="21"/>
                      <w:lang w:eastAsia="zh-CN"/>
                    </w:rPr>
                  </w:pPr>
                  <w:r>
                    <w:rPr>
                      <w:rFonts w:hint="eastAsia"/>
                      <w:color w:val="auto"/>
                      <w:sz w:val="21"/>
                      <w:szCs w:val="21"/>
                      <w:lang w:eastAsia="zh-CN"/>
                    </w:rPr>
                    <w:t>台</w:t>
                  </w:r>
                </w:p>
              </w:tc>
              <w:tc>
                <w:tcPr>
                  <w:tcW w:w="514" w:type="pct"/>
                  <w:vAlign w:val="center"/>
                </w:tcPr>
                <w:p w14:paraId="67DCC09F">
                  <w:pPr>
                    <w:pStyle w:val="136"/>
                    <w:rPr>
                      <w:rFonts w:hint="eastAsia" w:eastAsia="宋体"/>
                      <w:color w:val="auto"/>
                      <w:sz w:val="21"/>
                      <w:szCs w:val="21"/>
                      <w:lang w:eastAsia="zh-CN"/>
                    </w:rPr>
                  </w:pPr>
                  <w:r>
                    <w:rPr>
                      <w:rFonts w:hint="eastAsia"/>
                      <w:color w:val="auto"/>
                      <w:sz w:val="21"/>
                      <w:szCs w:val="21"/>
                      <w:lang w:val="en-US" w:eastAsia="zh-CN"/>
                    </w:rPr>
                    <w:t>2</w:t>
                  </w:r>
                </w:p>
              </w:tc>
              <w:tc>
                <w:tcPr>
                  <w:tcW w:w="865" w:type="pct"/>
                  <w:vAlign w:val="center"/>
                </w:tcPr>
                <w:p w14:paraId="679DC12A">
                  <w:pPr>
                    <w:pStyle w:val="136"/>
                    <w:rPr>
                      <w:color w:val="auto"/>
                      <w:sz w:val="21"/>
                      <w:szCs w:val="21"/>
                    </w:rPr>
                  </w:pPr>
                  <w:r>
                    <w:rPr>
                      <w:rFonts w:hint="eastAsia"/>
                      <w:color w:val="auto"/>
                      <w:sz w:val="21"/>
                      <w:szCs w:val="21"/>
                    </w:rPr>
                    <w:t>/</w:t>
                  </w:r>
                </w:p>
              </w:tc>
              <w:tc>
                <w:tcPr>
                  <w:tcW w:w="465" w:type="pct"/>
                  <w:vAlign w:val="center"/>
                </w:tcPr>
                <w:p w14:paraId="789336A6">
                  <w:pPr>
                    <w:pStyle w:val="136"/>
                    <w:rPr>
                      <w:rFonts w:hint="eastAsia" w:eastAsia="宋体"/>
                      <w:color w:val="auto"/>
                      <w:sz w:val="21"/>
                      <w:szCs w:val="21"/>
                      <w:lang w:eastAsia="zh-CN"/>
                    </w:rPr>
                  </w:pPr>
                  <w:r>
                    <w:rPr>
                      <w:rFonts w:hint="eastAsia"/>
                      <w:color w:val="auto"/>
                      <w:sz w:val="21"/>
                      <w:szCs w:val="21"/>
                      <w:lang w:val="en-US" w:eastAsia="zh-CN"/>
                    </w:rPr>
                    <w:t>2</w:t>
                  </w:r>
                </w:p>
              </w:tc>
              <w:tc>
                <w:tcPr>
                  <w:tcW w:w="969" w:type="pct"/>
                  <w:vAlign w:val="center"/>
                </w:tcPr>
                <w:p w14:paraId="353D490F">
                  <w:pPr>
                    <w:pStyle w:val="136"/>
                    <w:rPr>
                      <w:color w:val="auto"/>
                      <w:sz w:val="21"/>
                      <w:szCs w:val="21"/>
                    </w:rPr>
                  </w:pPr>
                  <w:r>
                    <w:rPr>
                      <w:rFonts w:hint="eastAsia"/>
                      <w:color w:val="auto"/>
                      <w:sz w:val="21"/>
                      <w:szCs w:val="21"/>
                    </w:rPr>
                    <w:t>/</w:t>
                  </w:r>
                </w:p>
              </w:tc>
              <w:tc>
                <w:tcPr>
                  <w:tcW w:w="718" w:type="pct"/>
                  <w:vAlign w:val="center"/>
                </w:tcPr>
                <w:p w14:paraId="0192ABC7">
                  <w:pPr>
                    <w:pStyle w:val="136"/>
                    <w:rPr>
                      <w:rFonts w:hint="eastAsia" w:eastAsia="宋体"/>
                      <w:color w:val="auto"/>
                      <w:sz w:val="21"/>
                      <w:szCs w:val="21"/>
                      <w:lang w:eastAsia="zh-CN"/>
                    </w:rPr>
                  </w:pPr>
                  <w:r>
                    <w:rPr>
                      <w:rFonts w:hint="eastAsia"/>
                      <w:color w:val="auto"/>
                      <w:sz w:val="21"/>
                      <w:szCs w:val="21"/>
                      <w:lang w:val="en-US" w:eastAsia="zh-CN"/>
                    </w:rPr>
                    <w:t>4</w:t>
                  </w:r>
                </w:p>
              </w:tc>
            </w:tr>
            <w:tr w14:paraId="58450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02753D71">
                  <w:pPr>
                    <w:pStyle w:val="136"/>
                    <w:rPr>
                      <w:color w:val="auto"/>
                      <w:sz w:val="21"/>
                      <w:szCs w:val="21"/>
                    </w:rPr>
                  </w:pPr>
                  <w:r>
                    <w:rPr>
                      <w:rFonts w:hint="eastAsia"/>
                      <w:color w:val="auto"/>
                      <w:sz w:val="21"/>
                      <w:szCs w:val="21"/>
                    </w:rPr>
                    <w:t>6</w:t>
                  </w:r>
                </w:p>
              </w:tc>
              <w:tc>
                <w:tcPr>
                  <w:tcW w:w="901" w:type="pct"/>
                  <w:vAlign w:val="center"/>
                </w:tcPr>
                <w:p w14:paraId="2EB7BDA5">
                  <w:pPr>
                    <w:adjustRightInd w:val="0"/>
                    <w:snapToGrid w:val="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换热器</w:t>
                  </w:r>
                </w:p>
              </w:tc>
              <w:tc>
                <w:tcPr>
                  <w:tcW w:w="309" w:type="pct"/>
                  <w:vAlign w:val="center"/>
                </w:tcPr>
                <w:p w14:paraId="21A6C1C4">
                  <w:pPr>
                    <w:jc w:val="center"/>
                    <w:rPr>
                      <w:color w:val="auto"/>
                      <w:sz w:val="21"/>
                      <w:szCs w:val="21"/>
                    </w:rPr>
                  </w:pPr>
                  <w:r>
                    <w:rPr>
                      <w:rFonts w:hint="eastAsia"/>
                      <w:color w:val="auto"/>
                      <w:sz w:val="21"/>
                      <w:szCs w:val="21"/>
                    </w:rPr>
                    <w:t>台</w:t>
                  </w:r>
                </w:p>
              </w:tc>
              <w:tc>
                <w:tcPr>
                  <w:tcW w:w="514" w:type="pct"/>
                  <w:vAlign w:val="center"/>
                </w:tcPr>
                <w:p w14:paraId="1EE67610">
                  <w:pPr>
                    <w:pStyle w:val="136"/>
                    <w:rPr>
                      <w:rFonts w:hint="eastAsia" w:eastAsia="宋体"/>
                      <w:color w:val="auto"/>
                      <w:sz w:val="21"/>
                      <w:szCs w:val="21"/>
                      <w:lang w:eastAsia="zh-CN"/>
                    </w:rPr>
                  </w:pPr>
                  <w:r>
                    <w:rPr>
                      <w:rFonts w:hint="eastAsia"/>
                      <w:color w:val="auto"/>
                      <w:sz w:val="21"/>
                      <w:szCs w:val="21"/>
                      <w:lang w:val="en-US" w:eastAsia="zh-CN"/>
                    </w:rPr>
                    <w:t>1</w:t>
                  </w:r>
                </w:p>
              </w:tc>
              <w:tc>
                <w:tcPr>
                  <w:tcW w:w="865" w:type="pct"/>
                  <w:vAlign w:val="center"/>
                </w:tcPr>
                <w:p w14:paraId="5E2A799F">
                  <w:pPr>
                    <w:pStyle w:val="136"/>
                    <w:rPr>
                      <w:rFonts w:hint="eastAsia" w:eastAsia="宋体"/>
                      <w:color w:val="auto"/>
                      <w:sz w:val="21"/>
                      <w:szCs w:val="21"/>
                      <w:lang w:eastAsia="zh-CN"/>
                    </w:rPr>
                  </w:pPr>
                  <w:r>
                    <w:rPr>
                      <w:rFonts w:hint="eastAsia"/>
                      <w:color w:val="auto"/>
                      <w:sz w:val="21"/>
                      <w:szCs w:val="21"/>
                      <w:lang w:val="en-US" w:eastAsia="zh-CN"/>
                    </w:rPr>
                    <w:t>/</w:t>
                  </w:r>
                </w:p>
              </w:tc>
              <w:tc>
                <w:tcPr>
                  <w:tcW w:w="465" w:type="pct"/>
                  <w:vAlign w:val="center"/>
                </w:tcPr>
                <w:p w14:paraId="36099E7B">
                  <w:pPr>
                    <w:pStyle w:val="136"/>
                    <w:rPr>
                      <w:rFonts w:hint="eastAsia" w:eastAsia="宋体"/>
                      <w:color w:val="auto"/>
                      <w:sz w:val="21"/>
                      <w:szCs w:val="21"/>
                      <w:lang w:eastAsia="zh-CN"/>
                    </w:rPr>
                  </w:pPr>
                  <w:r>
                    <w:rPr>
                      <w:rFonts w:hint="eastAsia"/>
                      <w:color w:val="auto"/>
                      <w:sz w:val="21"/>
                      <w:szCs w:val="21"/>
                      <w:lang w:val="en-US" w:eastAsia="zh-CN"/>
                    </w:rPr>
                    <w:t>1</w:t>
                  </w:r>
                </w:p>
              </w:tc>
              <w:tc>
                <w:tcPr>
                  <w:tcW w:w="969" w:type="pct"/>
                  <w:vAlign w:val="center"/>
                </w:tcPr>
                <w:p w14:paraId="33658303">
                  <w:pPr>
                    <w:pStyle w:val="136"/>
                    <w:rPr>
                      <w:rFonts w:hint="eastAsia" w:eastAsia="宋体"/>
                      <w:color w:val="auto"/>
                      <w:sz w:val="21"/>
                      <w:szCs w:val="21"/>
                      <w:lang w:eastAsia="zh-CN"/>
                    </w:rPr>
                  </w:pPr>
                  <w:r>
                    <w:rPr>
                      <w:rFonts w:hint="eastAsia"/>
                      <w:color w:val="auto"/>
                      <w:sz w:val="21"/>
                      <w:szCs w:val="21"/>
                      <w:lang w:val="en-US" w:eastAsia="zh-CN"/>
                    </w:rPr>
                    <w:t>/</w:t>
                  </w:r>
                </w:p>
              </w:tc>
              <w:tc>
                <w:tcPr>
                  <w:tcW w:w="718" w:type="pct"/>
                  <w:vAlign w:val="center"/>
                </w:tcPr>
                <w:p w14:paraId="763B04D5">
                  <w:pPr>
                    <w:pStyle w:val="136"/>
                    <w:rPr>
                      <w:rFonts w:hint="eastAsia" w:eastAsia="宋体"/>
                      <w:color w:val="auto"/>
                      <w:sz w:val="21"/>
                      <w:szCs w:val="21"/>
                      <w:lang w:eastAsia="zh-CN"/>
                    </w:rPr>
                  </w:pPr>
                  <w:r>
                    <w:rPr>
                      <w:rFonts w:hint="eastAsia"/>
                      <w:color w:val="auto"/>
                      <w:sz w:val="21"/>
                      <w:szCs w:val="21"/>
                      <w:lang w:val="en-US" w:eastAsia="zh-CN"/>
                    </w:rPr>
                    <w:t>2</w:t>
                  </w:r>
                </w:p>
              </w:tc>
            </w:tr>
            <w:tr w14:paraId="5E081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4E31E3BA">
                  <w:pPr>
                    <w:pStyle w:val="136"/>
                    <w:rPr>
                      <w:color w:val="auto"/>
                      <w:sz w:val="21"/>
                      <w:szCs w:val="21"/>
                    </w:rPr>
                  </w:pPr>
                  <w:r>
                    <w:rPr>
                      <w:rFonts w:hint="eastAsia"/>
                      <w:color w:val="auto"/>
                      <w:sz w:val="21"/>
                      <w:szCs w:val="21"/>
                    </w:rPr>
                    <w:t>7</w:t>
                  </w:r>
                </w:p>
              </w:tc>
              <w:tc>
                <w:tcPr>
                  <w:tcW w:w="901" w:type="pct"/>
                  <w:vAlign w:val="center"/>
                </w:tcPr>
                <w:p w14:paraId="3DA4ECDB">
                  <w:pPr>
                    <w:adjustRightInd w:val="0"/>
                    <w:snapToGrid w:val="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风机</w:t>
                  </w:r>
                </w:p>
              </w:tc>
              <w:tc>
                <w:tcPr>
                  <w:tcW w:w="309" w:type="pct"/>
                  <w:vAlign w:val="center"/>
                </w:tcPr>
                <w:p w14:paraId="62495EBA">
                  <w:pPr>
                    <w:jc w:val="center"/>
                    <w:rPr>
                      <w:rFonts w:hint="eastAsia" w:eastAsia="宋体"/>
                      <w:color w:val="auto"/>
                      <w:sz w:val="21"/>
                      <w:szCs w:val="21"/>
                      <w:lang w:eastAsia="zh-CN"/>
                    </w:rPr>
                  </w:pPr>
                  <w:r>
                    <w:rPr>
                      <w:rFonts w:hint="eastAsia"/>
                      <w:color w:val="auto"/>
                      <w:sz w:val="21"/>
                      <w:szCs w:val="21"/>
                      <w:lang w:eastAsia="zh-CN"/>
                    </w:rPr>
                    <w:t>台</w:t>
                  </w:r>
                </w:p>
              </w:tc>
              <w:tc>
                <w:tcPr>
                  <w:tcW w:w="514" w:type="pct"/>
                  <w:vAlign w:val="center"/>
                </w:tcPr>
                <w:p w14:paraId="2441667C">
                  <w:pPr>
                    <w:pStyle w:val="136"/>
                    <w:rPr>
                      <w:rFonts w:hint="eastAsia" w:eastAsia="宋体"/>
                      <w:color w:val="auto"/>
                      <w:sz w:val="21"/>
                      <w:szCs w:val="21"/>
                      <w:lang w:eastAsia="zh-CN"/>
                    </w:rPr>
                  </w:pPr>
                  <w:r>
                    <w:rPr>
                      <w:rFonts w:hint="eastAsia"/>
                      <w:color w:val="auto"/>
                      <w:sz w:val="21"/>
                      <w:szCs w:val="21"/>
                      <w:lang w:val="en-US" w:eastAsia="zh-CN"/>
                    </w:rPr>
                    <w:t>5</w:t>
                  </w:r>
                </w:p>
              </w:tc>
              <w:tc>
                <w:tcPr>
                  <w:tcW w:w="865" w:type="pct"/>
                  <w:vAlign w:val="center"/>
                </w:tcPr>
                <w:p w14:paraId="6BFAF45C">
                  <w:pPr>
                    <w:pStyle w:val="136"/>
                    <w:rPr>
                      <w:color w:val="auto"/>
                      <w:sz w:val="21"/>
                      <w:szCs w:val="21"/>
                    </w:rPr>
                  </w:pPr>
                  <w:r>
                    <w:rPr>
                      <w:rFonts w:hint="eastAsia"/>
                      <w:color w:val="auto"/>
                      <w:sz w:val="21"/>
                      <w:szCs w:val="21"/>
                    </w:rPr>
                    <w:t>/</w:t>
                  </w:r>
                </w:p>
              </w:tc>
              <w:tc>
                <w:tcPr>
                  <w:tcW w:w="465" w:type="pct"/>
                  <w:vAlign w:val="center"/>
                </w:tcPr>
                <w:p w14:paraId="672CA5BF">
                  <w:pPr>
                    <w:pStyle w:val="136"/>
                    <w:rPr>
                      <w:rFonts w:hint="eastAsia" w:eastAsia="宋体"/>
                      <w:color w:val="auto"/>
                      <w:sz w:val="21"/>
                      <w:szCs w:val="21"/>
                      <w:lang w:eastAsia="zh-CN"/>
                    </w:rPr>
                  </w:pPr>
                  <w:r>
                    <w:rPr>
                      <w:rFonts w:hint="eastAsia"/>
                      <w:color w:val="auto"/>
                      <w:sz w:val="21"/>
                      <w:szCs w:val="21"/>
                      <w:lang w:val="en-US" w:eastAsia="zh-CN"/>
                    </w:rPr>
                    <w:t>5</w:t>
                  </w:r>
                </w:p>
              </w:tc>
              <w:tc>
                <w:tcPr>
                  <w:tcW w:w="969" w:type="pct"/>
                  <w:vAlign w:val="center"/>
                </w:tcPr>
                <w:p w14:paraId="6A0C04FC">
                  <w:pPr>
                    <w:pStyle w:val="136"/>
                    <w:rPr>
                      <w:color w:val="auto"/>
                      <w:sz w:val="21"/>
                      <w:szCs w:val="21"/>
                    </w:rPr>
                  </w:pPr>
                  <w:r>
                    <w:rPr>
                      <w:rFonts w:hint="eastAsia"/>
                      <w:color w:val="auto"/>
                      <w:sz w:val="21"/>
                      <w:szCs w:val="21"/>
                    </w:rPr>
                    <w:t>/</w:t>
                  </w:r>
                </w:p>
              </w:tc>
              <w:tc>
                <w:tcPr>
                  <w:tcW w:w="718" w:type="pct"/>
                  <w:vAlign w:val="center"/>
                </w:tcPr>
                <w:p w14:paraId="336F34EB">
                  <w:pPr>
                    <w:pStyle w:val="136"/>
                    <w:rPr>
                      <w:rFonts w:hint="default" w:eastAsia="宋体"/>
                      <w:color w:val="auto"/>
                      <w:sz w:val="21"/>
                      <w:szCs w:val="21"/>
                      <w:lang w:val="en-US" w:eastAsia="zh-CN"/>
                    </w:rPr>
                  </w:pPr>
                  <w:r>
                    <w:rPr>
                      <w:rFonts w:hint="eastAsia"/>
                      <w:color w:val="auto"/>
                      <w:sz w:val="21"/>
                      <w:szCs w:val="21"/>
                      <w:lang w:val="en-US" w:eastAsia="zh-CN"/>
                    </w:rPr>
                    <w:t>10</w:t>
                  </w:r>
                </w:p>
              </w:tc>
            </w:tr>
            <w:tr w14:paraId="5403E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55" w:type="pct"/>
                  <w:vAlign w:val="center"/>
                </w:tcPr>
                <w:p w14:paraId="34B22FB0">
                  <w:pPr>
                    <w:pStyle w:val="136"/>
                    <w:rPr>
                      <w:color w:val="auto"/>
                      <w:sz w:val="21"/>
                      <w:szCs w:val="21"/>
                    </w:rPr>
                  </w:pPr>
                  <w:r>
                    <w:rPr>
                      <w:rFonts w:hint="eastAsia"/>
                      <w:color w:val="auto"/>
                      <w:sz w:val="21"/>
                      <w:szCs w:val="21"/>
                    </w:rPr>
                    <w:t>8</w:t>
                  </w:r>
                </w:p>
              </w:tc>
              <w:tc>
                <w:tcPr>
                  <w:tcW w:w="901" w:type="pct"/>
                  <w:vAlign w:val="center"/>
                </w:tcPr>
                <w:p w14:paraId="25634BC9">
                  <w:pPr>
                    <w:adjustRightInd w:val="0"/>
                    <w:snapToGrid w:val="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布袋除尘器</w:t>
                  </w:r>
                </w:p>
              </w:tc>
              <w:tc>
                <w:tcPr>
                  <w:tcW w:w="309" w:type="pct"/>
                  <w:vAlign w:val="center"/>
                </w:tcPr>
                <w:p w14:paraId="4E7B3C69">
                  <w:pPr>
                    <w:jc w:val="center"/>
                    <w:rPr>
                      <w:rFonts w:hint="eastAsia" w:eastAsia="宋体"/>
                      <w:color w:val="auto"/>
                      <w:sz w:val="21"/>
                      <w:szCs w:val="21"/>
                      <w:lang w:eastAsia="zh-CN"/>
                    </w:rPr>
                  </w:pPr>
                  <w:r>
                    <w:rPr>
                      <w:rFonts w:hint="eastAsia"/>
                      <w:color w:val="auto"/>
                      <w:sz w:val="21"/>
                      <w:szCs w:val="21"/>
                      <w:lang w:eastAsia="zh-CN"/>
                    </w:rPr>
                    <w:t>台</w:t>
                  </w:r>
                </w:p>
              </w:tc>
              <w:tc>
                <w:tcPr>
                  <w:tcW w:w="514" w:type="pct"/>
                  <w:vAlign w:val="center"/>
                </w:tcPr>
                <w:p w14:paraId="13950E99">
                  <w:pPr>
                    <w:pStyle w:val="136"/>
                    <w:rPr>
                      <w:rFonts w:hint="eastAsia" w:eastAsia="宋体"/>
                      <w:color w:val="auto"/>
                      <w:sz w:val="21"/>
                      <w:szCs w:val="21"/>
                      <w:lang w:eastAsia="zh-CN"/>
                    </w:rPr>
                  </w:pPr>
                  <w:r>
                    <w:rPr>
                      <w:rFonts w:hint="eastAsia"/>
                      <w:color w:val="auto"/>
                      <w:sz w:val="21"/>
                      <w:szCs w:val="21"/>
                      <w:lang w:val="en-US" w:eastAsia="zh-CN"/>
                    </w:rPr>
                    <w:t>2</w:t>
                  </w:r>
                </w:p>
              </w:tc>
              <w:tc>
                <w:tcPr>
                  <w:tcW w:w="865" w:type="pct"/>
                  <w:vAlign w:val="center"/>
                </w:tcPr>
                <w:p w14:paraId="6DEB6316">
                  <w:pPr>
                    <w:pStyle w:val="136"/>
                    <w:rPr>
                      <w:rFonts w:hint="eastAsia" w:eastAsia="宋体"/>
                      <w:color w:val="auto"/>
                      <w:sz w:val="21"/>
                      <w:szCs w:val="21"/>
                      <w:lang w:eastAsia="zh-CN"/>
                    </w:rPr>
                  </w:pPr>
                  <w:r>
                    <w:rPr>
                      <w:rFonts w:hint="eastAsia"/>
                      <w:color w:val="auto"/>
                      <w:sz w:val="21"/>
                      <w:szCs w:val="21"/>
                      <w:lang w:val="en-US" w:eastAsia="zh-CN"/>
                    </w:rPr>
                    <w:t>/</w:t>
                  </w:r>
                </w:p>
              </w:tc>
              <w:tc>
                <w:tcPr>
                  <w:tcW w:w="465" w:type="pct"/>
                  <w:vAlign w:val="center"/>
                </w:tcPr>
                <w:p w14:paraId="63B6495B">
                  <w:pPr>
                    <w:pStyle w:val="136"/>
                    <w:rPr>
                      <w:rFonts w:hint="eastAsia" w:eastAsia="宋体"/>
                      <w:color w:val="auto"/>
                      <w:sz w:val="21"/>
                      <w:szCs w:val="21"/>
                      <w:lang w:eastAsia="zh-CN"/>
                    </w:rPr>
                  </w:pPr>
                  <w:r>
                    <w:rPr>
                      <w:rFonts w:hint="eastAsia"/>
                      <w:color w:val="auto"/>
                      <w:sz w:val="21"/>
                      <w:szCs w:val="21"/>
                      <w:lang w:val="en-US" w:eastAsia="zh-CN"/>
                    </w:rPr>
                    <w:t>1</w:t>
                  </w:r>
                </w:p>
              </w:tc>
              <w:tc>
                <w:tcPr>
                  <w:tcW w:w="969" w:type="pct"/>
                  <w:vAlign w:val="center"/>
                </w:tcPr>
                <w:p w14:paraId="3BB9E893">
                  <w:pPr>
                    <w:pStyle w:val="136"/>
                    <w:rPr>
                      <w:rFonts w:hint="eastAsia" w:eastAsia="宋体"/>
                      <w:color w:val="auto"/>
                      <w:sz w:val="21"/>
                      <w:szCs w:val="21"/>
                      <w:lang w:eastAsia="zh-CN"/>
                    </w:rPr>
                  </w:pPr>
                  <w:r>
                    <w:rPr>
                      <w:rFonts w:hint="eastAsia"/>
                      <w:color w:val="auto"/>
                      <w:sz w:val="21"/>
                      <w:szCs w:val="21"/>
                      <w:lang w:val="en-US" w:eastAsia="zh-CN"/>
                    </w:rPr>
                    <w:t>/</w:t>
                  </w:r>
                </w:p>
              </w:tc>
              <w:tc>
                <w:tcPr>
                  <w:tcW w:w="718" w:type="pct"/>
                  <w:vAlign w:val="center"/>
                </w:tcPr>
                <w:p w14:paraId="3F02991A">
                  <w:pPr>
                    <w:pStyle w:val="136"/>
                    <w:rPr>
                      <w:rFonts w:hint="eastAsia" w:eastAsia="宋体"/>
                      <w:color w:val="auto"/>
                      <w:sz w:val="21"/>
                      <w:szCs w:val="21"/>
                      <w:lang w:eastAsia="zh-CN"/>
                    </w:rPr>
                  </w:pPr>
                  <w:r>
                    <w:rPr>
                      <w:rFonts w:hint="eastAsia"/>
                      <w:color w:val="auto"/>
                      <w:sz w:val="21"/>
                      <w:szCs w:val="21"/>
                      <w:lang w:val="en-US" w:eastAsia="zh-CN"/>
                    </w:rPr>
                    <w:t>3</w:t>
                  </w:r>
                </w:p>
              </w:tc>
            </w:tr>
          </w:tbl>
          <w:p w14:paraId="30C1708A">
            <w:pPr>
              <w:spacing w:line="360" w:lineRule="auto"/>
              <w:ind w:firstLine="482" w:firstLineChars="200"/>
              <w:rPr>
                <w:b/>
                <w:bCs/>
                <w:color w:val="auto"/>
                <w:sz w:val="24"/>
              </w:rPr>
            </w:pPr>
            <w:r>
              <w:rPr>
                <w:b/>
                <w:bCs/>
                <w:color w:val="auto"/>
                <w:sz w:val="24"/>
              </w:rPr>
              <w:t>五、劳动定员</w:t>
            </w:r>
          </w:p>
          <w:p w14:paraId="6A2661E9">
            <w:pPr>
              <w:spacing w:line="360" w:lineRule="auto"/>
              <w:ind w:firstLine="480" w:firstLineChars="200"/>
              <w:rPr>
                <w:rFonts w:hint="eastAsia" w:hAnsi="宋体"/>
                <w:color w:val="auto"/>
                <w:sz w:val="24"/>
                <w:highlight w:val="none"/>
              </w:rPr>
            </w:pPr>
            <w:r>
              <w:rPr>
                <w:rFonts w:hAnsi="宋体"/>
                <w:color w:val="auto"/>
                <w:sz w:val="24"/>
                <w:highlight w:val="none"/>
              </w:rPr>
              <w:t>本项目投产后，</w:t>
            </w:r>
            <w:r>
              <w:rPr>
                <w:rFonts w:hint="eastAsia" w:hAnsi="宋体"/>
                <w:color w:val="auto"/>
                <w:sz w:val="24"/>
                <w:highlight w:val="none"/>
                <w:lang w:eastAsia="zh-CN"/>
              </w:rPr>
              <w:t>烘干塔</w:t>
            </w:r>
            <w:r>
              <w:rPr>
                <w:rFonts w:hAnsi="宋体"/>
                <w:color w:val="auto"/>
                <w:sz w:val="24"/>
                <w:highlight w:val="none"/>
              </w:rPr>
              <w:t>年运行天数为</w:t>
            </w:r>
            <w:r>
              <w:rPr>
                <w:rFonts w:hint="eastAsia" w:hAnsi="宋体"/>
                <w:color w:val="auto"/>
                <w:sz w:val="24"/>
                <w:highlight w:val="none"/>
                <w:lang w:val="en-US" w:eastAsia="zh-CN"/>
              </w:rPr>
              <w:t>50</w:t>
            </w:r>
            <w:r>
              <w:rPr>
                <w:rFonts w:hAnsi="宋体"/>
                <w:color w:val="auto"/>
                <w:sz w:val="24"/>
                <w:highlight w:val="none"/>
              </w:rPr>
              <w:t>天</w:t>
            </w:r>
            <w:r>
              <w:rPr>
                <w:rFonts w:hint="eastAsia" w:hAnsi="宋体"/>
                <w:color w:val="auto"/>
                <w:sz w:val="24"/>
                <w:highlight w:val="none"/>
              </w:rPr>
              <w:t>（</w:t>
            </w:r>
            <w:r>
              <w:rPr>
                <w:rFonts w:hint="eastAsia" w:hAnsi="宋体"/>
                <w:color w:val="auto"/>
                <w:sz w:val="24"/>
                <w:highlight w:val="none"/>
                <w:lang w:val="en-US" w:eastAsia="zh-CN"/>
              </w:rPr>
              <w:t>10</w:t>
            </w:r>
            <w:r>
              <w:rPr>
                <w:rFonts w:hint="eastAsia" w:hAnsi="宋体"/>
                <w:color w:val="auto"/>
                <w:sz w:val="24"/>
                <w:highlight w:val="none"/>
              </w:rPr>
              <w:t>月</w:t>
            </w:r>
            <w:r>
              <w:rPr>
                <w:rFonts w:hint="eastAsia" w:hAnsi="宋体"/>
                <w:color w:val="auto"/>
                <w:sz w:val="24"/>
                <w:highlight w:val="none"/>
                <w:lang w:val="en-US" w:eastAsia="zh-CN"/>
              </w:rPr>
              <w:t>-11月</w:t>
            </w:r>
            <w:r>
              <w:rPr>
                <w:rFonts w:hint="eastAsia" w:hAnsi="宋体"/>
                <w:color w:val="auto"/>
                <w:sz w:val="24"/>
                <w:highlight w:val="none"/>
              </w:rPr>
              <w:t>）</w:t>
            </w:r>
            <w:r>
              <w:rPr>
                <w:rFonts w:hAnsi="宋体"/>
                <w:color w:val="auto"/>
                <w:sz w:val="24"/>
                <w:highlight w:val="none"/>
              </w:rPr>
              <w:t>，每天</w:t>
            </w:r>
            <w:r>
              <w:rPr>
                <w:rFonts w:hint="eastAsia" w:hAnsi="宋体"/>
                <w:color w:val="auto"/>
                <w:sz w:val="24"/>
                <w:highlight w:val="none"/>
              </w:rPr>
              <w:t>生产24时，</w:t>
            </w:r>
            <w:r>
              <w:rPr>
                <w:rFonts w:hAnsi="宋体"/>
                <w:color w:val="auto"/>
                <w:sz w:val="24"/>
                <w:highlight w:val="none"/>
              </w:rPr>
              <w:t>年运行小时数为</w:t>
            </w:r>
            <w:r>
              <w:rPr>
                <w:rFonts w:hint="eastAsia"/>
                <w:color w:val="auto"/>
                <w:sz w:val="24"/>
                <w:highlight w:val="none"/>
                <w:lang w:val="en-US" w:eastAsia="zh-CN"/>
              </w:rPr>
              <w:t>1200</w:t>
            </w:r>
            <w:r>
              <w:rPr>
                <w:rFonts w:hAnsi="宋体"/>
                <w:color w:val="auto"/>
                <w:sz w:val="24"/>
                <w:highlight w:val="none"/>
              </w:rPr>
              <w:t>小时</w:t>
            </w:r>
            <w:r>
              <w:rPr>
                <w:rFonts w:hint="eastAsia" w:hAnsi="宋体"/>
                <w:color w:val="auto"/>
                <w:sz w:val="24"/>
                <w:highlight w:val="none"/>
              </w:rPr>
              <w:t>。</w:t>
            </w:r>
          </w:p>
          <w:p w14:paraId="7AADDF1B">
            <w:pPr>
              <w:spacing w:line="360" w:lineRule="auto"/>
              <w:ind w:firstLine="480" w:firstLineChars="200"/>
              <w:rPr>
                <w:rFonts w:hint="eastAsia" w:cs="Times New Roman"/>
                <w:color w:val="auto"/>
                <w:sz w:val="24"/>
                <w:szCs w:val="24"/>
                <w:highlight w:val="none"/>
                <w:lang w:val="en-US" w:eastAsia="zh-CN"/>
              </w:rPr>
            </w:pPr>
            <w:r>
              <w:rPr>
                <w:rFonts w:hint="eastAsia" w:hAnsi="宋体"/>
                <w:color w:val="auto"/>
                <w:sz w:val="24"/>
                <w:highlight w:val="none"/>
                <w:lang w:eastAsia="zh-CN"/>
              </w:rPr>
              <w:t>企业现有员工</w:t>
            </w:r>
            <w:r>
              <w:rPr>
                <w:rFonts w:hint="eastAsia" w:hAnsi="宋体"/>
                <w:color w:val="auto"/>
                <w:sz w:val="24"/>
                <w:highlight w:val="none"/>
                <w:lang w:val="en-US" w:eastAsia="zh-CN"/>
              </w:rPr>
              <w:t>6个，</w:t>
            </w:r>
            <w:r>
              <w:rPr>
                <w:rFonts w:hint="eastAsia" w:cs="Times New Roman"/>
                <w:color w:val="auto"/>
                <w:sz w:val="24"/>
                <w:szCs w:val="24"/>
                <w:highlight w:val="none"/>
                <w:lang w:val="en-US" w:eastAsia="zh-CN"/>
              </w:rPr>
              <w:t>年工作 365 天（仓储运行365天，1#烘干塔运行40天）。</w:t>
            </w:r>
          </w:p>
          <w:p w14:paraId="1A6FC4BE">
            <w:pPr>
              <w:spacing w:line="360" w:lineRule="auto"/>
              <w:ind w:firstLine="480" w:firstLineChars="200"/>
              <w:rPr>
                <w:color w:val="auto"/>
                <w:kern w:val="0"/>
                <w:sz w:val="24"/>
              </w:rPr>
            </w:pPr>
            <w:r>
              <w:rPr>
                <w:rFonts w:hAnsi="宋体"/>
                <w:color w:val="auto"/>
                <w:sz w:val="24"/>
              </w:rPr>
              <w:t>本项目</w:t>
            </w:r>
            <w:r>
              <w:rPr>
                <w:rFonts w:hint="eastAsia" w:hAnsi="宋体"/>
                <w:color w:val="auto"/>
                <w:sz w:val="24"/>
                <w:lang w:eastAsia="zh-CN"/>
              </w:rPr>
              <w:t>烘干塔运行期间新增</w:t>
            </w:r>
            <w:r>
              <w:rPr>
                <w:rFonts w:hAnsi="宋体"/>
                <w:color w:val="auto"/>
                <w:sz w:val="24"/>
              </w:rPr>
              <w:t>劳动定员</w:t>
            </w:r>
            <w:r>
              <w:rPr>
                <w:rFonts w:hint="eastAsia" w:hAnsi="宋体"/>
                <w:color w:val="auto"/>
                <w:sz w:val="24"/>
                <w:lang w:val="en-US" w:eastAsia="zh-CN"/>
              </w:rPr>
              <w:t>2</w:t>
            </w:r>
            <w:r>
              <w:rPr>
                <w:rFonts w:hAnsi="宋体"/>
                <w:color w:val="auto"/>
                <w:sz w:val="24"/>
              </w:rPr>
              <w:t>人</w:t>
            </w:r>
            <w:r>
              <w:rPr>
                <w:rFonts w:hint="eastAsia" w:hAnsi="宋体"/>
                <w:color w:val="auto"/>
                <w:sz w:val="24"/>
                <w:lang w:eastAsia="zh-CN"/>
              </w:rPr>
              <w:t>，</w:t>
            </w:r>
            <w:r>
              <w:rPr>
                <w:rFonts w:hint="eastAsia" w:cs="Times New Roman"/>
                <w:color w:val="auto"/>
                <w:sz w:val="24"/>
                <w:szCs w:val="24"/>
                <w:highlight w:val="none"/>
                <w:lang w:val="en-US" w:eastAsia="zh-CN"/>
              </w:rPr>
              <w:t>扩建后全厂</w:t>
            </w:r>
            <w:r>
              <w:rPr>
                <w:rFonts w:hint="eastAsia" w:ascii="Times New Roman" w:hAnsi="Times New Roman" w:eastAsia="宋体" w:cs="Times New Roman"/>
                <w:color w:val="auto"/>
                <w:sz w:val="24"/>
                <w:szCs w:val="24"/>
                <w:highlight w:val="none"/>
                <w:lang w:val="en-US" w:eastAsia="zh-CN"/>
              </w:rPr>
              <w:t>员工</w:t>
            </w:r>
            <w:r>
              <w:rPr>
                <w:rFonts w:hint="eastAsia" w:cs="Times New Roman"/>
                <w:color w:val="auto"/>
                <w:sz w:val="24"/>
                <w:szCs w:val="24"/>
                <w:highlight w:val="none"/>
                <w:lang w:val="en-US" w:eastAsia="zh-CN"/>
              </w:rPr>
              <w:t>共8</w:t>
            </w:r>
            <w:r>
              <w:rPr>
                <w:rFonts w:hint="eastAsia" w:ascii="Times New Roman" w:hAnsi="Times New Roman" w:eastAsia="宋体" w:cs="Times New Roman"/>
                <w:color w:val="auto"/>
                <w:sz w:val="24"/>
                <w:szCs w:val="24"/>
                <w:highlight w:val="none"/>
                <w:lang w:val="en-US" w:eastAsia="zh-CN"/>
              </w:rPr>
              <w:t>人</w:t>
            </w:r>
            <w:r>
              <w:rPr>
                <w:rFonts w:hint="eastAsia" w:cs="Times New Roman"/>
                <w:color w:val="auto"/>
                <w:sz w:val="24"/>
                <w:szCs w:val="24"/>
                <w:highlight w:val="none"/>
                <w:lang w:val="en-US" w:eastAsia="zh-CN"/>
              </w:rPr>
              <w:t>。</w:t>
            </w:r>
            <w:r>
              <w:rPr>
                <w:color w:val="auto"/>
                <w:kern w:val="0"/>
                <w:sz w:val="24"/>
              </w:rPr>
              <w:t>厂区内无食堂、无宿舍。</w:t>
            </w:r>
          </w:p>
          <w:p w14:paraId="34B39212">
            <w:pPr>
              <w:spacing w:line="360" w:lineRule="auto"/>
              <w:ind w:firstLine="482" w:firstLineChars="200"/>
              <w:rPr>
                <w:b/>
                <w:bCs/>
                <w:color w:val="auto"/>
                <w:sz w:val="24"/>
                <w:highlight w:val="none"/>
              </w:rPr>
            </w:pPr>
            <w:r>
              <w:rPr>
                <w:b/>
                <w:bCs/>
                <w:color w:val="auto"/>
                <w:sz w:val="24"/>
                <w:highlight w:val="none"/>
              </w:rPr>
              <w:t>六、公共工程</w:t>
            </w:r>
          </w:p>
          <w:p w14:paraId="7A61FFD7">
            <w:pPr>
              <w:widowControl/>
              <w:spacing w:line="360" w:lineRule="auto"/>
              <w:ind w:firstLine="480" w:firstLineChars="200"/>
              <w:rPr>
                <w:color w:val="auto"/>
                <w:kern w:val="0"/>
                <w:sz w:val="24"/>
                <w:highlight w:val="none"/>
              </w:rPr>
            </w:pPr>
            <w:r>
              <w:rPr>
                <w:color w:val="auto"/>
                <w:kern w:val="0"/>
                <w:sz w:val="24"/>
                <w:highlight w:val="none"/>
              </w:rPr>
              <w:t>（一）给排水</w:t>
            </w:r>
          </w:p>
          <w:p w14:paraId="5937B9C5">
            <w:pPr>
              <w:spacing w:line="360" w:lineRule="auto"/>
              <w:ind w:firstLine="480" w:firstLineChars="200"/>
              <w:rPr>
                <w:color w:val="auto"/>
                <w:sz w:val="24"/>
                <w:highlight w:val="none"/>
              </w:rPr>
            </w:pPr>
            <w:r>
              <w:rPr>
                <w:color w:val="auto"/>
                <w:sz w:val="24"/>
                <w:highlight w:val="none"/>
              </w:rPr>
              <w:t>（1）给水</w:t>
            </w:r>
          </w:p>
          <w:p w14:paraId="77175CF8">
            <w:pPr>
              <w:spacing w:line="360" w:lineRule="auto"/>
              <w:ind w:firstLine="480" w:firstLineChars="200"/>
              <w:rPr>
                <w:rFonts w:hint="default" w:eastAsia="宋体"/>
                <w:color w:val="auto"/>
                <w:sz w:val="24"/>
                <w:highlight w:val="none"/>
                <w:lang w:val="en-US" w:eastAsia="zh-CN"/>
              </w:rPr>
            </w:pPr>
            <w:r>
              <w:rPr>
                <w:color w:val="auto"/>
                <w:sz w:val="24"/>
                <w:highlight w:val="none"/>
              </w:rPr>
              <w:t>①水源：本项目供水</w:t>
            </w:r>
            <w:r>
              <w:rPr>
                <w:rFonts w:hint="eastAsia"/>
                <w:color w:val="auto"/>
                <w:sz w:val="24"/>
                <w:highlight w:val="none"/>
                <w:lang w:eastAsia="zh-CN"/>
              </w:rPr>
              <w:t>由市政供水管网供给</w:t>
            </w:r>
            <w:r>
              <w:rPr>
                <w:color w:val="auto"/>
                <w:sz w:val="24"/>
                <w:highlight w:val="none"/>
              </w:rPr>
              <w:t>。本项目总用水量为</w:t>
            </w:r>
            <w:r>
              <w:rPr>
                <w:rFonts w:hint="eastAsia"/>
                <w:color w:val="auto"/>
                <w:sz w:val="24"/>
                <w:highlight w:val="none"/>
                <w:lang w:val="en-US" w:eastAsia="zh-CN"/>
              </w:rPr>
              <w:t>8</w:t>
            </w:r>
            <w:r>
              <w:rPr>
                <w:color w:val="auto"/>
                <w:sz w:val="24"/>
                <w:highlight w:val="none"/>
              </w:rPr>
              <w:t>t/a（</w:t>
            </w:r>
            <w:r>
              <w:rPr>
                <w:rFonts w:hint="eastAsia"/>
                <w:color w:val="auto"/>
                <w:sz w:val="24"/>
                <w:highlight w:val="none"/>
                <w:lang w:val="en-US" w:eastAsia="zh-CN"/>
              </w:rPr>
              <w:t>0.16</w:t>
            </w:r>
            <w:r>
              <w:rPr>
                <w:color w:val="auto"/>
                <w:sz w:val="24"/>
                <w:highlight w:val="none"/>
              </w:rPr>
              <w:t>t/d）</w:t>
            </w:r>
            <w:r>
              <w:rPr>
                <w:rFonts w:hint="eastAsia"/>
                <w:color w:val="auto"/>
                <w:sz w:val="24"/>
                <w:highlight w:val="none"/>
                <w:lang w:eastAsia="zh-CN"/>
              </w:rPr>
              <w:t>，扩建后全厂总用水量为</w:t>
            </w:r>
            <w:r>
              <w:rPr>
                <w:rFonts w:hint="eastAsia"/>
                <w:color w:val="auto"/>
                <w:sz w:val="24"/>
                <w:highlight w:val="none"/>
                <w:lang w:val="en-US" w:eastAsia="zh-CN"/>
              </w:rPr>
              <w:t>252t/a。</w:t>
            </w:r>
          </w:p>
          <w:p w14:paraId="3514C443">
            <w:pPr>
              <w:spacing w:line="360" w:lineRule="auto"/>
              <w:ind w:firstLine="480" w:firstLineChars="200"/>
              <w:rPr>
                <w:color w:val="auto"/>
                <w:sz w:val="24"/>
                <w:highlight w:val="none"/>
              </w:rPr>
            </w:pPr>
            <w:r>
              <w:rPr>
                <w:color w:val="auto"/>
                <w:sz w:val="24"/>
                <w:highlight w:val="none"/>
              </w:rPr>
              <w:t>②生活用水：生活用水参照黑龙江省地方标准《用水定额》（DB23/T727-2021），项目职工用水量按</w:t>
            </w:r>
            <w:r>
              <w:rPr>
                <w:rFonts w:hint="eastAsia"/>
                <w:color w:val="auto"/>
                <w:sz w:val="24"/>
                <w:highlight w:val="none"/>
              </w:rPr>
              <w:t>80</w:t>
            </w:r>
            <w:r>
              <w:rPr>
                <w:color w:val="auto"/>
                <w:sz w:val="24"/>
                <w:highlight w:val="none"/>
              </w:rPr>
              <w:t>L/人·d计，项目投入运营后</w:t>
            </w:r>
            <w:r>
              <w:rPr>
                <w:rFonts w:hint="eastAsia"/>
                <w:color w:val="auto"/>
                <w:sz w:val="24"/>
                <w:highlight w:val="none"/>
                <w:lang w:eastAsia="zh-CN"/>
              </w:rPr>
              <w:t>新增劳动定员</w:t>
            </w:r>
            <w:r>
              <w:rPr>
                <w:rFonts w:hint="eastAsia"/>
                <w:color w:val="auto"/>
                <w:sz w:val="24"/>
                <w:highlight w:val="none"/>
                <w:lang w:val="en-US" w:eastAsia="zh-CN"/>
              </w:rPr>
              <w:t>2</w:t>
            </w:r>
            <w:r>
              <w:rPr>
                <w:color w:val="auto"/>
                <w:sz w:val="24"/>
                <w:highlight w:val="none"/>
              </w:rPr>
              <w:t>人，则总的生活用水量约为</w:t>
            </w:r>
            <w:r>
              <w:rPr>
                <w:rFonts w:hint="eastAsia"/>
                <w:color w:val="auto"/>
                <w:sz w:val="24"/>
                <w:highlight w:val="none"/>
                <w:lang w:val="en-US" w:eastAsia="zh-CN"/>
              </w:rPr>
              <w:t>0.16</w:t>
            </w:r>
            <w:r>
              <w:rPr>
                <w:color w:val="auto"/>
                <w:sz w:val="24"/>
                <w:highlight w:val="none"/>
              </w:rPr>
              <w:t>t/d（</w:t>
            </w:r>
            <w:r>
              <w:rPr>
                <w:rFonts w:hint="eastAsia"/>
                <w:color w:val="auto"/>
                <w:sz w:val="24"/>
                <w:highlight w:val="none"/>
                <w:lang w:val="en-US" w:eastAsia="zh-CN"/>
              </w:rPr>
              <w:t>8</w:t>
            </w:r>
            <w:r>
              <w:rPr>
                <w:color w:val="auto"/>
                <w:sz w:val="24"/>
                <w:highlight w:val="none"/>
              </w:rPr>
              <w:t>t/a）。</w:t>
            </w:r>
          </w:p>
          <w:p w14:paraId="7514C917">
            <w:pPr>
              <w:spacing w:line="360" w:lineRule="auto"/>
              <w:ind w:firstLine="480" w:firstLineChars="200"/>
              <w:rPr>
                <w:color w:val="auto"/>
                <w:sz w:val="24"/>
                <w:highlight w:val="none"/>
              </w:rPr>
            </w:pPr>
            <w:r>
              <w:rPr>
                <w:rFonts w:hAnsi="宋体"/>
                <w:color w:val="auto"/>
                <w:sz w:val="24"/>
                <w:highlight w:val="none"/>
              </w:rPr>
              <w:t>（</w:t>
            </w:r>
            <w:r>
              <w:rPr>
                <w:color w:val="auto"/>
                <w:sz w:val="24"/>
                <w:highlight w:val="none"/>
              </w:rPr>
              <w:t>2</w:t>
            </w:r>
            <w:r>
              <w:rPr>
                <w:rFonts w:hAnsi="宋体"/>
                <w:color w:val="auto"/>
                <w:sz w:val="24"/>
                <w:highlight w:val="none"/>
              </w:rPr>
              <w:t>）排水</w:t>
            </w:r>
          </w:p>
          <w:p w14:paraId="7029F6AB">
            <w:pPr>
              <w:spacing w:line="360" w:lineRule="auto"/>
              <w:ind w:firstLine="480" w:firstLineChars="200"/>
              <w:rPr>
                <w:color w:val="auto"/>
                <w:highlight w:val="none"/>
              </w:rPr>
            </w:pPr>
            <w:r>
              <w:rPr>
                <w:rFonts w:hAnsi="宋体"/>
                <w:color w:val="auto"/>
                <w:sz w:val="24"/>
                <w:highlight w:val="none"/>
              </w:rPr>
              <w:t>生活用水排放量按用水量的</w:t>
            </w:r>
            <w:r>
              <w:rPr>
                <w:color w:val="auto"/>
                <w:sz w:val="24"/>
                <w:highlight w:val="none"/>
              </w:rPr>
              <w:t>80%</w:t>
            </w:r>
            <w:r>
              <w:rPr>
                <w:rFonts w:hAnsi="宋体"/>
                <w:color w:val="auto"/>
                <w:sz w:val="24"/>
                <w:highlight w:val="none"/>
              </w:rPr>
              <w:t>计，为</w:t>
            </w:r>
            <w:r>
              <w:rPr>
                <w:rFonts w:hint="eastAsia" w:hAnsi="宋体"/>
                <w:color w:val="auto"/>
                <w:sz w:val="24"/>
                <w:highlight w:val="none"/>
                <w:lang w:val="en-US" w:eastAsia="zh-CN"/>
              </w:rPr>
              <w:t>0.128</w:t>
            </w:r>
            <w:r>
              <w:rPr>
                <w:color w:val="auto"/>
                <w:sz w:val="24"/>
                <w:highlight w:val="none"/>
              </w:rPr>
              <w:t>t/d</w:t>
            </w:r>
            <w:r>
              <w:rPr>
                <w:rFonts w:hAnsi="宋体"/>
                <w:color w:val="auto"/>
                <w:sz w:val="24"/>
                <w:highlight w:val="none"/>
              </w:rPr>
              <w:t>，</w:t>
            </w:r>
            <w:r>
              <w:rPr>
                <w:rFonts w:hint="eastAsia" w:hAnsi="宋体"/>
                <w:color w:val="auto"/>
                <w:sz w:val="24"/>
                <w:highlight w:val="none"/>
                <w:lang w:val="en-US" w:eastAsia="zh-CN"/>
              </w:rPr>
              <w:t>6.4</w:t>
            </w:r>
            <w:r>
              <w:rPr>
                <w:color w:val="auto"/>
                <w:sz w:val="24"/>
                <w:highlight w:val="none"/>
              </w:rPr>
              <w:t>t/a</w:t>
            </w:r>
            <w:r>
              <w:rPr>
                <w:rFonts w:hint="eastAsia"/>
                <w:color w:val="auto"/>
                <w:sz w:val="24"/>
                <w:highlight w:val="none"/>
              </w:rPr>
              <w:t>，</w:t>
            </w:r>
            <w:r>
              <w:rPr>
                <w:rFonts w:hAnsi="宋体"/>
                <w:color w:val="auto"/>
                <w:sz w:val="24"/>
                <w:highlight w:val="none"/>
              </w:rPr>
              <w:t>生活污水排入防渗旱厕，定期清掏</w:t>
            </w:r>
            <w:r>
              <w:rPr>
                <w:rFonts w:hint="eastAsia" w:hAnsi="宋体"/>
                <w:color w:val="auto"/>
                <w:sz w:val="24"/>
                <w:highlight w:val="none"/>
              </w:rPr>
              <w:t>外运堆肥处理</w:t>
            </w:r>
            <w:r>
              <w:rPr>
                <w:rFonts w:hAnsi="宋体"/>
                <w:color w:val="auto"/>
                <w:sz w:val="24"/>
                <w:highlight w:val="none"/>
              </w:rPr>
              <w:t>。</w:t>
            </w:r>
          </w:p>
          <w:p w14:paraId="732E0749">
            <w:pPr>
              <w:spacing w:line="360" w:lineRule="auto"/>
              <w:ind w:firstLine="480" w:firstLineChars="200"/>
              <w:rPr>
                <w:rFonts w:hAnsi="宋体"/>
                <w:color w:val="auto"/>
                <w:sz w:val="24"/>
                <w:highlight w:val="none"/>
              </w:rPr>
            </w:pPr>
            <w:r>
              <w:rPr>
                <w:rFonts w:hAnsi="宋体"/>
                <w:color w:val="auto"/>
                <w:sz w:val="24"/>
                <w:highlight w:val="none"/>
              </w:rPr>
              <w:object>
                <v:shape id="_x0000_i1025" o:spt="75" type="#_x0000_t75" style="height:54.75pt;width:335.25pt;" o:ole="t" filled="f" o:preferrelative="t" stroked="f" coordsize="21600,21600">
                  <v:path/>
                  <v:fill on="f" focussize="0,0"/>
                  <v:stroke on="f"/>
                  <v:imagedata r:id="rId23" o:title=""/>
                  <o:lock v:ext="edit" aspectratio="f"/>
                  <w10:wrap type="none"/>
                  <w10:anchorlock/>
                </v:shape>
                <o:OLEObject Type="Embed" ProgID="Visio.Drawing.11" ShapeID="_x0000_i1025" DrawAspect="Content" ObjectID="_1468075725" r:id="rId22">
                  <o:LockedField>false</o:LockedField>
                </o:OLEObject>
              </w:object>
            </w:r>
          </w:p>
          <w:p w14:paraId="7CE43FC1">
            <w:pPr>
              <w:keepNext w:val="0"/>
              <w:keepLines w:val="0"/>
              <w:pageBreakBefore w:val="0"/>
              <w:widowControl w:val="0"/>
              <w:kinsoku/>
              <w:wordWrap/>
              <w:overflowPunct/>
              <w:topLinePunct w:val="0"/>
              <w:autoSpaceDE/>
              <w:autoSpaceDN/>
              <w:bidi w:val="0"/>
              <w:adjustRightInd/>
              <w:snapToGrid/>
              <w:spacing w:beforeAutospacing="0" w:afterAutospacing="0"/>
              <w:jc w:val="center"/>
              <w:textAlignment w:val="auto"/>
              <w:outlineLvl w:val="9"/>
              <w:rPr>
                <w:rFonts w:hAnsi="宋体"/>
                <w:color w:val="auto"/>
                <w:sz w:val="24"/>
              </w:rPr>
            </w:pPr>
            <w:r>
              <w:rPr>
                <w:rFonts w:hint="eastAsia" w:ascii="Times New Roman" w:hAnsi="宋体" w:eastAsia="宋体" w:cs="Times New Roman"/>
                <w:b/>
                <w:bCs/>
                <w:color w:val="auto"/>
                <w:kern w:val="2"/>
                <w:sz w:val="24"/>
                <w:szCs w:val="28"/>
                <w:highlight w:val="none"/>
                <w:lang w:val="en-US" w:eastAsia="zh-CN" w:bidi="ar-SA"/>
              </w:rPr>
              <w:t>图</w:t>
            </w:r>
            <w:r>
              <w:rPr>
                <w:rFonts w:hint="eastAsia" w:hAnsi="宋体" w:cs="Times New Roman"/>
                <w:b/>
                <w:bCs/>
                <w:color w:val="auto"/>
                <w:kern w:val="2"/>
                <w:sz w:val="24"/>
                <w:szCs w:val="28"/>
                <w:highlight w:val="none"/>
                <w:lang w:val="en-US" w:eastAsia="zh-CN" w:bidi="ar-SA"/>
              </w:rPr>
              <w:t>2</w:t>
            </w:r>
            <w:r>
              <w:rPr>
                <w:rFonts w:hint="eastAsia" w:ascii="Times New Roman" w:hAnsi="宋体" w:eastAsia="宋体" w:cs="Times New Roman"/>
                <w:b/>
                <w:bCs/>
                <w:color w:val="auto"/>
                <w:kern w:val="2"/>
                <w:sz w:val="24"/>
                <w:szCs w:val="28"/>
                <w:highlight w:val="none"/>
                <w:lang w:val="en-US" w:eastAsia="zh-CN" w:bidi="ar-SA"/>
              </w:rPr>
              <w:t>-1 项目水平衡图</w:t>
            </w:r>
            <w:r>
              <w:rPr>
                <w:rFonts w:hint="eastAsia" w:ascii="Times New Roman" w:hAnsi="宋体" w:cs="Times New Roman"/>
                <w:b/>
                <w:bCs/>
                <w:color w:val="auto"/>
                <w:kern w:val="2"/>
                <w:sz w:val="24"/>
                <w:szCs w:val="28"/>
                <w:highlight w:val="none"/>
                <w:lang w:val="en-US" w:eastAsia="zh-CN" w:bidi="ar-SA"/>
              </w:rPr>
              <w:t>（t/d）</w:t>
            </w:r>
          </w:p>
          <w:p w14:paraId="1FD8094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Ansi="宋体"/>
                <w:color w:val="auto"/>
                <w:sz w:val="24"/>
              </w:rPr>
            </w:pPr>
            <w:r>
              <w:rPr>
                <w:rFonts w:hAnsi="宋体"/>
                <w:color w:val="auto"/>
                <w:sz w:val="24"/>
              </w:rPr>
              <w:object>
                <v:shape id="_x0000_i1026" o:spt="75" type="#_x0000_t75" style="height:129.5pt;width:393.95pt;" o:ole="t" filled="f" o:preferrelative="t" stroked="f" coordsize="21600,21600">
                  <v:path/>
                  <v:fill on="f" focussize="0,0"/>
                  <v:stroke on="f"/>
                  <v:imagedata r:id="rId25" o:title=""/>
                  <o:lock v:ext="edit" aspectratio="f"/>
                  <w10:wrap type="none"/>
                  <w10:anchorlock/>
                </v:shape>
                <o:OLEObject Type="Embed" ProgID="Visio.Drawing.11" ShapeID="_x0000_i1026" DrawAspect="Content" ObjectID="_1468075726" r:id="rId24">
                  <o:LockedField>false</o:LockedField>
                </o:OLEObject>
              </w:object>
            </w:r>
          </w:p>
          <w:p w14:paraId="23BF36A3">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hAnsi="宋体" w:eastAsia="宋体"/>
                <w:b/>
                <w:bCs/>
                <w:color w:val="auto"/>
                <w:sz w:val="21"/>
                <w:szCs w:val="21"/>
                <w:lang w:val="en-US" w:eastAsia="zh-CN"/>
              </w:rPr>
            </w:pPr>
            <w:r>
              <w:rPr>
                <w:rFonts w:hint="eastAsia" w:hAnsi="宋体"/>
                <w:b/>
                <w:bCs/>
                <w:color w:val="auto"/>
                <w:sz w:val="21"/>
                <w:szCs w:val="21"/>
                <w:lang w:val="en-US" w:eastAsia="zh-CN"/>
              </w:rPr>
              <w:t>注：厂区现有工人6人，年工作365天。</w:t>
            </w:r>
          </w:p>
          <w:p w14:paraId="18E27324">
            <w:pPr>
              <w:keepNext w:val="0"/>
              <w:keepLines w:val="0"/>
              <w:pageBreakBefore w:val="0"/>
              <w:widowControl w:val="0"/>
              <w:kinsoku/>
              <w:wordWrap/>
              <w:overflowPunct/>
              <w:topLinePunct w:val="0"/>
              <w:autoSpaceDE/>
              <w:autoSpaceDN/>
              <w:bidi w:val="0"/>
              <w:adjustRightInd/>
              <w:snapToGrid/>
              <w:spacing w:beforeAutospacing="0" w:afterAutospacing="0"/>
              <w:jc w:val="center"/>
              <w:textAlignment w:val="auto"/>
              <w:outlineLvl w:val="9"/>
              <w:rPr>
                <w:rFonts w:hAnsi="宋体"/>
                <w:color w:val="auto"/>
                <w:sz w:val="24"/>
              </w:rPr>
            </w:pPr>
            <w:r>
              <w:rPr>
                <w:rFonts w:hint="eastAsia" w:ascii="Times New Roman" w:hAnsi="宋体" w:eastAsia="宋体" w:cs="Times New Roman"/>
                <w:b/>
                <w:bCs/>
                <w:color w:val="auto"/>
                <w:kern w:val="2"/>
                <w:sz w:val="24"/>
                <w:szCs w:val="28"/>
                <w:highlight w:val="none"/>
                <w:lang w:val="en-US" w:eastAsia="zh-CN" w:bidi="ar-SA"/>
              </w:rPr>
              <w:t>图2-2 扩建后全厂水平衡图</w:t>
            </w:r>
            <w:r>
              <w:rPr>
                <w:rFonts w:hint="eastAsia" w:ascii="Times New Roman" w:hAnsi="宋体" w:cs="Times New Roman"/>
                <w:b/>
                <w:bCs/>
                <w:color w:val="auto"/>
                <w:kern w:val="2"/>
                <w:sz w:val="24"/>
                <w:szCs w:val="28"/>
                <w:highlight w:val="none"/>
                <w:lang w:val="en-US" w:eastAsia="zh-CN" w:bidi="ar-SA"/>
              </w:rPr>
              <w:t>（a/d）</w:t>
            </w:r>
          </w:p>
          <w:p w14:paraId="00656FC8">
            <w:pPr>
              <w:spacing w:line="360" w:lineRule="auto"/>
              <w:ind w:firstLine="480" w:firstLineChars="200"/>
              <w:rPr>
                <w:color w:val="auto"/>
                <w:sz w:val="24"/>
              </w:rPr>
            </w:pPr>
            <w:r>
              <w:rPr>
                <w:rFonts w:hAnsi="宋体"/>
                <w:color w:val="auto"/>
                <w:sz w:val="24"/>
              </w:rPr>
              <w:t>（</w:t>
            </w:r>
            <w:r>
              <w:rPr>
                <w:color w:val="auto"/>
                <w:sz w:val="24"/>
              </w:rPr>
              <w:t>3</w:t>
            </w:r>
            <w:r>
              <w:rPr>
                <w:rFonts w:hAnsi="宋体"/>
                <w:color w:val="auto"/>
                <w:sz w:val="24"/>
              </w:rPr>
              <w:t>）供电</w:t>
            </w:r>
          </w:p>
          <w:p w14:paraId="2F678D08">
            <w:pPr>
              <w:spacing w:line="360" w:lineRule="auto"/>
              <w:ind w:firstLine="480" w:firstLineChars="200"/>
              <w:rPr>
                <w:color w:val="auto"/>
                <w:sz w:val="24"/>
              </w:rPr>
            </w:pPr>
            <w:r>
              <w:rPr>
                <w:rFonts w:hAnsi="宋体"/>
                <w:color w:val="auto"/>
                <w:sz w:val="24"/>
              </w:rPr>
              <w:t>本项目生产及生活供电由区域供电电网引入。</w:t>
            </w:r>
          </w:p>
          <w:p w14:paraId="2631C701">
            <w:pPr>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（4）供热</w:t>
            </w:r>
          </w:p>
          <w:p w14:paraId="66FCD68D">
            <w:pPr>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lang w:eastAsia="zh-CN"/>
              </w:rPr>
              <w:t>本项目生产用热由</w:t>
            </w:r>
            <w:r>
              <w:rPr>
                <w:rFonts w:hint="eastAsia" w:ascii="Times New Roman" w:hAnsi="Times New Roman" w:eastAsia="宋体" w:cs="Times New Roman"/>
                <w:color w:val="auto"/>
                <w:sz w:val="24"/>
                <w:lang w:val="en-US" w:eastAsia="zh-CN"/>
              </w:rPr>
              <w:t>1台</w:t>
            </w:r>
            <w:r>
              <w:rPr>
                <w:rFonts w:hint="eastAsia" w:cs="Times New Roman"/>
                <w:color w:val="auto"/>
                <w:sz w:val="24"/>
                <w:lang w:val="en-US" w:eastAsia="zh-CN"/>
              </w:rPr>
              <w:t>600</w:t>
            </w:r>
            <w:r>
              <w:rPr>
                <w:rFonts w:hint="eastAsia" w:ascii="Times New Roman" w:hAnsi="Times New Roman" w:eastAsia="宋体" w:cs="Times New Roman"/>
                <w:color w:val="auto"/>
                <w:sz w:val="24"/>
                <w:lang w:val="en-US" w:eastAsia="zh-CN"/>
              </w:rPr>
              <w:t>万kcal生物质</w:t>
            </w:r>
            <w:r>
              <w:rPr>
                <w:rFonts w:hint="eastAsia" w:ascii="Times New Roman" w:hAnsi="Times New Roman" w:eastAsia="宋体" w:cs="Times New Roman"/>
                <w:color w:val="auto"/>
                <w:sz w:val="24"/>
                <w:lang w:eastAsia="zh-CN"/>
              </w:rPr>
              <w:t>热风炉供给。</w:t>
            </w:r>
          </w:p>
          <w:p w14:paraId="2BB53B83">
            <w:pPr>
              <w:spacing w:line="360" w:lineRule="auto"/>
              <w:ind w:firstLine="482" w:firstLineChars="200"/>
              <w:rPr>
                <w:b/>
                <w:bCs/>
                <w:color w:val="auto"/>
                <w:sz w:val="24"/>
                <w:highlight w:val="none"/>
              </w:rPr>
            </w:pPr>
            <w:r>
              <w:rPr>
                <w:b/>
                <w:bCs/>
                <w:color w:val="auto"/>
                <w:sz w:val="24"/>
                <w:highlight w:val="none"/>
              </w:rPr>
              <w:t>七、厂区平面布置</w:t>
            </w:r>
          </w:p>
          <w:p w14:paraId="0951A510">
            <w:pPr>
              <w:spacing w:line="360" w:lineRule="auto"/>
              <w:ind w:firstLine="480" w:firstLineChars="200"/>
              <w:rPr>
                <w:color w:val="auto"/>
                <w:sz w:val="24"/>
                <w:highlight w:val="none"/>
              </w:rPr>
            </w:pPr>
            <w:r>
              <w:rPr>
                <w:color w:val="auto"/>
                <w:sz w:val="24"/>
                <w:highlight w:val="none"/>
              </w:rPr>
              <w:t>本项目</w:t>
            </w:r>
            <w:r>
              <w:rPr>
                <w:rFonts w:hint="eastAsia"/>
                <w:color w:val="auto"/>
                <w:sz w:val="24"/>
                <w:highlight w:val="none"/>
                <w:lang w:eastAsia="zh-CN"/>
              </w:rPr>
              <w:t>在现有厂区内建设，烘干塔、热风炉房及潮粮囤均位于现有厂区内东南侧，</w:t>
            </w:r>
            <w:r>
              <w:rPr>
                <w:color w:val="auto"/>
                <w:sz w:val="24"/>
                <w:highlight w:val="none"/>
              </w:rPr>
              <w:t>货流出入口</w:t>
            </w:r>
            <w:r>
              <w:rPr>
                <w:rFonts w:hint="eastAsia"/>
                <w:color w:val="auto"/>
                <w:sz w:val="24"/>
                <w:highlight w:val="none"/>
              </w:rPr>
              <w:t>设置在厂区</w:t>
            </w:r>
            <w:r>
              <w:rPr>
                <w:rFonts w:hint="eastAsia"/>
                <w:color w:val="auto"/>
                <w:sz w:val="24"/>
                <w:highlight w:val="none"/>
                <w:lang w:eastAsia="zh-CN"/>
              </w:rPr>
              <w:t>北</w:t>
            </w:r>
            <w:r>
              <w:rPr>
                <w:rFonts w:hint="eastAsia"/>
                <w:color w:val="auto"/>
                <w:sz w:val="24"/>
                <w:highlight w:val="none"/>
              </w:rPr>
              <w:t>侧</w:t>
            </w:r>
            <w:r>
              <w:rPr>
                <w:color w:val="auto"/>
                <w:sz w:val="24"/>
                <w:highlight w:val="none"/>
              </w:rPr>
              <w:t>，设计建筑物四周设有环形道路，满足运输及消防要求。厂区内建设功能齐全，设施完备，并保证各建筑物的间距满足《建筑设计防火规范》的要求</w:t>
            </w:r>
            <w:r>
              <w:rPr>
                <w:rFonts w:hint="eastAsia"/>
                <w:color w:val="auto"/>
                <w:sz w:val="24"/>
                <w:highlight w:val="none"/>
                <w:lang w:eastAsia="zh-CN"/>
              </w:rPr>
              <w:t>，</w:t>
            </w:r>
            <w:r>
              <w:rPr>
                <w:color w:val="auto"/>
                <w:sz w:val="24"/>
                <w:highlight w:val="none"/>
              </w:rPr>
              <w:t>本项目平面布置合理。</w:t>
            </w:r>
          </w:p>
          <w:p w14:paraId="5CCF297C">
            <w:pPr>
              <w:spacing w:line="360" w:lineRule="auto"/>
              <w:ind w:firstLine="480" w:firstLineChars="200"/>
              <w:rPr>
                <w:color w:val="auto"/>
                <w:sz w:val="24"/>
                <w:szCs w:val="20"/>
              </w:rPr>
            </w:pPr>
            <w:r>
              <w:rPr>
                <w:rFonts w:hint="eastAsia"/>
                <w:color w:val="auto"/>
                <w:sz w:val="24"/>
                <w:highlight w:val="none"/>
              </w:rPr>
              <w:t>项目</w:t>
            </w:r>
            <w:r>
              <w:rPr>
                <w:color w:val="auto"/>
                <w:sz w:val="24"/>
                <w:highlight w:val="none"/>
              </w:rPr>
              <w:t>厂区平面布置见附图</w:t>
            </w:r>
            <w:r>
              <w:rPr>
                <w:rFonts w:hint="eastAsia"/>
                <w:color w:val="auto"/>
                <w:sz w:val="24"/>
                <w:highlight w:val="none"/>
              </w:rPr>
              <w:t>3</w:t>
            </w:r>
            <w:r>
              <w:rPr>
                <w:color w:val="auto"/>
                <w:sz w:val="24"/>
                <w:highlight w:val="none"/>
              </w:rPr>
              <w:t>。</w:t>
            </w:r>
          </w:p>
        </w:tc>
      </w:tr>
      <w:tr w14:paraId="53EBBA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0" w:hRule="atLeast"/>
          <w:jc w:val="center"/>
        </w:trPr>
        <w:tc>
          <w:tcPr>
            <w:tcW w:w="823" w:type="dxa"/>
            <w:vAlign w:val="center"/>
          </w:tcPr>
          <w:p w14:paraId="233272DF">
            <w:pPr>
              <w:pStyle w:val="26"/>
              <w:adjustRightInd w:val="0"/>
              <w:snapToGrid w:val="0"/>
              <w:spacing w:before="0" w:beforeAutospacing="0" w:after="0" w:afterAutospacing="0"/>
              <w:jc w:val="center"/>
              <w:rPr>
                <w:rFonts w:ascii="Times New Roman" w:hAnsi="Times New Roman"/>
                <w:b/>
                <w:bCs/>
                <w:color w:val="auto"/>
                <w:szCs w:val="24"/>
              </w:rPr>
            </w:pPr>
            <w:r>
              <w:rPr>
                <w:rFonts w:ascii="Times New Roman" w:hAnsi="Times New Roman"/>
                <w:b/>
                <w:bCs/>
                <w:color w:val="auto"/>
                <w:szCs w:val="24"/>
              </w:rPr>
              <w:t>工艺流程和产排污环节</w:t>
            </w:r>
          </w:p>
        </w:tc>
        <w:tc>
          <w:tcPr>
            <w:tcW w:w="7956" w:type="dxa"/>
          </w:tcPr>
          <w:p w14:paraId="3977CE09">
            <w:pPr>
              <w:spacing w:line="360" w:lineRule="auto"/>
              <w:ind w:firstLine="482" w:firstLineChars="200"/>
              <w:rPr>
                <w:b/>
                <w:color w:val="auto"/>
                <w:sz w:val="24"/>
              </w:rPr>
            </w:pPr>
            <w:r>
              <w:rPr>
                <w:b/>
                <w:color w:val="auto"/>
                <w:sz w:val="24"/>
              </w:rPr>
              <w:t>工艺流程及污染工艺流程简述：</w:t>
            </w:r>
          </w:p>
          <w:p w14:paraId="4629159F">
            <w:pPr>
              <w:spacing w:line="360" w:lineRule="auto"/>
              <w:ind w:firstLine="482" w:firstLineChars="200"/>
              <w:rPr>
                <w:b/>
                <w:bCs/>
                <w:color w:val="auto"/>
                <w:sz w:val="24"/>
              </w:rPr>
            </w:pPr>
            <w:r>
              <w:rPr>
                <w:b/>
                <w:bCs/>
                <w:color w:val="auto"/>
                <w:sz w:val="24"/>
              </w:rPr>
              <w:t>（一）工艺流程图</w:t>
            </w:r>
          </w:p>
          <w:p w14:paraId="792EFBE0">
            <w:pPr>
              <w:spacing w:line="360" w:lineRule="auto"/>
              <w:jc w:val="center"/>
              <w:rPr>
                <w:b/>
                <w:bCs/>
                <w:color w:val="auto"/>
                <w:sz w:val="24"/>
              </w:rPr>
            </w:pPr>
            <w:r>
              <w:rPr>
                <w:rFonts w:hint="default" w:ascii="Times New Roman" w:hAnsi="Times New Roman" w:eastAsia="宋体" w:cs="Times New Roman"/>
                <w:color w:val="auto"/>
                <w:szCs w:val="24"/>
                <w:highlight w:val="none"/>
                <w:lang w:eastAsia="zh-CN"/>
              </w:rPr>
              <w:object>
                <v:shape id="_x0000_i1027" o:spt="75" type="#_x0000_t75" style="height:234.95pt;width:398.2pt;" o:ole="t" filled="f" o:preferrelative="t" stroked="f" coordsize="21600,21600">
                  <v:path/>
                  <v:fill on="f" focussize="0,0"/>
                  <v:stroke on="f"/>
                  <v:imagedata r:id="rId27" o:title=""/>
                  <o:lock v:ext="edit" aspectratio="t"/>
                  <w10:wrap type="none"/>
                  <w10:anchorlock/>
                </v:shape>
                <o:OLEObject Type="Embed" ProgID="Visio.Drawing.11" ShapeID="_x0000_i1027" DrawAspect="Content" ObjectID="_1468075727" r:id="rId26">
                  <o:LockedField>false</o:LockedField>
                </o:OLEObject>
              </w:object>
            </w:r>
          </w:p>
          <w:p w14:paraId="718DB30B">
            <w:pPr>
              <w:pStyle w:val="64"/>
              <w:spacing w:line="360" w:lineRule="auto"/>
              <w:ind w:firstLine="426"/>
              <w:rPr>
                <w:b/>
                <w:color w:val="auto"/>
                <w:spacing w:val="7"/>
                <w:sz w:val="24"/>
              </w:rPr>
            </w:pPr>
            <w:r>
              <w:rPr>
                <w:b/>
                <w:bCs/>
                <w:color w:val="auto"/>
                <w:sz w:val="24"/>
                <w:szCs w:val="24"/>
              </w:rPr>
              <w:t>图2-</w:t>
            </w:r>
            <w:r>
              <w:rPr>
                <w:rFonts w:hint="eastAsia"/>
                <w:b/>
                <w:bCs/>
                <w:color w:val="auto"/>
                <w:sz w:val="24"/>
                <w:szCs w:val="24"/>
                <w:lang w:val="en-US" w:eastAsia="zh-CN"/>
              </w:rPr>
              <w:t xml:space="preserve">3 </w:t>
            </w:r>
            <w:r>
              <w:rPr>
                <w:b/>
                <w:bCs/>
                <w:color w:val="auto"/>
                <w:sz w:val="24"/>
                <w:szCs w:val="24"/>
              </w:rPr>
              <w:t>本项目工艺流程图及产污环节图</w:t>
            </w:r>
          </w:p>
          <w:p w14:paraId="6E7E7893">
            <w:pPr>
              <w:spacing w:line="360" w:lineRule="auto"/>
              <w:ind w:firstLine="510" w:firstLineChars="200"/>
              <w:rPr>
                <w:bCs/>
                <w:color w:val="auto"/>
                <w:sz w:val="24"/>
              </w:rPr>
            </w:pPr>
            <w:r>
              <w:rPr>
                <w:b/>
                <w:color w:val="auto"/>
                <w:spacing w:val="7"/>
                <w:sz w:val="24"/>
              </w:rPr>
              <w:t>（二）工艺流程简述</w:t>
            </w:r>
          </w:p>
          <w:p w14:paraId="05E603A2">
            <w:pPr>
              <w:spacing w:line="360" w:lineRule="auto"/>
              <w:ind w:firstLine="480" w:firstLineChars="200"/>
              <w:rPr>
                <w:color w:val="auto"/>
                <w:kern w:val="0"/>
                <w:sz w:val="24"/>
                <w:highlight w:val="none"/>
              </w:rPr>
            </w:pPr>
            <w:r>
              <w:rPr>
                <w:color w:val="auto"/>
                <w:kern w:val="0"/>
                <w:sz w:val="24"/>
                <w:highlight w:val="none"/>
              </w:rPr>
              <w:t>（1）</w:t>
            </w:r>
            <w:r>
              <w:rPr>
                <w:rFonts w:hint="eastAsia"/>
                <w:color w:val="auto"/>
                <w:kern w:val="0"/>
                <w:sz w:val="24"/>
                <w:highlight w:val="none"/>
              </w:rPr>
              <w:t>粮食装卸及筛分</w:t>
            </w:r>
          </w:p>
          <w:p w14:paraId="0F48328A">
            <w:pPr>
              <w:spacing w:line="360" w:lineRule="auto"/>
              <w:ind w:firstLine="480" w:firstLineChars="200"/>
              <w:rPr>
                <w:rFonts w:hint="eastAsia" w:eastAsia="宋体"/>
                <w:color w:val="auto"/>
                <w:kern w:val="0"/>
                <w:sz w:val="24"/>
                <w:highlight w:val="none"/>
                <w:lang w:eastAsia="zh-CN"/>
              </w:rPr>
            </w:pPr>
            <w:r>
              <w:rPr>
                <w:rFonts w:hint="eastAsia"/>
                <w:color w:val="auto"/>
                <w:kern w:val="0"/>
                <w:sz w:val="24"/>
                <w:highlight w:val="none"/>
              </w:rPr>
              <w:t>进厂潮粮在入烘干塔烘干前，先经</w:t>
            </w:r>
            <w:r>
              <w:rPr>
                <w:color w:val="auto"/>
                <w:kern w:val="0"/>
                <w:sz w:val="24"/>
                <w:highlight w:val="none"/>
              </w:rPr>
              <w:t>清理筛</w:t>
            </w:r>
            <w:r>
              <w:rPr>
                <w:rFonts w:hint="eastAsia"/>
                <w:color w:val="auto"/>
                <w:kern w:val="0"/>
                <w:sz w:val="24"/>
                <w:highlight w:val="none"/>
              </w:rPr>
              <w:t>分机去除杂质及碎粮，筛分出的</w:t>
            </w:r>
            <w:r>
              <w:rPr>
                <w:color w:val="auto"/>
                <w:kern w:val="0"/>
                <w:sz w:val="24"/>
                <w:highlight w:val="none"/>
              </w:rPr>
              <w:t>石子</w:t>
            </w:r>
            <w:r>
              <w:rPr>
                <w:rFonts w:hint="eastAsia"/>
                <w:color w:val="auto"/>
                <w:kern w:val="0"/>
                <w:sz w:val="24"/>
                <w:highlight w:val="none"/>
              </w:rPr>
              <w:t>、杂草</w:t>
            </w:r>
            <w:r>
              <w:rPr>
                <w:color w:val="auto"/>
                <w:kern w:val="0"/>
                <w:sz w:val="24"/>
                <w:highlight w:val="none"/>
              </w:rPr>
              <w:t>等杂质集中收集，</w:t>
            </w:r>
            <w:r>
              <w:rPr>
                <w:rFonts w:hint="eastAsia"/>
                <w:color w:val="auto"/>
                <w:kern w:val="0"/>
                <w:sz w:val="24"/>
                <w:highlight w:val="none"/>
                <w:lang w:eastAsia="zh-CN"/>
              </w:rPr>
              <w:t>外售综合利用</w:t>
            </w:r>
            <w:r>
              <w:rPr>
                <w:rFonts w:hint="eastAsia"/>
                <w:color w:val="auto"/>
                <w:kern w:val="0"/>
                <w:sz w:val="24"/>
                <w:highlight w:val="none"/>
              </w:rPr>
              <w:t>。烘干后的干粮装车运输。</w:t>
            </w:r>
            <w:r>
              <w:rPr>
                <w:rFonts w:hint="eastAsia"/>
                <w:color w:val="auto"/>
                <w:kern w:val="0"/>
                <w:sz w:val="24"/>
                <w:highlight w:val="none"/>
                <w:lang w:eastAsia="zh-CN"/>
              </w:rPr>
              <w:t>原料在各工序间采用密闭式输送带和密闭式提升机进行传送。</w:t>
            </w:r>
          </w:p>
          <w:p w14:paraId="611E802D">
            <w:pPr>
              <w:spacing w:line="360" w:lineRule="auto"/>
              <w:ind w:firstLine="480" w:firstLineChars="200"/>
              <w:rPr>
                <w:color w:val="auto"/>
                <w:kern w:val="0"/>
                <w:sz w:val="24"/>
              </w:rPr>
            </w:pPr>
            <w:r>
              <w:rPr>
                <w:color w:val="auto"/>
                <w:kern w:val="0"/>
                <w:sz w:val="24"/>
              </w:rPr>
              <w:t>（2）</w:t>
            </w:r>
            <w:r>
              <w:rPr>
                <w:rFonts w:hint="eastAsia"/>
                <w:color w:val="auto"/>
                <w:kern w:val="0"/>
                <w:sz w:val="24"/>
              </w:rPr>
              <w:t>热气输送至烘干塔流程</w:t>
            </w:r>
          </w:p>
          <w:p w14:paraId="3848FAF0">
            <w:pPr>
              <w:spacing w:line="360" w:lineRule="auto"/>
              <w:ind w:firstLine="480" w:firstLineChars="200"/>
              <w:rPr>
                <w:color w:val="auto"/>
                <w:kern w:val="0"/>
                <w:sz w:val="24"/>
              </w:rPr>
            </w:pPr>
            <w:r>
              <w:rPr>
                <w:color w:val="auto"/>
                <w:kern w:val="0"/>
                <w:sz w:val="24"/>
              </w:rPr>
              <w:t>冷空气由鼓风机送至热风炉内，热风炉燃</w:t>
            </w:r>
            <w:r>
              <w:rPr>
                <w:rFonts w:hint="eastAsia"/>
                <w:color w:val="auto"/>
                <w:kern w:val="0"/>
                <w:sz w:val="24"/>
                <w:lang w:eastAsia="zh-CN"/>
              </w:rPr>
              <w:t>生物质</w:t>
            </w:r>
            <w:r>
              <w:rPr>
                <w:color w:val="auto"/>
                <w:kern w:val="0"/>
                <w:sz w:val="24"/>
              </w:rPr>
              <w:t>产生高温烟气</w:t>
            </w:r>
            <w:r>
              <w:rPr>
                <w:rFonts w:hint="eastAsia"/>
                <w:color w:val="auto"/>
                <w:kern w:val="0"/>
                <w:sz w:val="24"/>
              </w:rPr>
              <w:t>，高温烟气通入换热器。另有冷空气进入换热器，</w:t>
            </w:r>
            <w:r>
              <w:rPr>
                <w:color w:val="auto"/>
                <w:kern w:val="0"/>
                <w:sz w:val="24"/>
              </w:rPr>
              <w:t>经换热器与高温烟气进行热交换后，变为热空气，经风机送至烘干塔内烘干粮食，烘干后的热空气由塔体</w:t>
            </w:r>
            <w:r>
              <w:rPr>
                <w:rFonts w:hint="eastAsia"/>
                <w:color w:val="auto"/>
                <w:kern w:val="0"/>
                <w:sz w:val="24"/>
              </w:rPr>
              <w:t>两侧排气孔</w:t>
            </w:r>
            <w:r>
              <w:rPr>
                <w:color w:val="auto"/>
                <w:kern w:val="0"/>
                <w:sz w:val="24"/>
              </w:rPr>
              <w:t>排放，交换后的</w:t>
            </w:r>
            <w:r>
              <w:rPr>
                <w:rFonts w:hint="eastAsia"/>
                <w:color w:val="auto"/>
                <w:kern w:val="0"/>
                <w:sz w:val="24"/>
              </w:rPr>
              <w:t>热风炉</w:t>
            </w:r>
            <w:r>
              <w:rPr>
                <w:color w:val="auto"/>
                <w:kern w:val="0"/>
                <w:sz w:val="24"/>
              </w:rPr>
              <w:t>烟气经</w:t>
            </w:r>
            <w:r>
              <w:rPr>
                <w:rFonts w:hint="eastAsia"/>
                <w:color w:val="auto"/>
                <w:kern w:val="0"/>
                <w:sz w:val="24"/>
              </w:rPr>
              <w:t>布袋除尘器处理达标后由</w:t>
            </w:r>
            <w:r>
              <w:rPr>
                <w:color w:val="auto"/>
                <w:kern w:val="0"/>
                <w:sz w:val="24"/>
              </w:rPr>
              <w:t>烟囱排放。</w:t>
            </w:r>
          </w:p>
          <w:p w14:paraId="6EF7FD1B">
            <w:pPr>
              <w:spacing w:line="360" w:lineRule="auto"/>
              <w:ind w:firstLine="480" w:firstLineChars="200"/>
              <w:rPr>
                <w:color w:val="auto"/>
                <w:kern w:val="0"/>
                <w:sz w:val="24"/>
              </w:rPr>
            </w:pPr>
            <w:r>
              <w:rPr>
                <w:color w:val="auto"/>
                <w:kern w:val="0"/>
                <w:sz w:val="24"/>
              </w:rPr>
              <w:t>（3）烘干塔内工艺流程</w:t>
            </w:r>
          </w:p>
          <w:p w14:paraId="251EC994">
            <w:pPr>
              <w:spacing w:line="360" w:lineRule="auto"/>
              <w:ind w:firstLine="480" w:firstLineChars="200"/>
              <w:rPr>
                <w:bCs/>
                <w:color w:val="auto"/>
                <w:sz w:val="24"/>
              </w:rPr>
            </w:pPr>
            <w:r>
              <w:rPr>
                <w:color w:val="auto"/>
                <w:kern w:val="0"/>
                <w:sz w:val="24"/>
              </w:rPr>
              <w:t>在</w:t>
            </w:r>
            <w:r>
              <w:rPr>
                <w:rFonts w:hint="eastAsia"/>
                <w:color w:val="auto"/>
                <w:kern w:val="0"/>
                <w:sz w:val="24"/>
              </w:rPr>
              <w:t>烘干塔</w:t>
            </w:r>
            <w:r>
              <w:rPr>
                <w:color w:val="auto"/>
                <w:kern w:val="0"/>
                <w:sz w:val="24"/>
              </w:rPr>
              <w:t>内，由于粮食自重，自上而下流动，热风</w:t>
            </w:r>
            <w:r>
              <w:rPr>
                <w:rFonts w:hint="eastAsia"/>
                <w:color w:val="auto"/>
                <w:kern w:val="0"/>
                <w:sz w:val="24"/>
              </w:rPr>
              <w:t>由塔底</w:t>
            </w:r>
            <w:r>
              <w:rPr>
                <w:color w:val="auto"/>
                <w:kern w:val="0"/>
                <w:sz w:val="24"/>
              </w:rPr>
              <w:t>进入，朝上方向穿过粮层，热风在穿过粮层时，与粮粒间进行湿热传递，热风将热量转给粮粒，与粮食接触温度最高不超过60℃，粮粒受热升温，水分蒸发到空气中，</w:t>
            </w:r>
            <w:r>
              <w:rPr>
                <w:rFonts w:hint="eastAsia"/>
                <w:color w:val="auto"/>
                <w:kern w:val="0"/>
                <w:sz w:val="24"/>
              </w:rPr>
              <w:t>热风</w:t>
            </w:r>
            <w:r>
              <w:rPr>
                <w:color w:val="auto"/>
                <w:kern w:val="0"/>
                <w:sz w:val="24"/>
              </w:rPr>
              <w:t>携带着水汽</w:t>
            </w:r>
            <w:r>
              <w:rPr>
                <w:rFonts w:hint="eastAsia"/>
                <w:color w:val="auto"/>
                <w:kern w:val="0"/>
                <w:sz w:val="24"/>
              </w:rPr>
              <w:t>及少量颗粒物</w:t>
            </w:r>
            <w:r>
              <w:rPr>
                <w:color w:val="auto"/>
                <w:kern w:val="0"/>
                <w:sz w:val="24"/>
              </w:rPr>
              <w:t>变成废气经塔体两侧排气孔排放。在这个过程中，粮食温度升得越高，水分就蒸发得越快。为保证粮食的品质，即加工性和食用性，</w:t>
            </w:r>
            <w:r>
              <w:rPr>
                <w:rFonts w:hint="eastAsia"/>
                <w:color w:val="auto"/>
                <w:kern w:val="0"/>
                <w:sz w:val="24"/>
              </w:rPr>
              <w:t>烘干塔</w:t>
            </w:r>
            <w:r>
              <w:rPr>
                <w:color w:val="auto"/>
                <w:kern w:val="0"/>
                <w:sz w:val="24"/>
              </w:rPr>
              <w:t>内粮食</w:t>
            </w:r>
            <w:r>
              <w:rPr>
                <w:rFonts w:hint="eastAsia"/>
                <w:color w:val="auto"/>
                <w:kern w:val="0"/>
                <w:sz w:val="24"/>
              </w:rPr>
              <w:t>升温幅度</w:t>
            </w:r>
            <w:r>
              <w:rPr>
                <w:color w:val="auto"/>
                <w:kern w:val="0"/>
                <w:sz w:val="24"/>
              </w:rPr>
              <w:t>和干燥</w:t>
            </w:r>
            <w:r>
              <w:rPr>
                <w:rFonts w:hint="eastAsia"/>
                <w:color w:val="auto"/>
                <w:kern w:val="0"/>
                <w:sz w:val="24"/>
              </w:rPr>
              <w:t>时长</w:t>
            </w:r>
            <w:r>
              <w:rPr>
                <w:color w:val="auto"/>
                <w:kern w:val="0"/>
                <w:sz w:val="24"/>
              </w:rPr>
              <w:t>是受到严格控制的，其原则是既要降低粮食的水分，又不能损害粮食的品质。在</w:t>
            </w:r>
            <w:r>
              <w:rPr>
                <w:rFonts w:hint="eastAsia"/>
                <w:color w:val="auto"/>
                <w:kern w:val="0"/>
                <w:sz w:val="24"/>
              </w:rPr>
              <w:t>烘干塔</w:t>
            </w:r>
            <w:r>
              <w:rPr>
                <w:color w:val="auto"/>
                <w:kern w:val="0"/>
                <w:sz w:val="24"/>
              </w:rPr>
              <w:t>内没有布置通风角状管的部位为缓苏段，烘干的热粮向下流动到缓苏段，缓苏段内不通热风，其主要作用是减缓在干燥过程中粮粒内形成的应力，促进谷粒内部水分逐渐向外移动，使粮粒表面和内部的水分趋于平衡。缓苏工艺实施既有利于下一阶段的干燥，又能确保烘后粮的品质。</w:t>
            </w:r>
          </w:p>
        </w:tc>
      </w:tr>
      <w:tr w14:paraId="1ED386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966" w:hRule="atLeast"/>
          <w:jc w:val="center"/>
        </w:trPr>
        <w:tc>
          <w:tcPr>
            <w:tcW w:w="823" w:type="dxa"/>
            <w:vAlign w:val="center"/>
          </w:tcPr>
          <w:p w14:paraId="7690FDBD">
            <w:pPr>
              <w:pStyle w:val="26"/>
              <w:adjustRightInd w:val="0"/>
              <w:snapToGrid w:val="0"/>
              <w:spacing w:before="0" w:beforeAutospacing="0" w:after="0" w:afterAutospacing="0"/>
              <w:jc w:val="center"/>
              <w:rPr>
                <w:rFonts w:ascii="Times New Roman" w:hAnsi="Times New Roman"/>
                <w:b/>
                <w:color w:val="auto"/>
                <w:szCs w:val="24"/>
              </w:rPr>
            </w:pPr>
            <w:r>
              <w:rPr>
                <w:rFonts w:ascii="Times New Roman" w:hAnsi="Times New Roman"/>
                <w:b/>
                <w:color w:val="auto"/>
                <w:kern w:val="2"/>
                <w:szCs w:val="24"/>
              </w:rPr>
              <w:t>与项目有关的原有环境污染问题</w:t>
            </w:r>
          </w:p>
        </w:tc>
        <w:tc>
          <w:tcPr>
            <w:tcW w:w="7956" w:type="dxa"/>
          </w:tcPr>
          <w:p w14:paraId="2623D6B1">
            <w:pPr>
              <w:spacing w:line="360" w:lineRule="auto"/>
              <w:ind w:firstLine="482" w:firstLineChars="200"/>
              <w:rPr>
                <w:b/>
                <w:bCs/>
                <w:color w:val="auto"/>
                <w:kern w:val="0"/>
                <w:sz w:val="24"/>
                <w:highlight w:val="none"/>
              </w:rPr>
            </w:pPr>
            <w:r>
              <w:rPr>
                <w:b/>
                <w:bCs/>
                <w:color w:val="auto"/>
                <w:kern w:val="0"/>
                <w:sz w:val="24"/>
                <w:highlight w:val="none"/>
              </w:rPr>
              <w:t>1、现有工程环境影响评价、竣工环境保护验收及排污许可手续</w:t>
            </w:r>
          </w:p>
          <w:p w14:paraId="7CEE5265">
            <w:pPr>
              <w:pStyle w:val="2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default" w:eastAsia="宋体"/>
                <w:color w:val="auto"/>
                <w:sz w:val="24"/>
                <w:szCs w:val="22"/>
                <w:highlight w:val="none"/>
                <w:vertAlign w:val="baseline"/>
                <w:lang w:val="en-US" w:eastAsia="zh-CN"/>
              </w:rPr>
            </w:pPr>
            <w:r>
              <w:rPr>
                <w:rFonts w:hint="eastAsia"/>
                <w:color w:val="auto"/>
                <w:sz w:val="24"/>
                <w:highlight w:val="none"/>
                <w:lang w:eastAsia="zh-CN"/>
              </w:rPr>
              <w:t>虎林市双硕农业科技有限公司</w:t>
            </w:r>
            <w:r>
              <w:rPr>
                <w:color w:val="auto"/>
                <w:sz w:val="24"/>
                <w:highlight w:val="none"/>
              </w:rPr>
              <w:t>位于</w:t>
            </w:r>
            <w:r>
              <w:rPr>
                <w:rFonts w:hint="eastAsia"/>
                <w:color w:val="auto"/>
                <w:sz w:val="24"/>
                <w:highlight w:val="none"/>
                <w:lang w:eastAsia="zh-CN"/>
              </w:rPr>
              <w:t>黑龙江省鸡西市虎林市宝东镇共乐村。厂区占地面积</w:t>
            </w:r>
            <w:r>
              <w:rPr>
                <w:rFonts w:hint="eastAsia"/>
                <w:color w:val="auto"/>
                <w:sz w:val="24"/>
                <w:highlight w:val="none"/>
                <w:lang w:val="en-US" w:eastAsia="zh-CN"/>
              </w:rPr>
              <w:t>27595.65m</w:t>
            </w:r>
            <w:r>
              <w:rPr>
                <w:rFonts w:hint="eastAsia"/>
                <w:color w:val="auto"/>
                <w:sz w:val="24"/>
                <w:highlight w:val="none"/>
                <w:vertAlign w:val="superscript"/>
                <w:lang w:val="en-US" w:eastAsia="zh-CN"/>
              </w:rPr>
              <w:t>2</w:t>
            </w:r>
            <w:r>
              <w:rPr>
                <w:rFonts w:hint="eastAsia"/>
                <w:color w:val="auto"/>
                <w:sz w:val="24"/>
                <w:highlight w:val="none"/>
                <w:vertAlign w:val="baseline"/>
                <w:lang w:val="en-US" w:eastAsia="zh-CN"/>
              </w:rPr>
              <w:t>，现有工程于2023年10月13日取得鸡西市虎林生态环境局出具的《关于虎林市双硕农业科技有限公司烘干建设项目环境影响报告表的批复》，批复文号为虎环评字【2023】19号。项目于2023年10月开工建设，项目目前已建设完成，因未在生产期，未进行生产，未进行竣工环境保护验收。</w:t>
            </w:r>
          </w:p>
          <w:p w14:paraId="5A06EF00">
            <w:pPr>
              <w:jc w:val="center"/>
              <w:textAlignment w:val="baseline"/>
              <w:rPr>
                <w:b/>
                <w:bCs/>
                <w:color w:val="auto"/>
                <w:kern w:val="0"/>
                <w:sz w:val="24"/>
                <w:highlight w:val="none"/>
              </w:rPr>
            </w:pPr>
            <w:r>
              <w:rPr>
                <w:b/>
                <w:bCs/>
                <w:color w:val="auto"/>
                <w:kern w:val="0"/>
                <w:sz w:val="24"/>
                <w:highlight w:val="none"/>
              </w:rPr>
              <w:t>表</w:t>
            </w:r>
            <w:r>
              <w:rPr>
                <w:rFonts w:hint="eastAsia"/>
                <w:b/>
                <w:bCs/>
                <w:color w:val="auto"/>
                <w:kern w:val="0"/>
                <w:sz w:val="24"/>
                <w:highlight w:val="none"/>
                <w:lang w:val="en-US" w:eastAsia="zh-CN"/>
              </w:rPr>
              <w:t>2</w:t>
            </w:r>
            <w:r>
              <w:rPr>
                <w:b/>
                <w:bCs/>
                <w:color w:val="auto"/>
                <w:kern w:val="0"/>
                <w:sz w:val="24"/>
                <w:highlight w:val="none"/>
              </w:rPr>
              <w:t>-</w:t>
            </w:r>
            <w:r>
              <w:rPr>
                <w:rFonts w:hint="eastAsia"/>
                <w:b/>
                <w:bCs/>
                <w:color w:val="auto"/>
                <w:kern w:val="0"/>
                <w:sz w:val="24"/>
                <w:highlight w:val="none"/>
                <w:lang w:val="en-US" w:eastAsia="zh-CN"/>
              </w:rPr>
              <w:t>8</w:t>
            </w:r>
            <w:r>
              <w:rPr>
                <w:b/>
                <w:bCs/>
                <w:color w:val="auto"/>
                <w:kern w:val="0"/>
                <w:sz w:val="24"/>
                <w:highlight w:val="none"/>
              </w:rPr>
              <w:t xml:space="preserve"> </w:t>
            </w:r>
            <w:r>
              <w:rPr>
                <w:rFonts w:hint="eastAsia"/>
                <w:b/>
                <w:bCs/>
                <w:color w:val="auto"/>
                <w:kern w:val="0"/>
                <w:sz w:val="24"/>
                <w:highlight w:val="none"/>
                <w:lang w:eastAsia="zh-CN"/>
              </w:rPr>
              <w:t>现有工程</w:t>
            </w:r>
            <w:r>
              <w:rPr>
                <w:b/>
                <w:bCs/>
                <w:color w:val="auto"/>
                <w:kern w:val="0"/>
                <w:sz w:val="24"/>
                <w:highlight w:val="none"/>
              </w:rPr>
              <w:t>组成一览表</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775"/>
              <w:gridCol w:w="5325"/>
            </w:tblGrid>
            <w:tr w14:paraId="2BB08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noWrap w:val="0"/>
                  <w:vAlign w:val="center"/>
                </w:tcPr>
                <w:p w14:paraId="4754249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highlight w:val="none"/>
                    </w:rPr>
                  </w:pPr>
                  <w:r>
                    <w:rPr>
                      <w:color w:val="auto"/>
                      <w:sz w:val="21"/>
                      <w:szCs w:val="21"/>
                      <w:highlight w:val="none"/>
                    </w:rPr>
                    <w:t>序号</w:t>
                  </w:r>
                </w:p>
              </w:tc>
              <w:tc>
                <w:tcPr>
                  <w:tcW w:w="1775" w:type="dxa"/>
                  <w:noWrap w:val="0"/>
                  <w:vAlign w:val="center"/>
                </w:tcPr>
                <w:p w14:paraId="4A97187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建筑物名称</w:t>
                  </w:r>
                </w:p>
              </w:tc>
              <w:tc>
                <w:tcPr>
                  <w:tcW w:w="5325" w:type="dxa"/>
                  <w:noWrap w:val="0"/>
                  <w:vAlign w:val="center"/>
                </w:tcPr>
                <w:p w14:paraId="7D6ECC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主要建设内容</w:t>
                  </w:r>
                </w:p>
              </w:tc>
            </w:tr>
            <w:tr w14:paraId="2DCA0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noWrap w:val="0"/>
                  <w:vAlign w:val="center"/>
                </w:tcPr>
                <w:p w14:paraId="02DF37E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一</w:t>
                  </w:r>
                </w:p>
              </w:tc>
              <w:tc>
                <w:tcPr>
                  <w:tcW w:w="7100" w:type="dxa"/>
                  <w:gridSpan w:val="2"/>
                  <w:noWrap w:val="0"/>
                  <w:vAlign w:val="center"/>
                </w:tcPr>
                <w:p w14:paraId="601D85A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主体工程</w:t>
                  </w:r>
                </w:p>
              </w:tc>
            </w:tr>
            <w:tr w14:paraId="5E231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35" w:type="dxa"/>
                  <w:tcBorders>
                    <w:bottom w:val="single" w:color="auto" w:sz="4" w:space="0"/>
                  </w:tcBorders>
                  <w:noWrap w:val="0"/>
                  <w:vAlign w:val="center"/>
                </w:tcPr>
                <w:p w14:paraId="365C127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lang w:val="en-US" w:eastAsia="zh-CN"/>
                    </w:rPr>
                    <w:t>1</w:t>
                  </w:r>
                </w:p>
              </w:tc>
              <w:tc>
                <w:tcPr>
                  <w:tcW w:w="1775" w:type="dxa"/>
                  <w:tcBorders>
                    <w:bottom w:val="single" w:color="auto" w:sz="4" w:space="0"/>
                  </w:tcBorders>
                  <w:noWrap w:val="0"/>
                  <w:vAlign w:val="center"/>
                </w:tcPr>
                <w:p w14:paraId="30B6E4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kern w:val="2"/>
                      <w:sz w:val="21"/>
                      <w:szCs w:val="21"/>
                      <w:highlight w:val="none"/>
                      <w:lang w:val="en-US" w:eastAsia="zh-CN" w:bidi="ar-SA"/>
                    </w:rPr>
                  </w:pPr>
                  <w:r>
                    <w:rPr>
                      <w:rFonts w:hint="eastAsia"/>
                      <w:color w:val="auto"/>
                      <w:sz w:val="21"/>
                      <w:szCs w:val="21"/>
                      <w:highlight w:val="none"/>
                      <w:lang w:eastAsia="zh-CN"/>
                    </w:rPr>
                    <w:t>热风炉房</w:t>
                  </w:r>
                </w:p>
              </w:tc>
              <w:tc>
                <w:tcPr>
                  <w:tcW w:w="5325" w:type="dxa"/>
                  <w:tcBorders>
                    <w:bottom w:val="single" w:color="auto" w:sz="4" w:space="0"/>
                  </w:tcBorders>
                  <w:noWrap w:val="0"/>
                  <w:vAlign w:val="center"/>
                </w:tcPr>
                <w:p w14:paraId="1BDC772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olor w:val="auto"/>
                      <w:kern w:val="2"/>
                      <w:sz w:val="21"/>
                      <w:szCs w:val="21"/>
                      <w:highlight w:val="none"/>
                      <w:lang w:val="en-US" w:eastAsia="zh-CN" w:bidi="ar-SA"/>
                    </w:rPr>
                  </w:pPr>
                  <w:r>
                    <w:rPr>
                      <w:color w:val="auto"/>
                      <w:sz w:val="21"/>
                      <w:szCs w:val="21"/>
                      <w:highlight w:val="none"/>
                    </w:rPr>
                    <w:t>建设</w:t>
                  </w:r>
                  <w:r>
                    <w:rPr>
                      <w:rFonts w:hint="eastAsia"/>
                      <w:color w:val="auto"/>
                      <w:sz w:val="21"/>
                      <w:szCs w:val="21"/>
                      <w:highlight w:val="none"/>
                      <w:lang w:eastAsia="zh-CN"/>
                    </w:rPr>
                    <w:t>热风炉房</w:t>
                  </w:r>
                  <w:r>
                    <w:rPr>
                      <w:rFonts w:hint="eastAsia"/>
                      <w:color w:val="auto"/>
                      <w:sz w:val="21"/>
                      <w:szCs w:val="21"/>
                      <w:highlight w:val="none"/>
                      <w:lang w:val="en-US" w:eastAsia="zh-CN"/>
                    </w:rPr>
                    <w:t>1</w:t>
                  </w:r>
                  <w:r>
                    <w:rPr>
                      <w:color w:val="auto"/>
                      <w:sz w:val="21"/>
                      <w:szCs w:val="21"/>
                      <w:highlight w:val="none"/>
                    </w:rPr>
                    <w:t>个，建筑面积：</w:t>
                  </w:r>
                  <w:r>
                    <w:rPr>
                      <w:rFonts w:hint="eastAsia"/>
                      <w:color w:val="auto"/>
                      <w:sz w:val="21"/>
                      <w:szCs w:val="21"/>
                      <w:highlight w:val="none"/>
                      <w:lang w:val="en-US" w:eastAsia="zh-CN"/>
                    </w:rPr>
                    <w:t>504.51</w:t>
                  </w:r>
                  <w:r>
                    <w:rPr>
                      <w:color w:val="auto"/>
                      <w:sz w:val="21"/>
                      <w:szCs w:val="21"/>
                      <w:highlight w:val="none"/>
                    </w:rPr>
                    <w:t>m</w:t>
                  </w:r>
                  <w:r>
                    <w:rPr>
                      <w:color w:val="auto"/>
                      <w:sz w:val="21"/>
                      <w:szCs w:val="21"/>
                      <w:highlight w:val="none"/>
                      <w:vertAlign w:val="superscript"/>
                    </w:rPr>
                    <w:t>2</w:t>
                  </w:r>
                  <w:r>
                    <w:rPr>
                      <w:color w:val="auto"/>
                      <w:sz w:val="21"/>
                      <w:szCs w:val="21"/>
                      <w:highlight w:val="none"/>
                    </w:rPr>
                    <w:t>。内设</w:t>
                  </w:r>
                  <w:r>
                    <w:rPr>
                      <w:rFonts w:hint="eastAsia"/>
                      <w:color w:val="auto"/>
                      <w:sz w:val="21"/>
                      <w:szCs w:val="21"/>
                      <w:highlight w:val="none"/>
                      <w:lang w:val="en-US" w:eastAsia="zh-CN"/>
                    </w:rPr>
                    <w:t>1</w:t>
                  </w:r>
                  <w:r>
                    <w:rPr>
                      <w:color w:val="auto"/>
                      <w:sz w:val="21"/>
                      <w:szCs w:val="21"/>
                      <w:highlight w:val="none"/>
                    </w:rPr>
                    <w:t>台</w:t>
                  </w:r>
                  <w:r>
                    <w:rPr>
                      <w:rFonts w:hint="eastAsia" w:cs="Times New Roman"/>
                      <w:color w:val="auto"/>
                      <w:sz w:val="21"/>
                      <w:szCs w:val="21"/>
                      <w:highlight w:val="none"/>
                      <w:lang w:val="en-US" w:eastAsia="zh-CN"/>
                    </w:rPr>
                    <w:t>600</w:t>
                  </w:r>
                  <w:r>
                    <w:rPr>
                      <w:rFonts w:hint="eastAsia" w:ascii="Times New Roman" w:hAnsi="Times New Roman" w:eastAsia="宋体" w:cs="Times New Roman"/>
                      <w:color w:val="auto"/>
                      <w:sz w:val="21"/>
                      <w:szCs w:val="21"/>
                      <w:highlight w:val="none"/>
                      <w:lang w:val="en-US" w:eastAsia="zh-CN"/>
                    </w:rPr>
                    <w:t>万kcal</w:t>
                  </w:r>
                  <w:r>
                    <w:rPr>
                      <w:rFonts w:hint="eastAsia"/>
                      <w:color w:val="auto"/>
                      <w:sz w:val="21"/>
                      <w:szCs w:val="21"/>
                      <w:highlight w:val="none"/>
                      <w:lang w:val="en-US" w:eastAsia="zh-CN"/>
                    </w:rPr>
                    <w:t>生物质</w:t>
                  </w:r>
                  <w:r>
                    <w:rPr>
                      <w:color w:val="auto"/>
                      <w:sz w:val="21"/>
                      <w:szCs w:val="21"/>
                      <w:highlight w:val="none"/>
                    </w:rPr>
                    <w:t>热风炉</w:t>
                  </w:r>
                </w:p>
              </w:tc>
            </w:tr>
            <w:tr w14:paraId="224AB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0092093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1775" w:type="dxa"/>
                  <w:tcBorders>
                    <w:bottom w:val="single" w:color="auto" w:sz="4" w:space="0"/>
                  </w:tcBorders>
                  <w:noWrap w:val="0"/>
                  <w:vAlign w:val="center"/>
                </w:tcPr>
                <w:p w14:paraId="61DA3A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eastAsia="zh-CN"/>
                    </w:rPr>
                  </w:pPr>
                  <w:r>
                    <w:rPr>
                      <w:rFonts w:hint="eastAsia"/>
                      <w:color w:val="auto"/>
                      <w:sz w:val="21"/>
                      <w:szCs w:val="21"/>
                      <w:highlight w:val="none"/>
                      <w:lang w:eastAsia="zh-CN"/>
                    </w:rPr>
                    <w:t>烘干塔</w:t>
                  </w:r>
                </w:p>
              </w:tc>
              <w:tc>
                <w:tcPr>
                  <w:tcW w:w="5325" w:type="dxa"/>
                  <w:tcBorders>
                    <w:bottom w:val="single" w:color="auto" w:sz="4" w:space="0"/>
                  </w:tcBorders>
                  <w:noWrap w:val="0"/>
                  <w:vAlign w:val="center"/>
                </w:tcPr>
                <w:p w14:paraId="7F86C8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lang w:val="en-US"/>
                    </w:rPr>
                  </w:pPr>
                  <w:r>
                    <w:rPr>
                      <w:rFonts w:hint="eastAsia" w:ascii="宋体" w:hAnsi="宋体" w:eastAsia="宋体" w:cs="宋体"/>
                      <w:color w:val="auto"/>
                      <w:kern w:val="0"/>
                      <w:sz w:val="21"/>
                      <w:szCs w:val="21"/>
                      <w:highlight w:val="none"/>
                      <w:lang w:val="en-US" w:eastAsia="zh-CN" w:bidi="ar"/>
                    </w:rPr>
                    <w:t>烘</w:t>
                  </w:r>
                  <w:r>
                    <w:rPr>
                      <w:rFonts w:hint="default" w:ascii="Times New Roman" w:hAnsi="Times New Roman" w:eastAsia="宋体" w:cs="Times New Roman"/>
                      <w:color w:val="auto"/>
                      <w:kern w:val="0"/>
                      <w:sz w:val="21"/>
                      <w:szCs w:val="21"/>
                      <w:highlight w:val="none"/>
                      <w:lang w:val="en-US" w:eastAsia="zh-CN" w:bidi="ar"/>
                    </w:rPr>
                    <w:t>干塔设置</w:t>
                  </w:r>
                  <w:r>
                    <w:rPr>
                      <w:rFonts w:hint="default" w:ascii="Times New Roman" w:hAnsi="Times New Roman"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座，</w:t>
                  </w:r>
                  <w:r>
                    <w:rPr>
                      <w:rFonts w:hint="default" w:ascii="Times New Roman" w:hAnsi="Times New Roman" w:cs="Times New Roman"/>
                      <w:color w:val="auto"/>
                      <w:kern w:val="0"/>
                      <w:sz w:val="21"/>
                      <w:szCs w:val="21"/>
                      <w:highlight w:val="none"/>
                      <w:lang w:val="en-US" w:eastAsia="zh-CN" w:bidi="ar"/>
                    </w:rPr>
                    <w:t>烘干塔塔高2</w:t>
                  </w:r>
                  <w:r>
                    <w:rPr>
                      <w:rFonts w:hint="eastAsia" w:cs="Times New Roman"/>
                      <w:color w:val="auto"/>
                      <w:kern w:val="0"/>
                      <w:sz w:val="21"/>
                      <w:szCs w:val="21"/>
                      <w:highlight w:val="none"/>
                      <w:lang w:val="en-US" w:eastAsia="zh-CN" w:bidi="ar"/>
                    </w:rPr>
                    <w:t>5</w:t>
                  </w:r>
                  <w:r>
                    <w:rPr>
                      <w:rFonts w:hint="default" w:ascii="Times New Roman" w:hAnsi="Times New Roman"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lang w:val="en-US" w:eastAsia="zh-CN" w:bidi="ar"/>
                    </w:rPr>
                    <w:t>烘干塔烘干能力</w:t>
                  </w:r>
                  <w:r>
                    <w:rPr>
                      <w:rFonts w:hint="eastAsia" w:cs="Times New Roman"/>
                      <w:color w:val="auto"/>
                      <w:kern w:val="0"/>
                      <w:sz w:val="21"/>
                      <w:szCs w:val="21"/>
                      <w:highlight w:val="none"/>
                      <w:lang w:val="en-US" w:eastAsia="zh-CN" w:bidi="ar"/>
                    </w:rPr>
                    <w:t>500</w:t>
                  </w:r>
                  <w:r>
                    <w:rPr>
                      <w:rFonts w:hint="default" w:ascii="Times New Roman" w:hAnsi="Times New Roman" w:eastAsia="宋体" w:cs="Times New Roman"/>
                      <w:color w:val="auto"/>
                      <w:kern w:val="0"/>
                      <w:sz w:val="21"/>
                      <w:szCs w:val="21"/>
                      <w:highlight w:val="none"/>
                      <w:lang w:val="en-US" w:eastAsia="zh-CN" w:bidi="ar"/>
                    </w:rPr>
                    <w:t>t/d</w:t>
                  </w:r>
                </w:p>
              </w:tc>
            </w:tr>
            <w:tr w14:paraId="4E1A3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12D05DE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二</w:t>
                  </w:r>
                </w:p>
              </w:tc>
              <w:tc>
                <w:tcPr>
                  <w:tcW w:w="7100" w:type="dxa"/>
                  <w:gridSpan w:val="2"/>
                  <w:tcBorders>
                    <w:bottom w:val="single" w:color="auto" w:sz="4" w:space="0"/>
                  </w:tcBorders>
                  <w:noWrap w:val="0"/>
                  <w:vAlign w:val="center"/>
                </w:tcPr>
                <w:p w14:paraId="119B8A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highlight w:val="none"/>
                      <w:lang w:eastAsia="zh-CN"/>
                    </w:rPr>
                  </w:pPr>
                  <w:r>
                    <w:rPr>
                      <w:rFonts w:hint="eastAsia"/>
                      <w:color w:val="auto"/>
                      <w:sz w:val="21"/>
                      <w:szCs w:val="21"/>
                      <w:highlight w:val="none"/>
                      <w:lang w:eastAsia="zh-CN"/>
                    </w:rPr>
                    <w:t>储运工程</w:t>
                  </w:r>
                </w:p>
              </w:tc>
            </w:tr>
            <w:tr w14:paraId="6DEC0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6824E9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775" w:type="dxa"/>
                  <w:tcBorders>
                    <w:bottom w:val="single" w:color="auto" w:sz="4" w:space="0"/>
                  </w:tcBorders>
                  <w:noWrap w:val="0"/>
                  <w:vAlign w:val="center"/>
                </w:tcPr>
                <w:p w14:paraId="63E93BC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原料堆场</w:t>
                  </w:r>
                </w:p>
              </w:tc>
              <w:tc>
                <w:tcPr>
                  <w:tcW w:w="5325" w:type="dxa"/>
                  <w:tcBorders>
                    <w:bottom w:val="single" w:color="auto" w:sz="4" w:space="0"/>
                  </w:tcBorders>
                  <w:noWrap w:val="0"/>
                  <w:vAlign w:val="center"/>
                </w:tcPr>
                <w:p w14:paraId="6516B2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 2000m</w:t>
                  </w:r>
                  <w:r>
                    <w:rPr>
                      <w:rFonts w:hint="eastAsia"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的硬化地面原料堆场一座，用于储存原粮，最大存放能力约为7600t，高度最高取 6米，原料堆场加盖苦布</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设置防风抑尘网</w:t>
                  </w:r>
                  <w:r>
                    <w:rPr>
                      <w:rFonts w:hint="eastAsia" w:ascii="Times New Roman" w:hAnsi="Times New Roman" w:eastAsia="宋体" w:cs="Times New Roman"/>
                      <w:color w:val="auto"/>
                      <w:sz w:val="21"/>
                      <w:szCs w:val="21"/>
                      <w:highlight w:val="none"/>
                      <w:lang w:val="en-US" w:eastAsia="zh-CN"/>
                    </w:rPr>
                    <w:t>。</w:t>
                  </w:r>
                </w:p>
              </w:tc>
            </w:tr>
            <w:tr w14:paraId="1A5BE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7C24316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775" w:type="dxa"/>
                  <w:tcBorders>
                    <w:bottom w:val="single" w:color="auto" w:sz="4" w:space="0"/>
                  </w:tcBorders>
                  <w:noWrap w:val="0"/>
                  <w:vAlign w:val="center"/>
                </w:tcPr>
                <w:p w14:paraId="585CE9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成品库</w:t>
                  </w:r>
                </w:p>
              </w:tc>
              <w:tc>
                <w:tcPr>
                  <w:tcW w:w="5325" w:type="dxa"/>
                  <w:tcBorders>
                    <w:bottom w:val="single" w:color="auto" w:sz="4" w:space="0"/>
                  </w:tcBorders>
                  <w:noWrap w:val="0"/>
                  <w:vAlign w:val="center"/>
                </w:tcPr>
                <w:p w14:paraId="5012DB6F">
                  <w:pPr>
                    <w:keepNext w:val="0"/>
                    <w:keepLines w:val="0"/>
                    <w:widowControl/>
                    <w:suppressLineNumbers w:val="0"/>
                    <w:jc w:val="left"/>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0"/>
                      <w:szCs w:val="20"/>
                      <w:lang w:val="en-US" w:eastAsia="zh-CN" w:bidi="ar"/>
                    </w:rPr>
                    <w:t>成品库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座，建筑面积均为</w:t>
                  </w:r>
                  <w:r>
                    <w:rPr>
                      <w:rFonts w:hint="default" w:ascii="Times New Roman" w:hAnsi="Times New Roman" w:eastAsia="宋体" w:cs="Times New Roman"/>
                      <w:color w:val="auto"/>
                      <w:kern w:val="0"/>
                      <w:sz w:val="20"/>
                      <w:szCs w:val="20"/>
                      <w:lang w:val="en-US" w:eastAsia="zh-CN" w:bidi="ar"/>
                    </w:rPr>
                    <w:t>3129.69m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，用于储存成品粮食，最大储量为</w:t>
                  </w:r>
                  <w:r>
                    <w:rPr>
                      <w:rFonts w:hint="default" w:ascii="Times New Roman" w:hAnsi="Times New Roman" w:eastAsia="宋体" w:cs="Times New Roman"/>
                      <w:color w:val="auto"/>
                      <w:kern w:val="0"/>
                      <w:sz w:val="20"/>
                      <w:szCs w:val="20"/>
                      <w:lang w:val="en-US" w:eastAsia="zh-CN" w:bidi="ar"/>
                    </w:rPr>
                    <w:t>3</w:t>
                  </w:r>
                  <w:r>
                    <w:rPr>
                      <w:rFonts w:hint="eastAsia" w:ascii="宋体" w:hAnsi="宋体" w:eastAsia="宋体" w:cs="宋体"/>
                      <w:color w:val="auto"/>
                      <w:kern w:val="0"/>
                      <w:sz w:val="20"/>
                      <w:szCs w:val="20"/>
                      <w:lang w:val="en-US" w:eastAsia="zh-CN" w:bidi="ar"/>
                    </w:rPr>
                    <w:t>万</w:t>
                  </w:r>
                  <w:r>
                    <w:rPr>
                      <w:rFonts w:hint="default" w:ascii="Times New Roman" w:hAnsi="Times New Roman" w:eastAsia="宋体" w:cs="Times New Roman"/>
                      <w:color w:val="auto"/>
                      <w:kern w:val="0"/>
                      <w:sz w:val="20"/>
                      <w:szCs w:val="20"/>
                      <w:lang w:val="en-US" w:eastAsia="zh-CN" w:bidi="ar"/>
                    </w:rPr>
                    <w:t>t</w:t>
                  </w:r>
                  <w:r>
                    <w:rPr>
                      <w:rFonts w:hint="eastAsia" w:ascii="宋体" w:hAnsi="宋体" w:eastAsia="宋体" w:cs="宋体"/>
                      <w:color w:val="auto"/>
                      <w:kern w:val="0"/>
                      <w:sz w:val="20"/>
                      <w:szCs w:val="20"/>
                      <w:lang w:val="en-US" w:eastAsia="zh-CN" w:bidi="ar"/>
                    </w:rPr>
                    <w:t>，堆粮</w:t>
                  </w:r>
                  <w:r>
                    <w:rPr>
                      <w:rFonts w:hint="default" w:ascii="Times New Roman" w:hAnsi="Times New Roman" w:eastAsia="宋体" w:cs="Times New Roman"/>
                      <w:color w:val="auto"/>
                      <w:kern w:val="0"/>
                      <w:sz w:val="20"/>
                      <w:szCs w:val="20"/>
                      <w:lang w:val="en-US" w:eastAsia="zh-CN" w:bidi="ar"/>
                    </w:rPr>
                    <w:t>6.5m</w:t>
                  </w:r>
                  <w:r>
                    <w:rPr>
                      <w:rFonts w:hint="eastAsia" w:ascii="宋体" w:hAnsi="宋体" w:eastAsia="宋体" w:cs="宋体"/>
                      <w:color w:val="auto"/>
                      <w:kern w:val="0"/>
                      <w:sz w:val="20"/>
                      <w:szCs w:val="20"/>
                      <w:lang w:val="en-US" w:eastAsia="zh-CN" w:bidi="ar"/>
                    </w:rPr>
                    <w:t>。</w:t>
                  </w:r>
                </w:p>
              </w:tc>
            </w:tr>
            <w:tr w14:paraId="1093C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552E1B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775" w:type="dxa"/>
                  <w:tcBorders>
                    <w:bottom w:val="single" w:color="auto" w:sz="4" w:space="0"/>
                  </w:tcBorders>
                  <w:noWrap w:val="0"/>
                  <w:vAlign w:val="center"/>
                </w:tcPr>
                <w:p w14:paraId="5423216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平房仓</w:t>
                  </w:r>
                </w:p>
              </w:tc>
              <w:tc>
                <w:tcPr>
                  <w:tcW w:w="5325" w:type="dxa"/>
                  <w:tcBorders>
                    <w:bottom w:val="single" w:color="auto" w:sz="4" w:space="0"/>
                  </w:tcBorders>
                  <w:noWrap w:val="0"/>
                  <w:vAlign w:val="center"/>
                </w:tcPr>
                <w:p w14:paraId="65C5DDE7">
                  <w:pPr>
                    <w:keepNext w:val="0"/>
                    <w:keepLines w:val="0"/>
                    <w:widowControl/>
                    <w:suppressLineNumbers w:val="0"/>
                    <w:jc w:val="left"/>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座，</w:t>
                  </w: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1#</w:t>
                  </w:r>
                  <w:r>
                    <w:rPr>
                      <w:rFonts w:hint="eastAsia" w:ascii="宋体" w:hAnsi="宋体" w:eastAsia="宋体" w:cs="宋体"/>
                      <w:color w:val="auto"/>
                      <w:kern w:val="0"/>
                      <w:sz w:val="20"/>
                      <w:szCs w:val="20"/>
                      <w:lang w:val="en-US" w:eastAsia="zh-CN" w:bidi="ar"/>
                    </w:rPr>
                    <w:t>建筑面积为</w:t>
                  </w:r>
                  <w:r>
                    <w:rPr>
                      <w:rFonts w:hint="default" w:ascii="Times New Roman" w:hAnsi="Times New Roman" w:eastAsia="宋体" w:cs="Times New Roman"/>
                      <w:color w:val="auto"/>
                      <w:kern w:val="0"/>
                      <w:sz w:val="20"/>
                      <w:szCs w:val="20"/>
                      <w:lang w:val="en-US" w:eastAsia="zh-CN" w:bidi="ar"/>
                    </w:rPr>
                    <w:t>920m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w:t>
                  </w:r>
                  <w:r>
                    <w:rPr>
                      <w:rFonts w:hint="eastAsia" w:cs="Times New Roman"/>
                      <w:color w:val="auto"/>
                      <w:sz w:val="21"/>
                      <w:szCs w:val="21"/>
                      <w:highlight w:val="none"/>
                      <w:lang w:val="en-US" w:eastAsia="zh-CN"/>
                    </w:rPr>
                    <w:t>平房仓</w:t>
                  </w:r>
                  <w:r>
                    <w:rPr>
                      <w:rFonts w:hint="default" w:ascii="Times New Roman" w:hAnsi="Times New Roman" w:eastAsia="宋体" w:cs="Times New Roman"/>
                      <w:color w:val="auto"/>
                      <w:kern w:val="0"/>
                      <w:sz w:val="20"/>
                      <w:szCs w:val="20"/>
                      <w:lang w:val="en-US" w:eastAsia="zh-CN" w:bidi="ar"/>
                    </w:rPr>
                    <w:t>2#</w:t>
                  </w:r>
                  <w:r>
                    <w:rPr>
                      <w:rFonts w:hint="eastAsia" w:ascii="宋体" w:hAnsi="宋体" w:eastAsia="宋体" w:cs="宋体"/>
                      <w:color w:val="auto"/>
                      <w:kern w:val="0"/>
                      <w:sz w:val="20"/>
                      <w:szCs w:val="20"/>
                      <w:lang w:val="en-US" w:eastAsia="zh-CN" w:bidi="ar"/>
                    </w:rPr>
                    <w:t>建筑面积为</w:t>
                  </w:r>
                  <w:r>
                    <w:rPr>
                      <w:rFonts w:hint="default" w:ascii="Times New Roman" w:hAnsi="Times New Roman" w:eastAsia="宋体" w:cs="Times New Roman"/>
                      <w:color w:val="auto"/>
                      <w:kern w:val="0"/>
                      <w:sz w:val="20"/>
                      <w:szCs w:val="20"/>
                      <w:lang w:val="en-US" w:eastAsia="zh-CN" w:bidi="ar"/>
                    </w:rPr>
                    <w:t>1306m</w:t>
                  </w:r>
                  <w:r>
                    <w:rPr>
                      <w:rFonts w:hint="eastAsia" w:ascii="Times New Roman" w:hAnsi="Times New Roman" w:eastAsia="宋体" w:cs="Times New Roman"/>
                      <w:color w:val="auto"/>
                      <w:kern w:val="0"/>
                      <w:sz w:val="20"/>
                      <w:szCs w:val="20"/>
                      <w:vertAlign w:val="superscript"/>
                      <w:lang w:val="en-US" w:eastAsia="zh-CN" w:bidi="ar"/>
                    </w:rPr>
                    <w:t>2</w:t>
                  </w:r>
                  <w:r>
                    <w:rPr>
                      <w:rFonts w:hint="eastAsia" w:ascii="宋体" w:hAnsi="宋体" w:eastAsia="宋体" w:cs="宋体"/>
                      <w:color w:val="auto"/>
                      <w:kern w:val="0"/>
                      <w:sz w:val="20"/>
                      <w:szCs w:val="20"/>
                      <w:lang w:val="en-US" w:eastAsia="zh-CN" w:bidi="ar"/>
                    </w:rPr>
                    <w:t>，最大储量为</w:t>
                  </w:r>
                  <w:r>
                    <w:rPr>
                      <w:rFonts w:hint="default" w:ascii="Times New Roman" w:hAnsi="Times New Roman" w:eastAsia="宋体" w:cs="Times New Roman"/>
                      <w:color w:val="auto"/>
                      <w:kern w:val="0"/>
                      <w:sz w:val="20"/>
                      <w:szCs w:val="20"/>
                      <w:lang w:val="en-US" w:eastAsia="zh-CN" w:bidi="ar"/>
                    </w:rPr>
                    <w:t>9000t</w:t>
                  </w:r>
                  <w:r>
                    <w:rPr>
                      <w:rFonts w:hint="eastAsia" w:ascii="宋体" w:hAnsi="宋体" w:eastAsia="宋体" w:cs="宋体"/>
                      <w:color w:val="auto"/>
                      <w:kern w:val="0"/>
                      <w:sz w:val="20"/>
                      <w:szCs w:val="20"/>
                      <w:lang w:val="en-US" w:eastAsia="zh-CN" w:bidi="ar"/>
                    </w:rPr>
                    <w:t xml:space="preserve">，堆粮 </w:t>
                  </w:r>
                  <w:r>
                    <w:rPr>
                      <w:rFonts w:hint="default" w:ascii="Times New Roman" w:hAnsi="Times New Roman" w:eastAsia="宋体" w:cs="Times New Roman"/>
                      <w:color w:val="auto"/>
                      <w:kern w:val="0"/>
                      <w:sz w:val="20"/>
                      <w:szCs w:val="20"/>
                      <w:lang w:val="en-US" w:eastAsia="zh-CN" w:bidi="ar"/>
                    </w:rPr>
                    <w:t>6.5m</w:t>
                  </w:r>
                  <w:r>
                    <w:rPr>
                      <w:rFonts w:hint="eastAsia" w:ascii="宋体" w:hAnsi="宋体" w:eastAsia="宋体" w:cs="宋体"/>
                      <w:color w:val="auto"/>
                      <w:kern w:val="0"/>
                      <w:sz w:val="20"/>
                      <w:szCs w:val="20"/>
                      <w:lang w:val="en-US" w:eastAsia="zh-CN" w:bidi="ar"/>
                    </w:rPr>
                    <w:t>。</w:t>
                  </w:r>
                </w:p>
              </w:tc>
            </w:tr>
            <w:tr w14:paraId="44DA5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1C72B0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775" w:type="dxa"/>
                  <w:tcBorders>
                    <w:bottom w:val="single" w:color="auto" w:sz="4" w:space="0"/>
                  </w:tcBorders>
                  <w:noWrap w:val="0"/>
                  <w:vAlign w:val="center"/>
                </w:tcPr>
                <w:p w14:paraId="5E04502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原粮仓</w:t>
                  </w:r>
                </w:p>
              </w:tc>
              <w:tc>
                <w:tcPr>
                  <w:tcW w:w="5325" w:type="dxa"/>
                  <w:tcBorders>
                    <w:bottom w:val="single" w:color="auto" w:sz="4" w:space="0"/>
                  </w:tcBorders>
                  <w:noWrap w:val="0"/>
                  <w:vAlign w:val="center"/>
                </w:tcPr>
                <w:p w14:paraId="7CEC606D">
                  <w:pPr>
                    <w:keepNext w:val="0"/>
                    <w:keepLines w:val="0"/>
                    <w:widowControl/>
                    <w:suppressLineNumbers w:val="0"/>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2座原粮仓，储存能力为900t。</w:t>
                  </w:r>
                </w:p>
              </w:tc>
            </w:tr>
            <w:tr w14:paraId="1A8A9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3286E0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775" w:type="dxa"/>
                  <w:tcBorders>
                    <w:bottom w:val="single" w:color="auto" w:sz="4" w:space="0"/>
                  </w:tcBorders>
                  <w:noWrap w:val="0"/>
                  <w:vAlign w:val="center"/>
                </w:tcPr>
                <w:p w14:paraId="33F58A6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生物质料仓</w:t>
                  </w:r>
                </w:p>
              </w:tc>
              <w:tc>
                <w:tcPr>
                  <w:tcW w:w="5325" w:type="dxa"/>
                  <w:tcBorders>
                    <w:bottom w:val="single" w:color="auto" w:sz="4" w:space="0"/>
                  </w:tcBorders>
                  <w:noWrap w:val="0"/>
                  <w:vAlign w:val="center"/>
                </w:tcPr>
                <w:p w14:paraId="71E1C10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在热风炉房内设置1座封闭的10m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生物质料仓，用于储存生物质成型燃料，储存方式为袋装储存最大储存能力为40t。</w:t>
                  </w:r>
                </w:p>
              </w:tc>
            </w:tr>
            <w:tr w14:paraId="42A56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6175E0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775" w:type="dxa"/>
                  <w:tcBorders>
                    <w:bottom w:val="single" w:color="auto" w:sz="4" w:space="0"/>
                  </w:tcBorders>
                  <w:noWrap w:val="0"/>
                  <w:vAlign w:val="center"/>
                </w:tcPr>
                <w:p w14:paraId="3EFB8A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灰渣仓</w:t>
                  </w:r>
                </w:p>
              </w:tc>
              <w:tc>
                <w:tcPr>
                  <w:tcW w:w="5325" w:type="dxa"/>
                  <w:tcBorders>
                    <w:bottom w:val="single" w:color="auto" w:sz="4" w:space="0"/>
                  </w:tcBorders>
                  <w:noWrap w:val="0"/>
                  <w:vAlign w:val="center"/>
                </w:tcPr>
                <w:p w14:paraId="714859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建设一座 150m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的灰渣仓一座，位于热风炉房内，用于存放本项目锅炉产生的草木灰，封闭存放于灰渣仓中。本项目灰渣仓容及为150m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，本项目灰仓最大存量为390t，本项目灰仓可满足全年灰渣储存的需求，本项目灰渣转运周期为3~7天。冬季不利转运情况下也可储存在本项目灰仓中。</w:t>
                  </w:r>
                </w:p>
              </w:tc>
            </w:tr>
            <w:tr w14:paraId="35DBD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3369F8A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三</w:t>
                  </w:r>
                </w:p>
              </w:tc>
              <w:tc>
                <w:tcPr>
                  <w:tcW w:w="7100" w:type="dxa"/>
                  <w:gridSpan w:val="2"/>
                  <w:tcBorders>
                    <w:bottom w:val="single" w:color="auto" w:sz="4" w:space="0"/>
                  </w:tcBorders>
                  <w:noWrap w:val="0"/>
                  <w:vAlign w:val="center"/>
                </w:tcPr>
                <w:p w14:paraId="00A1954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公用工程</w:t>
                  </w:r>
                </w:p>
              </w:tc>
            </w:tr>
            <w:tr w14:paraId="6F357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084EA9A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775" w:type="dxa"/>
                  <w:tcBorders>
                    <w:bottom w:val="single" w:color="auto" w:sz="4" w:space="0"/>
                  </w:tcBorders>
                  <w:noWrap w:val="0"/>
                  <w:vAlign w:val="center"/>
                </w:tcPr>
                <w:p w14:paraId="20F3467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办公区</w:t>
                  </w:r>
                </w:p>
              </w:tc>
              <w:tc>
                <w:tcPr>
                  <w:tcW w:w="5325" w:type="dxa"/>
                  <w:tcBorders>
                    <w:bottom w:val="single" w:color="auto" w:sz="4" w:space="0"/>
                  </w:tcBorders>
                  <w:noWrap w:val="0"/>
                  <w:vAlign w:val="center"/>
                </w:tcPr>
                <w:p w14:paraId="0B5897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办公楼1栋为3层建筑，建筑面积1000m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，本项目不设置食堂及宿舍。</w:t>
                  </w:r>
                </w:p>
              </w:tc>
            </w:tr>
            <w:tr w14:paraId="0D0D3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23F4328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775" w:type="dxa"/>
                  <w:tcBorders>
                    <w:bottom w:val="single" w:color="auto" w:sz="4" w:space="0"/>
                  </w:tcBorders>
                  <w:noWrap w:val="0"/>
                  <w:vAlign w:val="center"/>
                </w:tcPr>
                <w:p w14:paraId="5BC98B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锅炉房</w:t>
                  </w:r>
                </w:p>
              </w:tc>
              <w:tc>
                <w:tcPr>
                  <w:tcW w:w="5325" w:type="dxa"/>
                  <w:tcBorders>
                    <w:bottom w:val="single" w:color="auto" w:sz="4" w:space="0"/>
                  </w:tcBorders>
                  <w:noWrap w:val="0"/>
                  <w:vAlign w:val="center"/>
                </w:tcPr>
                <w:p w14:paraId="7024665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建筑面积50m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，位于办公楼南侧，内设一台0.5t/h生物质锅炉，为办公区冬季供暖。</w:t>
                  </w:r>
                </w:p>
              </w:tc>
            </w:tr>
            <w:tr w14:paraId="7A6CF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tcBorders>
                    <w:bottom w:val="single" w:color="auto" w:sz="4" w:space="0"/>
                  </w:tcBorders>
                  <w:noWrap w:val="0"/>
                  <w:vAlign w:val="center"/>
                </w:tcPr>
                <w:p w14:paraId="1FFD9F3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1775" w:type="dxa"/>
                  <w:tcBorders>
                    <w:bottom w:val="single" w:color="auto" w:sz="4" w:space="0"/>
                  </w:tcBorders>
                  <w:noWrap w:val="0"/>
                  <w:vAlign w:val="center"/>
                </w:tcPr>
                <w:p w14:paraId="604869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软化水系统</w:t>
                  </w:r>
                </w:p>
              </w:tc>
              <w:tc>
                <w:tcPr>
                  <w:tcW w:w="5325" w:type="dxa"/>
                  <w:tcBorders>
                    <w:bottom w:val="single" w:color="auto" w:sz="4" w:space="0"/>
                  </w:tcBorders>
                  <w:noWrap w:val="0"/>
                  <w:vAlign w:val="center"/>
                </w:tcPr>
                <w:p w14:paraId="3BDC46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软化水设备一套，处理规模为1th，软化水设备制水效率本项目取85%，本项目软化水系统工艺为：离子交换原理。本项目不设置树脂再生工段，离子交换树脂交厂家回收处置。</w:t>
                  </w:r>
                </w:p>
              </w:tc>
            </w:tr>
            <w:tr w14:paraId="4C4EEB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noWrap w:val="0"/>
                  <w:vAlign w:val="center"/>
                </w:tcPr>
                <w:p w14:paraId="23353AB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四</w:t>
                  </w:r>
                </w:p>
              </w:tc>
              <w:tc>
                <w:tcPr>
                  <w:tcW w:w="7100" w:type="dxa"/>
                  <w:gridSpan w:val="2"/>
                  <w:noWrap w:val="0"/>
                  <w:vAlign w:val="center"/>
                </w:tcPr>
                <w:p w14:paraId="60064A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公用工程</w:t>
                  </w:r>
                </w:p>
              </w:tc>
            </w:tr>
            <w:tr w14:paraId="37D00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noWrap w:val="0"/>
                  <w:vAlign w:val="center"/>
                </w:tcPr>
                <w:p w14:paraId="7BB7D09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1</w:t>
                  </w:r>
                </w:p>
              </w:tc>
              <w:tc>
                <w:tcPr>
                  <w:tcW w:w="1775" w:type="dxa"/>
                  <w:noWrap w:val="0"/>
                  <w:vAlign w:val="center"/>
                </w:tcPr>
                <w:p w14:paraId="3E35C1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给水系统</w:t>
                  </w:r>
                </w:p>
              </w:tc>
              <w:tc>
                <w:tcPr>
                  <w:tcW w:w="5325" w:type="dxa"/>
                  <w:noWrap w:val="0"/>
                  <w:vAlign w:val="center"/>
                </w:tcPr>
                <w:p w14:paraId="70644130">
                  <w:pPr>
                    <w:keepNext w:val="0"/>
                    <w:keepLines w:val="0"/>
                    <w:widowControl/>
                    <w:suppressLineNumbers w:val="0"/>
                    <w:jc w:val="center"/>
                    <w:rPr>
                      <w:rFonts w:hint="default"/>
                      <w:color w:val="auto"/>
                      <w:sz w:val="21"/>
                      <w:szCs w:val="21"/>
                      <w:highlight w:val="none"/>
                      <w:lang w:val="en-US"/>
                    </w:rPr>
                  </w:pPr>
                  <w:r>
                    <w:rPr>
                      <w:rFonts w:hint="eastAsia" w:ascii="Times New Roman" w:hAnsi="Times New Roman" w:cs="Times New Roman"/>
                      <w:color w:val="auto"/>
                      <w:sz w:val="21"/>
                      <w:szCs w:val="21"/>
                      <w:highlight w:val="none"/>
                      <w:lang w:eastAsia="zh-CN"/>
                    </w:rPr>
                    <w:t>本</w:t>
                  </w:r>
                  <w:r>
                    <w:rPr>
                      <w:rFonts w:hint="eastAsia" w:ascii="宋体" w:hAnsi="宋体" w:eastAsia="宋体" w:cs="宋体"/>
                      <w:color w:val="auto"/>
                      <w:kern w:val="0"/>
                      <w:sz w:val="20"/>
                      <w:szCs w:val="20"/>
                      <w:lang w:val="en-US" w:eastAsia="zh-CN" w:bidi="ar"/>
                    </w:rPr>
                    <w:t>项目职工生活用水由和锅炉补水由外购水提供</w:t>
                  </w:r>
                </w:p>
              </w:tc>
            </w:tr>
            <w:tr w14:paraId="4C2C0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noWrap w:val="0"/>
                  <w:vAlign w:val="center"/>
                </w:tcPr>
                <w:p w14:paraId="47A47A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2</w:t>
                  </w:r>
                </w:p>
              </w:tc>
              <w:tc>
                <w:tcPr>
                  <w:tcW w:w="1775" w:type="dxa"/>
                  <w:noWrap w:val="0"/>
                  <w:vAlign w:val="center"/>
                </w:tcPr>
                <w:p w14:paraId="35CFD2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排水系统</w:t>
                  </w:r>
                </w:p>
              </w:tc>
              <w:tc>
                <w:tcPr>
                  <w:tcW w:w="5325" w:type="dxa"/>
                  <w:noWrap w:val="0"/>
                  <w:vAlign w:val="center"/>
                </w:tcPr>
                <w:p w14:paraId="78F48B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eastAsia"/>
                      <w:color w:val="auto"/>
                      <w:sz w:val="21"/>
                      <w:szCs w:val="21"/>
                      <w:highlight w:val="none"/>
                    </w:rPr>
                    <w:t>生活污水排放至防渗旱厕，定期清掏，外运堆肥。锅炉排污水作为灰仓、厂区</w:t>
                  </w:r>
                  <w:r>
                    <w:rPr>
                      <w:rFonts w:hint="eastAsia"/>
                      <w:color w:val="auto"/>
                      <w:sz w:val="21"/>
                      <w:szCs w:val="21"/>
                      <w:highlight w:val="none"/>
                      <w:lang w:eastAsia="zh-CN"/>
                    </w:rPr>
                    <w:t>洒</w:t>
                  </w:r>
                  <w:r>
                    <w:rPr>
                      <w:rFonts w:hint="eastAsia"/>
                      <w:color w:val="auto"/>
                      <w:sz w:val="21"/>
                      <w:szCs w:val="21"/>
                      <w:highlight w:val="none"/>
                    </w:rPr>
                    <w:t>水降尘，软化废水用于锅炉房擦拭地面，不外排。</w:t>
                  </w:r>
                </w:p>
              </w:tc>
            </w:tr>
            <w:tr w14:paraId="7828A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tcBorders>
                    <w:bottom w:val="nil"/>
                  </w:tcBorders>
                  <w:noWrap w:val="0"/>
                  <w:vAlign w:val="center"/>
                </w:tcPr>
                <w:p w14:paraId="59B59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3</w:t>
                  </w:r>
                </w:p>
              </w:tc>
              <w:tc>
                <w:tcPr>
                  <w:tcW w:w="1775" w:type="dxa"/>
                  <w:tcBorders>
                    <w:bottom w:val="nil"/>
                  </w:tcBorders>
                  <w:noWrap w:val="0"/>
                  <w:vAlign w:val="center"/>
                </w:tcPr>
                <w:p w14:paraId="4C6925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供电工程</w:t>
                  </w:r>
                </w:p>
              </w:tc>
              <w:tc>
                <w:tcPr>
                  <w:tcW w:w="5325" w:type="dxa"/>
                  <w:tcBorders>
                    <w:bottom w:val="nil"/>
                  </w:tcBorders>
                  <w:noWrap w:val="0"/>
                  <w:vAlign w:val="center"/>
                </w:tcPr>
                <w:p w14:paraId="040E5A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rPr>
                    <w:t>由当地供电所提供</w:t>
                  </w:r>
                  <w:r>
                    <w:rPr>
                      <w:rFonts w:hint="eastAsia"/>
                      <w:color w:val="auto"/>
                      <w:sz w:val="21"/>
                      <w:szCs w:val="21"/>
                      <w:highlight w:val="none"/>
                      <w:lang w:eastAsia="zh-CN"/>
                    </w:rPr>
                    <w:t>。</w:t>
                  </w:r>
                </w:p>
              </w:tc>
            </w:tr>
            <w:tr w14:paraId="487CF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noWrap w:val="0"/>
                  <w:vAlign w:val="center"/>
                </w:tcPr>
                <w:p w14:paraId="3E01EF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4</w:t>
                  </w:r>
                </w:p>
              </w:tc>
              <w:tc>
                <w:tcPr>
                  <w:tcW w:w="1775" w:type="dxa"/>
                  <w:noWrap w:val="0"/>
                  <w:vAlign w:val="center"/>
                </w:tcPr>
                <w:p w14:paraId="2ED0795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color w:val="auto"/>
                      <w:sz w:val="21"/>
                      <w:szCs w:val="21"/>
                      <w:highlight w:val="none"/>
                    </w:rPr>
                    <w:t>供热工程</w:t>
                  </w:r>
                </w:p>
              </w:tc>
              <w:tc>
                <w:tcPr>
                  <w:tcW w:w="5325" w:type="dxa"/>
                  <w:noWrap w:val="0"/>
                  <w:vAlign w:val="center"/>
                </w:tcPr>
                <w:p w14:paraId="4CF1F38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val="en-US" w:eastAsia="zh-CN"/>
                    </w:rPr>
                  </w:pPr>
                  <w:r>
                    <w:rPr>
                      <w:rFonts w:hint="eastAsia" w:cs="Times New Roman"/>
                      <w:color w:val="auto"/>
                      <w:sz w:val="21"/>
                      <w:szCs w:val="21"/>
                      <w:highlight w:val="none"/>
                      <w:lang w:val="en-US" w:eastAsia="zh-CN"/>
                    </w:rPr>
                    <w:t>建设一台0.5t/h生物质锅炉，为办公区冬季供暖。</w:t>
                  </w:r>
                </w:p>
              </w:tc>
            </w:tr>
            <w:tr w14:paraId="35516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35" w:type="dxa"/>
                  <w:noWrap w:val="0"/>
                  <w:vAlign w:val="center"/>
                </w:tcPr>
                <w:p w14:paraId="3E07F68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五</w:t>
                  </w:r>
                </w:p>
              </w:tc>
              <w:tc>
                <w:tcPr>
                  <w:tcW w:w="7100" w:type="dxa"/>
                  <w:gridSpan w:val="2"/>
                  <w:noWrap w:val="0"/>
                  <w:vAlign w:val="center"/>
                </w:tcPr>
                <w:p w14:paraId="6BB7DAA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环保工程</w:t>
                  </w:r>
                </w:p>
              </w:tc>
            </w:tr>
            <w:tr w14:paraId="3023E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tblHeader/>
                <w:jc w:val="center"/>
              </w:trPr>
              <w:tc>
                <w:tcPr>
                  <w:tcW w:w="835" w:type="dxa"/>
                  <w:noWrap w:val="0"/>
                  <w:vAlign w:val="center"/>
                </w:tcPr>
                <w:p w14:paraId="7D1C731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1</w:t>
                  </w:r>
                </w:p>
              </w:tc>
              <w:tc>
                <w:tcPr>
                  <w:tcW w:w="1775" w:type="dxa"/>
                  <w:noWrap w:val="0"/>
                  <w:vAlign w:val="center"/>
                </w:tcPr>
                <w:p w14:paraId="5AF77B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Ansi="宋体"/>
                      <w:color w:val="auto"/>
                      <w:sz w:val="21"/>
                      <w:szCs w:val="21"/>
                      <w:highlight w:val="none"/>
                      <w:lang w:val="zh-CN"/>
                    </w:rPr>
                    <w:t>废水治理措施</w:t>
                  </w:r>
                </w:p>
              </w:tc>
              <w:tc>
                <w:tcPr>
                  <w:tcW w:w="5325" w:type="dxa"/>
                  <w:noWrap w:val="0"/>
                  <w:vAlign w:val="center"/>
                </w:tcPr>
                <w:p w14:paraId="498EE7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default"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val="en-US" w:eastAsia="zh-CN"/>
                    </w:rPr>
                    <w:t>无工业废水产生；</w:t>
                  </w:r>
                  <w:r>
                    <w:rPr>
                      <w:rFonts w:hint="eastAsia"/>
                      <w:color w:val="auto"/>
                      <w:sz w:val="21"/>
                      <w:szCs w:val="21"/>
                      <w:highlight w:val="none"/>
                    </w:rPr>
                    <w:t>生活污水排放至防渗旱厕，定期清掏，外运堆肥。锅炉排污水作为灰仓、厂区</w:t>
                  </w:r>
                  <w:r>
                    <w:rPr>
                      <w:rFonts w:hint="eastAsia"/>
                      <w:color w:val="auto"/>
                      <w:sz w:val="21"/>
                      <w:szCs w:val="21"/>
                      <w:highlight w:val="none"/>
                      <w:lang w:eastAsia="zh-CN"/>
                    </w:rPr>
                    <w:t>洒</w:t>
                  </w:r>
                  <w:r>
                    <w:rPr>
                      <w:rFonts w:hint="eastAsia"/>
                      <w:color w:val="auto"/>
                      <w:sz w:val="21"/>
                      <w:szCs w:val="21"/>
                      <w:highlight w:val="none"/>
                    </w:rPr>
                    <w:t>水降尘，软化废水用于锅炉房擦拭地面，不外排。</w:t>
                  </w:r>
                </w:p>
              </w:tc>
            </w:tr>
            <w:tr w14:paraId="11F0D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blHeader/>
                <w:jc w:val="center"/>
              </w:trPr>
              <w:tc>
                <w:tcPr>
                  <w:tcW w:w="835" w:type="dxa"/>
                  <w:vMerge w:val="restart"/>
                  <w:noWrap w:val="0"/>
                  <w:vAlign w:val="center"/>
                </w:tcPr>
                <w:p w14:paraId="2766CD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2</w:t>
                  </w:r>
                </w:p>
              </w:tc>
              <w:tc>
                <w:tcPr>
                  <w:tcW w:w="1775" w:type="dxa"/>
                  <w:vMerge w:val="restart"/>
                  <w:noWrap w:val="0"/>
                  <w:vAlign w:val="center"/>
                </w:tcPr>
                <w:p w14:paraId="41E30A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废气治理措施</w:t>
                  </w:r>
                </w:p>
              </w:tc>
              <w:tc>
                <w:tcPr>
                  <w:tcW w:w="5325" w:type="dxa"/>
                  <w:noWrap w:val="0"/>
                  <w:vAlign w:val="center"/>
                </w:tcPr>
                <w:p w14:paraId="33FAE9F8">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热风炉烟气</w:t>
                  </w:r>
                  <w:r>
                    <w:rPr>
                      <w:rFonts w:hint="default" w:ascii="Times New Roman" w:hAnsi="Times New Roman" w:eastAsia="宋体" w:cs="Times New Roman"/>
                      <w:color w:val="auto"/>
                      <w:sz w:val="21"/>
                      <w:szCs w:val="21"/>
                      <w:highlight w:val="none"/>
                      <w:lang w:val="en-US" w:eastAsia="zh-CN"/>
                    </w:rPr>
                    <w:t>：10t</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h生物质热风炉烟气经除尘效率为 99.8%的布袋除尘器处理，颗粒物及二氧化硫排放浓度达到《工业炉窑大气污染物排放标准》(GB9078-1996)表2及表4二级标准限值后，由出口内径 0.</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m，高15m高排气筒排放。</w:t>
                  </w:r>
                </w:p>
              </w:tc>
            </w:tr>
            <w:tr w14:paraId="368B8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blHeader/>
                <w:jc w:val="center"/>
              </w:trPr>
              <w:tc>
                <w:tcPr>
                  <w:tcW w:w="835" w:type="dxa"/>
                  <w:vMerge w:val="continue"/>
                  <w:noWrap w:val="0"/>
                  <w:vAlign w:val="center"/>
                </w:tcPr>
                <w:p w14:paraId="2E4009D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p>
              </w:tc>
              <w:tc>
                <w:tcPr>
                  <w:tcW w:w="1775" w:type="dxa"/>
                  <w:vMerge w:val="continue"/>
                  <w:noWrap w:val="0"/>
                  <w:vAlign w:val="center"/>
                </w:tcPr>
                <w:p w14:paraId="4DCE77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p>
              </w:tc>
              <w:tc>
                <w:tcPr>
                  <w:tcW w:w="5325" w:type="dxa"/>
                  <w:noWrap w:val="0"/>
                  <w:vAlign w:val="center"/>
                </w:tcPr>
                <w:p w14:paraId="73CBB85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锅炉烟气：0.5t/h生物质锅炉烟气经除尘效率为 99.8%的布袋除尘器处理达到《锅炉大气污染物排放标准》(GB13271-2014)表2标准后，由出口内径0.5m，20m高烟囱排放。</w:t>
                  </w:r>
                </w:p>
              </w:tc>
            </w:tr>
            <w:tr w14:paraId="1BF16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4" w:hRule="atLeast"/>
                <w:tblHeader/>
                <w:jc w:val="center"/>
              </w:trPr>
              <w:tc>
                <w:tcPr>
                  <w:tcW w:w="835" w:type="dxa"/>
                  <w:vMerge w:val="continue"/>
                  <w:noWrap w:val="0"/>
                  <w:vAlign w:val="center"/>
                </w:tcPr>
                <w:p w14:paraId="17F8D3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1775" w:type="dxa"/>
                  <w:vMerge w:val="continue"/>
                  <w:noWrap w:val="0"/>
                  <w:vAlign w:val="center"/>
                </w:tcPr>
                <w:p w14:paraId="2AF12B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p>
              </w:tc>
              <w:tc>
                <w:tcPr>
                  <w:tcW w:w="5325" w:type="dxa"/>
                  <w:noWrap w:val="0"/>
                  <w:vAlign w:val="center"/>
                </w:tcPr>
                <w:p w14:paraId="4801D8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采取</w:t>
                  </w:r>
                  <w:r>
                    <w:rPr>
                      <w:rFonts w:hint="eastAsia" w:ascii="Times New Roman" w:hAnsi="Times New Roman" w:eastAsia="宋体" w:cs="Times New Roman"/>
                      <w:color w:val="auto"/>
                      <w:sz w:val="21"/>
                      <w:szCs w:val="21"/>
                      <w:highlight w:val="none"/>
                      <w:lang w:val="en-US" w:eastAsia="zh-CN"/>
                    </w:rPr>
                    <w:t>输送传送带封闭设置，装卸区设置遮挡设施，清选工艺采用封闭式清理筛；烘干塔体</w:t>
                  </w:r>
                  <w:r>
                    <w:rPr>
                      <w:rFonts w:hint="eastAsia" w:cs="Times New Roman"/>
                      <w:color w:val="auto"/>
                      <w:sz w:val="21"/>
                      <w:szCs w:val="21"/>
                      <w:highlight w:val="none"/>
                      <w:lang w:val="en-US" w:eastAsia="zh-CN"/>
                    </w:rPr>
                    <w:t>设置彩钢罩</w:t>
                  </w:r>
                  <w:r>
                    <w:rPr>
                      <w:rFonts w:hint="eastAsia" w:ascii="Times New Roman" w:hAnsi="Times New Roman" w:eastAsia="宋体" w:cs="Times New Roman"/>
                      <w:color w:val="auto"/>
                      <w:sz w:val="21"/>
                      <w:szCs w:val="21"/>
                      <w:highlight w:val="none"/>
                      <w:lang w:val="en-US" w:eastAsia="zh-CN"/>
                    </w:rPr>
                    <w:t>，能有效控制杂质及大粒径粉尘的排放，拦尘效率90%，烘干塔废气经塔体两侧排气孔排出</w:t>
                  </w:r>
                  <w:r>
                    <w:rPr>
                      <w:rFonts w:hint="eastAsia" w:cs="Times New Roman"/>
                      <w:color w:val="auto"/>
                      <w:sz w:val="21"/>
                      <w:szCs w:val="21"/>
                      <w:highlight w:val="none"/>
                      <w:lang w:val="en-US" w:eastAsia="zh-CN"/>
                    </w:rPr>
                    <w:t>，烘干塔塔底设置围挡，沉降的粉尘定期清扫收集。原料堆场加盖苦布，设置防风抑尘网。灰渣仓封闭建设，定期洒水降尘。</w:t>
                  </w:r>
                  <w:r>
                    <w:rPr>
                      <w:rFonts w:hint="eastAsia" w:ascii="Times New Roman" w:hAnsi="Times New Roman" w:eastAsia="宋体" w:cs="Times New Roman"/>
                      <w:color w:val="auto"/>
                      <w:sz w:val="21"/>
                      <w:szCs w:val="21"/>
                      <w:highlight w:val="none"/>
                      <w:lang w:val="en-US" w:eastAsia="zh-CN"/>
                    </w:rPr>
                    <w:t>经上述废气治理措施治理后，本项目无组织排放的颗粒物可满足《大气污染物综合排放标准》（GB16297-1996）表 2 中颗粒物无组织排放监控浓度限值。</w:t>
                  </w:r>
                </w:p>
              </w:tc>
            </w:tr>
            <w:tr w14:paraId="14D4D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blHeader/>
                <w:jc w:val="center"/>
              </w:trPr>
              <w:tc>
                <w:tcPr>
                  <w:tcW w:w="835" w:type="dxa"/>
                  <w:noWrap w:val="0"/>
                  <w:vAlign w:val="center"/>
                </w:tcPr>
                <w:p w14:paraId="2350B0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3</w:t>
                  </w:r>
                </w:p>
              </w:tc>
              <w:tc>
                <w:tcPr>
                  <w:tcW w:w="1775" w:type="dxa"/>
                  <w:noWrap w:val="0"/>
                  <w:vAlign w:val="center"/>
                </w:tcPr>
                <w:p w14:paraId="4FAA0E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Ansi="宋体"/>
                      <w:color w:val="auto"/>
                      <w:sz w:val="21"/>
                      <w:szCs w:val="21"/>
                      <w:highlight w:val="none"/>
                      <w:lang w:val="zh-CN"/>
                    </w:rPr>
                    <w:t>噪声治理措施</w:t>
                  </w:r>
                </w:p>
              </w:tc>
              <w:tc>
                <w:tcPr>
                  <w:tcW w:w="5325" w:type="dxa"/>
                  <w:noWrap w:val="0"/>
                  <w:vAlign w:val="center"/>
                </w:tcPr>
                <w:p w14:paraId="3553AB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选用低噪声设备，通过厂房隔声、基础减振等措施，</w:t>
                  </w:r>
                  <w:r>
                    <w:rPr>
                      <w:rFonts w:hint="eastAsia" w:ascii="Times New Roman" w:hAnsi="Times New Roman" w:eastAsia="宋体" w:cs="Times New Roman"/>
                      <w:color w:val="auto"/>
                      <w:sz w:val="21"/>
                      <w:szCs w:val="21"/>
                      <w:highlight w:val="none"/>
                      <w:lang w:val="en-US" w:eastAsia="zh-CN"/>
                    </w:rPr>
                    <w:t>振动较大的设备采取独立基础，设置减振器，风机进出口均设软管连接等措施，</w:t>
                  </w:r>
                  <w:r>
                    <w:rPr>
                      <w:rFonts w:hint="default" w:ascii="Times New Roman" w:hAnsi="Times New Roman" w:eastAsia="宋体" w:cs="Times New Roman"/>
                      <w:color w:val="auto"/>
                      <w:sz w:val="21"/>
                      <w:szCs w:val="21"/>
                      <w:highlight w:val="none"/>
                      <w:lang w:val="en-US" w:eastAsia="zh-CN"/>
                    </w:rPr>
                    <w:t>限制噪声向外传播，通过厂区距离衰减后厂界噪声可满足《工业企业厂界环境噪声排放标准》（GB12348-2008）表1中</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类标准的要求。</w:t>
                  </w:r>
                </w:p>
              </w:tc>
            </w:tr>
            <w:tr w14:paraId="0649F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4" w:hRule="atLeast"/>
                <w:tblHeader/>
                <w:jc w:val="center"/>
              </w:trPr>
              <w:tc>
                <w:tcPr>
                  <w:tcW w:w="835" w:type="dxa"/>
                  <w:noWrap w:val="0"/>
                  <w:vAlign w:val="center"/>
                </w:tcPr>
                <w:p w14:paraId="14A9799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rPr>
                  </w:pPr>
                  <w:r>
                    <w:rPr>
                      <w:rFonts w:hint="eastAsia"/>
                      <w:color w:val="auto"/>
                      <w:sz w:val="21"/>
                      <w:szCs w:val="21"/>
                      <w:highlight w:val="none"/>
                    </w:rPr>
                    <w:t>4</w:t>
                  </w:r>
                </w:p>
              </w:tc>
              <w:tc>
                <w:tcPr>
                  <w:tcW w:w="1775" w:type="dxa"/>
                  <w:noWrap w:val="0"/>
                  <w:vAlign w:val="center"/>
                </w:tcPr>
                <w:p w14:paraId="686536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Ansi="宋体"/>
                      <w:color w:val="auto"/>
                      <w:sz w:val="21"/>
                      <w:szCs w:val="21"/>
                      <w:highlight w:val="none"/>
                      <w:lang w:val="zh-CN"/>
                    </w:rPr>
                  </w:pPr>
                  <w:r>
                    <w:rPr>
                      <w:rFonts w:hint="eastAsia" w:hAnsi="宋体"/>
                      <w:color w:val="auto"/>
                      <w:sz w:val="21"/>
                      <w:szCs w:val="21"/>
                      <w:highlight w:val="none"/>
                      <w:lang w:val="zh-CN"/>
                    </w:rPr>
                    <w:t>固废治理措施</w:t>
                  </w:r>
                </w:p>
              </w:tc>
              <w:tc>
                <w:tcPr>
                  <w:tcW w:w="5325" w:type="dxa"/>
                  <w:noWrap w:val="0"/>
                  <w:vAlign w:val="center"/>
                </w:tcPr>
                <w:p w14:paraId="5A3D09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Ansi="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项目生活垃圾及筛选杂质市政部门统一进行处置；烘干塔</w:t>
                  </w:r>
                  <w:r>
                    <w:rPr>
                      <w:rFonts w:hint="eastAsia" w:cs="Times New Roman"/>
                      <w:color w:val="auto"/>
                      <w:sz w:val="21"/>
                      <w:szCs w:val="21"/>
                      <w:highlight w:val="none"/>
                      <w:lang w:val="en-US" w:eastAsia="zh-CN"/>
                    </w:rPr>
                    <w:t>围挡</w:t>
                  </w:r>
                  <w:r>
                    <w:rPr>
                      <w:rFonts w:hint="default" w:ascii="Times New Roman" w:hAnsi="Times New Roman" w:eastAsia="宋体" w:cs="Times New Roman"/>
                      <w:color w:val="auto"/>
                      <w:sz w:val="21"/>
                      <w:szCs w:val="21"/>
                      <w:highlight w:val="none"/>
                      <w:lang w:val="en-US" w:eastAsia="zh-CN"/>
                    </w:rPr>
                    <w:t>收尘</w:t>
                  </w:r>
                  <w:r>
                    <w:rPr>
                      <w:rFonts w:hint="eastAsia" w:ascii="Times New Roman" w:hAnsi="Times New Roman" w:eastAsia="宋体" w:cs="Times New Roman"/>
                      <w:color w:val="auto"/>
                      <w:sz w:val="21"/>
                      <w:szCs w:val="21"/>
                      <w:highlight w:val="none"/>
                      <w:lang w:val="en-US" w:eastAsia="zh-CN"/>
                    </w:rPr>
                    <w:t>定期清理装袋</w:t>
                  </w:r>
                  <w:r>
                    <w:rPr>
                      <w:rFonts w:hint="eastAsia" w:cs="Times New Roman"/>
                      <w:color w:val="auto"/>
                      <w:sz w:val="21"/>
                      <w:szCs w:val="21"/>
                      <w:highlight w:val="none"/>
                      <w:lang w:val="en-US" w:eastAsia="zh-CN"/>
                    </w:rPr>
                    <w:t>定期外售综合利用</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锅炉及热风炉产生的炉渣、布袋除尘器收集的粉尘</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收集后</w:t>
                  </w:r>
                  <w:r>
                    <w:rPr>
                      <w:rFonts w:hint="eastAsia" w:cs="Times New Roman"/>
                      <w:color w:val="auto"/>
                      <w:sz w:val="21"/>
                      <w:szCs w:val="21"/>
                      <w:highlight w:val="none"/>
                      <w:lang w:val="en-US" w:eastAsia="zh-CN"/>
                    </w:rPr>
                    <w:t>暂存于全封闭灰渣仓内，定期</w:t>
                  </w:r>
                  <w:r>
                    <w:rPr>
                      <w:rFonts w:hint="eastAsia" w:ascii="Times New Roman" w:hAnsi="Times New Roman" w:eastAsia="宋体" w:cs="Times New Roman"/>
                      <w:color w:val="auto"/>
                      <w:sz w:val="21"/>
                      <w:szCs w:val="21"/>
                      <w:highlight w:val="none"/>
                      <w:lang w:val="en-US" w:eastAsia="zh-CN"/>
                    </w:rPr>
                    <w:t>外售综合利用。离子交换树脂交厂家回收处置。</w:t>
                  </w:r>
                </w:p>
              </w:tc>
            </w:tr>
          </w:tbl>
          <w:p w14:paraId="359ABB1A">
            <w:pPr>
              <w:keepNext w:val="0"/>
              <w:keepLines w:val="0"/>
              <w:pageBreakBefore w:val="0"/>
              <w:kinsoku/>
              <w:wordWrap/>
              <w:overflowPunct/>
              <w:topLinePunct w:val="0"/>
              <w:autoSpaceDE/>
              <w:autoSpaceDN/>
              <w:bidi w:val="0"/>
              <w:adjustRightInd/>
              <w:snapToGrid/>
              <w:spacing w:line="360" w:lineRule="auto"/>
              <w:ind w:firstLine="482" w:firstLineChars="200"/>
              <w:textAlignment w:val="auto"/>
              <w:outlineLvl w:val="9"/>
              <w:rPr>
                <w:b/>
                <w:bCs/>
                <w:color w:val="auto"/>
                <w:kern w:val="0"/>
                <w:sz w:val="24"/>
                <w:highlight w:val="none"/>
              </w:rPr>
            </w:pPr>
            <w:r>
              <w:rPr>
                <w:b/>
                <w:bCs/>
                <w:color w:val="auto"/>
                <w:kern w:val="0"/>
                <w:sz w:val="24"/>
                <w:highlight w:val="none"/>
              </w:rPr>
              <w:t>2、现有工程环境问题梳理</w:t>
            </w:r>
          </w:p>
          <w:p w14:paraId="5D44F72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color w:val="auto"/>
                <w:sz w:val="24"/>
                <w:szCs w:val="22"/>
                <w:highlight w:val="none"/>
              </w:rPr>
            </w:pPr>
            <w:r>
              <w:rPr>
                <w:color w:val="auto"/>
                <w:sz w:val="24"/>
                <w:szCs w:val="22"/>
                <w:highlight w:val="none"/>
              </w:rPr>
              <w:t>（1）项目</w:t>
            </w:r>
            <w:r>
              <w:rPr>
                <w:rFonts w:hint="eastAsia"/>
                <w:color w:val="auto"/>
                <w:sz w:val="24"/>
                <w:szCs w:val="22"/>
                <w:highlight w:val="none"/>
                <w:lang w:eastAsia="zh-CN"/>
              </w:rPr>
              <w:t>现有</w:t>
            </w:r>
            <w:r>
              <w:rPr>
                <w:color w:val="auto"/>
                <w:sz w:val="24"/>
                <w:szCs w:val="22"/>
                <w:highlight w:val="none"/>
              </w:rPr>
              <w:t xml:space="preserve">污染情况 </w:t>
            </w:r>
          </w:p>
          <w:p w14:paraId="610DFE1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color w:val="auto"/>
                <w:sz w:val="24"/>
                <w:szCs w:val="22"/>
                <w:highlight w:val="none"/>
              </w:rPr>
            </w:pPr>
            <w:r>
              <w:rPr>
                <w:rFonts w:hint="eastAsia"/>
                <w:color w:val="auto"/>
                <w:sz w:val="24"/>
                <w:szCs w:val="22"/>
                <w:highlight w:val="none"/>
                <w:lang w:eastAsia="zh-CN"/>
              </w:rPr>
              <w:t>经现场勘查，现有工程已建设完成，因未在生产期，未进行生产</w:t>
            </w:r>
            <w:r>
              <w:rPr>
                <w:color w:val="auto"/>
                <w:sz w:val="24"/>
                <w:szCs w:val="22"/>
                <w:highlight w:val="none"/>
              </w:rPr>
              <w:t>。</w:t>
            </w:r>
          </w:p>
          <w:p w14:paraId="57963BF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ascii="宋体" w:hAnsi="宋体" w:cs="宋体"/>
                <w:color w:val="auto"/>
                <w:sz w:val="24"/>
                <w:highlight w:val="none"/>
              </w:rPr>
            </w:pPr>
            <w:r>
              <w:rPr>
                <w:rFonts w:hint="eastAsia" w:ascii="宋体" w:hAnsi="宋体" w:cs="宋体"/>
                <w:color w:val="auto"/>
                <w:sz w:val="24"/>
                <w:highlight w:val="none"/>
              </w:rPr>
              <w:t>①废水</w:t>
            </w:r>
          </w:p>
          <w:p w14:paraId="5E196BB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color w:val="auto"/>
                <w:sz w:val="24"/>
                <w:highlight w:val="none"/>
              </w:rPr>
            </w:pPr>
            <w:r>
              <w:rPr>
                <w:color w:val="auto"/>
                <w:sz w:val="24"/>
                <w:highlight w:val="none"/>
              </w:rPr>
              <w:t>生活污水排入防渗旱厕，定期清掏外运堆肥</w:t>
            </w:r>
          </w:p>
          <w:p w14:paraId="24A53D4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ascii="宋体" w:hAnsi="宋体" w:cs="宋体"/>
                <w:color w:val="auto"/>
                <w:sz w:val="24"/>
                <w:highlight w:val="none"/>
              </w:rPr>
            </w:pPr>
            <w:r>
              <w:rPr>
                <w:rFonts w:hint="eastAsia" w:ascii="宋体" w:hAnsi="宋体" w:cs="宋体"/>
                <w:color w:val="auto"/>
                <w:sz w:val="24"/>
                <w:highlight w:val="none"/>
              </w:rPr>
              <w:t>②噪声</w:t>
            </w:r>
          </w:p>
          <w:p w14:paraId="4C45B19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color w:val="auto"/>
                <w:sz w:val="24"/>
                <w:highlight w:val="none"/>
              </w:rPr>
            </w:pPr>
            <w:r>
              <w:rPr>
                <w:color w:val="auto"/>
                <w:sz w:val="24"/>
                <w:highlight w:val="none"/>
              </w:rPr>
              <w:t>产噪设备采取减振、消声、隔声等措施。</w:t>
            </w:r>
          </w:p>
          <w:p w14:paraId="35323657">
            <w:pPr>
              <w:keepNext w:val="0"/>
              <w:keepLines w:val="0"/>
              <w:pageBreakBefore w:val="0"/>
              <w:kinsoku/>
              <w:wordWrap/>
              <w:overflowPunct/>
              <w:topLinePunct w:val="0"/>
              <w:autoSpaceDE/>
              <w:autoSpaceDN/>
              <w:bidi w:val="0"/>
              <w:adjustRightInd/>
              <w:snapToGrid/>
              <w:spacing w:line="360" w:lineRule="auto"/>
              <w:ind w:firstLine="480" w:firstLineChars="200"/>
              <w:contextualSpacing/>
              <w:textAlignment w:val="auto"/>
              <w:outlineLvl w:val="9"/>
              <w:rPr>
                <w:rFonts w:ascii="宋体" w:hAnsi="宋体" w:cs="宋体"/>
                <w:color w:val="auto"/>
                <w:sz w:val="24"/>
                <w:highlight w:val="none"/>
              </w:rPr>
            </w:pPr>
            <w:r>
              <w:rPr>
                <w:rFonts w:hint="eastAsia" w:ascii="宋体" w:hAnsi="宋体" w:cs="宋体"/>
                <w:color w:val="auto"/>
                <w:sz w:val="24"/>
                <w:highlight w:val="none"/>
              </w:rPr>
              <w:t>③废气</w:t>
            </w:r>
          </w:p>
          <w:p w14:paraId="5987AD8D">
            <w:pPr>
              <w:keepNext w:val="0"/>
              <w:keepLines w:val="0"/>
              <w:pageBreakBefore w:val="0"/>
              <w:kinsoku/>
              <w:wordWrap/>
              <w:overflowPunct/>
              <w:topLinePunct w:val="0"/>
              <w:autoSpaceDE/>
              <w:autoSpaceDN/>
              <w:bidi w:val="0"/>
              <w:adjustRightInd/>
              <w:snapToGrid/>
              <w:spacing w:line="360" w:lineRule="auto"/>
              <w:ind w:firstLine="480" w:firstLineChars="200"/>
              <w:contextualSpacing/>
              <w:textAlignment w:val="auto"/>
              <w:outlineLvl w:val="9"/>
              <w:rPr>
                <w:color w:val="auto"/>
                <w:sz w:val="24"/>
                <w:highlight w:val="none"/>
              </w:rPr>
            </w:pPr>
            <w:r>
              <w:rPr>
                <w:color w:val="auto"/>
                <w:sz w:val="24"/>
                <w:highlight w:val="none"/>
              </w:rPr>
              <w:t>废气主要为热风炉产生的烟气；烘干塔产生的废气；粮食运输、筛分和装卸产生的粉尘</w:t>
            </w:r>
            <w:r>
              <w:rPr>
                <w:rFonts w:hint="eastAsia"/>
                <w:color w:val="auto"/>
                <w:sz w:val="24"/>
                <w:highlight w:val="none"/>
                <w:lang w:eastAsia="zh-CN"/>
              </w:rPr>
              <w:t>；锅炉烟气</w:t>
            </w:r>
            <w:r>
              <w:rPr>
                <w:color w:val="auto"/>
                <w:sz w:val="24"/>
                <w:highlight w:val="none"/>
              </w:rPr>
              <w:t>。</w:t>
            </w:r>
          </w:p>
          <w:p w14:paraId="250E12F1">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bCs/>
                <w:color w:val="auto"/>
                <w:sz w:val="24"/>
                <w:highlight w:val="none"/>
              </w:rPr>
            </w:pPr>
            <w:r>
              <w:rPr>
                <w:bCs/>
                <w:color w:val="auto"/>
                <w:sz w:val="24"/>
                <w:highlight w:val="none"/>
              </w:rPr>
              <w:t>热风炉配设</w:t>
            </w:r>
            <w:r>
              <w:rPr>
                <w:rFonts w:hint="eastAsia"/>
                <w:bCs/>
                <w:color w:val="auto"/>
                <w:sz w:val="24"/>
                <w:highlight w:val="none"/>
              </w:rPr>
              <w:t>了</w:t>
            </w:r>
            <w:r>
              <w:rPr>
                <w:rFonts w:hint="eastAsia"/>
                <w:bCs/>
                <w:color w:val="auto"/>
                <w:sz w:val="24"/>
                <w:highlight w:val="none"/>
                <w:lang w:eastAsia="zh-CN"/>
              </w:rPr>
              <w:t>布袋除尘器</w:t>
            </w:r>
            <w:r>
              <w:rPr>
                <w:bCs/>
                <w:color w:val="auto"/>
                <w:sz w:val="24"/>
                <w:highlight w:val="none"/>
              </w:rPr>
              <w:t>，热风炉烟气经</w:t>
            </w:r>
            <w:r>
              <w:rPr>
                <w:rFonts w:hint="eastAsia"/>
                <w:bCs/>
                <w:color w:val="auto"/>
                <w:sz w:val="24"/>
                <w:highlight w:val="none"/>
                <w:lang w:eastAsia="zh-CN"/>
              </w:rPr>
              <w:t>布袋除尘器</w:t>
            </w:r>
            <w:r>
              <w:rPr>
                <w:bCs/>
                <w:color w:val="auto"/>
                <w:sz w:val="24"/>
                <w:highlight w:val="none"/>
              </w:rPr>
              <w:t>净化处理后由1座</w:t>
            </w:r>
            <w:r>
              <w:rPr>
                <w:rFonts w:hint="eastAsia"/>
                <w:bCs/>
                <w:color w:val="auto"/>
                <w:sz w:val="24"/>
                <w:highlight w:val="none"/>
                <w:lang w:eastAsia="zh-CN"/>
              </w:rPr>
              <w:t>15m</w:t>
            </w:r>
            <w:r>
              <w:rPr>
                <w:bCs/>
                <w:color w:val="auto"/>
                <w:sz w:val="24"/>
                <w:highlight w:val="none"/>
              </w:rPr>
              <w:t>高烟囱排放。</w:t>
            </w:r>
          </w:p>
          <w:p w14:paraId="4796318B">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bCs/>
                <w:color w:val="auto"/>
                <w:sz w:val="24"/>
                <w:highlight w:val="none"/>
              </w:rPr>
            </w:pPr>
            <w:r>
              <w:rPr>
                <w:rFonts w:hint="eastAsia"/>
                <w:bCs/>
                <w:color w:val="auto"/>
                <w:sz w:val="24"/>
                <w:highlight w:val="none"/>
              </w:rPr>
              <w:t>项目</w:t>
            </w:r>
            <w:r>
              <w:rPr>
                <w:bCs/>
                <w:color w:val="auto"/>
                <w:sz w:val="24"/>
                <w:highlight w:val="none"/>
              </w:rPr>
              <w:t>采取</w:t>
            </w:r>
            <w:r>
              <w:rPr>
                <w:rFonts w:hint="eastAsia"/>
                <w:bCs/>
                <w:color w:val="auto"/>
                <w:sz w:val="24"/>
                <w:highlight w:val="none"/>
              </w:rPr>
              <w:t>了输送传送带封闭设置，装卸区设置遮挡设施，清选工艺采用封闭式清理筛；烘干塔体</w:t>
            </w:r>
            <w:r>
              <w:rPr>
                <w:rFonts w:hint="eastAsia"/>
                <w:bCs/>
                <w:color w:val="auto"/>
                <w:sz w:val="24"/>
                <w:highlight w:val="none"/>
                <w:lang w:eastAsia="zh-CN"/>
              </w:rPr>
              <w:t>设置彩钢罩</w:t>
            </w:r>
            <w:r>
              <w:rPr>
                <w:rFonts w:hint="eastAsia"/>
                <w:bCs/>
                <w:color w:val="auto"/>
                <w:sz w:val="24"/>
                <w:highlight w:val="none"/>
              </w:rPr>
              <w:t>。</w:t>
            </w:r>
          </w:p>
          <w:p w14:paraId="5A069EF8">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color w:val="auto"/>
                <w:sz w:val="24"/>
                <w:highlight w:val="none"/>
                <w:lang w:eastAsia="zh-CN"/>
              </w:rPr>
            </w:pPr>
            <w:r>
              <w:rPr>
                <w:rFonts w:hint="eastAsia"/>
                <w:bCs/>
                <w:color w:val="auto"/>
                <w:sz w:val="24"/>
                <w:highlight w:val="none"/>
                <w:lang w:eastAsia="zh-CN"/>
              </w:rPr>
              <w:t>锅炉</w:t>
            </w:r>
            <w:r>
              <w:rPr>
                <w:bCs/>
                <w:color w:val="auto"/>
                <w:sz w:val="24"/>
                <w:highlight w:val="none"/>
              </w:rPr>
              <w:t>配设</w:t>
            </w:r>
            <w:r>
              <w:rPr>
                <w:rFonts w:hint="eastAsia"/>
                <w:bCs/>
                <w:color w:val="auto"/>
                <w:sz w:val="24"/>
                <w:highlight w:val="none"/>
              </w:rPr>
              <w:t>了</w:t>
            </w:r>
            <w:r>
              <w:rPr>
                <w:rFonts w:hint="eastAsia"/>
                <w:bCs/>
                <w:color w:val="auto"/>
                <w:sz w:val="24"/>
                <w:highlight w:val="none"/>
                <w:lang w:eastAsia="zh-CN"/>
              </w:rPr>
              <w:t>布袋除尘器</w:t>
            </w:r>
            <w:r>
              <w:rPr>
                <w:bCs/>
                <w:color w:val="auto"/>
                <w:sz w:val="24"/>
                <w:highlight w:val="none"/>
              </w:rPr>
              <w:t>，</w:t>
            </w:r>
            <w:r>
              <w:rPr>
                <w:rFonts w:hint="eastAsia"/>
                <w:bCs/>
                <w:color w:val="auto"/>
                <w:sz w:val="24"/>
                <w:highlight w:val="none"/>
                <w:lang w:eastAsia="zh-CN"/>
              </w:rPr>
              <w:t>锅炉</w:t>
            </w:r>
            <w:r>
              <w:rPr>
                <w:bCs/>
                <w:color w:val="auto"/>
                <w:sz w:val="24"/>
                <w:highlight w:val="none"/>
              </w:rPr>
              <w:t>烟气经</w:t>
            </w:r>
            <w:r>
              <w:rPr>
                <w:rFonts w:hint="eastAsia"/>
                <w:bCs/>
                <w:color w:val="auto"/>
                <w:sz w:val="24"/>
                <w:highlight w:val="none"/>
                <w:lang w:eastAsia="zh-CN"/>
              </w:rPr>
              <w:t>布袋除尘器</w:t>
            </w:r>
            <w:r>
              <w:rPr>
                <w:bCs/>
                <w:color w:val="auto"/>
                <w:sz w:val="24"/>
                <w:highlight w:val="none"/>
              </w:rPr>
              <w:t>净化处理后由1座</w:t>
            </w:r>
            <w:r>
              <w:rPr>
                <w:rFonts w:hint="eastAsia"/>
                <w:bCs/>
                <w:color w:val="auto"/>
                <w:sz w:val="24"/>
                <w:highlight w:val="none"/>
                <w:lang w:val="en-US" w:eastAsia="zh-CN"/>
              </w:rPr>
              <w:t>20</w:t>
            </w:r>
            <w:r>
              <w:rPr>
                <w:rFonts w:hint="eastAsia"/>
                <w:bCs/>
                <w:color w:val="auto"/>
                <w:sz w:val="24"/>
                <w:highlight w:val="none"/>
                <w:lang w:eastAsia="zh-CN"/>
              </w:rPr>
              <w:t>m</w:t>
            </w:r>
            <w:r>
              <w:rPr>
                <w:bCs/>
                <w:color w:val="auto"/>
                <w:sz w:val="24"/>
                <w:highlight w:val="none"/>
              </w:rPr>
              <w:t>高烟囱排放。</w:t>
            </w:r>
          </w:p>
          <w:p w14:paraId="0F04EB93">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ascii="宋体" w:hAnsi="宋体" w:cs="宋体"/>
                <w:color w:val="auto"/>
                <w:sz w:val="24"/>
                <w:highlight w:val="none"/>
              </w:rPr>
            </w:pPr>
            <w:r>
              <w:rPr>
                <w:rFonts w:hint="eastAsia" w:ascii="宋体" w:hAnsi="宋体" w:cs="宋体"/>
                <w:color w:val="auto"/>
                <w:sz w:val="24"/>
                <w:highlight w:val="none"/>
              </w:rPr>
              <w:t>④固体废物</w:t>
            </w:r>
          </w:p>
          <w:p w14:paraId="63FB153F">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color w:val="auto"/>
                <w:sz w:val="24"/>
                <w:highlight w:val="none"/>
              </w:rPr>
            </w:pPr>
            <w:r>
              <w:rPr>
                <w:color w:val="auto"/>
                <w:sz w:val="24"/>
                <w:szCs w:val="22"/>
                <w:highlight w:val="none"/>
              </w:rPr>
              <w:t>生活垃圾集中收集后，由市政环卫部门清运处理</w:t>
            </w:r>
            <w:r>
              <w:rPr>
                <w:rFonts w:hint="eastAsia"/>
                <w:color w:val="auto"/>
                <w:sz w:val="24"/>
                <w:szCs w:val="22"/>
                <w:highlight w:val="none"/>
              </w:rPr>
              <w:t>。</w:t>
            </w:r>
          </w:p>
          <w:p w14:paraId="5A400C3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color w:val="auto"/>
                <w:sz w:val="24"/>
                <w:highlight w:val="none"/>
              </w:rPr>
            </w:pPr>
            <w:r>
              <w:rPr>
                <w:rFonts w:hint="eastAsia"/>
                <w:color w:val="auto"/>
                <w:sz w:val="24"/>
                <w:highlight w:val="none"/>
              </w:rPr>
              <w:t>烘干塔</w:t>
            </w:r>
            <w:r>
              <w:rPr>
                <w:rFonts w:hint="eastAsia"/>
                <w:color w:val="auto"/>
                <w:sz w:val="24"/>
                <w:highlight w:val="none"/>
                <w:lang w:eastAsia="zh-CN"/>
              </w:rPr>
              <w:t>围挡</w:t>
            </w:r>
            <w:r>
              <w:rPr>
                <w:color w:val="auto"/>
                <w:sz w:val="24"/>
                <w:highlight w:val="none"/>
              </w:rPr>
              <w:t>收尘</w:t>
            </w:r>
            <w:r>
              <w:rPr>
                <w:rFonts w:hint="eastAsia"/>
                <w:color w:val="auto"/>
                <w:sz w:val="24"/>
                <w:highlight w:val="none"/>
              </w:rPr>
              <w:t>定期清理装袋</w:t>
            </w:r>
            <w:r>
              <w:rPr>
                <w:rFonts w:hint="eastAsia"/>
                <w:color w:val="auto"/>
                <w:sz w:val="24"/>
                <w:szCs w:val="22"/>
                <w:highlight w:val="none"/>
                <w:lang w:eastAsia="zh-CN"/>
              </w:rPr>
              <w:t>和筛选杂质</w:t>
            </w:r>
            <w:r>
              <w:rPr>
                <w:rFonts w:hint="eastAsia"/>
                <w:color w:val="auto"/>
                <w:sz w:val="24"/>
                <w:highlight w:val="none"/>
              </w:rPr>
              <w:t>，</w:t>
            </w:r>
            <w:r>
              <w:rPr>
                <w:rFonts w:hint="eastAsia"/>
                <w:color w:val="auto"/>
                <w:sz w:val="24"/>
                <w:highlight w:val="none"/>
                <w:lang w:eastAsia="zh-CN"/>
              </w:rPr>
              <w:t>定期外售，综合利用</w:t>
            </w:r>
            <w:r>
              <w:rPr>
                <w:rFonts w:hint="eastAsia"/>
                <w:color w:val="auto"/>
                <w:sz w:val="24"/>
                <w:highlight w:val="none"/>
              </w:rPr>
              <w:t>。</w:t>
            </w:r>
          </w:p>
          <w:p w14:paraId="38BF130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热风炉产生的炉渣、除尘器收集的粉尘集中收集外售，综合利用。</w:t>
            </w:r>
          </w:p>
          <w:p w14:paraId="189D01D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cs="Times New Roman"/>
                <w:b/>
                <w:bCs w:val="0"/>
                <w:color w:val="auto"/>
                <w:sz w:val="24"/>
                <w:szCs w:val="24"/>
                <w:highlight w:val="none"/>
              </w:rPr>
              <w:t>与本项目有关的主要环境问题及整改措施</w:t>
            </w:r>
          </w:p>
          <w:p w14:paraId="17143DC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）现有环境问题</w:t>
            </w:r>
          </w:p>
          <w:p w14:paraId="20685D7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企业目前</w:t>
            </w:r>
            <w:r>
              <w:rPr>
                <w:rFonts w:hint="eastAsia" w:ascii="Times New Roman" w:hAnsi="Times New Roman" w:eastAsia="宋体" w:cs="Times New Roman"/>
                <w:color w:val="auto"/>
                <w:sz w:val="24"/>
                <w:szCs w:val="24"/>
                <w:highlight w:val="none"/>
                <w:lang w:eastAsia="zh-CN"/>
              </w:rPr>
              <w:t>因未在生产期，未进行生产，无排污许可证及竣工环境保护验收手续。</w:t>
            </w:r>
          </w:p>
          <w:p w14:paraId="7C0EA38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ind w:firstLine="480" w:firstLineChars="200"/>
              <w:jc w:val="both"/>
              <w:textAlignment w:val="auto"/>
              <w:outlineLvl w:val="9"/>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整改措施</w:t>
            </w:r>
          </w:p>
          <w:p w14:paraId="08E7D077">
            <w:pPr>
              <w:pStyle w:val="10"/>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Times New Roman" w:hAnsi="Times New Roman" w:eastAsia="宋体" w:cs="Times New Roman"/>
                <w:color w:val="auto"/>
                <w:sz w:val="24"/>
                <w:szCs w:val="24"/>
                <w:highlight w:val="none"/>
                <w:lang w:eastAsia="zh-CN"/>
              </w:rPr>
            </w:pPr>
            <w:r>
              <w:rPr>
                <w:rFonts w:hint="eastAsia" w:ascii="宋体" w:hAnsi="宋体" w:eastAsia="宋体" w:cs="宋体"/>
                <w:color w:val="auto"/>
                <w:sz w:val="24"/>
                <w:szCs w:val="24"/>
                <w:highlight w:val="none"/>
                <w:lang w:eastAsia="zh-CN"/>
              </w:rPr>
              <w:t>①</w:t>
            </w:r>
            <w:r>
              <w:rPr>
                <w:rFonts w:hint="default" w:ascii="Times New Roman" w:hAnsi="Times New Roman" w:eastAsia="宋体" w:cs="Times New Roman"/>
                <w:color w:val="auto"/>
                <w:sz w:val="24"/>
                <w:szCs w:val="24"/>
                <w:highlight w:val="none"/>
                <w:lang w:eastAsia="zh-CN"/>
              </w:rPr>
              <w:t>办理</w:t>
            </w:r>
            <w:r>
              <w:rPr>
                <w:rFonts w:hint="eastAsia" w:cs="Times New Roman"/>
                <w:color w:val="auto"/>
                <w:sz w:val="24"/>
                <w:szCs w:val="24"/>
                <w:highlight w:val="none"/>
                <w:lang w:eastAsia="zh-CN"/>
              </w:rPr>
              <w:t>排污许可证。</w:t>
            </w:r>
          </w:p>
          <w:p w14:paraId="2BE5C4C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jc w:val="both"/>
              <w:textAlignment w:val="auto"/>
              <w:outlineLvl w:val="9"/>
              <w:rPr>
                <w:color w:val="auto"/>
              </w:rPr>
            </w:pPr>
            <w:r>
              <w:rPr>
                <w:rFonts w:hint="eastAsia" w:ascii="宋体" w:hAnsi="宋体" w:cs="宋体"/>
                <w:color w:val="auto"/>
                <w:sz w:val="24"/>
                <w:highlight w:val="none"/>
              </w:rPr>
              <w:t>②</w:t>
            </w:r>
            <w:r>
              <w:rPr>
                <w:rFonts w:hint="eastAsia" w:ascii="宋体" w:hAnsi="宋体" w:cs="宋体"/>
                <w:color w:val="auto"/>
                <w:sz w:val="24"/>
                <w:highlight w:val="none"/>
                <w:lang w:eastAsia="zh-CN"/>
              </w:rPr>
              <w:t>项目进入生产期后，办理</w:t>
            </w:r>
            <w:r>
              <w:rPr>
                <w:rFonts w:hint="eastAsia" w:ascii="Times New Roman" w:hAnsi="Times New Roman" w:eastAsia="宋体" w:cs="Times New Roman"/>
                <w:color w:val="auto"/>
                <w:sz w:val="24"/>
                <w:szCs w:val="24"/>
                <w:highlight w:val="none"/>
                <w:lang w:eastAsia="zh-CN"/>
              </w:rPr>
              <w:t>竣工环境保护验收手续。</w:t>
            </w:r>
          </w:p>
        </w:tc>
      </w:tr>
    </w:tbl>
    <w:p w14:paraId="30C954D6">
      <w:pPr>
        <w:pStyle w:val="26"/>
        <w:jc w:val="center"/>
        <w:rPr>
          <w:rFonts w:ascii="Times New Roman" w:hAnsi="Times New Roman"/>
          <w:snapToGrid w:val="0"/>
          <w:color w:val="auto"/>
          <w:sz w:val="36"/>
          <w:szCs w:val="36"/>
        </w:rPr>
        <w:sectPr>
          <w:footerReference r:id="rId6" w:type="default"/>
          <w:pgSz w:w="11906" w:h="16838"/>
          <w:pgMar w:top="1247" w:right="1531" w:bottom="1361" w:left="1531" w:header="851" w:footer="851" w:gutter="0"/>
          <w:pgNumType w:fmt="decimal"/>
          <w:cols w:space="720" w:num="1"/>
          <w:docGrid w:linePitch="312" w:charSpace="0"/>
        </w:sectPr>
      </w:pPr>
    </w:p>
    <w:p w14:paraId="36845902">
      <w:pPr>
        <w:pStyle w:val="26"/>
        <w:spacing w:before="0" w:beforeAutospacing="0" w:after="0" w:afterAutospacing="0"/>
        <w:jc w:val="center"/>
        <w:outlineLvl w:val="0"/>
        <w:rPr>
          <w:rFonts w:ascii="Times New Roman" w:hAnsi="Times New Roman"/>
          <w:b/>
          <w:bCs/>
          <w:snapToGrid w:val="0"/>
          <w:color w:val="auto"/>
          <w:sz w:val="30"/>
          <w:szCs w:val="30"/>
        </w:rPr>
      </w:pPr>
      <w:bookmarkStart w:id="8" w:name="_Toc28393"/>
      <w:r>
        <w:rPr>
          <w:rFonts w:ascii="Times New Roman" w:hAnsi="Times New Roman"/>
          <w:b/>
          <w:bCs/>
          <w:snapToGrid w:val="0"/>
          <w:color w:val="auto"/>
          <w:sz w:val="30"/>
          <w:szCs w:val="30"/>
        </w:rPr>
        <w:t>三、区域环境质量现状、环境保护目标及评价标准</w:t>
      </w:r>
      <w:bookmarkEnd w:id="8"/>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6"/>
        <w:gridCol w:w="8255"/>
      </w:tblGrid>
      <w:tr w14:paraId="11BCA8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60" w:hRule="atLeast"/>
          <w:jc w:val="center"/>
        </w:trPr>
        <w:tc>
          <w:tcPr>
            <w:tcW w:w="800" w:type="dxa"/>
            <w:vAlign w:val="center"/>
          </w:tcPr>
          <w:p w14:paraId="208811D2">
            <w:pPr>
              <w:adjustRightInd w:val="0"/>
              <w:snapToGrid w:val="0"/>
              <w:jc w:val="center"/>
              <w:rPr>
                <w:b/>
                <w:bCs/>
                <w:color w:val="auto"/>
                <w:kern w:val="0"/>
                <w:sz w:val="24"/>
              </w:rPr>
            </w:pPr>
            <w:r>
              <w:rPr>
                <w:b/>
                <w:bCs/>
                <w:color w:val="auto"/>
                <w:kern w:val="0"/>
                <w:sz w:val="24"/>
              </w:rPr>
              <w:t>区域</w:t>
            </w:r>
          </w:p>
          <w:p w14:paraId="44B5C5E7">
            <w:pPr>
              <w:adjustRightInd w:val="0"/>
              <w:snapToGrid w:val="0"/>
              <w:jc w:val="center"/>
              <w:rPr>
                <w:b/>
                <w:bCs/>
                <w:color w:val="auto"/>
                <w:kern w:val="0"/>
                <w:sz w:val="24"/>
              </w:rPr>
            </w:pPr>
            <w:r>
              <w:rPr>
                <w:b/>
                <w:bCs/>
                <w:color w:val="auto"/>
                <w:kern w:val="0"/>
                <w:sz w:val="24"/>
              </w:rPr>
              <w:t>环境</w:t>
            </w:r>
          </w:p>
          <w:p w14:paraId="5423400E">
            <w:pPr>
              <w:adjustRightInd w:val="0"/>
              <w:snapToGrid w:val="0"/>
              <w:jc w:val="center"/>
              <w:rPr>
                <w:b/>
                <w:bCs/>
                <w:color w:val="auto"/>
                <w:kern w:val="0"/>
                <w:sz w:val="24"/>
              </w:rPr>
            </w:pPr>
            <w:r>
              <w:rPr>
                <w:b/>
                <w:bCs/>
                <w:color w:val="auto"/>
                <w:kern w:val="0"/>
                <w:sz w:val="24"/>
              </w:rPr>
              <w:t>质量</w:t>
            </w:r>
          </w:p>
          <w:p w14:paraId="5D803A12">
            <w:pPr>
              <w:adjustRightInd w:val="0"/>
              <w:snapToGrid w:val="0"/>
              <w:jc w:val="center"/>
              <w:rPr>
                <w:color w:val="auto"/>
                <w:kern w:val="0"/>
                <w:szCs w:val="21"/>
              </w:rPr>
            </w:pPr>
            <w:r>
              <w:rPr>
                <w:b/>
                <w:bCs/>
                <w:color w:val="auto"/>
                <w:kern w:val="0"/>
                <w:sz w:val="24"/>
              </w:rPr>
              <w:t>现状</w:t>
            </w:r>
          </w:p>
        </w:tc>
        <w:tc>
          <w:tcPr>
            <w:tcW w:w="8190" w:type="dxa"/>
            <w:vAlign w:val="center"/>
          </w:tcPr>
          <w:p w14:paraId="04E616FE">
            <w:pPr>
              <w:keepNext w:val="0"/>
              <w:keepLines w:val="0"/>
              <w:pageBreakBefore w:val="0"/>
              <w:widowControl w:val="0"/>
              <w:kinsoku/>
              <w:wordWrap/>
              <w:overflowPunct/>
              <w:topLinePunct w:val="0"/>
              <w:autoSpaceDE/>
              <w:autoSpaceDN/>
              <w:bidi w:val="0"/>
              <w:adjustRightInd w:val="0"/>
              <w:snapToGrid/>
              <w:spacing w:line="360" w:lineRule="auto"/>
              <w:ind w:firstLine="482" w:firstLineChars="200"/>
              <w:jc w:val="both"/>
              <w:textAlignment w:val="auto"/>
              <w:rPr>
                <w:b/>
                <w:color w:val="auto"/>
                <w:sz w:val="24"/>
              </w:rPr>
            </w:pPr>
            <w:r>
              <w:rPr>
                <w:b/>
                <w:color w:val="auto"/>
                <w:sz w:val="24"/>
              </w:rPr>
              <w:t>一、大气环境</w:t>
            </w:r>
            <w:r>
              <w:rPr>
                <w:b/>
                <w:bCs/>
                <w:color w:val="auto"/>
                <w:sz w:val="24"/>
                <w:lang w:val="zh-CN"/>
              </w:rPr>
              <w:t>质量现状</w:t>
            </w:r>
          </w:p>
          <w:p w14:paraId="3F9D6FA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color w:val="auto"/>
                <w:sz w:val="24"/>
              </w:rPr>
            </w:pPr>
            <w:r>
              <w:rPr>
                <w:b/>
                <w:bCs/>
                <w:color w:val="auto"/>
                <w:sz w:val="24"/>
              </w:rPr>
              <w:t>（一）基本污染物</w:t>
            </w:r>
          </w:p>
          <w:p w14:paraId="10089CBE">
            <w:pPr>
              <w:pStyle w:val="135"/>
              <w:keepNext w:val="0"/>
              <w:keepLines w:val="0"/>
              <w:pageBreakBefore w:val="0"/>
              <w:widowControl w:val="0"/>
              <w:kinsoku/>
              <w:wordWrap/>
              <w:overflowPunct/>
              <w:topLinePunct w:val="0"/>
              <w:autoSpaceDE/>
              <w:autoSpaceDN/>
              <w:bidi w:val="0"/>
              <w:adjustRightInd/>
              <w:snapToGrid/>
              <w:ind w:firstLine="480"/>
              <w:textAlignment w:val="auto"/>
              <w:rPr>
                <w:color w:val="auto"/>
                <w:lang w:val="en-US"/>
              </w:rPr>
            </w:pPr>
            <w:r>
              <w:rPr>
                <w:color w:val="auto"/>
                <w:lang w:val="en-US"/>
              </w:rPr>
              <w:t>根据</w:t>
            </w:r>
            <w:r>
              <w:rPr>
                <w:rFonts w:hint="default" w:ascii="Times New Roman Regular" w:hAnsi="Times New Roman Regular" w:cs="Times New Roman Regular"/>
                <w:snapToGrid w:val="0"/>
                <w:color w:val="auto"/>
                <w:kern w:val="0"/>
                <w:szCs w:val="20"/>
                <w:lang w:val="en-US"/>
              </w:rPr>
              <w:t>《202</w:t>
            </w:r>
            <w:r>
              <w:rPr>
                <w:rFonts w:hint="eastAsia" w:ascii="Times New Roman Regular" w:hAnsi="Times New Roman Regular" w:cs="Times New Roman Regular"/>
                <w:snapToGrid w:val="0"/>
                <w:color w:val="auto"/>
                <w:kern w:val="0"/>
                <w:szCs w:val="20"/>
                <w:lang w:val="en-US" w:eastAsia="zh-CN"/>
              </w:rPr>
              <w:t>3</w:t>
            </w:r>
            <w:r>
              <w:rPr>
                <w:rFonts w:hint="default" w:ascii="Times New Roman Regular" w:hAnsi="Times New Roman Regular" w:cs="Times New Roman Regular"/>
                <w:snapToGrid w:val="0"/>
                <w:color w:val="auto"/>
                <w:kern w:val="0"/>
                <w:szCs w:val="20"/>
                <w:lang w:val="en-US"/>
              </w:rPr>
              <w:t>年黑龙江省生态环境质量状况》</w:t>
            </w:r>
            <w:r>
              <w:rPr>
                <w:rFonts w:ascii="Times New Roman Regular" w:hAnsi="Times New Roman Regular" w:cs="Times New Roman Regular"/>
                <w:snapToGrid w:val="0"/>
                <w:color w:val="auto"/>
                <w:kern w:val="0"/>
                <w:szCs w:val="20"/>
                <w:lang w:val="en-US"/>
              </w:rPr>
              <w:t>，</w:t>
            </w:r>
            <w:r>
              <w:rPr>
                <w:rFonts w:hint="default" w:ascii="Times New Roman Regular" w:hAnsi="Times New Roman Regular" w:cs="Times New Roman Regular"/>
                <w:snapToGrid w:val="0"/>
                <w:color w:val="auto"/>
                <w:kern w:val="0"/>
                <w:szCs w:val="24"/>
              </w:rPr>
              <w:t>鸡西市202</w:t>
            </w:r>
            <w:r>
              <w:rPr>
                <w:rFonts w:hint="eastAsia" w:ascii="Times New Roman Regular" w:hAnsi="Times New Roman Regular" w:cs="Times New Roman Regular"/>
                <w:snapToGrid w:val="0"/>
                <w:color w:val="auto"/>
                <w:kern w:val="0"/>
                <w:szCs w:val="24"/>
                <w:lang w:val="en-US" w:eastAsia="zh-CN"/>
              </w:rPr>
              <w:t>3</w:t>
            </w:r>
            <w:r>
              <w:rPr>
                <w:rFonts w:hint="default" w:ascii="Times New Roman Regular" w:hAnsi="Times New Roman Regular" w:cs="Times New Roman Regular"/>
                <w:snapToGrid w:val="0"/>
                <w:color w:val="auto"/>
                <w:kern w:val="0"/>
                <w:szCs w:val="24"/>
              </w:rPr>
              <w:t>年PM</w:t>
            </w:r>
            <w:r>
              <w:rPr>
                <w:rFonts w:hint="default" w:ascii="Times New Roman Regular" w:hAnsi="Times New Roman Regular" w:cs="Times New Roman Regular"/>
                <w:snapToGrid w:val="0"/>
                <w:color w:val="auto"/>
                <w:kern w:val="0"/>
                <w:szCs w:val="24"/>
                <w:vertAlign w:val="subscript"/>
              </w:rPr>
              <w:t>2.5</w:t>
            </w:r>
            <w:r>
              <w:rPr>
                <w:rFonts w:hint="default" w:ascii="Times New Roman Regular" w:hAnsi="Times New Roman Regular" w:cs="Times New Roman Regular"/>
                <w:snapToGrid w:val="0"/>
                <w:color w:val="auto"/>
                <w:kern w:val="0"/>
                <w:szCs w:val="24"/>
              </w:rPr>
              <w:t>、PM</w:t>
            </w:r>
            <w:r>
              <w:rPr>
                <w:rFonts w:hint="default" w:ascii="Times New Roman Regular" w:hAnsi="Times New Roman Regular" w:cs="Times New Roman Regular"/>
                <w:snapToGrid w:val="0"/>
                <w:color w:val="auto"/>
                <w:kern w:val="0"/>
                <w:szCs w:val="24"/>
                <w:vertAlign w:val="subscript"/>
              </w:rPr>
              <w:t>10</w:t>
            </w:r>
            <w:r>
              <w:rPr>
                <w:rFonts w:hint="default" w:ascii="Times New Roman Regular" w:hAnsi="Times New Roman Regular" w:cs="Times New Roman Regular"/>
                <w:snapToGrid w:val="0"/>
                <w:color w:val="auto"/>
                <w:kern w:val="0"/>
                <w:szCs w:val="24"/>
              </w:rPr>
              <w:t>、SO</w:t>
            </w:r>
            <w:r>
              <w:rPr>
                <w:rFonts w:hint="default" w:ascii="Times New Roman Regular" w:hAnsi="Times New Roman Regular" w:cs="Times New Roman Regular"/>
                <w:snapToGrid w:val="0"/>
                <w:color w:val="auto"/>
                <w:kern w:val="0"/>
                <w:szCs w:val="24"/>
                <w:vertAlign w:val="subscript"/>
              </w:rPr>
              <w:t>2</w:t>
            </w:r>
            <w:r>
              <w:rPr>
                <w:rFonts w:hint="default" w:ascii="Times New Roman Regular" w:hAnsi="Times New Roman Regular" w:cs="Times New Roman Regular"/>
                <w:snapToGrid w:val="0"/>
                <w:color w:val="auto"/>
                <w:kern w:val="0"/>
                <w:szCs w:val="24"/>
              </w:rPr>
              <w:t>、NO</w:t>
            </w:r>
            <w:r>
              <w:rPr>
                <w:rFonts w:hint="default" w:ascii="Times New Roman Regular" w:hAnsi="Times New Roman Regular" w:cs="Times New Roman Regular"/>
                <w:snapToGrid w:val="0"/>
                <w:color w:val="auto"/>
                <w:kern w:val="0"/>
                <w:szCs w:val="24"/>
                <w:vertAlign w:val="subscript"/>
              </w:rPr>
              <w:t>2</w:t>
            </w:r>
            <w:r>
              <w:rPr>
                <w:rFonts w:hint="default" w:ascii="Times New Roman Regular" w:hAnsi="Times New Roman Regular" w:cs="Times New Roman Regular"/>
                <w:snapToGrid w:val="0"/>
                <w:color w:val="auto"/>
                <w:kern w:val="0"/>
                <w:szCs w:val="24"/>
              </w:rPr>
              <w:t>年均浓度分别为</w:t>
            </w:r>
            <w:r>
              <w:rPr>
                <w:rFonts w:hint="eastAsia" w:ascii="Times New Roman Regular" w:hAnsi="Times New Roman Regular" w:cs="Times New Roman Regular"/>
                <w:snapToGrid w:val="0"/>
                <w:color w:val="auto"/>
                <w:kern w:val="0"/>
                <w:szCs w:val="24"/>
                <w:lang w:val="en-US" w:eastAsia="zh-CN"/>
              </w:rPr>
              <w:t>28</w:t>
            </w:r>
            <w:r>
              <w:rPr>
                <w:rFonts w:hint="default" w:ascii="Times New Roman Regular" w:hAnsi="Times New Roman Regular" w:cs="Times New Roman Regular"/>
                <w:snapToGrid w:val="0"/>
                <w:color w:val="auto"/>
                <w:kern w:val="0"/>
                <w:szCs w:val="24"/>
              </w:rPr>
              <w:t>ug/m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w:t>
            </w:r>
            <w:r>
              <w:rPr>
                <w:rFonts w:hint="eastAsia" w:ascii="Times New Roman Regular" w:hAnsi="Times New Roman Regular" w:cs="Times New Roman Regular"/>
                <w:snapToGrid w:val="0"/>
                <w:color w:val="auto"/>
                <w:kern w:val="0"/>
                <w:szCs w:val="24"/>
                <w:lang w:val="en-US" w:eastAsia="zh-CN"/>
              </w:rPr>
              <w:t>50</w:t>
            </w:r>
            <w:r>
              <w:rPr>
                <w:rFonts w:hint="default" w:ascii="Times New Roman Regular" w:hAnsi="Times New Roman Regular" w:cs="Times New Roman Regular"/>
                <w:snapToGrid w:val="0"/>
                <w:color w:val="auto"/>
                <w:kern w:val="0"/>
                <w:szCs w:val="24"/>
              </w:rPr>
              <w:t>ug/m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w:t>
            </w:r>
            <w:r>
              <w:rPr>
                <w:rFonts w:hint="eastAsia" w:ascii="Times New Roman Regular" w:hAnsi="Times New Roman Regular" w:cs="Times New Roman Regular"/>
                <w:snapToGrid w:val="0"/>
                <w:color w:val="auto"/>
                <w:kern w:val="0"/>
                <w:szCs w:val="24"/>
                <w:lang w:val="en-US" w:eastAsia="zh-CN"/>
              </w:rPr>
              <w:t>8</w:t>
            </w:r>
            <w:r>
              <w:rPr>
                <w:rFonts w:hint="default" w:ascii="Times New Roman Regular" w:hAnsi="Times New Roman Regular" w:cs="Times New Roman Regular"/>
                <w:snapToGrid w:val="0"/>
                <w:color w:val="auto"/>
                <w:kern w:val="0"/>
                <w:szCs w:val="24"/>
              </w:rPr>
              <w:t xml:space="preserve"> ug/m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w:t>
            </w:r>
            <w:r>
              <w:rPr>
                <w:rFonts w:hint="eastAsia" w:ascii="Times New Roman Regular" w:hAnsi="Times New Roman Regular" w:cs="Times New Roman Regular"/>
                <w:snapToGrid w:val="0"/>
                <w:color w:val="auto"/>
                <w:kern w:val="0"/>
                <w:szCs w:val="24"/>
                <w:lang w:val="en-US" w:eastAsia="zh-CN"/>
              </w:rPr>
              <w:t>20</w:t>
            </w:r>
            <w:r>
              <w:rPr>
                <w:rFonts w:hint="default" w:ascii="Times New Roman Regular" w:hAnsi="Times New Roman Regular" w:cs="Times New Roman Regular"/>
                <w:snapToGrid w:val="0"/>
                <w:color w:val="auto"/>
                <w:kern w:val="0"/>
                <w:szCs w:val="24"/>
              </w:rPr>
              <w:t>ug/m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；CO 24小时平均第95百分位数为</w:t>
            </w:r>
            <w:r>
              <w:rPr>
                <w:rFonts w:hint="eastAsia" w:ascii="Times New Roman Regular" w:hAnsi="Times New Roman Regular" w:cs="Times New Roman Regular"/>
                <w:snapToGrid w:val="0"/>
                <w:color w:val="auto"/>
                <w:kern w:val="0"/>
                <w:szCs w:val="24"/>
                <w:lang w:val="en-US" w:eastAsia="zh-CN"/>
              </w:rPr>
              <w:t>1.0</w:t>
            </w:r>
            <w:r>
              <w:rPr>
                <w:rFonts w:hint="default" w:ascii="Times New Roman Regular" w:hAnsi="Times New Roman Regular" w:cs="Times New Roman Regular"/>
                <w:snapToGrid w:val="0"/>
                <w:color w:val="auto"/>
                <w:kern w:val="0"/>
                <w:szCs w:val="24"/>
              </w:rPr>
              <w:t>mg/m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，O</w:t>
            </w:r>
            <w:r>
              <w:rPr>
                <w:rFonts w:hint="default" w:ascii="Times New Roman Regular" w:hAnsi="Times New Roman Regular" w:cs="Times New Roman Regular"/>
                <w:snapToGrid w:val="0"/>
                <w:color w:val="auto"/>
                <w:kern w:val="0"/>
                <w:szCs w:val="24"/>
                <w:vertAlign w:val="subscript"/>
              </w:rPr>
              <w:t>3</w:t>
            </w:r>
            <w:r>
              <w:rPr>
                <w:rFonts w:hint="default" w:ascii="Times New Roman Regular" w:hAnsi="Times New Roman Regular" w:cs="Times New Roman Regular"/>
                <w:snapToGrid w:val="0"/>
                <w:color w:val="auto"/>
                <w:kern w:val="0"/>
                <w:szCs w:val="24"/>
              </w:rPr>
              <w:t>日最大8小时平均第90百分位数为</w:t>
            </w:r>
            <w:r>
              <w:rPr>
                <w:rFonts w:hint="eastAsia" w:ascii="Times New Roman Regular" w:hAnsi="Times New Roman Regular" w:cs="Times New Roman Regular"/>
                <w:snapToGrid w:val="0"/>
                <w:color w:val="auto"/>
                <w:kern w:val="0"/>
                <w:szCs w:val="24"/>
                <w:lang w:val="en-US" w:eastAsia="zh-CN"/>
              </w:rPr>
              <w:t>98</w:t>
            </w:r>
            <w:r>
              <w:rPr>
                <w:rFonts w:hint="default" w:ascii="Times New Roman Regular" w:hAnsi="Times New Roman Regular" w:cs="Times New Roman Regular"/>
                <w:snapToGrid w:val="0"/>
                <w:color w:val="auto"/>
                <w:kern w:val="0"/>
                <w:szCs w:val="24"/>
              </w:rPr>
              <w:t>ug/m</w:t>
            </w:r>
            <w:r>
              <w:rPr>
                <w:rFonts w:hint="default" w:ascii="Times New Roman Regular" w:hAnsi="Times New Roman Regular" w:cs="Times New Roman Regular"/>
                <w:snapToGrid w:val="0"/>
                <w:color w:val="auto"/>
                <w:kern w:val="0"/>
                <w:szCs w:val="24"/>
                <w:vertAlign w:val="superscript"/>
              </w:rPr>
              <w:t>3</w:t>
            </w:r>
            <w:r>
              <w:rPr>
                <w:rFonts w:hint="default" w:ascii="Times New Roman Regular" w:hAnsi="Times New Roman Regular" w:cs="Times New Roman Regular"/>
                <w:snapToGrid w:val="0"/>
                <w:color w:val="auto"/>
                <w:kern w:val="0"/>
                <w:szCs w:val="24"/>
              </w:rPr>
              <w:t>；各污染物平均浓度均优于《环境空气质量标准》（GB3095-2012）及其修改单中二级标准限值</w:t>
            </w:r>
            <w:r>
              <w:rPr>
                <w:rFonts w:ascii="Times New Roman Regular" w:hAnsi="Times New Roman Regular" w:cs="Times New Roman Regular"/>
                <w:snapToGrid w:val="0"/>
                <w:color w:val="auto"/>
                <w:kern w:val="0"/>
                <w:szCs w:val="24"/>
              </w:rPr>
              <w:t>，</w:t>
            </w:r>
            <w:r>
              <w:rPr>
                <w:rFonts w:hint="default" w:ascii="Times New Roman Regular" w:hAnsi="Times New Roman Regular" w:cs="Times New Roman Regular"/>
                <w:snapToGrid w:val="0"/>
                <w:color w:val="auto"/>
                <w:kern w:val="0"/>
                <w:szCs w:val="24"/>
              </w:rPr>
              <w:t>判定结果为达标区。</w:t>
            </w:r>
          </w:p>
          <w:p w14:paraId="643E5941">
            <w:pPr>
              <w:keepNext w:val="0"/>
              <w:keepLines w:val="0"/>
              <w:pageBreakBefore w:val="0"/>
              <w:widowControl w:val="0"/>
              <w:kinsoku/>
              <w:wordWrap/>
              <w:overflowPunct/>
              <w:topLinePunct w:val="0"/>
              <w:autoSpaceDE/>
              <w:autoSpaceDN/>
              <w:bidi w:val="0"/>
              <w:adjustRightInd w:val="0"/>
              <w:snapToGrid w:val="0"/>
              <w:jc w:val="center"/>
              <w:textAlignment w:val="center"/>
              <w:rPr>
                <w:rFonts w:hint="eastAsia"/>
                <w:b/>
                <w:color w:val="auto"/>
                <w:szCs w:val="21"/>
              </w:rPr>
            </w:pPr>
            <w:r>
              <w:rPr>
                <w:rFonts w:hint="eastAsia"/>
                <w:b/>
                <w:color w:val="auto"/>
                <w:szCs w:val="21"/>
              </w:rPr>
              <w:t xml:space="preserve"> </w:t>
            </w:r>
            <w:r>
              <w:rPr>
                <w:b/>
                <w:color w:val="auto"/>
                <w:szCs w:val="21"/>
              </w:rPr>
              <w:t xml:space="preserve">                    </w:t>
            </w:r>
            <w:r>
              <w:rPr>
                <w:rFonts w:ascii="Times New Roman" w:hAnsi="Times New Roman" w:eastAsia="宋体" w:cs="Times New Roman"/>
                <w:b/>
                <w:bCs/>
                <w:color w:val="auto"/>
                <w:sz w:val="24"/>
              </w:rPr>
              <w:t>表3-1区域空气质量现状评价表</w:t>
            </w:r>
            <w:r>
              <w:rPr>
                <w:rFonts w:hint="eastAsia" w:ascii="Times New Roman" w:hAnsi="Times New Roman" w:eastAsia="宋体" w:cs="Times New Roman"/>
                <w:b/>
                <w:bCs/>
                <w:color w:val="auto"/>
                <w:sz w:val="24"/>
              </w:rPr>
              <w:t xml:space="preserve"> </w:t>
            </w:r>
            <w:r>
              <w:rPr>
                <w:b/>
                <w:color w:val="auto"/>
                <w:szCs w:val="21"/>
              </w:rPr>
              <w:t xml:space="preserve">        单位：μg/m</w:t>
            </w:r>
            <w:r>
              <w:rPr>
                <w:b/>
                <w:color w:val="auto"/>
                <w:szCs w:val="21"/>
                <w:vertAlign w:val="superscript"/>
              </w:rPr>
              <w:t>3</w:t>
            </w:r>
          </w:p>
          <w:tbl>
            <w:tblPr>
              <w:tblStyle w:val="31"/>
              <w:tblW w:w="797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52"/>
              <w:gridCol w:w="2926"/>
              <w:gridCol w:w="1049"/>
              <w:gridCol w:w="789"/>
              <w:gridCol w:w="1079"/>
              <w:gridCol w:w="981"/>
            </w:tblGrid>
            <w:tr w14:paraId="381E3A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1152" w:type="dxa"/>
                  <w:noWrap w:val="0"/>
                  <w:vAlign w:val="center"/>
                </w:tcPr>
                <w:p w14:paraId="271FD3E4">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污染物</w:t>
                  </w:r>
                </w:p>
              </w:tc>
              <w:tc>
                <w:tcPr>
                  <w:tcW w:w="2926" w:type="dxa"/>
                  <w:noWrap w:val="0"/>
                  <w:vAlign w:val="center"/>
                </w:tcPr>
                <w:p w14:paraId="41ECCC6E">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年评价指标</w:t>
                  </w:r>
                </w:p>
              </w:tc>
              <w:tc>
                <w:tcPr>
                  <w:tcW w:w="1049" w:type="dxa"/>
                  <w:noWrap w:val="0"/>
                  <w:vAlign w:val="center"/>
                </w:tcPr>
                <w:p w14:paraId="6BD40B0E">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现状浓度</w:t>
                  </w:r>
                </w:p>
              </w:tc>
              <w:tc>
                <w:tcPr>
                  <w:tcW w:w="789" w:type="dxa"/>
                  <w:noWrap w:val="0"/>
                  <w:vAlign w:val="center"/>
                </w:tcPr>
                <w:p w14:paraId="09C2B35F">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标准值</w:t>
                  </w:r>
                </w:p>
              </w:tc>
              <w:tc>
                <w:tcPr>
                  <w:tcW w:w="1079" w:type="dxa"/>
                  <w:noWrap w:val="0"/>
                  <w:vAlign w:val="center"/>
                </w:tcPr>
                <w:p w14:paraId="7E2621CB">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占标率</w:t>
                  </w:r>
                </w:p>
              </w:tc>
              <w:tc>
                <w:tcPr>
                  <w:tcW w:w="981" w:type="dxa"/>
                  <w:noWrap w:val="0"/>
                  <w:vAlign w:val="center"/>
                </w:tcPr>
                <w:p w14:paraId="4AA494D0">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达标情况</w:t>
                  </w:r>
                </w:p>
              </w:tc>
            </w:tr>
            <w:tr w14:paraId="7F8BBD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7" w:hRule="atLeast"/>
                <w:jc w:val="center"/>
              </w:trPr>
              <w:tc>
                <w:tcPr>
                  <w:tcW w:w="1152" w:type="dxa"/>
                  <w:noWrap w:val="0"/>
                  <w:vAlign w:val="center"/>
                </w:tcPr>
                <w:p w14:paraId="18796C2F">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position w:val="3"/>
                      <w:sz w:val="21"/>
                      <w:szCs w:val="21"/>
                    </w:rPr>
                    <w:t>PM</w:t>
                  </w:r>
                  <w:r>
                    <w:rPr>
                      <w:rFonts w:ascii="Times New Roman Regular" w:hAnsi="Times New Roman Regular" w:cs="Times New Roman Regular"/>
                      <w:color w:val="auto"/>
                      <w:sz w:val="21"/>
                      <w:szCs w:val="21"/>
                      <w:vertAlign w:val="subscript"/>
                    </w:rPr>
                    <w:t>2.5</w:t>
                  </w:r>
                </w:p>
              </w:tc>
              <w:tc>
                <w:tcPr>
                  <w:tcW w:w="2926" w:type="dxa"/>
                  <w:noWrap w:val="0"/>
                  <w:vAlign w:val="center"/>
                </w:tcPr>
                <w:p w14:paraId="53AB3117">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年平均质量浓度</w:t>
                  </w:r>
                </w:p>
              </w:tc>
              <w:tc>
                <w:tcPr>
                  <w:tcW w:w="1049" w:type="dxa"/>
                  <w:noWrap w:val="0"/>
                  <w:vAlign w:val="center"/>
                </w:tcPr>
                <w:p w14:paraId="09862CFC">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28</w:t>
                  </w:r>
                </w:p>
              </w:tc>
              <w:tc>
                <w:tcPr>
                  <w:tcW w:w="789" w:type="dxa"/>
                  <w:noWrap w:val="0"/>
                  <w:vAlign w:val="center"/>
                </w:tcPr>
                <w:p w14:paraId="2ED84DB2">
                  <w:pPr>
                    <w:adjustRightInd w:val="0"/>
                    <w:snapToGrid w:val="0"/>
                    <w:jc w:val="center"/>
                    <w:rPr>
                      <w:rFonts w:hint="eastAsia" w:ascii="Times New Roman Regular" w:hAnsi="Times New Roman Regular" w:cs="Times New Roman Regular"/>
                      <w:color w:val="auto"/>
                      <w:szCs w:val="21"/>
                    </w:rPr>
                  </w:pPr>
                  <w:r>
                    <w:rPr>
                      <w:rFonts w:hint="eastAsia"/>
                      <w:color w:val="auto"/>
                    </w:rPr>
                    <w:t>35</w:t>
                  </w:r>
                </w:p>
              </w:tc>
              <w:tc>
                <w:tcPr>
                  <w:tcW w:w="1079" w:type="dxa"/>
                  <w:noWrap w:val="0"/>
                  <w:vAlign w:val="center"/>
                </w:tcPr>
                <w:p w14:paraId="271EE16E">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80</w:t>
                  </w:r>
                </w:p>
              </w:tc>
              <w:tc>
                <w:tcPr>
                  <w:tcW w:w="981" w:type="dxa"/>
                  <w:noWrap w:val="0"/>
                  <w:vAlign w:val="center"/>
                </w:tcPr>
                <w:p w14:paraId="618533B3">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r w14:paraId="070511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7" w:hRule="atLeast"/>
                <w:jc w:val="center"/>
              </w:trPr>
              <w:tc>
                <w:tcPr>
                  <w:tcW w:w="1152" w:type="dxa"/>
                  <w:noWrap w:val="0"/>
                  <w:vAlign w:val="center"/>
                </w:tcPr>
                <w:p w14:paraId="2E74576E">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PM</w:t>
                  </w:r>
                  <w:r>
                    <w:rPr>
                      <w:rFonts w:ascii="Times New Roman Regular" w:hAnsi="Times New Roman Regular" w:cs="Times New Roman Regular"/>
                      <w:color w:val="auto"/>
                      <w:sz w:val="21"/>
                      <w:szCs w:val="21"/>
                      <w:vertAlign w:val="subscript"/>
                    </w:rPr>
                    <w:t>10</w:t>
                  </w:r>
                </w:p>
              </w:tc>
              <w:tc>
                <w:tcPr>
                  <w:tcW w:w="2926" w:type="dxa"/>
                  <w:noWrap w:val="0"/>
                  <w:vAlign w:val="center"/>
                </w:tcPr>
                <w:p w14:paraId="2C96210F">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年平均质量浓度</w:t>
                  </w:r>
                </w:p>
              </w:tc>
              <w:tc>
                <w:tcPr>
                  <w:tcW w:w="1049" w:type="dxa"/>
                  <w:noWrap w:val="0"/>
                  <w:vAlign w:val="center"/>
                </w:tcPr>
                <w:p w14:paraId="7D64DAB0">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50</w:t>
                  </w:r>
                </w:p>
              </w:tc>
              <w:tc>
                <w:tcPr>
                  <w:tcW w:w="789" w:type="dxa"/>
                  <w:noWrap w:val="0"/>
                  <w:vAlign w:val="center"/>
                </w:tcPr>
                <w:p w14:paraId="169F3A1F">
                  <w:pPr>
                    <w:adjustRightInd w:val="0"/>
                    <w:snapToGrid w:val="0"/>
                    <w:jc w:val="center"/>
                    <w:rPr>
                      <w:rFonts w:hint="eastAsia" w:ascii="Times New Roman Regular" w:hAnsi="Times New Roman Regular" w:cs="Times New Roman Regular"/>
                      <w:color w:val="auto"/>
                      <w:szCs w:val="21"/>
                    </w:rPr>
                  </w:pPr>
                  <w:r>
                    <w:rPr>
                      <w:rFonts w:hint="eastAsia"/>
                      <w:color w:val="auto"/>
                    </w:rPr>
                    <w:t>70</w:t>
                  </w:r>
                </w:p>
              </w:tc>
              <w:tc>
                <w:tcPr>
                  <w:tcW w:w="1079" w:type="dxa"/>
                  <w:noWrap w:val="0"/>
                  <w:vAlign w:val="center"/>
                </w:tcPr>
                <w:p w14:paraId="48EE6CF4">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71.4</w:t>
                  </w:r>
                </w:p>
              </w:tc>
              <w:tc>
                <w:tcPr>
                  <w:tcW w:w="981" w:type="dxa"/>
                  <w:noWrap w:val="0"/>
                  <w:vAlign w:val="center"/>
                </w:tcPr>
                <w:p w14:paraId="1B5B0179">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r w14:paraId="4B9CDF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7" w:hRule="atLeast"/>
                <w:jc w:val="center"/>
              </w:trPr>
              <w:tc>
                <w:tcPr>
                  <w:tcW w:w="1152" w:type="dxa"/>
                  <w:noWrap w:val="0"/>
                  <w:vAlign w:val="center"/>
                </w:tcPr>
                <w:p w14:paraId="5F3BB4FD">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NO</w:t>
                  </w:r>
                  <w:r>
                    <w:rPr>
                      <w:rFonts w:ascii="Times New Roman Regular" w:hAnsi="Times New Roman Regular" w:cs="Times New Roman Regular"/>
                      <w:color w:val="auto"/>
                      <w:sz w:val="21"/>
                      <w:szCs w:val="21"/>
                      <w:vertAlign w:val="subscript"/>
                    </w:rPr>
                    <w:t>2</w:t>
                  </w:r>
                </w:p>
              </w:tc>
              <w:tc>
                <w:tcPr>
                  <w:tcW w:w="2926" w:type="dxa"/>
                  <w:noWrap w:val="0"/>
                  <w:vAlign w:val="center"/>
                </w:tcPr>
                <w:p w14:paraId="7DD0F441">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年平均质量浓度</w:t>
                  </w:r>
                </w:p>
              </w:tc>
              <w:tc>
                <w:tcPr>
                  <w:tcW w:w="1049" w:type="dxa"/>
                  <w:noWrap w:val="0"/>
                  <w:vAlign w:val="center"/>
                </w:tcPr>
                <w:p w14:paraId="03AD2328">
                  <w:pPr>
                    <w:jc w:val="center"/>
                    <w:rPr>
                      <w:rFonts w:hint="eastAsia" w:ascii="Times New Roman Regular" w:hAnsi="Times New Roman Regular" w:cs="Times New Roman Regular"/>
                      <w:color w:val="auto"/>
                      <w:szCs w:val="21"/>
                    </w:rPr>
                  </w:pPr>
                  <w:r>
                    <w:rPr>
                      <w:rFonts w:hint="eastAsia"/>
                      <w:color w:val="auto"/>
                    </w:rPr>
                    <w:t>8</w:t>
                  </w:r>
                </w:p>
              </w:tc>
              <w:tc>
                <w:tcPr>
                  <w:tcW w:w="789" w:type="dxa"/>
                  <w:noWrap w:val="0"/>
                  <w:vAlign w:val="center"/>
                </w:tcPr>
                <w:p w14:paraId="48F77CA6">
                  <w:pPr>
                    <w:adjustRightInd w:val="0"/>
                    <w:snapToGrid w:val="0"/>
                    <w:jc w:val="center"/>
                    <w:rPr>
                      <w:rFonts w:hint="eastAsia" w:ascii="Times New Roman Regular" w:hAnsi="Times New Roman Regular" w:cs="Times New Roman Regular"/>
                      <w:color w:val="auto"/>
                      <w:szCs w:val="21"/>
                    </w:rPr>
                  </w:pPr>
                  <w:r>
                    <w:rPr>
                      <w:rFonts w:hint="eastAsia"/>
                      <w:color w:val="auto"/>
                    </w:rPr>
                    <w:t>60</w:t>
                  </w:r>
                </w:p>
              </w:tc>
              <w:tc>
                <w:tcPr>
                  <w:tcW w:w="1079" w:type="dxa"/>
                  <w:noWrap w:val="0"/>
                  <w:vAlign w:val="center"/>
                </w:tcPr>
                <w:p w14:paraId="37CBA4DC">
                  <w:pPr>
                    <w:jc w:val="center"/>
                    <w:rPr>
                      <w:rFonts w:hint="eastAsia" w:ascii="Times New Roman Regular" w:hAnsi="Times New Roman Regular" w:cs="Times New Roman Regular"/>
                      <w:color w:val="auto"/>
                      <w:szCs w:val="21"/>
                    </w:rPr>
                  </w:pPr>
                  <w:r>
                    <w:rPr>
                      <w:rFonts w:hint="eastAsia"/>
                      <w:color w:val="auto"/>
                    </w:rPr>
                    <w:t>13.3</w:t>
                  </w:r>
                </w:p>
              </w:tc>
              <w:tc>
                <w:tcPr>
                  <w:tcW w:w="981" w:type="dxa"/>
                  <w:noWrap w:val="0"/>
                  <w:vAlign w:val="center"/>
                </w:tcPr>
                <w:p w14:paraId="31394261">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r w14:paraId="22CEBB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7" w:hRule="atLeast"/>
                <w:jc w:val="center"/>
              </w:trPr>
              <w:tc>
                <w:tcPr>
                  <w:tcW w:w="1152" w:type="dxa"/>
                  <w:noWrap w:val="0"/>
                  <w:vAlign w:val="center"/>
                </w:tcPr>
                <w:p w14:paraId="5AEAFD6E">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SO</w:t>
                  </w:r>
                  <w:r>
                    <w:rPr>
                      <w:rFonts w:ascii="Times New Roman Regular" w:hAnsi="Times New Roman Regular" w:cs="Times New Roman Regular"/>
                      <w:color w:val="auto"/>
                      <w:sz w:val="21"/>
                      <w:szCs w:val="21"/>
                      <w:vertAlign w:val="subscript"/>
                    </w:rPr>
                    <w:t>2</w:t>
                  </w:r>
                </w:p>
              </w:tc>
              <w:tc>
                <w:tcPr>
                  <w:tcW w:w="2926" w:type="dxa"/>
                  <w:noWrap w:val="0"/>
                  <w:vAlign w:val="center"/>
                </w:tcPr>
                <w:p w14:paraId="642F50D9">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年平均质量浓度</w:t>
                  </w:r>
                </w:p>
              </w:tc>
              <w:tc>
                <w:tcPr>
                  <w:tcW w:w="1049" w:type="dxa"/>
                  <w:noWrap w:val="0"/>
                  <w:vAlign w:val="center"/>
                </w:tcPr>
                <w:p w14:paraId="1B5C4FCB">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20</w:t>
                  </w:r>
                </w:p>
              </w:tc>
              <w:tc>
                <w:tcPr>
                  <w:tcW w:w="789" w:type="dxa"/>
                  <w:noWrap w:val="0"/>
                  <w:vAlign w:val="center"/>
                </w:tcPr>
                <w:p w14:paraId="3346A326">
                  <w:pPr>
                    <w:adjustRightInd w:val="0"/>
                    <w:snapToGrid w:val="0"/>
                    <w:jc w:val="center"/>
                    <w:rPr>
                      <w:rFonts w:hint="eastAsia" w:ascii="Times New Roman Regular" w:hAnsi="Times New Roman Regular" w:cs="Times New Roman Regular"/>
                      <w:color w:val="auto"/>
                      <w:szCs w:val="21"/>
                    </w:rPr>
                  </w:pPr>
                  <w:r>
                    <w:rPr>
                      <w:rFonts w:hint="eastAsia"/>
                      <w:color w:val="auto"/>
                    </w:rPr>
                    <w:t>40</w:t>
                  </w:r>
                </w:p>
              </w:tc>
              <w:tc>
                <w:tcPr>
                  <w:tcW w:w="1079" w:type="dxa"/>
                  <w:noWrap w:val="0"/>
                  <w:vAlign w:val="center"/>
                </w:tcPr>
                <w:p w14:paraId="2B1C6754">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50</w:t>
                  </w:r>
                </w:p>
              </w:tc>
              <w:tc>
                <w:tcPr>
                  <w:tcW w:w="981" w:type="dxa"/>
                  <w:noWrap w:val="0"/>
                  <w:vAlign w:val="center"/>
                </w:tcPr>
                <w:p w14:paraId="6A0950A5">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r w14:paraId="024BF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7" w:hRule="atLeast"/>
                <w:jc w:val="center"/>
              </w:trPr>
              <w:tc>
                <w:tcPr>
                  <w:tcW w:w="1152" w:type="dxa"/>
                  <w:noWrap w:val="0"/>
                  <w:vAlign w:val="center"/>
                </w:tcPr>
                <w:p w14:paraId="6477A6E1">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CO</w:t>
                  </w:r>
                </w:p>
              </w:tc>
              <w:tc>
                <w:tcPr>
                  <w:tcW w:w="2926" w:type="dxa"/>
                  <w:noWrap w:val="0"/>
                  <w:vAlign w:val="center"/>
                </w:tcPr>
                <w:p w14:paraId="1ED29614">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百分位数24h平均浓度</w:t>
                  </w:r>
                </w:p>
              </w:tc>
              <w:tc>
                <w:tcPr>
                  <w:tcW w:w="1049" w:type="dxa"/>
                  <w:noWrap w:val="0"/>
                  <w:vAlign w:val="center"/>
                </w:tcPr>
                <w:p w14:paraId="03766CCC">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1000</w:t>
                  </w:r>
                </w:p>
              </w:tc>
              <w:tc>
                <w:tcPr>
                  <w:tcW w:w="789" w:type="dxa"/>
                  <w:noWrap w:val="0"/>
                  <w:vAlign w:val="center"/>
                </w:tcPr>
                <w:p w14:paraId="7DA3829E">
                  <w:pPr>
                    <w:adjustRightInd w:val="0"/>
                    <w:snapToGrid w:val="0"/>
                    <w:jc w:val="center"/>
                    <w:rPr>
                      <w:rFonts w:hint="eastAsia" w:ascii="Times New Roman Regular" w:hAnsi="Times New Roman Regular" w:cs="Times New Roman Regular"/>
                      <w:color w:val="auto"/>
                      <w:szCs w:val="21"/>
                    </w:rPr>
                  </w:pPr>
                  <w:r>
                    <w:rPr>
                      <w:color w:val="auto"/>
                    </w:rPr>
                    <w:t>4</w:t>
                  </w:r>
                  <w:r>
                    <w:rPr>
                      <w:rFonts w:hint="eastAsia"/>
                      <w:color w:val="auto"/>
                    </w:rPr>
                    <w:t>000</w:t>
                  </w:r>
                </w:p>
              </w:tc>
              <w:tc>
                <w:tcPr>
                  <w:tcW w:w="1079" w:type="dxa"/>
                  <w:noWrap w:val="0"/>
                  <w:vAlign w:val="center"/>
                </w:tcPr>
                <w:p w14:paraId="60ED4D68">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25</w:t>
                  </w:r>
                </w:p>
              </w:tc>
              <w:tc>
                <w:tcPr>
                  <w:tcW w:w="981" w:type="dxa"/>
                  <w:noWrap w:val="0"/>
                  <w:vAlign w:val="center"/>
                </w:tcPr>
                <w:p w14:paraId="3C63D6EF">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r w14:paraId="499B0B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6" w:hRule="atLeast"/>
                <w:jc w:val="center"/>
              </w:trPr>
              <w:tc>
                <w:tcPr>
                  <w:tcW w:w="1152" w:type="dxa"/>
                  <w:noWrap w:val="0"/>
                  <w:vAlign w:val="center"/>
                </w:tcPr>
                <w:p w14:paraId="0231FF4D">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臭氧</w:t>
                  </w:r>
                </w:p>
              </w:tc>
              <w:tc>
                <w:tcPr>
                  <w:tcW w:w="2926" w:type="dxa"/>
                  <w:noWrap w:val="0"/>
                  <w:vAlign w:val="center"/>
                </w:tcPr>
                <w:p w14:paraId="1341816A">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百分位数8h平均浓度</w:t>
                  </w:r>
                </w:p>
              </w:tc>
              <w:tc>
                <w:tcPr>
                  <w:tcW w:w="1049" w:type="dxa"/>
                  <w:noWrap w:val="0"/>
                  <w:vAlign w:val="center"/>
                </w:tcPr>
                <w:p w14:paraId="2B8D59E6">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98</w:t>
                  </w:r>
                </w:p>
              </w:tc>
              <w:tc>
                <w:tcPr>
                  <w:tcW w:w="789" w:type="dxa"/>
                  <w:noWrap w:val="0"/>
                  <w:vAlign w:val="center"/>
                </w:tcPr>
                <w:p w14:paraId="545579A5">
                  <w:pPr>
                    <w:adjustRightInd w:val="0"/>
                    <w:snapToGrid w:val="0"/>
                    <w:jc w:val="center"/>
                    <w:rPr>
                      <w:rFonts w:hint="eastAsia" w:ascii="Times New Roman Regular" w:hAnsi="Times New Roman Regular" w:cs="Times New Roman Regular"/>
                      <w:color w:val="auto"/>
                      <w:szCs w:val="21"/>
                    </w:rPr>
                  </w:pPr>
                  <w:r>
                    <w:rPr>
                      <w:color w:val="auto"/>
                    </w:rPr>
                    <w:t>16</w:t>
                  </w:r>
                  <w:r>
                    <w:rPr>
                      <w:rFonts w:hint="eastAsia"/>
                      <w:color w:val="auto"/>
                    </w:rPr>
                    <w:t>0</w:t>
                  </w:r>
                </w:p>
              </w:tc>
              <w:tc>
                <w:tcPr>
                  <w:tcW w:w="1079" w:type="dxa"/>
                  <w:noWrap w:val="0"/>
                  <w:vAlign w:val="center"/>
                </w:tcPr>
                <w:p w14:paraId="29B810D6">
                  <w:pPr>
                    <w:jc w:val="center"/>
                    <w:rPr>
                      <w:rFonts w:hint="default" w:ascii="Times New Roman Regular" w:hAnsi="Times New Roman Regular" w:eastAsia="宋体" w:cs="Times New Roman Regular"/>
                      <w:color w:val="auto"/>
                      <w:szCs w:val="21"/>
                      <w:lang w:val="en-US" w:eastAsia="zh-CN"/>
                    </w:rPr>
                  </w:pPr>
                  <w:r>
                    <w:rPr>
                      <w:rFonts w:hint="eastAsia"/>
                      <w:color w:val="auto"/>
                      <w:lang w:val="en-US" w:eastAsia="zh-CN"/>
                    </w:rPr>
                    <w:t>61.3</w:t>
                  </w:r>
                </w:p>
              </w:tc>
              <w:tc>
                <w:tcPr>
                  <w:tcW w:w="981" w:type="dxa"/>
                  <w:noWrap w:val="0"/>
                  <w:vAlign w:val="center"/>
                </w:tcPr>
                <w:p w14:paraId="6066FE16">
                  <w:pPr>
                    <w:pStyle w:val="97"/>
                    <w:jc w:val="center"/>
                    <w:rPr>
                      <w:rFonts w:hint="eastAsia" w:ascii="Times New Roman Regular" w:hAnsi="Times New Roman Regular" w:cs="Times New Roman Regular"/>
                      <w:color w:val="auto"/>
                      <w:sz w:val="21"/>
                      <w:szCs w:val="21"/>
                    </w:rPr>
                  </w:pPr>
                  <w:r>
                    <w:rPr>
                      <w:rFonts w:ascii="Times New Roman Regular" w:hAnsi="Times New Roman Regular" w:cs="Times New Roman Regular"/>
                      <w:color w:val="auto"/>
                      <w:sz w:val="21"/>
                      <w:szCs w:val="21"/>
                    </w:rPr>
                    <w:t>达标</w:t>
                  </w:r>
                </w:p>
              </w:tc>
            </w:tr>
          </w:tbl>
          <w:p w14:paraId="686E9040">
            <w:pPr>
              <w:spacing w:line="360" w:lineRule="auto"/>
              <w:ind w:firstLine="482" w:firstLineChars="200"/>
              <w:rPr>
                <w:b/>
                <w:bCs/>
                <w:color w:val="auto"/>
                <w:sz w:val="24"/>
              </w:rPr>
            </w:pPr>
            <w:r>
              <w:rPr>
                <w:b/>
                <w:bCs/>
                <w:color w:val="auto"/>
                <w:sz w:val="24"/>
              </w:rPr>
              <w:t>（二）</w:t>
            </w:r>
            <w:r>
              <w:rPr>
                <w:rFonts w:hint="eastAsia"/>
                <w:b/>
                <w:bCs/>
                <w:color w:val="auto"/>
                <w:sz w:val="24"/>
              </w:rPr>
              <w:t>特征污染物</w:t>
            </w:r>
          </w:p>
          <w:p w14:paraId="499FD771">
            <w:pPr>
              <w:spacing w:line="360" w:lineRule="auto"/>
              <w:ind w:firstLine="480" w:firstLineChars="200"/>
              <w:rPr>
                <w:color w:val="auto"/>
                <w:sz w:val="24"/>
              </w:rPr>
            </w:pPr>
            <w:r>
              <w:rPr>
                <w:color w:val="auto"/>
                <w:sz w:val="24"/>
              </w:rPr>
              <w:t>1、</w:t>
            </w:r>
            <w:r>
              <w:rPr>
                <w:rFonts w:hint="eastAsia"/>
                <w:color w:val="auto"/>
                <w:sz w:val="24"/>
              </w:rPr>
              <w:t>特征污染物</w:t>
            </w:r>
            <w:r>
              <w:rPr>
                <w:color w:val="auto"/>
                <w:sz w:val="24"/>
              </w:rPr>
              <w:t>补充监测点位基本信息</w:t>
            </w:r>
          </w:p>
          <w:p w14:paraId="3C78262A">
            <w:pPr>
              <w:spacing w:line="360" w:lineRule="auto"/>
              <w:ind w:firstLine="480" w:firstLineChars="200"/>
              <w:rPr>
                <w:color w:val="auto"/>
                <w:sz w:val="24"/>
              </w:rPr>
            </w:pPr>
            <w:r>
              <w:rPr>
                <w:color w:val="auto"/>
                <w:sz w:val="24"/>
              </w:rPr>
              <w:t>本项目布设</w:t>
            </w:r>
            <w:r>
              <w:rPr>
                <w:rFonts w:hint="eastAsia"/>
                <w:color w:val="auto"/>
                <w:sz w:val="24"/>
                <w:lang w:val="en-US" w:eastAsia="zh-CN"/>
              </w:rPr>
              <w:t>1</w:t>
            </w:r>
            <w:r>
              <w:rPr>
                <w:color w:val="auto"/>
                <w:sz w:val="24"/>
              </w:rPr>
              <w:t>个环境空气质量监测点，</w:t>
            </w:r>
            <w:r>
              <w:rPr>
                <w:rFonts w:hint="eastAsia"/>
                <w:color w:val="auto"/>
                <w:sz w:val="24"/>
              </w:rPr>
              <w:t>特征污染物</w:t>
            </w:r>
            <w:r>
              <w:rPr>
                <w:color w:val="auto"/>
                <w:sz w:val="24"/>
              </w:rPr>
              <w:t>补充监测点位基本信息见表3-2。</w:t>
            </w:r>
          </w:p>
          <w:p w14:paraId="3035EEED">
            <w:pPr>
              <w:adjustRightInd w:val="0"/>
              <w:jc w:val="center"/>
              <w:rPr>
                <w:b/>
                <w:bCs/>
                <w:color w:val="auto"/>
                <w:sz w:val="24"/>
                <w:highlight w:val="none"/>
              </w:rPr>
            </w:pPr>
            <w:r>
              <w:rPr>
                <w:b/>
                <w:bCs/>
                <w:color w:val="auto"/>
                <w:sz w:val="24"/>
                <w:highlight w:val="none"/>
              </w:rPr>
              <w:t xml:space="preserve">表3-2 </w:t>
            </w:r>
            <w:r>
              <w:rPr>
                <w:rFonts w:hint="eastAsia"/>
                <w:b/>
                <w:bCs/>
                <w:color w:val="auto"/>
                <w:sz w:val="24"/>
                <w:highlight w:val="none"/>
              </w:rPr>
              <w:t>特征污染物</w:t>
            </w:r>
            <w:r>
              <w:rPr>
                <w:b/>
                <w:bCs/>
                <w:color w:val="auto"/>
                <w:sz w:val="24"/>
                <w:highlight w:val="none"/>
              </w:rPr>
              <w:t>监测点位基本信息</w:t>
            </w:r>
          </w:p>
          <w:tbl>
            <w:tblPr>
              <w:tblStyle w:val="31"/>
              <w:tblW w:w="80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7"/>
              <w:gridCol w:w="1018"/>
              <w:gridCol w:w="1358"/>
              <w:gridCol w:w="1203"/>
              <w:gridCol w:w="680"/>
              <w:gridCol w:w="1175"/>
              <w:gridCol w:w="966"/>
              <w:gridCol w:w="1079"/>
            </w:tblGrid>
            <w:tr w14:paraId="3C60E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537" w:type="dxa"/>
                  <w:vMerge w:val="restart"/>
                  <w:noWrap w:val="0"/>
                  <w:vAlign w:val="center"/>
                </w:tcPr>
                <w:p w14:paraId="2D18B9BA">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018" w:type="dxa"/>
                  <w:vMerge w:val="restart"/>
                  <w:noWrap w:val="0"/>
                  <w:vAlign w:val="center"/>
                </w:tcPr>
                <w:p w14:paraId="4F166EB2">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监测点名称</w:t>
                  </w:r>
                </w:p>
              </w:tc>
              <w:tc>
                <w:tcPr>
                  <w:tcW w:w="2561" w:type="dxa"/>
                  <w:gridSpan w:val="2"/>
                  <w:noWrap w:val="0"/>
                  <w:vAlign w:val="center"/>
                </w:tcPr>
                <w:p w14:paraId="0D495679">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监测点位坐标</w:t>
                  </w:r>
                  <w:r>
                    <w:rPr>
                      <w:rFonts w:ascii="Times New Roman"/>
                      <w:color w:val="auto"/>
                      <w:sz w:val="21"/>
                      <w:szCs w:val="21"/>
                    </w:rPr>
                    <w:t>/</w:t>
                  </w:r>
                  <w:r>
                    <w:rPr>
                      <w:rFonts w:hint="eastAsia" w:ascii="Times New Roman"/>
                      <w:color w:val="auto"/>
                      <w:sz w:val="21"/>
                      <w:szCs w:val="21"/>
                    </w:rPr>
                    <w:t>°</w:t>
                  </w:r>
                </w:p>
              </w:tc>
              <w:tc>
                <w:tcPr>
                  <w:tcW w:w="680" w:type="dxa"/>
                  <w:vMerge w:val="restart"/>
                  <w:noWrap w:val="0"/>
                  <w:vAlign w:val="center"/>
                </w:tcPr>
                <w:p w14:paraId="3E97F145">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w:t>
                  </w:r>
                </w:p>
                <w:p w14:paraId="49AD9567">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因子</w:t>
                  </w:r>
                </w:p>
              </w:tc>
              <w:tc>
                <w:tcPr>
                  <w:tcW w:w="1175" w:type="dxa"/>
                  <w:vMerge w:val="restart"/>
                  <w:noWrap w:val="0"/>
                  <w:vAlign w:val="center"/>
                </w:tcPr>
                <w:p w14:paraId="374C9BED">
                  <w:pPr>
                    <w:pStyle w:val="131"/>
                    <w:adjustRightInd w:val="0"/>
                    <w:rPr>
                      <w:rFonts w:hint="default" w:ascii="Times New Roman" w:hAnsi="Times New Roman" w:eastAsia="宋体" w:cs="Times New Roman"/>
                      <w:color w:val="auto"/>
                      <w:szCs w:val="21"/>
                      <w:highlight w:val="yellow"/>
                    </w:rPr>
                  </w:pPr>
                  <w:r>
                    <w:rPr>
                      <w:rFonts w:hint="default" w:ascii="Times New Roman" w:hAnsi="Times New Roman" w:eastAsia="宋体" w:cs="Times New Roman"/>
                      <w:color w:val="auto"/>
                      <w:szCs w:val="21"/>
                      <w:highlight w:val="none"/>
                    </w:rPr>
                    <w:t>监测时段</w:t>
                  </w:r>
                </w:p>
              </w:tc>
              <w:tc>
                <w:tcPr>
                  <w:tcW w:w="966" w:type="dxa"/>
                  <w:vMerge w:val="restart"/>
                  <w:noWrap w:val="0"/>
                  <w:vAlign w:val="center"/>
                </w:tcPr>
                <w:p w14:paraId="2D914BC0">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相对厂址方位</w:t>
                  </w:r>
                </w:p>
              </w:tc>
              <w:tc>
                <w:tcPr>
                  <w:tcW w:w="1079" w:type="dxa"/>
                  <w:vMerge w:val="restart"/>
                  <w:noWrap w:val="0"/>
                  <w:vAlign w:val="center"/>
                </w:tcPr>
                <w:p w14:paraId="7CA22A81">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相对厂界距离/m</w:t>
                  </w:r>
                </w:p>
              </w:tc>
            </w:tr>
            <w:tr w14:paraId="3EF10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7" w:type="dxa"/>
                  <w:vMerge w:val="continue"/>
                  <w:noWrap w:val="0"/>
                  <w:vAlign w:val="center"/>
                </w:tcPr>
                <w:p w14:paraId="1260DC3B">
                  <w:pPr>
                    <w:pStyle w:val="131"/>
                    <w:adjustRightInd w:val="0"/>
                    <w:rPr>
                      <w:rFonts w:hint="default" w:ascii="Times New Roman" w:hAnsi="Times New Roman" w:eastAsia="宋体" w:cs="Times New Roman"/>
                      <w:color w:val="auto"/>
                      <w:szCs w:val="21"/>
                    </w:rPr>
                  </w:pPr>
                </w:p>
              </w:tc>
              <w:tc>
                <w:tcPr>
                  <w:tcW w:w="1018" w:type="dxa"/>
                  <w:vMerge w:val="continue"/>
                  <w:noWrap w:val="0"/>
                  <w:vAlign w:val="center"/>
                </w:tcPr>
                <w:p w14:paraId="030D7054">
                  <w:pPr>
                    <w:pStyle w:val="131"/>
                    <w:adjustRightInd w:val="0"/>
                    <w:rPr>
                      <w:rFonts w:hint="default" w:ascii="Times New Roman" w:hAnsi="Times New Roman" w:eastAsia="宋体" w:cs="Times New Roman"/>
                      <w:color w:val="auto"/>
                      <w:szCs w:val="21"/>
                    </w:rPr>
                  </w:pPr>
                </w:p>
              </w:tc>
              <w:tc>
                <w:tcPr>
                  <w:tcW w:w="1358" w:type="dxa"/>
                  <w:noWrap w:val="0"/>
                  <w:vAlign w:val="center"/>
                </w:tcPr>
                <w:p w14:paraId="33532A5C">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东经</w:t>
                  </w:r>
                </w:p>
              </w:tc>
              <w:tc>
                <w:tcPr>
                  <w:tcW w:w="1203" w:type="dxa"/>
                  <w:noWrap w:val="0"/>
                  <w:vAlign w:val="center"/>
                </w:tcPr>
                <w:p w14:paraId="2C4E21EC">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北纬</w:t>
                  </w:r>
                </w:p>
              </w:tc>
              <w:tc>
                <w:tcPr>
                  <w:tcW w:w="680" w:type="dxa"/>
                  <w:vMerge w:val="continue"/>
                  <w:noWrap w:val="0"/>
                  <w:vAlign w:val="center"/>
                </w:tcPr>
                <w:p w14:paraId="3FC54E99">
                  <w:pPr>
                    <w:pStyle w:val="131"/>
                    <w:adjustRightInd w:val="0"/>
                    <w:rPr>
                      <w:rFonts w:hint="default" w:ascii="Times New Roman" w:hAnsi="Times New Roman" w:eastAsia="宋体" w:cs="Times New Roman"/>
                      <w:color w:val="auto"/>
                      <w:szCs w:val="21"/>
                    </w:rPr>
                  </w:pPr>
                </w:p>
              </w:tc>
              <w:tc>
                <w:tcPr>
                  <w:tcW w:w="1175" w:type="dxa"/>
                  <w:vMerge w:val="continue"/>
                  <w:noWrap w:val="0"/>
                  <w:vAlign w:val="center"/>
                </w:tcPr>
                <w:p w14:paraId="7C7A6295">
                  <w:pPr>
                    <w:pStyle w:val="131"/>
                    <w:adjustRightInd w:val="0"/>
                    <w:rPr>
                      <w:rFonts w:hint="default" w:ascii="Times New Roman" w:hAnsi="Times New Roman" w:eastAsia="宋体" w:cs="Times New Roman"/>
                      <w:color w:val="auto"/>
                      <w:szCs w:val="21"/>
                      <w:highlight w:val="yellow"/>
                    </w:rPr>
                  </w:pPr>
                </w:p>
              </w:tc>
              <w:tc>
                <w:tcPr>
                  <w:tcW w:w="966" w:type="dxa"/>
                  <w:vMerge w:val="continue"/>
                  <w:noWrap w:val="0"/>
                  <w:vAlign w:val="center"/>
                </w:tcPr>
                <w:p w14:paraId="1EB080FA">
                  <w:pPr>
                    <w:pStyle w:val="131"/>
                    <w:adjustRightInd w:val="0"/>
                    <w:rPr>
                      <w:rFonts w:hint="default" w:ascii="Times New Roman" w:hAnsi="Times New Roman" w:eastAsia="宋体" w:cs="Times New Roman"/>
                      <w:color w:val="auto"/>
                      <w:szCs w:val="21"/>
                    </w:rPr>
                  </w:pPr>
                </w:p>
              </w:tc>
              <w:tc>
                <w:tcPr>
                  <w:tcW w:w="1079" w:type="dxa"/>
                  <w:vMerge w:val="continue"/>
                  <w:noWrap w:val="0"/>
                  <w:vAlign w:val="center"/>
                </w:tcPr>
                <w:p w14:paraId="1FF5A1A0">
                  <w:pPr>
                    <w:pStyle w:val="131"/>
                    <w:adjustRightInd w:val="0"/>
                    <w:rPr>
                      <w:rFonts w:hint="default" w:ascii="Times New Roman" w:hAnsi="Times New Roman" w:eastAsia="宋体" w:cs="Times New Roman"/>
                      <w:color w:val="auto"/>
                      <w:szCs w:val="21"/>
                    </w:rPr>
                  </w:pPr>
                </w:p>
              </w:tc>
            </w:tr>
            <w:tr w14:paraId="33C49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5" w:hRule="exact"/>
                <w:jc w:val="center"/>
              </w:trPr>
              <w:tc>
                <w:tcPr>
                  <w:tcW w:w="537" w:type="dxa"/>
                  <w:noWrap w:val="0"/>
                  <w:vAlign w:val="center"/>
                </w:tcPr>
                <w:p w14:paraId="538B5075">
                  <w:pPr>
                    <w:pStyle w:val="131"/>
                    <w:adjustRightIn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018" w:type="dxa"/>
                  <w:noWrap w:val="0"/>
                  <w:vAlign w:val="center"/>
                </w:tcPr>
                <w:p w14:paraId="6676ECFC">
                  <w:pPr>
                    <w:pStyle w:val="114"/>
                    <w:tabs>
                      <w:tab w:val="center" w:pos="4153"/>
                      <w:tab w:val="right" w:pos="8306"/>
                    </w:tabs>
                    <w:spacing w:beforeLines="0" w:afterLines="0"/>
                    <w:ind w:firstLine="0" w:firstLineChars="0"/>
                    <w:jc w:val="center"/>
                    <w:rPr>
                      <w:rFonts w:hint="default" w:ascii="Times New Roman" w:hAnsi="Times New Roman" w:eastAsia="宋体" w:cs="Times New Roman"/>
                      <w:color w:val="auto"/>
                      <w:szCs w:val="21"/>
                    </w:rPr>
                  </w:pPr>
                  <w:r>
                    <w:rPr>
                      <w:rFonts w:hint="eastAsia" w:cs="Times New Roman"/>
                      <w:color w:val="auto"/>
                      <w:kern w:val="2"/>
                      <w:sz w:val="21"/>
                      <w:szCs w:val="21"/>
                      <w:lang w:val="en-US" w:eastAsia="zh-CN" w:bidi="ar-SA"/>
                    </w:rPr>
                    <w:t>厂址</w:t>
                  </w:r>
                  <w:r>
                    <w:rPr>
                      <w:rFonts w:hint="eastAsia" w:ascii="Times New Roman" w:hAnsi="Times New Roman" w:eastAsia="宋体" w:cs="Times New Roman"/>
                      <w:color w:val="auto"/>
                      <w:kern w:val="2"/>
                      <w:sz w:val="21"/>
                      <w:szCs w:val="21"/>
                      <w:lang w:val="en-US" w:eastAsia="zh-CN" w:bidi="ar-SA"/>
                    </w:rPr>
                    <w:t>下风向1#</w:t>
                  </w:r>
                </w:p>
              </w:tc>
              <w:tc>
                <w:tcPr>
                  <w:tcW w:w="1358" w:type="dxa"/>
                  <w:noWrap w:val="0"/>
                  <w:vAlign w:val="center"/>
                </w:tcPr>
                <w:p w14:paraId="000C4729">
                  <w:pPr>
                    <w:pStyle w:val="66"/>
                    <w:adjustRightInd w:val="0"/>
                    <w:snapToGrid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132.78863668</w:t>
                  </w:r>
                </w:p>
              </w:tc>
              <w:tc>
                <w:tcPr>
                  <w:tcW w:w="1203" w:type="dxa"/>
                  <w:noWrap w:val="0"/>
                  <w:vAlign w:val="center"/>
                </w:tcPr>
                <w:p w14:paraId="06991043">
                  <w:pPr>
                    <w:pStyle w:val="66"/>
                    <w:adjustRightInd w:val="0"/>
                    <w:snapToGrid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45.73858556</w:t>
                  </w:r>
                </w:p>
              </w:tc>
              <w:tc>
                <w:tcPr>
                  <w:tcW w:w="680" w:type="dxa"/>
                  <w:noWrap w:val="0"/>
                  <w:vAlign w:val="center"/>
                </w:tcPr>
                <w:p w14:paraId="2FA94EAF">
                  <w:pPr>
                    <w:pStyle w:val="131"/>
                    <w:adjustRightInd w:val="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TSP、</w:t>
                  </w:r>
                  <w:r>
                    <w:rPr>
                      <w:rFonts w:hint="default" w:ascii="Times New Roman" w:hAnsi="Times New Roman" w:eastAsia="宋体" w:cs="Times New Roman"/>
                      <w:bCs/>
                      <w:color w:val="auto"/>
                      <w:szCs w:val="21"/>
                      <w:highlight w:val="none"/>
                    </w:rPr>
                    <w:t>汞</w:t>
                  </w:r>
                </w:p>
              </w:tc>
              <w:tc>
                <w:tcPr>
                  <w:tcW w:w="1175" w:type="dxa"/>
                  <w:noWrap w:val="0"/>
                  <w:vAlign w:val="center"/>
                </w:tcPr>
                <w:p w14:paraId="3348B15B">
                  <w:pPr>
                    <w:pStyle w:val="131"/>
                    <w:adjustRightInd w:val="0"/>
                    <w:rPr>
                      <w:rFonts w:hint="default"/>
                      <w:snapToGrid w:val="0"/>
                      <w:color w:val="auto"/>
                      <w:highlight w:val="none"/>
                    </w:rPr>
                  </w:pPr>
                  <w:r>
                    <w:rPr>
                      <w:snapToGrid w:val="0"/>
                      <w:color w:val="auto"/>
                      <w:highlight w:val="none"/>
                    </w:rPr>
                    <w:t>202</w:t>
                  </w:r>
                  <w:r>
                    <w:rPr>
                      <w:rFonts w:hint="eastAsia"/>
                      <w:snapToGrid w:val="0"/>
                      <w:color w:val="auto"/>
                      <w:highlight w:val="none"/>
                      <w:lang w:val="en-US" w:eastAsia="zh-CN"/>
                    </w:rPr>
                    <w:t>4</w:t>
                  </w:r>
                  <w:r>
                    <w:rPr>
                      <w:snapToGrid w:val="0"/>
                      <w:color w:val="auto"/>
                      <w:highlight w:val="none"/>
                    </w:rPr>
                    <w:t>年</w:t>
                  </w:r>
                  <w:r>
                    <w:rPr>
                      <w:rFonts w:hint="eastAsia"/>
                      <w:snapToGrid w:val="0"/>
                      <w:color w:val="auto"/>
                      <w:highlight w:val="none"/>
                      <w:lang w:val="en-US" w:eastAsia="zh-CN"/>
                    </w:rPr>
                    <w:t>06</w:t>
                  </w:r>
                  <w:r>
                    <w:rPr>
                      <w:snapToGrid w:val="0"/>
                      <w:color w:val="auto"/>
                      <w:highlight w:val="none"/>
                    </w:rPr>
                    <w:t>月</w:t>
                  </w:r>
                  <w:r>
                    <w:rPr>
                      <w:rFonts w:hint="eastAsia"/>
                      <w:snapToGrid w:val="0"/>
                      <w:color w:val="auto"/>
                      <w:highlight w:val="none"/>
                      <w:lang w:val="en-US" w:eastAsia="zh-CN"/>
                    </w:rPr>
                    <w:t>05</w:t>
                  </w:r>
                  <w:r>
                    <w:rPr>
                      <w:snapToGrid w:val="0"/>
                      <w:color w:val="auto"/>
                      <w:highlight w:val="none"/>
                    </w:rPr>
                    <w:t>日~202</w:t>
                  </w:r>
                  <w:r>
                    <w:rPr>
                      <w:rFonts w:hint="eastAsia"/>
                      <w:snapToGrid w:val="0"/>
                      <w:color w:val="auto"/>
                      <w:highlight w:val="none"/>
                      <w:lang w:val="en-US" w:eastAsia="zh-CN"/>
                    </w:rPr>
                    <w:t>4</w:t>
                  </w:r>
                  <w:r>
                    <w:rPr>
                      <w:snapToGrid w:val="0"/>
                      <w:color w:val="auto"/>
                      <w:highlight w:val="none"/>
                    </w:rPr>
                    <w:t>年</w:t>
                  </w:r>
                  <w:r>
                    <w:rPr>
                      <w:rFonts w:hint="eastAsia"/>
                      <w:snapToGrid w:val="0"/>
                      <w:color w:val="auto"/>
                      <w:highlight w:val="none"/>
                      <w:lang w:val="en-US" w:eastAsia="zh-CN"/>
                    </w:rPr>
                    <w:t>06</w:t>
                  </w:r>
                  <w:r>
                    <w:rPr>
                      <w:snapToGrid w:val="0"/>
                      <w:color w:val="auto"/>
                      <w:highlight w:val="none"/>
                    </w:rPr>
                    <w:t>月</w:t>
                  </w:r>
                  <w:r>
                    <w:rPr>
                      <w:rFonts w:hint="eastAsia"/>
                      <w:snapToGrid w:val="0"/>
                      <w:color w:val="auto"/>
                      <w:highlight w:val="none"/>
                      <w:lang w:val="en-US" w:eastAsia="zh-CN"/>
                    </w:rPr>
                    <w:t>08</w:t>
                  </w:r>
                  <w:r>
                    <w:rPr>
                      <w:snapToGrid w:val="0"/>
                      <w:color w:val="auto"/>
                      <w:highlight w:val="none"/>
                    </w:rPr>
                    <w:t>日</w:t>
                  </w:r>
                </w:p>
              </w:tc>
              <w:tc>
                <w:tcPr>
                  <w:tcW w:w="966" w:type="dxa"/>
                  <w:noWrap w:val="0"/>
                  <w:vAlign w:val="center"/>
                </w:tcPr>
                <w:p w14:paraId="5B887714">
                  <w:pPr>
                    <w:pStyle w:val="131"/>
                    <w:adjustRightInd w:val="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SE</w:t>
                  </w:r>
                </w:p>
              </w:tc>
              <w:tc>
                <w:tcPr>
                  <w:tcW w:w="1079" w:type="dxa"/>
                  <w:noWrap w:val="0"/>
                  <w:vAlign w:val="center"/>
                </w:tcPr>
                <w:p w14:paraId="1133614E">
                  <w:pPr>
                    <w:pStyle w:val="131"/>
                    <w:adjustRightInd w:val="0"/>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20</w:t>
                  </w:r>
                  <w:r>
                    <w:rPr>
                      <w:rFonts w:hint="default" w:ascii="Times New Roman" w:hAnsi="Times New Roman" w:eastAsia="宋体" w:cs="Times New Roman"/>
                      <w:color w:val="auto"/>
                      <w:szCs w:val="21"/>
                      <w:highlight w:val="none"/>
                    </w:rPr>
                    <w:t>m</w:t>
                  </w:r>
                </w:p>
              </w:tc>
            </w:tr>
          </w:tbl>
          <w:p w14:paraId="2E368016">
            <w:pPr>
              <w:pStyle w:val="128"/>
              <w:adjustRightInd/>
              <w:snapToGrid/>
              <w:spacing w:beforeLines="50" w:line="360" w:lineRule="auto"/>
              <w:rPr>
                <w:rFonts w:ascii="宋体" w:hAnsi="宋体" w:cs="宋体"/>
                <w:color w:val="auto"/>
                <w:sz w:val="28"/>
                <w:szCs w:val="28"/>
                <w:highlight w:val="yellow"/>
              </w:rPr>
            </w:pP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5080</wp:posOffset>
                      </wp:positionH>
                      <wp:positionV relativeFrom="paragraph">
                        <wp:posOffset>2895600</wp:posOffset>
                      </wp:positionV>
                      <wp:extent cx="975995" cy="444500"/>
                      <wp:effectExtent l="4445" t="5080" r="10160" b="7620"/>
                      <wp:wrapNone/>
                      <wp:docPr id="17" name="文本框 3"/>
                      <wp:cNvGraphicFramePr/>
                      <a:graphic xmlns:a="http://schemas.openxmlformats.org/drawingml/2006/main">
                        <a:graphicData uri="http://schemas.microsoft.com/office/word/2010/wordprocessingShape">
                          <wps:wsp>
                            <wps:cNvSpPr txBox="1"/>
                            <wps:spPr>
                              <a:xfrm>
                                <a:off x="0" y="0"/>
                                <a:ext cx="975995" cy="444500"/>
                              </a:xfrm>
                              <a:prstGeom prst="rect">
                                <a:avLst/>
                              </a:prstGeom>
                              <a:solidFill>
                                <a:srgbClr val="FFFFFF"/>
                              </a:solidFill>
                              <a:ln w="9525" cap="flat" cmpd="sng">
                                <a:solidFill>
                                  <a:srgbClr val="FF0000"/>
                                </a:solidFill>
                                <a:prstDash val="solid"/>
                                <a:miter/>
                                <a:headEnd type="none" w="med" len="med"/>
                                <a:tailEnd type="none" w="med" len="med"/>
                              </a:ln>
                            </wps:spPr>
                            <wps:txbx>
                              <w:txbxContent>
                                <w:p w14:paraId="1EE25352">
                                  <w:pPr>
                                    <w:rPr>
                                      <w:rFonts w:hint="eastAsia"/>
                                      <w:lang w:eastAsia="zh-CN"/>
                                    </w:rPr>
                                  </w:pPr>
                                  <w:r>
                                    <w:rPr>
                                      <w:rFonts w:hint="eastAsia"/>
                                      <w:lang w:eastAsia="zh-CN"/>
                                    </w:rPr>
                                    <w:t>比例尺</w:t>
                                  </w:r>
                                </w:p>
                                <w:p w14:paraId="3C910CA1">
                                  <w:pPr>
                                    <w:pStyle w:val="9"/>
                                    <w:ind w:firstLine="360" w:firstLineChars="200"/>
                                    <w:rPr>
                                      <w:rFonts w:hint="default"/>
                                      <w:lang w:val="en-US" w:eastAsia="zh-CN"/>
                                    </w:rPr>
                                  </w:pPr>
                                  <w:r>
                                    <w:rPr>
                                      <w:rFonts w:hint="eastAsia"/>
                                      <w:lang w:val="en-US" w:eastAsia="zh-CN"/>
                                    </w:rPr>
                                    <w:t>50m</w:t>
                                  </w:r>
                                </w:p>
                              </w:txbxContent>
                            </wps:txbx>
                            <wps:bodyPr upright="1"/>
                          </wps:wsp>
                        </a:graphicData>
                      </a:graphic>
                    </wp:anchor>
                  </w:drawing>
                </mc:Choice>
                <mc:Fallback>
                  <w:pict>
                    <v:shape id="文本框 3" o:spid="_x0000_s1026" o:spt="202" type="#_x0000_t202" style="position:absolute;left:0pt;margin-left:0.4pt;margin-top:228pt;height:35pt;width:76.85pt;z-index:251666432;mso-width-relative:page;mso-height-relative:page;" fillcolor="#FFFFFF" filled="t" stroked="t" coordsize="21600,21600" o:gfxdata="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lpAjtkAAAAIAQAADwAAAAAAAAABACAA&#10;AAAiAAAAZHJzL2Rvd25yZXYueG1sUEsBAhQAFAAAAAgAh07iQGRCyWEMAgAANgQAAA4AAAAAAAAA&#10;AQAgAAAAKAEAAGRycy9lMm9Eb2MueG1sUEsFBgAAAAAGAAYAWQEAAKYFAAAAAA==&#10;">
                      <v:fill on="t" focussize="0,0"/>
                      <v:stroke color="#FF0000" joinstyle="miter"/>
                      <v:imagedata o:title=""/>
                      <o:lock v:ext="edit" aspectratio="f"/>
                      <v:textbox>
                        <w:txbxContent>
                          <w:p w14:paraId="1EE25352">
                            <w:pPr>
                              <w:rPr>
                                <w:rFonts w:hint="eastAsia"/>
                                <w:lang w:eastAsia="zh-CN"/>
                              </w:rPr>
                            </w:pPr>
                            <w:r>
                              <w:rPr>
                                <w:rFonts w:hint="eastAsia"/>
                                <w:lang w:eastAsia="zh-CN"/>
                              </w:rPr>
                              <w:t>比例尺</w:t>
                            </w:r>
                          </w:p>
                          <w:p w14:paraId="3C910CA1">
                            <w:pPr>
                              <w:pStyle w:val="9"/>
                              <w:ind w:firstLine="360" w:firstLineChars="200"/>
                              <w:rPr>
                                <w:rFonts w:hint="default"/>
                                <w:lang w:val="en-US" w:eastAsia="zh-CN"/>
                              </w:rPr>
                            </w:pPr>
                            <w:r>
                              <w:rPr>
                                <w:rFonts w:hint="eastAsia"/>
                                <w:lang w:val="en-US" w:eastAsia="zh-CN"/>
                              </w:rPr>
                              <w:t>50m</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133350</wp:posOffset>
                      </wp:positionH>
                      <wp:positionV relativeFrom="paragraph">
                        <wp:posOffset>3310890</wp:posOffset>
                      </wp:positionV>
                      <wp:extent cx="635000" cy="0"/>
                      <wp:effectExtent l="38100" t="38100" r="50800" b="38100"/>
                      <wp:wrapNone/>
                      <wp:docPr id="52" name="自选图形 2"/>
                      <wp:cNvGraphicFramePr/>
                      <a:graphic xmlns:a="http://schemas.openxmlformats.org/drawingml/2006/main">
                        <a:graphicData uri="http://schemas.microsoft.com/office/word/2010/wordprocessingShape">
                          <wps:wsp>
                            <wps:cNvCnPr/>
                            <wps:spPr>
                              <a:xfrm>
                                <a:off x="0" y="0"/>
                                <a:ext cx="635000" cy="0"/>
                              </a:xfrm>
                              <a:prstGeom prst="straightConnector1">
                                <a:avLst/>
                              </a:prstGeom>
                              <a:ln w="12700" cap="flat" cmpd="sng">
                                <a:solidFill>
                                  <a:srgbClr val="000000"/>
                                </a:solidFill>
                                <a:prstDash val="solid"/>
                                <a:headEnd type="diamond" w="med" len="med"/>
                                <a:tailEnd type="diamond" w="med" len="med"/>
                              </a:ln>
                            </wps:spPr>
                            <wps:bodyPr/>
                          </wps:wsp>
                        </a:graphicData>
                      </a:graphic>
                    </wp:anchor>
                  </w:drawing>
                </mc:Choice>
                <mc:Fallback>
                  <w:pict>
                    <v:shape id="自选图形 2" o:spid="_x0000_s1026" o:spt="32" type="#_x0000_t32" style="position:absolute;left:0pt;margin-left:10.5pt;margin-top:260.7pt;height:0pt;width:50pt;z-index:251667456;mso-width-relative:page;mso-height-relative:page;" filled="f" stroked="t" coordsize="21600,21600" o:gfxdata="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v3k201AAAAAoBAAAPAAAAAAAAAAEAIAAAACIAAABkcnMvZG93bnJldi54bWxQSwECFAAU&#10;AAAACACHTuJAP+sG7fUBAADqAwAADgAAAAAAAAABACAAAAAjAQAAZHJzL2Uyb0RvYy54bWxQSwUG&#10;AAAAAAYABgBZAQAAigUAAAAA&#10;">
                      <v:fill on="f" focussize="0,0"/>
                      <v:stroke weight="1pt" color="#000000" joinstyle="round" startarrow="diamond" endarrow="diamond"/>
                      <v:imagedata o:title=""/>
                      <o:lock v:ext="edit" aspectratio="f"/>
                    </v:shape>
                  </w:pict>
                </mc:Fallback>
              </mc:AlternateContent>
            </w:r>
            <w:r>
              <w:rPr>
                <w:color w:val="auto"/>
              </w:rPr>
              <w:drawing>
                <wp:anchor distT="0" distB="0" distL="114300" distR="114300" simplePos="0" relativeHeight="251664384" behindDoc="0" locked="0" layoutInCell="1" allowOverlap="1">
                  <wp:simplePos x="0" y="0"/>
                  <wp:positionH relativeFrom="column">
                    <wp:posOffset>4156075</wp:posOffset>
                  </wp:positionH>
                  <wp:positionV relativeFrom="paragraph">
                    <wp:posOffset>-279400</wp:posOffset>
                  </wp:positionV>
                  <wp:extent cx="876300" cy="996950"/>
                  <wp:effectExtent l="0" t="0" r="0" b="1270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76300" cy="996950"/>
                          </a:xfrm>
                          <a:prstGeom prst="rect">
                            <a:avLst/>
                          </a:prstGeom>
                          <a:noFill/>
                          <a:ln>
                            <a:noFill/>
                          </a:ln>
                        </pic:spPr>
                      </pic:pic>
                    </a:graphicData>
                  </a:graphic>
                </wp:anchor>
              </w:drawing>
            </w:r>
            <w:r>
              <w:rPr>
                <w:color w:val="auto"/>
              </w:rPr>
              <w:drawing>
                <wp:inline distT="0" distB="0" distL="114300" distR="114300">
                  <wp:extent cx="5102225" cy="3676650"/>
                  <wp:effectExtent l="0" t="0" r="3175" b="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29"/>
                          <a:stretch>
                            <a:fillRect/>
                          </a:stretch>
                        </pic:blipFill>
                        <pic:spPr>
                          <a:xfrm>
                            <a:off x="0" y="0"/>
                            <a:ext cx="5102225" cy="3676650"/>
                          </a:xfrm>
                          <a:prstGeom prst="rect">
                            <a:avLst/>
                          </a:prstGeom>
                          <a:noFill/>
                          <a:ln>
                            <a:noFill/>
                          </a:ln>
                        </pic:spPr>
                      </pic:pic>
                    </a:graphicData>
                  </a:graphic>
                </wp:inline>
              </w:drawing>
            </w:r>
          </w:p>
          <w:p w14:paraId="4801D07F">
            <w:pPr>
              <w:pStyle w:val="128"/>
              <w:adjustRightInd/>
              <w:snapToGrid/>
              <w:spacing w:line="240" w:lineRule="auto"/>
              <w:rPr>
                <w:rFonts w:ascii="宋体" w:hAnsi="宋体" w:cs="宋体"/>
                <w:b/>
                <w:bCs/>
                <w:color w:val="auto"/>
                <w:sz w:val="28"/>
                <w:szCs w:val="28"/>
              </w:rPr>
            </w:pPr>
            <w:r>
              <w:rPr>
                <w:rFonts w:hint="eastAsia" w:eastAsia="宋体"/>
                <w:b/>
                <w:bCs/>
                <w:color w:val="auto"/>
                <w:kern w:val="2"/>
                <w:szCs w:val="24"/>
              </w:rPr>
              <w:t>图3-1</w:t>
            </w:r>
            <w:r>
              <w:rPr>
                <w:rFonts w:hint="eastAsia" w:eastAsia="宋体"/>
                <w:b/>
                <w:bCs/>
                <w:color w:val="auto"/>
              </w:rPr>
              <w:t>环境空气</w:t>
            </w:r>
            <w:r>
              <w:rPr>
                <w:rFonts w:eastAsia="宋体"/>
                <w:b/>
                <w:bCs/>
                <w:color w:val="auto"/>
              </w:rPr>
              <w:t>监测点位</w:t>
            </w:r>
          </w:p>
          <w:p w14:paraId="3144D909">
            <w:pPr>
              <w:spacing w:line="360" w:lineRule="auto"/>
              <w:ind w:firstLine="480" w:firstLineChars="200"/>
              <w:rPr>
                <w:color w:val="auto"/>
                <w:sz w:val="24"/>
              </w:rPr>
            </w:pPr>
            <w:r>
              <w:rPr>
                <w:color w:val="auto"/>
                <w:sz w:val="24"/>
              </w:rPr>
              <w:t>2、监测频率</w:t>
            </w:r>
          </w:p>
          <w:p w14:paraId="5E993B52">
            <w:pPr>
              <w:spacing w:line="360" w:lineRule="auto"/>
              <w:ind w:firstLine="480" w:firstLineChars="200"/>
              <w:rPr>
                <w:color w:val="auto"/>
                <w:sz w:val="24"/>
              </w:rPr>
            </w:pPr>
            <w:r>
              <w:rPr>
                <w:rFonts w:hint="default"/>
                <w:color w:val="auto"/>
                <w:sz w:val="24"/>
              </w:rPr>
              <w:t>本项目</w:t>
            </w:r>
            <w:r>
              <w:rPr>
                <w:rFonts w:hint="eastAsia"/>
                <w:color w:val="auto"/>
                <w:sz w:val="24"/>
                <w:lang w:eastAsia="zh-CN"/>
              </w:rPr>
              <w:t>监测时间为</w:t>
            </w:r>
            <w:r>
              <w:rPr>
                <w:rFonts w:hint="default"/>
                <w:color w:val="auto"/>
                <w:sz w:val="24"/>
              </w:rPr>
              <w:t>202</w:t>
            </w:r>
            <w:r>
              <w:rPr>
                <w:rFonts w:hint="eastAsia"/>
                <w:color w:val="auto"/>
                <w:sz w:val="24"/>
                <w:lang w:val="en-US" w:eastAsia="zh-CN"/>
              </w:rPr>
              <w:t>4</w:t>
            </w:r>
            <w:r>
              <w:rPr>
                <w:rFonts w:hint="default"/>
                <w:color w:val="auto"/>
                <w:sz w:val="24"/>
              </w:rPr>
              <w:t>年</w:t>
            </w:r>
            <w:r>
              <w:rPr>
                <w:rFonts w:hint="eastAsia"/>
                <w:color w:val="auto"/>
                <w:sz w:val="24"/>
                <w:lang w:val="en-US" w:eastAsia="zh-CN"/>
              </w:rPr>
              <w:t>06</w:t>
            </w:r>
            <w:r>
              <w:rPr>
                <w:rFonts w:hint="default"/>
                <w:color w:val="auto"/>
                <w:sz w:val="24"/>
              </w:rPr>
              <w:t>月</w:t>
            </w:r>
            <w:r>
              <w:rPr>
                <w:rFonts w:hint="eastAsia"/>
                <w:color w:val="auto"/>
                <w:sz w:val="24"/>
                <w:lang w:val="en-US" w:eastAsia="zh-CN"/>
              </w:rPr>
              <w:t>05</w:t>
            </w:r>
            <w:r>
              <w:rPr>
                <w:rFonts w:hint="default"/>
                <w:color w:val="auto"/>
                <w:sz w:val="24"/>
              </w:rPr>
              <w:t>日~202</w:t>
            </w:r>
            <w:r>
              <w:rPr>
                <w:rFonts w:hint="eastAsia"/>
                <w:color w:val="auto"/>
                <w:sz w:val="24"/>
                <w:lang w:val="en-US" w:eastAsia="zh-CN"/>
              </w:rPr>
              <w:t>4</w:t>
            </w:r>
            <w:r>
              <w:rPr>
                <w:rFonts w:hint="default"/>
                <w:color w:val="auto"/>
                <w:sz w:val="24"/>
              </w:rPr>
              <w:t>年</w:t>
            </w:r>
            <w:r>
              <w:rPr>
                <w:rFonts w:hint="eastAsia"/>
                <w:color w:val="auto"/>
                <w:sz w:val="24"/>
                <w:lang w:val="en-US" w:eastAsia="zh-CN"/>
              </w:rPr>
              <w:t>06</w:t>
            </w:r>
            <w:r>
              <w:rPr>
                <w:rFonts w:hint="default"/>
                <w:color w:val="auto"/>
                <w:sz w:val="24"/>
              </w:rPr>
              <w:t>月</w:t>
            </w:r>
            <w:r>
              <w:rPr>
                <w:rFonts w:hint="eastAsia"/>
                <w:color w:val="auto"/>
                <w:sz w:val="24"/>
                <w:lang w:val="en-US" w:eastAsia="zh-CN"/>
              </w:rPr>
              <w:t>07</w:t>
            </w:r>
            <w:r>
              <w:rPr>
                <w:rFonts w:hint="default"/>
                <w:color w:val="auto"/>
                <w:sz w:val="24"/>
              </w:rPr>
              <w:t>日</w:t>
            </w:r>
            <w:r>
              <w:rPr>
                <w:rFonts w:hint="eastAsia"/>
                <w:color w:val="auto"/>
                <w:sz w:val="24"/>
                <w:lang w:eastAsia="zh-CN"/>
              </w:rPr>
              <w:t>，</w:t>
            </w:r>
            <w:r>
              <w:rPr>
                <w:rFonts w:hint="default"/>
                <w:color w:val="auto"/>
                <w:sz w:val="24"/>
              </w:rPr>
              <w:t>为期</w:t>
            </w:r>
            <w:r>
              <w:rPr>
                <w:rFonts w:hint="eastAsia"/>
                <w:color w:val="auto"/>
                <w:sz w:val="24"/>
                <w:lang w:val="en-US" w:eastAsia="zh-CN"/>
              </w:rPr>
              <w:t>3</w:t>
            </w:r>
            <w:r>
              <w:rPr>
                <w:rFonts w:hint="default"/>
                <w:color w:val="auto"/>
                <w:sz w:val="24"/>
              </w:rPr>
              <w:t>天</w:t>
            </w:r>
            <w:r>
              <w:rPr>
                <w:rFonts w:hint="eastAsia"/>
                <w:color w:val="auto"/>
                <w:sz w:val="24"/>
                <w:lang w:eastAsia="zh-CN"/>
              </w:rPr>
              <w:t>。</w:t>
            </w:r>
          </w:p>
          <w:p w14:paraId="03FECA2B">
            <w:pPr>
              <w:spacing w:line="360" w:lineRule="auto"/>
              <w:ind w:firstLine="480" w:firstLineChars="200"/>
              <w:rPr>
                <w:color w:val="auto"/>
                <w:sz w:val="24"/>
              </w:rPr>
            </w:pPr>
            <w:r>
              <w:rPr>
                <w:color w:val="auto"/>
                <w:sz w:val="24"/>
              </w:rPr>
              <w:t>3、监测结果</w:t>
            </w:r>
          </w:p>
          <w:p w14:paraId="5ADDEBE0">
            <w:pPr>
              <w:spacing w:line="360" w:lineRule="auto"/>
              <w:ind w:firstLine="480" w:firstLineChars="200"/>
              <w:rPr>
                <w:color w:val="auto"/>
                <w:sz w:val="24"/>
              </w:rPr>
            </w:pPr>
            <w:r>
              <w:rPr>
                <w:rFonts w:hint="eastAsia"/>
                <w:color w:val="auto"/>
                <w:sz w:val="24"/>
              </w:rPr>
              <w:t>特征污染物</w:t>
            </w:r>
            <w:r>
              <w:rPr>
                <w:color w:val="auto"/>
                <w:sz w:val="24"/>
              </w:rPr>
              <w:t>环境质量现状监测结果见表3-3。</w:t>
            </w:r>
          </w:p>
          <w:p w14:paraId="44439E26">
            <w:pPr>
              <w:jc w:val="center"/>
              <w:rPr>
                <w:b/>
                <w:bCs/>
                <w:color w:val="auto"/>
                <w:sz w:val="24"/>
              </w:rPr>
            </w:pPr>
            <w:r>
              <w:rPr>
                <w:rFonts w:hint="eastAsia" w:ascii="黑体" w:hAnsi="黑体" w:eastAsia="黑体" w:cs="黑体"/>
                <w:bCs/>
                <w:color w:val="auto"/>
                <w:sz w:val="24"/>
              </w:rPr>
              <w:t>表</w:t>
            </w:r>
            <w:r>
              <w:rPr>
                <w:rFonts w:hint="eastAsia"/>
                <w:b/>
                <w:bCs/>
                <w:color w:val="auto"/>
                <w:sz w:val="24"/>
              </w:rPr>
              <w:t>3-3 其他污染物环境质量现状（监测结果）表</w:t>
            </w:r>
          </w:p>
          <w:tbl>
            <w:tblPr>
              <w:tblStyle w:val="3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217"/>
              <w:gridCol w:w="1150"/>
              <w:gridCol w:w="1100"/>
              <w:gridCol w:w="1037"/>
              <w:gridCol w:w="1500"/>
              <w:gridCol w:w="880"/>
              <w:gridCol w:w="571"/>
              <w:gridCol w:w="584"/>
            </w:tblGrid>
            <w:tr w14:paraId="5084DE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56" w:type="pct"/>
                  <w:vMerge w:val="restart"/>
                  <w:shd w:val="clear" w:color="000000" w:fill="FFFFFF"/>
                  <w:noWrap/>
                  <w:vAlign w:val="center"/>
                </w:tcPr>
                <w:p w14:paraId="6416B538">
                  <w:pPr>
                    <w:jc w:val="center"/>
                    <w:rPr>
                      <w:color w:val="auto"/>
                      <w:szCs w:val="21"/>
                    </w:rPr>
                  </w:pPr>
                  <w:r>
                    <w:rPr>
                      <w:color w:val="auto"/>
                      <w:szCs w:val="21"/>
                    </w:rPr>
                    <w:t>点位名称</w:t>
                  </w:r>
                </w:p>
              </w:tc>
              <w:tc>
                <w:tcPr>
                  <w:tcW w:w="715" w:type="pct"/>
                  <w:vMerge w:val="restart"/>
                  <w:shd w:val="clear" w:color="000000" w:fill="FFFFFF"/>
                  <w:noWrap/>
                  <w:vAlign w:val="center"/>
                </w:tcPr>
                <w:p w14:paraId="58B50278">
                  <w:pPr>
                    <w:jc w:val="center"/>
                    <w:rPr>
                      <w:color w:val="auto"/>
                      <w:szCs w:val="21"/>
                    </w:rPr>
                  </w:pPr>
                  <w:r>
                    <w:rPr>
                      <w:color w:val="auto"/>
                      <w:szCs w:val="21"/>
                    </w:rPr>
                    <w:t>污染物</w:t>
                  </w:r>
                </w:p>
              </w:tc>
              <w:tc>
                <w:tcPr>
                  <w:tcW w:w="684" w:type="pct"/>
                  <w:vMerge w:val="restart"/>
                  <w:shd w:val="clear" w:color="000000" w:fill="FFFFFF"/>
                  <w:noWrap/>
                  <w:vAlign w:val="center"/>
                </w:tcPr>
                <w:p w14:paraId="520DE73B">
                  <w:pPr>
                    <w:jc w:val="center"/>
                    <w:rPr>
                      <w:color w:val="auto"/>
                      <w:szCs w:val="21"/>
                    </w:rPr>
                  </w:pPr>
                  <w:r>
                    <w:rPr>
                      <w:color w:val="auto"/>
                      <w:szCs w:val="21"/>
                    </w:rPr>
                    <w:t>平均时间</w:t>
                  </w:r>
                </w:p>
              </w:tc>
              <w:tc>
                <w:tcPr>
                  <w:tcW w:w="644" w:type="pct"/>
                  <w:shd w:val="clear" w:color="000000" w:fill="FFFFFF"/>
                  <w:noWrap/>
                  <w:vAlign w:val="center"/>
                </w:tcPr>
                <w:p w14:paraId="6003D260">
                  <w:pPr>
                    <w:jc w:val="center"/>
                    <w:rPr>
                      <w:color w:val="auto"/>
                      <w:szCs w:val="21"/>
                    </w:rPr>
                  </w:pPr>
                  <w:r>
                    <w:rPr>
                      <w:color w:val="auto"/>
                      <w:szCs w:val="21"/>
                    </w:rPr>
                    <w:t>评价标准</w:t>
                  </w:r>
                </w:p>
              </w:tc>
              <w:tc>
                <w:tcPr>
                  <w:tcW w:w="932" w:type="pct"/>
                  <w:vMerge w:val="restart"/>
                  <w:shd w:val="clear" w:color="000000" w:fill="FFFFFF"/>
                  <w:noWrap/>
                  <w:vAlign w:val="center"/>
                </w:tcPr>
                <w:p w14:paraId="244BF6CC">
                  <w:pPr>
                    <w:jc w:val="center"/>
                    <w:rPr>
                      <w:color w:val="auto"/>
                      <w:szCs w:val="21"/>
                    </w:rPr>
                  </w:pPr>
                  <w:r>
                    <w:rPr>
                      <w:color w:val="auto"/>
                      <w:szCs w:val="21"/>
                    </w:rPr>
                    <w:t>监测浓度范围</w:t>
                  </w:r>
                </w:p>
              </w:tc>
              <w:tc>
                <w:tcPr>
                  <w:tcW w:w="547" w:type="pct"/>
                  <w:vMerge w:val="restart"/>
                  <w:shd w:val="clear" w:color="000000" w:fill="FFFFFF"/>
                  <w:noWrap/>
                  <w:vAlign w:val="center"/>
                </w:tcPr>
                <w:p w14:paraId="21EA8E06">
                  <w:pPr>
                    <w:jc w:val="center"/>
                    <w:rPr>
                      <w:color w:val="auto"/>
                      <w:szCs w:val="21"/>
                    </w:rPr>
                  </w:pPr>
                  <w:r>
                    <w:rPr>
                      <w:color w:val="auto"/>
                      <w:szCs w:val="21"/>
                    </w:rPr>
                    <w:t>最大浓度占标率/%</w:t>
                  </w:r>
                </w:p>
              </w:tc>
              <w:tc>
                <w:tcPr>
                  <w:tcW w:w="355" w:type="pct"/>
                  <w:shd w:val="clear" w:color="000000" w:fill="FFFFFF"/>
                  <w:noWrap/>
                  <w:vAlign w:val="center"/>
                </w:tcPr>
                <w:p w14:paraId="6B876849">
                  <w:pPr>
                    <w:jc w:val="center"/>
                    <w:rPr>
                      <w:color w:val="auto"/>
                      <w:szCs w:val="21"/>
                    </w:rPr>
                  </w:pPr>
                  <w:r>
                    <w:rPr>
                      <w:color w:val="auto"/>
                      <w:szCs w:val="21"/>
                    </w:rPr>
                    <w:t>超标概率/</w:t>
                  </w:r>
                </w:p>
              </w:tc>
              <w:tc>
                <w:tcPr>
                  <w:tcW w:w="363" w:type="pct"/>
                  <w:vMerge w:val="restart"/>
                  <w:shd w:val="clear" w:color="000000" w:fill="FFFFFF"/>
                  <w:noWrap/>
                  <w:vAlign w:val="center"/>
                </w:tcPr>
                <w:p w14:paraId="13E3DCCC">
                  <w:pPr>
                    <w:jc w:val="center"/>
                    <w:rPr>
                      <w:color w:val="auto"/>
                      <w:szCs w:val="21"/>
                    </w:rPr>
                  </w:pPr>
                  <w:r>
                    <w:rPr>
                      <w:color w:val="auto"/>
                      <w:szCs w:val="21"/>
                    </w:rPr>
                    <w:t>达标情况</w:t>
                  </w:r>
                </w:p>
              </w:tc>
            </w:tr>
            <w:tr w14:paraId="30794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756" w:type="pct"/>
                  <w:vMerge w:val="continue"/>
                  <w:shd w:val="clear" w:color="auto" w:fill="auto"/>
                  <w:noWrap/>
                  <w:vAlign w:val="center"/>
                </w:tcPr>
                <w:p w14:paraId="6EFFB84D">
                  <w:pPr>
                    <w:jc w:val="center"/>
                    <w:rPr>
                      <w:color w:val="auto"/>
                      <w:szCs w:val="21"/>
                    </w:rPr>
                  </w:pPr>
                </w:p>
              </w:tc>
              <w:tc>
                <w:tcPr>
                  <w:tcW w:w="715" w:type="pct"/>
                  <w:vMerge w:val="continue"/>
                  <w:shd w:val="clear" w:color="auto" w:fill="auto"/>
                  <w:noWrap/>
                  <w:vAlign w:val="center"/>
                </w:tcPr>
                <w:p w14:paraId="06C04B8D">
                  <w:pPr>
                    <w:jc w:val="center"/>
                    <w:rPr>
                      <w:color w:val="auto"/>
                      <w:szCs w:val="21"/>
                    </w:rPr>
                  </w:pPr>
                </w:p>
              </w:tc>
              <w:tc>
                <w:tcPr>
                  <w:tcW w:w="684" w:type="pct"/>
                  <w:vMerge w:val="continue"/>
                  <w:shd w:val="clear" w:color="auto" w:fill="auto"/>
                  <w:noWrap/>
                  <w:vAlign w:val="center"/>
                </w:tcPr>
                <w:p w14:paraId="5525B58B">
                  <w:pPr>
                    <w:jc w:val="center"/>
                    <w:rPr>
                      <w:color w:val="auto"/>
                      <w:szCs w:val="21"/>
                    </w:rPr>
                  </w:pPr>
                </w:p>
              </w:tc>
              <w:tc>
                <w:tcPr>
                  <w:tcW w:w="644" w:type="pct"/>
                  <w:shd w:val="clear" w:color="000000" w:fill="FFFFFF"/>
                  <w:noWrap/>
                  <w:vAlign w:val="center"/>
                </w:tcPr>
                <w:p w14:paraId="5F4DC8BC">
                  <w:pPr>
                    <w:jc w:val="center"/>
                    <w:rPr>
                      <w:color w:val="auto"/>
                      <w:szCs w:val="21"/>
                    </w:rPr>
                  </w:pPr>
                  <w:r>
                    <w:rPr>
                      <w:color w:val="auto"/>
                      <w:szCs w:val="21"/>
                    </w:rPr>
                    <w:t>（</w:t>
                  </w:r>
                  <w:r>
                    <w:rPr>
                      <w:rFonts w:hint="eastAsia"/>
                      <w:color w:val="auto"/>
                      <w:szCs w:val="21"/>
                    </w:rPr>
                    <w:t>m</w:t>
                  </w:r>
                  <w:r>
                    <w:rPr>
                      <w:color w:val="auto"/>
                      <w:szCs w:val="21"/>
                    </w:rPr>
                    <w:t>g/m</w:t>
                  </w:r>
                  <w:r>
                    <w:rPr>
                      <w:color w:val="auto"/>
                      <w:szCs w:val="21"/>
                      <w:vertAlign w:val="superscript"/>
                    </w:rPr>
                    <w:t>3</w:t>
                  </w:r>
                  <w:r>
                    <w:rPr>
                      <w:color w:val="auto"/>
                      <w:szCs w:val="21"/>
                    </w:rPr>
                    <w:t>）</w:t>
                  </w:r>
                </w:p>
              </w:tc>
              <w:tc>
                <w:tcPr>
                  <w:tcW w:w="932" w:type="pct"/>
                  <w:vMerge w:val="continue"/>
                  <w:shd w:val="clear" w:color="auto" w:fill="auto"/>
                  <w:noWrap/>
                  <w:vAlign w:val="center"/>
                </w:tcPr>
                <w:p w14:paraId="22A63DFE">
                  <w:pPr>
                    <w:jc w:val="center"/>
                    <w:rPr>
                      <w:color w:val="auto"/>
                      <w:szCs w:val="21"/>
                    </w:rPr>
                  </w:pPr>
                </w:p>
              </w:tc>
              <w:tc>
                <w:tcPr>
                  <w:tcW w:w="547" w:type="pct"/>
                  <w:vMerge w:val="continue"/>
                  <w:shd w:val="clear" w:color="auto" w:fill="auto"/>
                  <w:noWrap/>
                  <w:vAlign w:val="center"/>
                </w:tcPr>
                <w:p w14:paraId="7D8E2F31">
                  <w:pPr>
                    <w:jc w:val="center"/>
                    <w:rPr>
                      <w:color w:val="auto"/>
                      <w:szCs w:val="21"/>
                    </w:rPr>
                  </w:pPr>
                </w:p>
              </w:tc>
              <w:tc>
                <w:tcPr>
                  <w:tcW w:w="355" w:type="pct"/>
                  <w:shd w:val="clear" w:color="000000" w:fill="FFFFFF"/>
                  <w:noWrap/>
                  <w:vAlign w:val="center"/>
                </w:tcPr>
                <w:p w14:paraId="7E00CE29">
                  <w:pPr>
                    <w:jc w:val="center"/>
                    <w:rPr>
                      <w:color w:val="auto"/>
                      <w:szCs w:val="21"/>
                    </w:rPr>
                  </w:pPr>
                  <w:r>
                    <w:rPr>
                      <w:color w:val="auto"/>
                      <w:szCs w:val="21"/>
                    </w:rPr>
                    <w:t>%</w:t>
                  </w:r>
                </w:p>
              </w:tc>
              <w:tc>
                <w:tcPr>
                  <w:tcW w:w="363" w:type="pct"/>
                  <w:vMerge w:val="continue"/>
                  <w:noWrap/>
                  <w:vAlign w:val="center"/>
                </w:tcPr>
                <w:p w14:paraId="0444FFCB">
                  <w:pPr>
                    <w:jc w:val="center"/>
                    <w:rPr>
                      <w:color w:val="auto"/>
                      <w:szCs w:val="21"/>
                    </w:rPr>
                  </w:pPr>
                </w:p>
              </w:tc>
            </w:tr>
            <w:tr w14:paraId="79E2A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32" w:hRule="atLeast"/>
              </w:trPr>
              <w:tc>
                <w:tcPr>
                  <w:tcW w:w="756" w:type="pct"/>
                  <w:vMerge w:val="restart"/>
                  <w:noWrap/>
                  <w:vAlign w:val="center"/>
                </w:tcPr>
                <w:p w14:paraId="7A094487">
                  <w:pPr>
                    <w:pStyle w:val="114"/>
                    <w:tabs>
                      <w:tab w:val="center" w:pos="4153"/>
                      <w:tab w:val="right" w:pos="8306"/>
                    </w:tabs>
                    <w:spacing w:beforeLines="0" w:afterLines="0"/>
                    <w:ind w:firstLine="0" w:firstLineChars="0"/>
                    <w:jc w:val="center"/>
                    <w:rPr>
                      <w:color w:val="auto"/>
                      <w:szCs w:val="21"/>
                    </w:rPr>
                  </w:pPr>
                  <w:r>
                    <w:rPr>
                      <w:rFonts w:hint="eastAsia" w:ascii="Times New Roman" w:hAnsi="Times New Roman" w:eastAsia="宋体" w:cs="Times New Roman"/>
                      <w:color w:val="auto"/>
                      <w:kern w:val="2"/>
                      <w:sz w:val="21"/>
                      <w:szCs w:val="21"/>
                      <w:lang w:val="en-US" w:eastAsia="zh-CN" w:bidi="ar-SA"/>
                    </w:rPr>
                    <w:t>厂址下风向1#</w:t>
                  </w:r>
                </w:p>
              </w:tc>
              <w:tc>
                <w:tcPr>
                  <w:tcW w:w="715" w:type="pct"/>
                  <w:noWrap/>
                  <w:vAlign w:val="center"/>
                </w:tcPr>
                <w:p w14:paraId="35B3C3B9">
                  <w:pPr>
                    <w:jc w:val="center"/>
                    <w:rPr>
                      <w:color w:val="auto"/>
                      <w:szCs w:val="21"/>
                    </w:rPr>
                  </w:pPr>
                  <w:r>
                    <w:rPr>
                      <w:rFonts w:hint="eastAsia"/>
                      <w:color w:val="auto"/>
                      <w:szCs w:val="21"/>
                    </w:rPr>
                    <w:t>TSP</w:t>
                  </w:r>
                </w:p>
              </w:tc>
              <w:tc>
                <w:tcPr>
                  <w:tcW w:w="684" w:type="pct"/>
                  <w:noWrap/>
                  <w:vAlign w:val="center"/>
                </w:tcPr>
                <w:p w14:paraId="08A10ABD">
                  <w:pPr>
                    <w:jc w:val="center"/>
                    <w:rPr>
                      <w:color w:val="auto"/>
                      <w:szCs w:val="21"/>
                    </w:rPr>
                  </w:pPr>
                  <w:r>
                    <w:rPr>
                      <w:rFonts w:hint="eastAsia"/>
                      <w:color w:val="auto"/>
                      <w:szCs w:val="21"/>
                    </w:rPr>
                    <w:t>24h均值</w:t>
                  </w:r>
                </w:p>
              </w:tc>
              <w:tc>
                <w:tcPr>
                  <w:tcW w:w="644" w:type="pct"/>
                  <w:noWrap/>
                  <w:vAlign w:val="center"/>
                </w:tcPr>
                <w:p w14:paraId="58877C32">
                  <w:pPr>
                    <w:jc w:val="center"/>
                    <w:rPr>
                      <w:color w:val="auto"/>
                      <w:szCs w:val="21"/>
                    </w:rPr>
                  </w:pPr>
                  <w:r>
                    <w:rPr>
                      <w:rFonts w:hint="eastAsia"/>
                      <w:color w:val="auto"/>
                      <w:szCs w:val="21"/>
                    </w:rPr>
                    <w:t>0.3</w:t>
                  </w:r>
                </w:p>
              </w:tc>
              <w:tc>
                <w:tcPr>
                  <w:tcW w:w="932" w:type="pct"/>
                  <w:noWrap/>
                  <w:vAlign w:val="center"/>
                </w:tcPr>
                <w:p w14:paraId="25ACD44A">
                  <w:pPr>
                    <w:jc w:val="center"/>
                    <w:rPr>
                      <w:color w:val="auto"/>
                      <w:szCs w:val="21"/>
                    </w:rPr>
                  </w:pPr>
                  <w:r>
                    <w:rPr>
                      <w:rFonts w:hint="eastAsia" w:eastAsia="仿宋_GB2312"/>
                      <w:color w:val="auto"/>
                      <w:szCs w:val="21"/>
                      <w:lang w:val="en-US" w:eastAsia="zh-CN"/>
                    </w:rPr>
                    <w:t>0.102</w:t>
                  </w:r>
                  <w:r>
                    <w:rPr>
                      <w:rFonts w:eastAsia="仿宋_GB2312"/>
                      <w:color w:val="auto"/>
                      <w:szCs w:val="21"/>
                    </w:rPr>
                    <w:t>～</w:t>
                  </w:r>
                  <w:r>
                    <w:rPr>
                      <w:rFonts w:hint="eastAsia" w:eastAsia="仿宋_GB2312"/>
                      <w:color w:val="auto"/>
                      <w:szCs w:val="21"/>
                      <w:lang w:val="en-US" w:eastAsia="zh-CN"/>
                    </w:rPr>
                    <w:t>0.104</w:t>
                  </w:r>
                  <w:r>
                    <w:rPr>
                      <w:color w:val="auto"/>
                      <w:szCs w:val="21"/>
                    </w:rPr>
                    <w:t>mg/m</w:t>
                  </w:r>
                  <w:r>
                    <w:rPr>
                      <w:color w:val="auto"/>
                      <w:szCs w:val="21"/>
                      <w:vertAlign w:val="superscript"/>
                    </w:rPr>
                    <w:t>3</w:t>
                  </w:r>
                </w:p>
              </w:tc>
              <w:tc>
                <w:tcPr>
                  <w:tcW w:w="547" w:type="pct"/>
                  <w:noWrap/>
                  <w:vAlign w:val="center"/>
                </w:tcPr>
                <w:p w14:paraId="1BE9972D">
                  <w:pPr>
                    <w:jc w:val="center"/>
                    <w:rPr>
                      <w:rFonts w:hint="default" w:eastAsia="宋体"/>
                      <w:color w:val="auto"/>
                      <w:szCs w:val="21"/>
                      <w:lang w:val="en-US" w:eastAsia="zh-CN"/>
                    </w:rPr>
                  </w:pPr>
                  <w:r>
                    <w:rPr>
                      <w:rFonts w:hint="eastAsia"/>
                      <w:color w:val="auto"/>
                      <w:szCs w:val="21"/>
                      <w:lang w:val="en-US" w:eastAsia="zh-CN"/>
                    </w:rPr>
                    <w:t>34.67</w:t>
                  </w:r>
                </w:p>
              </w:tc>
              <w:tc>
                <w:tcPr>
                  <w:tcW w:w="355" w:type="pct"/>
                  <w:noWrap/>
                  <w:vAlign w:val="center"/>
                </w:tcPr>
                <w:p w14:paraId="56AF0A30">
                  <w:pPr>
                    <w:jc w:val="center"/>
                    <w:rPr>
                      <w:color w:val="auto"/>
                      <w:szCs w:val="21"/>
                    </w:rPr>
                  </w:pPr>
                  <w:r>
                    <w:rPr>
                      <w:rFonts w:hint="eastAsia"/>
                      <w:color w:val="auto"/>
                      <w:szCs w:val="21"/>
                    </w:rPr>
                    <w:t>0</w:t>
                  </w:r>
                </w:p>
              </w:tc>
              <w:tc>
                <w:tcPr>
                  <w:tcW w:w="363" w:type="pct"/>
                  <w:noWrap/>
                  <w:vAlign w:val="center"/>
                </w:tcPr>
                <w:p w14:paraId="646CDB0E">
                  <w:pPr>
                    <w:jc w:val="center"/>
                    <w:rPr>
                      <w:color w:val="auto"/>
                      <w:szCs w:val="21"/>
                    </w:rPr>
                  </w:pPr>
                  <w:r>
                    <w:rPr>
                      <w:color w:val="auto"/>
                      <w:szCs w:val="21"/>
                    </w:rPr>
                    <w:t>达标</w:t>
                  </w:r>
                </w:p>
              </w:tc>
            </w:tr>
            <w:tr w14:paraId="7C239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32" w:hRule="atLeast"/>
              </w:trPr>
              <w:tc>
                <w:tcPr>
                  <w:tcW w:w="756" w:type="pct"/>
                  <w:vMerge w:val="continue"/>
                  <w:noWrap/>
                  <w:vAlign w:val="center"/>
                </w:tcPr>
                <w:p w14:paraId="186E0EE6">
                  <w:pPr>
                    <w:jc w:val="center"/>
                    <w:rPr>
                      <w:color w:val="auto"/>
                      <w:szCs w:val="21"/>
                    </w:rPr>
                  </w:pPr>
                </w:p>
              </w:tc>
              <w:tc>
                <w:tcPr>
                  <w:tcW w:w="715" w:type="pct"/>
                  <w:noWrap/>
                  <w:vAlign w:val="center"/>
                </w:tcPr>
                <w:p w14:paraId="06B3C426">
                  <w:pPr>
                    <w:jc w:val="center"/>
                    <w:rPr>
                      <w:color w:val="auto"/>
                      <w:szCs w:val="21"/>
                    </w:rPr>
                  </w:pPr>
                  <w:r>
                    <w:rPr>
                      <w:rFonts w:hint="eastAsia"/>
                      <w:color w:val="auto"/>
                      <w:szCs w:val="21"/>
                    </w:rPr>
                    <w:t>汞</w:t>
                  </w:r>
                </w:p>
              </w:tc>
              <w:tc>
                <w:tcPr>
                  <w:tcW w:w="684" w:type="pct"/>
                  <w:noWrap/>
                  <w:vAlign w:val="center"/>
                </w:tcPr>
                <w:p w14:paraId="33BB40E8">
                  <w:pPr>
                    <w:jc w:val="center"/>
                    <w:rPr>
                      <w:color w:val="auto"/>
                      <w:szCs w:val="21"/>
                      <w:highlight w:val="none"/>
                    </w:rPr>
                  </w:pPr>
                  <w:r>
                    <w:rPr>
                      <w:rFonts w:hint="eastAsia" w:ascii="Times New Roman" w:hAnsi="Times New Roman"/>
                      <w:color w:val="auto"/>
                      <w:sz w:val="21"/>
                      <w:szCs w:val="21"/>
                    </w:rPr>
                    <w:t>年均值</w:t>
                  </w:r>
                </w:p>
              </w:tc>
              <w:tc>
                <w:tcPr>
                  <w:tcW w:w="644" w:type="pct"/>
                  <w:noWrap/>
                  <w:vAlign w:val="center"/>
                </w:tcPr>
                <w:p w14:paraId="47F1FDB7">
                  <w:pPr>
                    <w:pStyle w:val="119"/>
                    <w:rPr>
                      <w:rFonts w:hint="default" w:eastAsia="宋体"/>
                      <w:color w:val="auto"/>
                      <w:szCs w:val="21"/>
                      <w:highlight w:val="none"/>
                      <w:lang w:val="en-US" w:eastAsia="zh-CN"/>
                    </w:rPr>
                  </w:pPr>
                  <w:r>
                    <w:rPr>
                      <w:rFonts w:hint="eastAsia" w:ascii="Times New Roman" w:hAnsi="Times New Roman"/>
                      <w:color w:val="auto"/>
                      <w:sz w:val="21"/>
                      <w:szCs w:val="21"/>
                    </w:rPr>
                    <w:t>0.0</w:t>
                  </w:r>
                  <w:r>
                    <w:rPr>
                      <w:rFonts w:hint="eastAsia"/>
                      <w:color w:val="auto"/>
                      <w:sz w:val="21"/>
                      <w:szCs w:val="21"/>
                      <w:lang w:val="en-US" w:eastAsia="zh-CN"/>
                    </w:rPr>
                    <w:t>001</w:t>
                  </w:r>
                </w:p>
              </w:tc>
              <w:tc>
                <w:tcPr>
                  <w:tcW w:w="932" w:type="pct"/>
                  <w:noWrap/>
                  <w:vAlign w:val="center"/>
                </w:tcPr>
                <w:p w14:paraId="63FF9190">
                  <w:pPr>
                    <w:jc w:val="center"/>
                    <w:rPr>
                      <w:rFonts w:eastAsia="仿宋_GB2312"/>
                      <w:color w:val="auto"/>
                      <w:szCs w:val="21"/>
                    </w:rPr>
                  </w:pPr>
                  <w:r>
                    <w:rPr>
                      <w:rFonts w:hint="eastAsia"/>
                      <w:color w:val="auto"/>
                      <w:szCs w:val="21"/>
                    </w:rPr>
                    <w:t>未检出</w:t>
                  </w:r>
                </w:p>
              </w:tc>
              <w:tc>
                <w:tcPr>
                  <w:tcW w:w="547" w:type="pct"/>
                  <w:noWrap/>
                  <w:vAlign w:val="center"/>
                </w:tcPr>
                <w:p w14:paraId="60428A5B">
                  <w:pPr>
                    <w:jc w:val="center"/>
                    <w:rPr>
                      <w:color w:val="auto"/>
                      <w:szCs w:val="21"/>
                    </w:rPr>
                  </w:pPr>
                  <w:r>
                    <w:rPr>
                      <w:rFonts w:hint="eastAsia"/>
                      <w:color w:val="auto"/>
                      <w:szCs w:val="21"/>
                    </w:rPr>
                    <w:t>0</w:t>
                  </w:r>
                </w:p>
              </w:tc>
              <w:tc>
                <w:tcPr>
                  <w:tcW w:w="355" w:type="pct"/>
                  <w:noWrap/>
                  <w:vAlign w:val="center"/>
                </w:tcPr>
                <w:p w14:paraId="705ED7A8">
                  <w:pPr>
                    <w:jc w:val="center"/>
                    <w:rPr>
                      <w:color w:val="auto"/>
                      <w:szCs w:val="21"/>
                    </w:rPr>
                  </w:pPr>
                  <w:r>
                    <w:rPr>
                      <w:rFonts w:hint="eastAsia"/>
                      <w:color w:val="auto"/>
                      <w:szCs w:val="21"/>
                    </w:rPr>
                    <w:t>0</w:t>
                  </w:r>
                </w:p>
              </w:tc>
              <w:tc>
                <w:tcPr>
                  <w:tcW w:w="363" w:type="pct"/>
                  <w:noWrap/>
                  <w:vAlign w:val="center"/>
                </w:tcPr>
                <w:p w14:paraId="3E67D732">
                  <w:pPr>
                    <w:jc w:val="center"/>
                    <w:rPr>
                      <w:color w:val="auto"/>
                      <w:szCs w:val="21"/>
                    </w:rPr>
                  </w:pPr>
                  <w:r>
                    <w:rPr>
                      <w:color w:val="auto"/>
                      <w:szCs w:val="21"/>
                    </w:rPr>
                    <w:t>达标</w:t>
                  </w:r>
                </w:p>
              </w:tc>
            </w:tr>
          </w:tbl>
          <w:p w14:paraId="7F6AC7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bCs/>
                <w:color w:val="auto"/>
                <w:sz w:val="24"/>
                <w:lang w:val="zh-CN"/>
              </w:rPr>
            </w:pPr>
            <w:bookmarkStart w:id="9" w:name="_Hlk84528908"/>
            <w:r>
              <w:rPr>
                <w:rFonts w:hint="eastAsia" w:ascii="Times New Roman" w:hAnsi="Times New Roman" w:eastAsia="宋体" w:cs="Times New Roman"/>
                <w:color w:val="auto"/>
                <w:kern w:val="2"/>
                <w:sz w:val="24"/>
                <w:szCs w:val="24"/>
                <w:lang w:val="en-GB" w:eastAsia="zh-CN" w:bidi="ar-SA"/>
              </w:rPr>
              <w:t>根据表3</w:t>
            </w:r>
            <w:r>
              <w:rPr>
                <w:rFonts w:hint="default" w:ascii="Times New Roman" w:hAnsi="Times New Roman" w:eastAsia="宋体" w:cs="Times New Roman"/>
                <w:color w:val="auto"/>
                <w:kern w:val="2"/>
                <w:sz w:val="24"/>
                <w:szCs w:val="24"/>
                <w:lang w:val="en-GB" w:eastAsia="zh-CN" w:bidi="ar-SA"/>
              </w:rPr>
              <w:t>-</w:t>
            </w:r>
            <w:r>
              <w:rPr>
                <w:rFonts w:hint="eastAsia" w:ascii="Times New Roman" w:hAnsi="Times New Roman" w:eastAsia="宋体" w:cs="Times New Roman"/>
                <w:color w:val="auto"/>
                <w:kern w:val="2"/>
                <w:sz w:val="24"/>
                <w:szCs w:val="24"/>
                <w:lang w:val="en-US" w:eastAsia="zh-CN" w:bidi="ar-SA"/>
              </w:rPr>
              <w:t>3</w:t>
            </w:r>
            <w:r>
              <w:rPr>
                <w:rFonts w:hint="eastAsia" w:ascii="Times New Roman" w:hAnsi="Times New Roman" w:eastAsia="宋体" w:cs="Times New Roman"/>
                <w:color w:val="auto"/>
                <w:kern w:val="2"/>
                <w:sz w:val="24"/>
                <w:szCs w:val="24"/>
                <w:lang w:val="en-GB" w:eastAsia="zh-CN" w:bidi="ar-SA"/>
              </w:rPr>
              <w:t>，</w:t>
            </w:r>
            <w:bookmarkEnd w:id="9"/>
            <w:r>
              <w:rPr>
                <w:rFonts w:hint="default" w:ascii="Times New Roman" w:hAnsi="Times New Roman" w:eastAsia="宋体" w:cs="Times New Roman"/>
                <w:color w:val="auto"/>
                <w:kern w:val="2"/>
                <w:sz w:val="24"/>
                <w:szCs w:val="24"/>
                <w:lang w:val="en-US" w:eastAsia="zh-CN" w:bidi="ar-SA"/>
              </w:rPr>
              <w:t>TSP24</w:t>
            </w:r>
            <w:r>
              <w:rPr>
                <w:rFonts w:hint="eastAsia" w:ascii="Times New Roman" w:hAnsi="Times New Roman" w:eastAsia="宋体" w:cs="Times New Roman"/>
                <w:color w:val="auto"/>
                <w:kern w:val="2"/>
                <w:sz w:val="24"/>
                <w:szCs w:val="24"/>
                <w:lang w:val="en-US" w:eastAsia="zh-CN" w:bidi="ar-SA"/>
              </w:rPr>
              <w:t>小时平均浓度满足《环境空气质量标准》 （</w:t>
            </w:r>
            <w:r>
              <w:rPr>
                <w:rFonts w:hint="default" w:ascii="Times New Roman" w:hAnsi="Times New Roman" w:eastAsia="宋体" w:cs="Times New Roman"/>
                <w:color w:val="auto"/>
                <w:kern w:val="2"/>
                <w:sz w:val="24"/>
                <w:szCs w:val="24"/>
                <w:lang w:val="en-US" w:eastAsia="zh-CN" w:bidi="ar-SA"/>
              </w:rPr>
              <w:t>GB3095-2012</w:t>
            </w:r>
            <w:r>
              <w:rPr>
                <w:rFonts w:hint="eastAsia" w:ascii="Times New Roman" w:hAnsi="Times New Roman" w:eastAsia="宋体" w:cs="Times New Roman"/>
                <w:color w:val="auto"/>
                <w:kern w:val="2"/>
                <w:sz w:val="24"/>
                <w:szCs w:val="24"/>
                <w:lang w:val="en-US" w:eastAsia="zh-CN" w:bidi="ar-SA"/>
              </w:rPr>
              <w:t>）及修改单中二级标准限值要求，汞的日均浓度</w:t>
            </w:r>
            <w:r>
              <w:rPr>
                <w:rFonts w:hint="eastAsia" w:cs="Times New Roman"/>
                <w:color w:val="auto"/>
                <w:kern w:val="2"/>
                <w:sz w:val="24"/>
                <w:szCs w:val="24"/>
                <w:lang w:val="en-US" w:eastAsia="zh-CN" w:bidi="ar-SA"/>
              </w:rPr>
              <w:t>低于检出限</w:t>
            </w:r>
            <w:r>
              <w:rPr>
                <w:rFonts w:hint="eastAsia" w:ascii="Times New Roman" w:hAnsi="Times New Roman" w:eastAsia="宋体" w:cs="Times New Roman"/>
                <w:color w:val="auto"/>
                <w:kern w:val="2"/>
                <w:sz w:val="24"/>
                <w:szCs w:val="24"/>
                <w:lang w:val="en-US" w:eastAsia="zh-CN" w:bidi="ar-SA"/>
              </w:rPr>
              <w:t xml:space="preserve">。 </w:t>
            </w:r>
          </w:p>
          <w:p w14:paraId="0DF65545">
            <w:pPr>
              <w:spacing w:line="360" w:lineRule="auto"/>
              <w:ind w:firstLine="482" w:firstLineChars="200"/>
              <w:rPr>
                <w:b/>
                <w:bCs/>
                <w:color w:val="auto"/>
                <w:sz w:val="24"/>
                <w:highlight w:val="none"/>
                <w:lang w:val="zh-CN"/>
              </w:rPr>
            </w:pPr>
            <w:r>
              <w:rPr>
                <w:b/>
                <w:bCs/>
                <w:color w:val="auto"/>
                <w:sz w:val="24"/>
                <w:highlight w:val="none"/>
                <w:lang w:val="zh-CN"/>
              </w:rPr>
              <w:t>二、地表水环境质量现状</w:t>
            </w:r>
          </w:p>
          <w:p w14:paraId="5557E4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Regular" w:hAnsi="Times New Roman Regular" w:eastAsia="宋体" w:cs="Times New Roman Regular"/>
                <w:snapToGrid w:val="0"/>
                <w:color w:val="auto"/>
                <w:kern w:val="0"/>
                <w:sz w:val="24"/>
                <w:szCs w:val="24"/>
              </w:rPr>
            </w:pPr>
            <w:r>
              <w:rPr>
                <w:rFonts w:hint="default" w:ascii="Times New Roman Regular" w:hAnsi="Times New Roman Regular" w:eastAsia="宋体" w:cs="Times New Roman Regular"/>
                <w:snapToGrid w:val="0"/>
                <w:color w:val="auto"/>
                <w:kern w:val="0"/>
                <w:sz w:val="24"/>
                <w:szCs w:val="24"/>
              </w:rPr>
              <w:t>本工程场址所在区域最近的地表水体为穆棱河，根据《全国重要江河湖泊水功能区划</w:t>
            </w:r>
            <w:r>
              <w:rPr>
                <w:rFonts w:hint="eastAsia"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2011-2030</w:t>
            </w:r>
            <w:r>
              <w:rPr>
                <w:rFonts w:hint="eastAsia"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》，项目所在区域穆棱河段</w:t>
            </w:r>
            <w:r>
              <w:rPr>
                <w:rFonts w:hint="default"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lang w:val="en-US" w:eastAsia="zh-CN"/>
              </w:rPr>
              <w:t>凯北站</w:t>
            </w:r>
            <w:r>
              <w:rPr>
                <w:rFonts w:hint="eastAsia" w:ascii="Times New Roman Regular" w:hAnsi="Times New Roman Regular" w:eastAsia="宋体" w:cs="Times New Roman Regular"/>
                <w:snapToGrid w:val="0"/>
                <w:color w:val="auto"/>
                <w:kern w:val="0"/>
                <w:sz w:val="24"/>
                <w:szCs w:val="24"/>
                <w:lang w:val="en-US" w:eastAsia="zh-CN"/>
              </w:rPr>
              <w:t>-东仁义屯</w:t>
            </w:r>
            <w:r>
              <w:rPr>
                <w:rFonts w:hint="default" w:ascii="Times New Roman Regular" w:hAnsi="Times New Roman Regular" w:eastAsia="宋体" w:cs="Times New Roman Regular"/>
                <w:snapToGrid w:val="0"/>
                <w:color w:val="auto"/>
                <w:kern w:val="0"/>
                <w:sz w:val="24"/>
                <w:szCs w:val="24"/>
                <w:lang w:eastAsia="zh-CN"/>
              </w:rPr>
              <w:t>）</w:t>
            </w:r>
            <w:r>
              <w:rPr>
                <w:rFonts w:hint="default" w:ascii="Times New Roman Regular" w:hAnsi="Times New Roman Regular" w:eastAsia="宋体" w:cs="Times New Roman Regular"/>
                <w:snapToGrid w:val="0"/>
                <w:color w:val="auto"/>
                <w:kern w:val="0"/>
                <w:sz w:val="24"/>
                <w:szCs w:val="24"/>
              </w:rPr>
              <w:t>所在水功能区水质标准为</w:t>
            </w:r>
            <w:r>
              <w:rPr>
                <w:rFonts w:hint="default" w:ascii="Times New Roman Regular" w:hAnsi="Times New Roman Regular" w:eastAsia="宋体" w:cs="Times New Roman Regular"/>
                <w:snapToGrid w:val="0"/>
                <w:color w:val="auto"/>
                <w:kern w:val="0"/>
                <w:sz w:val="24"/>
                <w:szCs w:val="24"/>
                <w:lang w:val="en-US" w:eastAsia="zh-CN"/>
              </w:rPr>
              <w:fldChar w:fldCharType="begin"/>
            </w:r>
            <w:r>
              <w:rPr>
                <w:rFonts w:hint="default" w:ascii="Times New Roman Regular" w:hAnsi="Times New Roman Regular" w:eastAsia="宋体" w:cs="Times New Roman Regular"/>
                <w:snapToGrid w:val="0"/>
                <w:color w:val="auto"/>
                <w:kern w:val="0"/>
                <w:sz w:val="24"/>
                <w:szCs w:val="24"/>
                <w:lang w:val="en-US" w:eastAsia="zh-CN"/>
              </w:rPr>
              <w:instrText xml:space="preserve"> = 3 \* ROMAN </w:instrText>
            </w:r>
            <w:r>
              <w:rPr>
                <w:rFonts w:hint="default" w:ascii="Times New Roman Regular" w:hAnsi="Times New Roman Regular" w:eastAsia="宋体" w:cs="Times New Roman Regular"/>
                <w:snapToGrid w:val="0"/>
                <w:color w:val="auto"/>
                <w:kern w:val="0"/>
                <w:sz w:val="24"/>
                <w:szCs w:val="24"/>
                <w:lang w:val="en-US" w:eastAsia="zh-CN"/>
              </w:rPr>
              <w:fldChar w:fldCharType="separate"/>
            </w:r>
            <w:r>
              <w:rPr>
                <w:rFonts w:hint="default" w:ascii="Times New Roman Regular" w:hAnsi="Times New Roman Regular" w:eastAsia="宋体" w:cs="Times New Roman Regular"/>
                <w:snapToGrid w:val="0"/>
                <w:color w:val="auto"/>
                <w:kern w:val="0"/>
                <w:sz w:val="24"/>
                <w:szCs w:val="24"/>
                <w:lang w:val="en-US" w:eastAsia="zh-CN"/>
              </w:rPr>
              <w:t>III</w:t>
            </w:r>
            <w:r>
              <w:rPr>
                <w:rFonts w:hint="default" w:ascii="Times New Roman Regular" w:hAnsi="Times New Roman Regular" w:eastAsia="宋体" w:cs="Times New Roman Regular"/>
                <w:snapToGrid w:val="0"/>
                <w:color w:val="auto"/>
                <w:kern w:val="0"/>
                <w:sz w:val="24"/>
                <w:szCs w:val="24"/>
                <w:lang w:val="en-US" w:eastAsia="zh-CN"/>
              </w:rPr>
              <w:fldChar w:fldCharType="end"/>
            </w:r>
            <w:r>
              <w:rPr>
                <w:rFonts w:hint="default" w:ascii="Times New Roman Regular" w:hAnsi="Times New Roman Regular" w:eastAsia="宋体" w:cs="Times New Roman Regular"/>
                <w:snapToGrid w:val="0"/>
                <w:color w:val="auto"/>
                <w:kern w:val="0"/>
                <w:sz w:val="24"/>
                <w:szCs w:val="24"/>
              </w:rPr>
              <w:t>类，执行《地表水环境质量标准》（GB3838-2002）</w:t>
            </w:r>
            <w:r>
              <w:rPr>
                <w:rFonts w:hint="default" w:ascii="Times New Roman Regular" w:hAnsi="Times New Roman Regular" w:eastAsia="宋体" w:cs="Times New Roman Regular"/>
                <w:snapToGrid w:val="0"/>
                <w:color w:val="auto"/>
                <w:kern w:val="0"/>
                <w:sz w:val="24"/>
                <w:szCs w:val="24"/>
                <w:lang w:val="en-US" w:eastAsia="zh-CN"/>
              </w:rPr>
              <w:fldChar w:fldCharType="begin"/>
            </w:r>
            <w:r>
              <w:rPr>
                <w:rFonts w:hint="default" w:ascii="Times New Roman Regular" w:hAnsi="Times New Roman Regular" w:eastAsia="宋体" w:cs="Times New Roman Regular"/>
                <w:snapToGrid w:val="0"/>
                <w:color w:val="auto"/>
                <w:kern w:val="0"/>
                <w:sz w:val="24"/>
                <w:szCs w:val="24"/>
                <w:lang w:val="en-US" w:eastAsia="zh-CN"/>
              </w:rPr>
              <w:instrText xml:space="preserve"> = 3 \* ROMAN </w:instrText>
            </w:r>
            <w:r>
              <w:rPr>
                <w:rFonts w:hint="default" w:ascii="Times New Roman Regular" w:hAnsi="Times New Roman Regular" w:eastAsia="宋体" w:cs="Times New Roman Regular"/>
                <w:snapToGrid w:val="0"/>
                <w:color w:val="auto"/>
                <w:kern w:val="0"/>
                <w:sz w:val="24"/>
                <w:szCs w:val="24"/>
                <w:lang w:val="en-US" w:eastAsia="zh-CN"/>
              </w:rPr>
              <w:fldChar w:fldCharType="separate"/>
            </w:r>
            <w:r>
              <w:rPr>
                <w:rFonts w:hint="default" w:ascii="Times New Roman Regular" w:hAnsi="Times New Roman Regular" w:eastAsia="宋体" w:cs="Times New Roman Regular"/>
                <w:snapToGrid w:val="0"/>
                <w:color w:val="auto"/>
                <w:kern w:val="0"/>
                <w:sz w:val="24"/>
                <w:szCs w:val="24"/>
                <w:lang w:val="en-US" w:eastAsia="zh-CN"/>
              </w:rPr>
              <w:t>III</w:t>
            </w:r>
            <w:r>
              <w:rPr>
                <w:rFonts w:hint="default" w:ascii="Times New Roman Regular" w:hAnsi="Times New Roman Regular" w:eastAsia="宋体" w:cs="Times New Roman Regular"/>
                <w:snapToGrid w:val="0"/>
                <w:color w:val="auto"/>
                <w:kern w:val="0"/>
                <w:sz w:val="24"/>
                <w:szCs w:val="24"/>
                <w:lang w:val="en-US" w:eastAsia="zh-CN"/>
              </w:rPr>
              <w:fldChar w:fldCharType="end"/>
            </w:r>
            <w:r>
              <w:rPr>
                <w:rFonts w:hint="default" w:ascii="Times New Roman Regular" w:hAnsi="Times New Roman Regular" w:eastAsia="宋体" w:cs="Times New Roman Regular"/>
                <w:snapToGrid w:val="0"/>
                <w:color w:val="auto"/>
                <w:kern w:val="0"/>
                <w:sz w:val="24"/>
                <w:szCs w:val="24"/>
              </w:rPr>
              <w:t>类标准。</w:t>
            </w:r>
          </w:p>
          <w:p w14:paraId="1A6C8A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auto"/>
                <w:sz w:val="24"/>
                <w:highlight w:val="yellow"/>
              </w:rPr>
            </w:pPr>
            <w:r>
              <w:rPr>
                <w:rFonts w:hint="eastAsia" w:ascii="Times New Roman Regular" w:hAnsi="Times New Roman Regular" w:eastAsia="宋体" w:cs="Times New Roman Regular"/>
                <w:snapToGrid w:val="0"/>
                <w:color w:val="auto"/>
                <w:kern w:val="0"/>
                <w:sz w:val="24"/>
                <w:szCs w:val="24"/>
                <w:lang w:val="en-US" w:eastAsia="zh-CN"/>
              </w:rPr>
              <w:t>根据鸡西市生态环境局网站公布的《2023年1-12月地表水国控考核断面水质信息公开》，断面全年达到III类水质类别标准。</w:t>
            </w:r>
          </w:p>
          <w:p w14:paraId="1FE3911F">
            <w:pPr>
              <w:spacing w:line="360" w:lineRule="auto"/>
              <w:ind w:firstLine="482" w:firstLineChars="200"/>
              <w:rPr>
                <w:b/>
                <w:bCs/>
                <w:color w:val="auto"/>
                <w:sz w:val="24"/>
                <w:lang w:val="zh-CN"/>
              </w:rPr>
            </w:pPr>
            <w:r>
              <w:rPr>
                <w:b/>
                <w:bCs/>
                <w:color w:val="auto"/>
                <w:sz w:val="24"/>
                <w:lang w:val="zh-CN"/>
              </w:rPr>
              <w:t>三、</w:t>
            </w:r>
            <w:r>
              <w:rPr>
                <w:b/>
                <w:bCs/>
                <w:color w:val="auto"/>
                <w:sz w:val="24"/>
              </w:rPr>
              <w:t>声环境</w:t>
            </w:r>
            <w:r>
              <w:rPr>
                <w:b/>
                <w:bCs/>
                <w:color w:val="auto"/>
                <w:sz w:val="24"/>
                <w:lang w:val="zh-CN"/>
              </w:rPr>
              <w:t>质量现状</w:t>
            </w:r>
          </w:p>
          <w:p w14:paraId="04337A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rPr>
              <w:t>根据《202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rPr>
              <w:t>年黑龙江省生态环境状况》，</w:t>
            </w:r>
            <w:r>
              <w:rPr>
                <w:rFonts w:hint="default"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rPr>
              <w:t>鸡西市</w:t>
            </w:r>
            <w:r>
              <w:rPr>
                <w:rFonts w:hint="default" w:ascii="Times New Roman" w:hAnsi="Times New Roman" w:eastAsia="宋体" w:cs="Times New Roman"/>
                <w:color w:val="auto"/>
                <w:sz w:val="24"/>
                <w:szCs w:val="24"/>
                <w:highlight w:val="none"/>
              </w:rPr>
              <w:t>区域环境噪声昼间平均等效声级为</w:t>
            </w:r>
            <w:r>
              <w:rPr>
                <w:rFonts w:hint="eastAsia" w:cs="Times New Roman"/>
                <w:color w:val="auto"/>
                <w:sz w:val="24"/>
                <w:szCs w:val="24"/>
                <w:highlight w:val="none"/>
                <w:lang w:val="en-US" w:eastAsia="zh-CN"/>
              </w:rPr>
              <w:t>54.9</w:t>
            </w:r>
            <w:r>
              <w:rPr>
                <w:rFonts w:hint="default" w:ascii="Times New Roman" w:hAnsi="Times New Roman" w:eastAsia="宋体" w:cs="Times New Roman"/>
                <w:color w:val="auto"/>
                <w:sz w:val="24"/>
                <w:szCs w:val="24"/>
                <w:highlight w:val="none"/>
              </w:rPr>
              <w:t>分贝，</w:t>
            </w:r>
            <w:r>
              <w:rPr>
                <w:rFonts w:hint="eastAsia" w:ascii="Times New Roman" w:hAnsi="Times New Roman" w:eastAsia="宋体" w:cs="Times New Roman"/>
                <w:color w:val="auto"/>
                <w:sz w:val="24"/>
                <w:szCs w:val="24"/>
                <w:highlight w:val="none"/>
              </w:rPr>
              <w:t>声环境质量</w:t>
            </w:r>
            <w:r>
              <w:rPr>
                <w:rFonts w:hint="default" w:ascii="Times New Roman" w:hAnsi="Times New Roman" w:eastAsia="宋体" w:cs="Times New Roman"/>
                <w:color w:val="auto"/>
                <w:sz w:val="24"/>
                <w:szCs w:val="24"/>
                <w:highlight w:val="none"/>
              </w:rPr>
              <w:t>等级为二级（较好）。</w:t>
            </w:r>
          </w:p>
          <w:p w14:paraId="0AE831B7">
            <w:pPr>
              <w:widowControl/>
              <w:spacing w:line="360" w:lineRule="auto"/>
              <w:ind w:firstLine="480" w:firstLineChars="200"/>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 xml:space="preserve">根据虎政办规〔2021〕5 号（虎林市人民政府办公室关于印发虎林市城市声环境功能区划分方案的通知）（见附件 </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rPr>
              <w:t>），</w:t>
            </w:r>
            <w:r>
              <w:rPr>
                <w:rFonts w:hint="default" w:ascii="Times New Roman" w:hAnsi="Times New Roman" w:cs="Times New Roman"/>
                <w:color w:val="auto"/>
                <w:sz w:val="24"/>
                <w:szCs w:val="24"/>
                <w:lang w:val="en-US" w:eastAsia="zh-CN"/>
              </w:rPr>
              <w:t>农村地区执行1类声环境功能区要求，</w:t>
            </w:r>
            <w:r>
              <w:rPr>
                <w:rFonts w:hint="default" w:ascii="Times New Roman" w:hAnsi="Times New Roman" w:eastAsia="宋体" w:cs="Times New Roman"/>
                <w:color w:val="auto"/>
                <w:sz w:val="24"/>
                <w:szCs w:val="24"/>
                <w:lang w:val="en-US"/>
              </w:rPr>
              <w:t>本项目位于</w:t>
            </w:r>
            <w:r>
              <w:rPr>
                <w:rFonts w:hint="default" w:ascii="Times New Roman" w:hAnsi="Times New Roman" w:cs="Times New Roman"/>
                <w:color w:val="auto"/>
                <w:sz w:val="24"/>
                <w:highlight w:val="none"/>
                <w:lang w:eastAsia="zh-CN"/>
              </w:rPr>
              <w:t>鸡西市虎林市宝东镇共乐村，属</w:t>
            </w: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rPr>
              <w:t>类声环境功能区内，</w:t>
            </w:r>
            <w:r>
              <w:rPr>
                <w:rFonts w:hint="default" w:ascii="Times New Roman" w:hAnsi="Times New Roman" w:cs="Times New Roman"/>
                <w:color w:val="auto"/>
                <w:sz w:val="24"/>
                <w:szCs w:val="24"/>
                <w:lang w:val="en-US" w:eastAsia="zh-CN"/>
              </w:rPr>
              <w:t>项目北侧为G331国道，与G331国道距离为25m，</w:t>
            </w:r>
            <w:r>
              <w:rPr>
                <w:rFonts w:hint="default" w:ascii="Times New Roman" w:hAnsi="Times New Roman" w:eastAsia="宋体" w:cs="Times New Roman"/>
                <w:color w:val="auto"/>
                <w:sz w:val="24"/>
                <w:szCs w:val="24"/>
                <w:lang w:val="en-US"/>
              </w:rPr>
              <w:t>因此</w:t>
            </w:r>
            <w:r>
              <w:rPr>
                <w:rFonts w:hint="default" w:ascii="Times New Roman" w:hAnsi="Times New Roman" w:cs="Times New Roman"/>
                <w:color w:val="auto"/>
                <w:sz w:val="24"/>
                <w:szCs w:val="24"/>
                <w:lang w:val="en-US" w:eastAsia="zh-CN"/>
              </w:rPr>
              <w:t>项目</w:t>
            </w:r>
            <w:r>
              <w:rPr>
                <w:rFonts w:hint="default" w:ascii="Times New Roman" w:hAnsi="Times New Roman" w:eastAsia="宋体" w:cs="Times New Roman"/>
                <w:color w:val="auto"/>
                <w:sz w:val="24"/>
                <w:szCs w:val="24"/>
                <w:lang w:val="en-US"/>
              </w:rPr>
              <w:t>厂界</w:t>
            </w:r>
            <w:r>
              <w:rPr>
                <w:rFonts w:hint="default" w:ascii="Times New Roman" w:hAnsi="Times New Roman" w:cs="Times New Roman"/>
                <w:color w:val="auto"/>
                <w:sz w:val="24"/>
                <w:szCs w:val="24"/>
                <w:lang w:val="en-US" w:eastAsia="zh-CN"/>
              </w:rPr>
              <w:t>东、南、西侧</w:t>
            </w:r>
            <w:r>
              <w:rPr>
                <w:rFonts w:hint="default" w:ascii="Times New Roman" w:hAnsi="Times New Roman" w:eastAsia="宋体" w:cs="Times New Roman"/>
                <w:color w:val="auto"/>
                <w:sz w:val="24"/>
                <w:szCs w:val="24"/>
                <w:lang w:val="en-US"/>
              </w:rPr>
              <w:t>执行《声环境质量标准》（GB3096-2008）</w:t>
            </w: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rPr>
              <w:t>类标准</w:t>
            </w:r>
            <w:r>
              <w:rPr>
                <w:rFonts w:hint="default" w:ascii="Times New Roman" w:hAnsi="Times New Roman" w:cs="Times New Roman"/>
                <w:color w:val="auto"/>
                <w:sz w:val="24"/>
                <w:szCs w:val="24"/>
                <w:lang w:val="en-US" w:eastAsia="zh-CN"/>
              </w:rPr>
              <w:t>，北侧执行</w:t>
            </w:r>
            <w:r>
              <w:rPr>
                <w:rFonts w:hint="default" w:ascii="Times New Roman" w:hAnsi="Times New Roman" w:eastAsia="宋体" w:cs="Times New Roman"/>
                <w:color w:val="auto"/>
                <w:sz w:val="24"/>
                <w:szCs w:val="24"/>
                <w:lang w:val="en-US"/>
              </w:rPr>
              <w:t>《声环境质量标准》（GB3096-2008）</w:t>
            </w:r>
            <w:r>
              <w:rPr>
                <w:rFonts w:hint="default" w:ascii="Times New Roman" w:hAnsi="Times New Roman" w:cs="Times New Roman"/>
                <w:color w:val="auto"/>
                <w:sz w:val="24"/>
                <w:szCs w:val="24"/>
                <w:lang w:val="en-US" w:eastAsia="zh-CN"/>
              </w:rPr>
              <w:t>4a</w:t>
            </w:r>
            <w:r>
              <w:rPr>
                <w:rFonts w:hint="default" w:ascii="Times New Roman" w:hAnsi="Times New Roman" w:eastAsia="宋体" w:cs="Times New Roman"/>
                <w:color w:val="auto"/>
                <w:sz w:val="24"/>
                <w:szCs w:val="24"/>
                <w:lang w:val="en-US"/>
              </w:rPr>
              <w:t>类标准。</w:t>
            </w:r>
          </w:p>
          <w:p w14:paraId="673AAE05">
            <w:pPr>
              <w:widowControl/>
              <w:spacing w:line="360" w:lineRule="auto"/>
              <w:ind w:firstLine="480" w:firstLineChars="200"/>
              <w:rPr>
                <w:rFonts w:hint="default" w:ascii="Times New Roman" w:hAnsi="Times New Roman" w:eastAsia="宋体" w:cs="Times New Roman"/>
                <w:color w:val="auto"/>
                <w:sz w:val="24"/>
                <w:szCs w:val="24"/>
                <w:lang w:val="en-US"/>
              </w:rPr>
            </w:pPr>
            <w:r>
              <w:rPr>
                <w:rFonts w:cs="Times New Roman"/>
                <w:color w:val="auto"/>
                <w:sz w:val="24"/>
              </w:rPr>
              <w:t>根据《建设项目环境影响报告表编制技术指南（污染影响类）（试行）》，厂界外周边50米范围内存在声环境保护目标的建设项目，应监测保护目标声环境质量现状并评价达标情况。</w:t>
            </w:r>
            <w:r>
              <w:rPr>
                <w:rFonts w:hint="eastAsia" w:cs="Times New Roman"/>
                <w:color w:val="auto"/>
                <w:sz w:val="24"/>
              </w:rPr>
              <w:t>经现场勘查，本次扩建项目</w:t>
            </w:r>
            <w:r>
              <w:rPr>
                <w:rFonts w:cs="Times New Roman"/>
                <w:color w:val="auto"/>
                <w:sz w:val="24"/>
              </w:rPr>
              <w:t>选址周围50m范围内无声环境保护目标，所以无需监测。</w:t>
            </w:r>
          </w:p>
          <w:p w14:paraId="43143F3C">
            <w:pPr>
              <w:spacing w:line="360" w:lineRule="auto"/>
              <w:ind w:firstLine="482" w:firstLineChars="200"/>
              <w:rPr>
                <w:rFonts w:hint="eastAsia" w:ascii="Times New Roman" w:hAnsi="Times New Roman" w:eastAsia="宋体" w:cs="Times New Roman"/>
                <w:b/>
                <w:bCs/>
                <w:color w:val="auto"/>
                <w:sz w:val="24"/>
                <w:lang w:val="zh-CN"/>
              </w:rPr>
            </w:pPr>
            <w:r>
              <w:rPr>
                <w:rFonts w:hint="eastAsia" w:ascii="Times New Roman" w:hAnsi="Times New Roman" w:eastAsia="宋体" w:cs="Times New Roman"/>
                <w:b/>
                <w:bCs/>
                <w:color w:val="auto"/>
                <w:sz w:val="24"/>
                <w:lang w:val="zh-CN"/>
              </w:rPr>
              <w:t>四、生态环境现状</w:t>
            </w:r>
          </w:p>
          <w:p w14:paraId="1E6792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zh-CN"/>
              </w:rPr>
            </w:pPr>
            <w:r>
              <w:rPr>
                <w:rFonts w:hint="eastAsia"/>
                <w:color w:val="auto"/>
                <w:sz w:val="24"/>
                <w:highlight w:val="none"/>
                <w:lang w:eastAsia="zh-CN"/>
              </w:rPr>
              <w:t>本项目在虎林市双硕农业科技有限公司现有厂区内建设，不新增占地。虎林市双硕农业科技有限公司</w:t>
            </w:r>
            <w:r>
              <w:rPr>
                <w:rFonts w:hint="eastAsia" w:ascii="Times New Roman" w:hAnsi="Times New Roman" w:eastAsia="宋体" w:cs="Times New Roman"/>
                <w:color w:val="auto"/>
                <w:sz w:val="24"/>
                <w:szCs w:val="24"/>
                <w:highlight w:val="none"/>
                <w:lang w:val="zh-CN"/>
              </w:rPr>
              <w:t>占地范围内无特殊生态敏感区及重要生态敏感区等生态环境保护目标，无需进行生态现状调查。</w:t>
            </w:r>
          </w:p>
          <w:p w14:paraId="39C78798">
            <w:pPr>
              <w:spacing w:line="360" w:lineRule="auto"/>
              <w:ind w:firstLine="482" w:firstLineChars="200"/>
              <w:rPr>
                <w:rFonts w:hint="eastAsia" w:ascii="Times New Roman" w:hAnsi="Times New Roman" w:eastAsia="宋体" w:cs="Times New Roman"/>
                <w:b/>
                <w:bCs/>
                <w:color w:val="auto"/>
                <w:sz w:val="24"/>
                <w:lang w:val="zh-CN"/>
              </w:rPr>
            </w:pPr>
            <w:r>
              <w:rPr>
                <w:rFonts w:hint="eastAsia" w:ascii="Times New Roman" w:hAnsi="Times New Roman" w:eastAsia="宋体" w:cs="Times New Roman"/>
                <w:b/>
                <w:bCs/>
                <w:color w:val="auto"/>
                <w:sz w:val="24"/>
                <w:lang w:val="zh-CN"/>
              </w:rPr>
              <w:t>五、地下水、土壤环境</w:t>
            </w:r>
          </w:p>
          <w:p w14:paraId="26F3F72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color w:val="auto"/>
                <w:sz w:val="24"/>
                <w:lang w:val="zh-CN"/>
              </w:rPr>
            </w:pPr>
            <w:r>
              <w:rPr>
                <w:rFonts w:hint="eastAsia" w:ascii="Times New Roman" w:hAnsi="Times New Roman" w:eastAsia="宋体" w:cs="Times New Roman"/>
                <w:color w:val="auto"/>
                <w:sz w:val="24"/>
                <w:szCs w:val="24"/>
                <w:highlight w:val="none"/>
                <w:lang w:val="zh-CN"/>
              </w:rPr>
              <w:t>本项目属于热力生产和供应和农产品初加工项目，不存在土壤、地下水污染途径，因此，不进行土壤、地下水环境质量现状监测。</w:t>
            </w:r>
          </w:p>
        </w:tc>
      </w:tr>
      <w:tr w14:paraId="596CF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4" w:hRule="atLeast"/>
          <w:jc w:val="center"/>
        </w:trPr>
        <w:tc>
          <w:tcPr>
            <w:tcW w:w="800" w:type="dxa"/>
            <w:vAlign w:val="center"/>
          </w:tcPr>
          <w:p w14:paraId="0213FA27">
            <w:pPr>
              <w:adjustRightInd w:val="0"/>
              <w:snapToGrid w:val="0"/>
              <w:jc w:val="center"/>
              <w:rPr>
                <w:b/>
                <w:bCs/>
                <w:color w:val="auto"/>
                <w:kern w:val="0"/>
                <w:sz w:val="24"/>
              </w:rPr>
            </w:pPr>
            <w:r>
              <w:rPr>
                <w:b/>
                <w:bCs/>
                <w:color w:val="auto"/>
                <w:kern w:val="0"/>
                <w:sz w:val="24"/>
              </w:rPr>
              <w:t>环境</w:t>
            </w:r>
          </w:p>
          <w:p w14:paraId="580B53AC">
            <w:pPr>
              <w:adjustRightInd w:val="0"/>
              <w:snapToGrid w:val="0"/>
              <w:jc w:val="center"/>
              <w:rPr>
                <w:b/>
                <w:bCs/>
                <w:color w:val="auto"/>
                <w:kern w:val="0"/>
                <w:sz w:val="24"/>
              </w:rPr>
            </w:pPr>
            <w:r>
              <w:rPr>
                <w:b/>
                <w:bCs/>
                <w:color w:val="auto"/>
                <w:kern w:val="0"/>
                <w:sz w:val="24"/>
              </w:rPr>
              <w:t>保护</w:t>
            </w:r>
          </w:p>
          <w:p w14:paraId="6CE4B6C4">
            <w:pPr>
              <w:adjustRightInd w:val="0"/>
              <w:snapToGrid w:val="0"/>
              <w:jc w:val="center"/>
              <w:rPr>
                <w:color w:val="auto"/>
                <w:kern w:val="0"/>
                <w:szCs w:val="21"/>
              </w:rPr>
            </w:pPr>
            <w:r>
              <w:rPr>
                <w:b/>
                <w:bCs/>
                <w:color w:val="auto"/>
                <w:kern w:val="0"/>
                <w:sz w:val="24"/>
              </w:rPr>
              <w:t>目标</w:t>
            </w:r>
          </w:p>
        </w:tc>
        <w:tc>
          <w:tcPr>
            <w:tcW w:w="8036" w:type="dxa"/>
          </w:tcPr>
          <w:p w14:paraId="22B2144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本项目厂址区域内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p w14:paraId="79DB1B2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1、大气环境保护目标</w:t>
            </w:r>
          </w:p>
          <w:p w14:paraId="44C3EB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spacing w:val="0"/>
                <w:kern w:val="0"/>
                <w:sz w:val="24"/>
                <w:szCs w:val="24"/>
                <w:highlight w:val="none"/>
                <w:lang w:val="en-US" w:eastAsia="zh-CN"/>
              </w:rPr>
            </w:pPr>
            <w:bookmarkStart w:id="10" w:name="_Toc171173100"/>
            <w:r>
              <w:rPr>
                <w:rFonts w:hint="default" w:ascii="Times New Roman" w:hAnsi="Times New Roman" w:eastAsia="宋体" w:cs="Times New Roman"/>
                <w:snapToGrid w:val="0"/>
                <w:color w:val="auto"/>
                <w:spacing w:val="0"/>
                <w:kern w:val="0"/>
                <w:sz w:val="24"/>
                <w:szCs w:val="24"/>
                <w:highlight w:val="none"/>
                <w:lang w:eastAsia="zh-CN"/>
              </w:rPr>
              <w:t>本项目厂界外</w:t>
            </w:r>
            <w:r>
              <w:rPr>
                <w:rFonts w:hint="default" w:ascii="Times New Roman" w:hAnsi="Times New Roman" w:eastAsia="宋体" w:cs="Times New Roman"/>
                <w:snapToGrid w:val="0"/>
                <w:color w:val="auto"/>
                <w:spacing w:val="0"/>
                <w:kern w:val="0"/>
                <w:sz w:val="24"/>
                <w:szCs w:val="24"/>
                <w:highlight w:val="none"/>
                <w:lang w:val="en-US" w:eastAsia="zh-CN"/>
              </w:rPr>
              <w:t>500m</w:t>
            </w:r>
            <w:r>
              <w:rPr>
                <w:rFonts w:hint="default" w:ascii="Times New Roman" w:hAnsi="Times New Roman" w:eastAsia="宋体" w:cs="Times New Roman"/>
                <w:snapToGrid w:val="0"/>
                <w:color w:val="auto"/>
                <w:spacing w:val="0"/>
                <w:kern w:val="0"/>
                <w:sz w:val="24"/>
                <w:szCs w:val="24"/>
                <w:highlight w:val="none"/>
                <w:lang w:eastAsia="zh-CN"/>
              </w:rPr>
              <w:t>评价范围内无</w:t>
            </w:r>
            <w:r>
              <w:rPr>
                <w:rFonts w:hint="default" w:ascii="Times New Roman" w:hAnsi="Times New Roman" w:eastAsia="宋体" w:cs="Times New Roman"/>
                <w:snapToGrid w:val="0"/>
                <w:color w:val="auto"/>
                <w:spacing w:val="0"/>
                <w:kern w:val="0"/>
                <w:sz w:val="24"/>
                <w:szCs w:val="24"/>
                <w:highlight w:val="none"/>
                <w:lang w:val="en-US" w:eastAsia="zh-CN"/>
              </w:rPr>
              <w:t>大气环境保护目标</w:t>
            </w:r>
            <w:bookmarkEnd w:id="10"/>
            <w:r>
              <w:rPr>
                <w:rFonts w:hint="default" w:ascii="Times New Roman" w:hAnsi="Times New Roman" w:eastAsia="宋体" w:cs="Times New Roman"/>
                <w:snapToGrid w:val="0"/>
                <w:color w:val="auto"/>
                <w:spacing w:val="0"/>
                <w:kern w:val="0"/>
                <w:sz w:val="24"/>
                <w:szCs w:val="24"/>
                <w:highlight w:val="none"/>
                <w:lang w:val="en-US" w:eastAsia="zh-CN"/>
              </w:rPr>
              <w:t>。</w:t>
            </w:r>
          </w:p>
          <w:p w14:paraId="42FF9CB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2、声环境</w:t>
            </w:r>
          </w:p>
          <w:p w14:paraId="52D620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厂界外50m范围内无区域声环境保护目标。</w:t>
            </w:r>
          </w:p>
          <w:p w14:paraId="2391B75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3、地下水环境</w:t>
            </w:r>
          </w:p>
          <w:p w14:paraId="560EA2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本项目厂界500m范围内无地下水集中式饮用水水源和热水、矿泉水、温泉等特殊地下水资源，因此本项目无需考虑环境保护目标。</w:t>
            </w:r>
          </w:p>
          <w:p w14:paraId="231E857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4、生态环境保护目标</w:t>
            </w:r>
          </w:p>
          <w:p w14:paraId="2AA9D9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0"/>
                <w:szCs w:val="21"/>
              </w:rPr>
            </w:pPr>
            <w:r>
              <w:rPr>
                <w:rFonts w:hint="default" w:ascii="Times New Roman" w:hAnsi="Times New Roman" w:eastAsia="宋体" w:cs="Times New Roman"/>
                <w:color w:val="auto"/>
                <w:sz w:val="24"/>
                <w:szCs w:val="24"/>
                <w:highlight w:val="none"/>
                <w:lang w:val="en-US" w:eastAsia="zh-CN"/>
              </w:rPr>
              <w:t>本项目占地范围内无特殊生态敏感区及重要生态敏感区等生态环境保护目标。</w:t>
            </w:r>
          </w:p>
        </w:tc>
      </w:tr>
      <w:tr w14:paraId="3E988B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9" w:hRule="atLeast"/>
          <w:jc w:val="center"/>
        </w:trPr>
        <w:tc>
          <w:tcPr>
            <w:tcW w:w="800" w:type="dxa"/>
            <w:tcMar>
              <w:left w:w="28" w:type="dxa"/>
              <w:right w:w="28" w:type="dxa"/>
            </w:tcMar>
            <w:vAlign w:val="center"/>
          </w:tcPr>
          <w:p w14:paraId="66EAA5D6">
            <w:pPr>
              <w:adjustRightInd w:val="0"/>
              <w:snapToGrid w:val="0"/>
              <w:jc w:val="center"/>
              <w:rPr>
                <w:b/>
                <w:bCs/>
                <w:color w:val="auto"/>
                <w:kern w:val="0"/>
                <w:sz w:val="24"/>
                <w:szCs w:val="24"/>
              </w:rPr>
            </w:pPr>
            <w:r>
              <w:rPr>
                <w:b/>
                <w:bCs/>
                <w:color w:val="auto"/>
                <w:kern w:val="0"/>
                <w:sz w:val="24"/>
                <w:szCs w:val="24"/>
              </w:rPr>
              <w:t>污染</w:t>
            </w:r>
          </w:p>
          <w:p w14:paraId="12545297">
            <w:pPr>
              <w:adjustRightInd w:val="0"/>
              <w:snapToGrid w:val="0"/>
              <w:jc w:val="center"/>
              <w:rPr>
                <w:b/>
                <w:bCs/>
                <w:color w:val="auto"/>
                <w:kern w:val="0"/>
                <w:sz w:val="24"/>
                <w:szCs w:val="24"/>
              </w:rPr>
            </w:pPr>
            <w:r>
              <w:rPr>
                <w:b/>
                <w:bCs/>
                <w:color w:val="auto"/>
                <w:kern w:val="0"/>
                <w:sz w:val="24"/>
                <w:szCs w:val="24"/>
              </w:rPr>
              <w:t>物排</w:t>
            </w:r>
          </w:p>
          <w:p w14:paraId="4EDE766D">
            <w:pPr>
              <w:adjustRightInd w:val="0"/>
              <w:snapToGrid w:val="0"/>
              <w:jc w:val="center"/>
              <w:rPr>
                <w:b/>
                <w:bCs/>
                <w:color w:val="auto"/>
                <w:kern w:val="0"/>
                <w:sz w:val="24"/>
                <w:szCs w:val="24"/>
              </w:rPr>
            </w:pPr>
            <w:r>
              <w:rPr>
                <w:b/>
                <w:bCs/>
                <w:color w:val="auto"/>
                <w:kern w:val="0"/>
                <w:sz w:val="24"/>
                <w:szCs w:val="24"/>
              </w:rPr>
              <w:t>放控</w:t>
            </w:r>
          </w:p>
          <w:p w14:paraId="08CE2CA4">
            <w:pPr>
              <w:adjustRightInd w:val="0"/>
              <w:snapToGrid w:val="0"/>
              <w:jc w:val="center"/>
              <w:rPr>
                <w:b/>
                <w:bCs/>
                <w:color w:val="auto"/>
                <w:kern w:val="0"/>
                <w:sz w:val="24"/>
                <w:szCs w:val="24"/>
              </w:rPr>
            </w:pPr>
            <w:r>
              <w:rPr>
                <w:b/>
                <w:bCs/>
                <w:color w:val="auto"/>
                <w:kern w:val="0"/>
                <w:sz w:val="24"/>
                <w:szCs w:val="24"/>
              </w:rPr>
              <w:t>制标</w:t>
            </w:r>
          </w:p>
          <w:p w14:paraId="4C1C204B">
            <w:pPr>
              <w:adjustRightInd w:val="0"/>
              <w:snapToGrid w:val="0"/>
              <w:jc w:val="center"/>
              <w:rPr>
                <w:color w:val="auto"/>
                <w:kern w:val="0"/>
                <w:szCs w:val="21"/>
              </w:rPr>
            </w:pPr>
            <w:r>
              <w:rPr>
                <w:b/>
                <w:bCs/>
                <w:color w:val="auto"/>
                <w:kern w:val="0"/>
                <w:sz w:val="24"/>
                <w:szCs w:val="24"/>
              </w:rPr>
              <w:t>准</w:t>
            </w:r>
          </w:p>
        </w:tc>
        <w:tc>
          <w:tcPr>
            <w:tcW w:w="8190" w:type="dxa"/>
            <w:vAlign w:val="center"/>
          </w:tcPr>
          <w:p w14:paraId="583C78D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color w:val="auto"/>
                <w:sz w:val="24"/>
              </w:rPr>
            </w:pPr>
            <w:r>
              <w:rPr>
                <w:b/>
                <w:color w:val="auto"/>
                <w:sz w:val="24"/>
              </w:rPr>
              <w:t>一、废气</w:t>
            </w:r>
          </w:p>
          <w:p w14:paraId="156F98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Cs/>
                <w:color w:val="auto"/>
                <w:kern w:val="0"/>
                <w:sz w:val="24"/>
              </w:rPr>
            </w:pPr>
            <w:r>
              <w:rPr>
                <w:rFonts w:ascii="Times New Roman" w:hAnsi="Times New Roman" w:eastAsia="宋体" w:cs="Times New Roman"/>
                <w:bCs/>
                <w:color w:val="auto"/>
                <w:kern w:val="0"/>
                <w:sz w:val="24"/>
              </w:rPr>
              <w:t>施工期</w:t>
            </w:r>
            <w:r>
              <w:rPr>
                <w:rFonts w:hint="eastAsia" w:ascii="Times New Roman" w:hAnsi="Times New Roman" w:eastAsia="宋体" w:cs="Times New Roman"/>
                <w:bCs/>
                <w:color w:val="auto"/>
                <w:kern w:val="0"/>
                <w:sz w:val="24"/>
                <w:lang w:eastAsia="zh-CN"/>
              </w:rPr>
              <w:t>：</w:t>
            </w:r>
            <w:r>
              <w:rPr>
                <w:rFonts w:ascii="Times New Roman" w:hAnsi="Times New Roman" w:eastAsia="宋体" w:cs="Times New Roman"/>
                <w:bCs/>
                <w:color w:val="auto"/>
                <w:kern w:val="0"/>
                <w:sz w:val="24"/>
              </w:rPr>
              <w:t>扬尘执行《大气污染物综合排放标准》（GB16297-1996）中无组织排放限值要求。</w:t>
            </w:r>
          </w:p>
          <w:p w14:paraId="60BB7BB1">
            <w:pPr>
              <w:jc w:val="center"/>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rPr>
              <w:t>表3</w:t>
            </w:r>
            <w:r>
              <w:rPr>
                <w:rFonts w:hint="default" w:ascii="Times New Roman" w:hAnsi="Times New Roman" w:eastAsia="宋体" w:cs="Times New Roman"/>
                <w:b/>
                <w:bCs w:val="0"/>
                <w:color w:val="auto"/>
                <w:sz w:val="24"/>
                <w:lang w:val="en-US" w:eastAsia="zh-CN"/>
              </w:rPr>
              <w:t>-4</w:t>
            </w:r>
            <w:r>
              <w:rPr>
                <w:rFonts w:hint="default" w:ascii="Times New Roman" w:hAnsi="Times New Roman" w:eastAsia="宋体" w:cs="Times New Roman"/>
                <w:b/>
                <w:bCs w:val="0"/>
                <w:color w:val="auto"/>
                <w:sz w:val="24"/>
              </w:rPr>
              <w:t xml:space="preserve"> 大气污染物综合排放标准  单位：mg/m</w:t>
            </w:r>
            <w:r>
              <w:rPr>
                <w:rFonts w:hint="default" w:ascii="Times New Roman" w:hAnsi="Times New Roman" w:eastAsia="宋体" w:cs="Times New Roman"/>
                <w:b/>
                <w:bCs w:val="0"/>
                <w:color w:val="auto"/>
                <w:sz w:val="24"/>
                <w:vertAlign w:val="superscript"/>
              </w:rPr>
              <w:t>3</w:t>
            </w:r>
          </w:p>
          <w:tbl>
            <w:tblPr>
              <w:tblStyle w:val="31"/>
              <w:tblW w:w="78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898"/>
              <w:gridCol w:w="2268"/>
              <w:gridCol w:w="3304"/>
            </w:tblGrid>
            <w:tr w14:paraId="48F1C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408" w:type="dxa"/>
                  <w:tcBorders>
                    <w:top w:val="single" w:color="auto" w:sz="12" w:space="0"/>
                    <w:left w:val="nil"/>
                    <w:bottom w:val="single" w:color="auto" w:sz="4" w:space="0"/>
                    <w:right w:val="single" w:color="auto" w:sz="4" w:space="0"/>
                  </w:tcBorders>
                  <w:noWrap w:val="0"/>
                  <w:vAlign w:val="center"/>
                </w:tcPr>
                <w:p w14:paraId="4D1F7C54">
                  <w:pPr>
                    <w:pStyle w:val="143"/>
                    <w:rPr>
                      <w:color w:val="auto"/>
                      <w:sz w:val="21"/>
                      <w:szCs w:val="21"/>
                    </w:rPr>
                  </w:pPr>
                  <w:r>
                    <w:rPr>
                      <w:color w:val="auto"/>
                      <w:sz w:val="21"/>
                      <w:szCs w:val="21"/>
                    </w:rPr>
                    <w:t>污染物</w:t>
                  </w:r>
                </w:p>
              </w:tc>
              <w:tc>
                <w:tcPr>
                  <w:tcW w:w="898" w:type="dxa"/>
                  <w:tcBorders>
                    <w:top w:val="single" w:color="auto" w:sz="12" w:space="0"/>
                    <w:left w:val="single" w:color="auto" w:sz="4" w:space="0"/>
                    <w:bottom w:val="single" w:color="auto" w:sz="4" w:space="0"/>
                    <w:right w:val="single" w:color="auto" w:sz="4" w:space="0"/>
                  </w:tcBorders>
                  <w:noWrap w:val="0"/>
                  <w:vAlign w:val="center"/>
                </w:tcPr>
                <w:p w14:paraId="2F98191A">
                  <w:pPr>
                    <w:pStyle w:val="143"/>
                    <w:rPr>
                      <w:color w:val="auto"/>
                      <w:sz w:val="21"/>
                      <w:szCs w:val="21"/>
                    </w:rPr>
                  </w:pPr>
                  <w:r>
                    <w:rPr>
                      <w:color w:val="auto"/>
                      <w:sz w:val="21"/>
                      <w:szCs w:val="21"/>
                    </w:rPr>
                    <w:t>限值</w:t>
                  </w:r>
                </w:p>
              </w:tc>
              <w:tc>
                <w:tcPr>
                  <w:tcW w:w="2268" w:type="dxa"/>
                  <w:tcBorders>
                    <w:top w:val="single" w:color="auto" w:sz="12" w:space="0"/>
                    <w:left w:val="single" w:color="auto" w:sz="4" w:space="0"/>
                    <w:bottom w:val="single" w:color="auto" w:sz="4" w:space="0"/>
                    <w:right w:val="single" w:color="auto" w:sz="4" w:space="0"/>
                  </w:tcBorders>
                  <w:noWrap w:val="0"/>
                  <w:vAlign w:val="center"/>
                </w:tcPr>
                <w:p w14:paraId="35A3594E">
                  <w:pPr>
                    <w:pStyle w:val="143"/>
                    <w:rPr>
                      <w:color w:val="auto"/>
                      <w:sz w:val="21"/>
                      <w:szCs w:val="21"/>
                    </w:rPr>
                  </w:pPr>
                  <w:r>
                    <w:rPr>
                      <w:color w:val="auto"/>
                      <w:sz w:val="21"/>
                      <w:szCs w:val="21"/>
                    </w:rPr>
                    <w:t>限制含义</w:t>
                  </w:r>
                </w:p>
              </w:tc>
              <w:tc>
                <w:tcPr>
                  <w:tcW w:w="3304" w:type="dxa"/>
                  <w:tcBorders>
                    <w:top w:val="single" w:color="auto" w:sz="12" w:space="0"/>
                    <w:left w:val="single" w:color="auto" w:sz="4" w:space="0"/>
                    <w:bottom w:val="single" w:color="auto" w:sz="4" w:space="0"/>
                    <w:right w:val="nil"/>
                  </w:tcBorders>
                  <w:noWrap w:val="0"/>
                  <w:vAlign w:val="center"/>
                </w:tcPr>
                <w:p w14:paraId="6D4A5D46">
                  <w:pPr>
                    <w:pStyle w:val="143"/>
                    <w:rPr>
                      <w:color w:val="auto"/>
                      <w:sz w:val="21"/>
                      <w:szCs w:val="21"/>
                    </w:rPr>
                  </w:pPr>
                  <w:r>
                    <w:rPr>
                      <w:color w:val="auto"/>
                      <w:sz w:val="21"/>
                      <w:szCs w:val="21"/>
                    </w:rPr>
                    <w:t>监控位置</w:t>
                  </w:r>
                </w:p>
              </w:tc>
            </w:tr>
            <w:tr w14:paraId="6EF43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408" w:type="dxa"/>
                  <w:tcBorders>
                    <w:top w:val="single" w:color="auto" w:sz="4" w:space="0"/>
                    <w:left w:val="nil"/>
                    <w:bottom w:val="single" w:color="auto" w:sz="12" w:space="0"/>
                    <w:right w:val="single" w:color="auto" w:sz="4" w:space="0"/>
                  </w:tcBorders>
                  <w:noWrap w:val="0"/>
                  <w:vAlign w:val="center"/>
                </w:tcPr>
                <w:p w14:paraId="387CFD35">
                  <w:pPr>
                    <w:pStyle w:val="143"/>
                    <w:rPr>
                      <w:color w:val="auto"/>
                      <w:sz w:val="21"/>
                      <w:szCs w:val="21"/>
                    </w:rPr>
                  </w:pPr>
                  <w:r>
                    <w:rPr>
                      <w:color w:val="auto"/>
                      <w:sz w:val="21"/>
                      <w:szCs w:val="21"/>
                    </w:rPr>
                    <w:t>颗粒物</w:t>
                  </w:r>
                </w:p>
              </w:tc>
              <w:tc>
                <w:tcPr>
                  <w:tcW w:w="898" w:type="dxa"/>
                  <w:tcBorders>
                    <w:top w:val="single" w:color="auto" w:sz="4" w:space="0"/>
                    <w:left w:val="single" w:color="auto" w:sz="4" w:space="0"/>
                    <w:bottom w:val="single" w:color="auto" w:sz="12" w:space="0"/>
                    <w:right w:val="single" w:color="auto" w:sz="4" w:space="0"/>
                  </w:tcBorders>
                  <w:noWrap w:val="0"/>
                  <w:vAlign w:val="center"/>
                </w:tcPr>
                <w:p w14:paraId="7529FF15">
                  <w:pPr>
                    <w:pStyle w:val="143"/>
                    <w:rPr>
                      <w:color w:val="auto"/>
                      <w:sz w:val="21"/>
                      <w:szCs w:val="21"/>
                    </w:rPr>
                  </w:pPr>
                  <w:r>
                    <w:rPr>
                      <w:color w:val="auto"/>
                      <w:sz w:val="21"/>
                      <w:szCs w:val="21"/>
                    </w:rPr>
                    <w:t>1.0</w:t>
                  </w:r>
                </w:p>
              </w:tc>
              <w:tc>
                <w:tcPr>
                  <w:tcW w:w="2268" w:type="dxa"/>
                  <w:tcBorders>
                    <w:top w:val="single" w:color="auto" w:sz="4" w:space="0"/>
                    <w:left w:val="single" w:color="auto" w:sz="4" w:space="0"/>
                    <w:bottom w:val="single" w:color="auto" w:sz="12" w:space="0"/>
                    <w:right w:val="single" w:color="auto" w:sz="4" w:space="0"/>
                  </w:tcBorders>
                  <w:noWrap w:val="0"/>
                  <w:vAlign w:val="center"/>
                </w:tcPr>
                <w:p w14:paraId="77FE6179">
                  <w:pPr>
                    <w:pStyle w:val="143"/>
                    <w:rPr>
                      <w:color w:val="auto"/>
                      <w:sz w:val="21"/>
                      <w:szCs w:val="21"/>
                    </w:rPr>
                  </w:pPr>
                  <w:r>
                    <w:rPr>
                      <w:color w:val="auto"/>
                      <w:sz w:val="21"/>
                      <w:szCs w:val="21"/>
                    </w:rPr>
                    <w:t>无组织排放浓度</w:t>
                  </w:r>
                </w:p>
              </w:tc>
              <w:tc>
                <w:tcPr>
                  <w:tcW w:w="3304" w:type="dxa"/>
                  <w:tcBorders>
                    <w:top w:val="single" w:color="auto" w:sz="4" w:space="0"/>
                    <w:left w:val="single" w:color="auto" w:sz="4" w:space="0"/>
                    <w:bottom w:val="single" w:color="auto" w:sz="12" w:space="0"/>
                    <w:right w:val="nil"/>
                  </w:tcBorders>
                  <w:noWrap w:val="0"/>
                  <w:vAlign w:val="center"/>
                </w:tcPr>
                <w:p w14:paraId="2F570695">
                  <w:pPr>
                    <w:pStyle w:val="143"/>
                    <w:rPr>
                      <w:color w:val="auto"/>
                      <w:sz w:val="21"/>
                      <w:szCs w:val="21"/>
                    </w:rPr>
                  </w:pPr>
                  <w:r>
                    <w:rPr>
                      <w:color w:val="auto"/>
                      <w:sz w:val="21"/>
                      <w:szCs w:val="21"/>
                    </w:rPr>
                    <w:t>周界外浓度最高点</w:t>
                  </w:r>
                </w:p>
              </w:tc>
            </w:tr>
          </w:tbl>
          <w:p w14:paraId="7A9A82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eastAsia="zh-CN"/>
              </w:rPr>
              <w:t>运营期：</w:t>
            </w:r>
            <w:r>
              <w:rPr>
                <w:rFonts w:ascii="Times New Roman" w:hAnsi="Times New Roman" w:eastAsia="宋体" w:cs="Times New Roman"/>
                <w:bCs/>
                <w:color w:val="auto"/>
                <w:kern w:val="0"/>
                <w:sz w:val="24"/>
              </w:rPr>
              <w:t>本项目</w:t>
            </w:r>
            <w:r>
              <w:rPr>
                <w:rFonts w:hint="eastAsia" w:ascii="Times New Roman" w:hAnsi="Times New Roman" w:eastAsia="宋体" w:cs="Times New Roman"/>
                <w:bCs/>
                <w:color w:val="auto"/>
                <w:kern w:val="0"/>
                <w:sz w:val="24"/>
                <w:lang w:eastAsia="zh-CN"/>
              </w:rPr>
              <w:t>厂界</w:t>
            </w:r>
            <w:r>
              <w:rPr>
                <w:rFonts w:hint="eastAsia" w:ascii="Times New Roman" w:hAnsi="Times New Roman" w:eastAsia="宋体" w:cs="Times New Roman"/>
                <w:bCs/>
                <w:color w:val="auto"/>
                <w:kern w:val="0"/>
                <w:sz w:val="24"/>
              </w:rPr>
              <w:t>无组织颗粒物排放执行</w:t>
            </w:r>
            <w:r>
              <w:rPr>
                <w:rFonts w:ascii="Times New Roman" w:hAnsi="Times New Roman" w:eastAsia="宋体" w:cs="Times New Roman"/>
                <w:bCs/>
                <w:color w:val="auto"/>
                <w:kern w:val="0"/>
                <w:sz w:val="24"/>
              </w:rPr>
              <w:t>《大气污染物综合排放标准》（GB16297-1996）表2无组织排放标准限值</w:t>
            </w:r>
            <w:r>
              <w:rPr>
                <w:rFonts w:hint="eastAsia" w:ascii="Times New Roman" w:hAnsi="Times New Roman" w:eastAsia="宋体" w:cs="Times New Roman"/>
                <w:bCs/>
                <w:color w:val="auto"/>
                <w:kern w:val="0"/>
                <w:sz w:val="24"/>
                <w:lang w:eastAsia="zh-CN"/>
              </w:rPr>
              <w:t>；</w:t>
            </w:r>
            <w:r>
              <w:rPr>
                <w:rFonts w:ascii="Times New Roman" w:hAnsi="Times New Roman" w:eastAsia="宋体" w:cs="Times New Roman"/>
                <w:bCs/>
                <w:color w:val="auto"/>
                <w:kern w:val="0"/>
                <w:sz w:val="24"/>
              </w:rPr>
              <w:t>烘干塔热风炉</w:t>
            </w:r>
            <w:r>
              <w:rPr>
                <w:rFonts w:hint="eastAsia" w:ascii="Times New Roman" w:hAnsi="Times New Roman" w:eastAsia="宋体" w:cs="Times New Roman"/>
                <w:bCs/>
                <w:color w:val="auto"/>
                <w:kern w:val="0"/>
                <w:sz w:val="24"/>
                <w:lang w:val="en-US" w:eastAsia="zh-CN"/>
              </w:rPr>
              <w:t>烟气</w:t>
            </w:r>
            <w:r>
              <w:rPr>
                <w:rFonts w:ascii="Times New Roman" w:hAnsi="Times New Roman" w:eastAsia="宋体" w:cs="Times New Roman"/>
                <w:bCs/>
                <w:color w:val="auto"/>
                <w:kern w:val="0"/>
                <w:sz w:val="24"/>
              </w:rPr>
              <w:t>执行《工业炉窑大气污染物排放标准》（GB9078-1996）中表2和表4二级标准</w:t>
            </w:r>
            <w:r>
              <w:rPr>
                <w:rFonts w:hint="eastAsia" w:ascii="Times New Roman" w:hAnsi="Times New Roman" w:eastAsia="宋体" w:cs="Times New Roman"/>
                <w:bCs/>
                <w:color w:val="auto"/>
                <w:kern w:val="0"/>
                <w:sz w:val="24"/>
                <w:lang w:eastAsia="zh-CN"/>
              </w:rPr>
              <w:t>，工业炉窑周边无组织颗粒物执行</w:t>
            </w:r>
            <w:r>
              <w:rPr>
                <w:rFonts w:ascii="Times New Roman" w:hAnsi="Times New Roman" w:eastAsia="宋体" w:cs="Times New Roman"/>
                <w:bCs/>
                <w:color w:val="auto"/>
                <w:kern w:val="0"/>
                <w:sz w:val="24"/>
              </w:rPr>
              <w:t>《工业炉窑大气污染物排放标准》（GB9078-1996）中</w:t>
            </w:r>
            <w:r>
              <w:rPr>
                <w:rFonts w:hint="eastAsia" w:ascii="Times New Roman" w:hAnsi="Times New Roman" w:eastAsia="宋体" w:cs="Times New Roman"/>
                <w:bCs/>
                <w:color w:val="auto"/>
                <w:kern w:val="0"/>
                <w:sz w:val="24"/>
                <w:lang w:eastAsia="zh-CN"/>
              </w:rPr>
              <w:t>表</w:t>
            </w:r>
            <w:r>
              <w:rPr>
                <w:rFonts w:hint="eastAsia" w:ascii="Times New Roman" w:hAnsi="Times New Roman" w:eastAsia="宋体" w:cs="Times New Roman"/>
                <w:bCs/>
                <w:color w:val="auto"/>
                <w:kern w:val="0"/>
                <w:sz w:val="24"/>
                <w:lang w:val="en-US" w:eastAsia="zh-CN"/>
              </w:rPr>
              <w:t>3标准。</w:t>
            </w:r>
          </w:p>
          <w:p w14:paraId="4B90A7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kern w:val="0"/>
                <w:sz w:val="24"/>
                <w:lang w:val="en-US" w:eastAsia="zh-CN"/>
              </w:rPr>
            </w:pPr>
            <w:r>
              <w:rPr>
                <w:rFonts w:hint="eastAsia" w:ascii="Times New Roman" w:hAnsi="Times New Roman" w:eastAsia="宋体" w:cs="Times New Roman"/>
                <w:bCs/>
                <w:color w:val="auto"/>
                <w:kern w:val="0"/>
                <w:sz w:val="24"/>
                <w:lang w:val="en-US" w:eastAsia="zh-CN"/>
              </w:rPr>
              <w:t>执行标准情况详见表3-5。</w:t>
            </w:r>
          </w:p>
          <w:p w14:paraId="684AE873">
            <w:pPr>
              <w:pStyle w:val="7"/>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表3-</w:t>
            </w:r>
            <w:r>
              <w:rPr>
                <w:rFonts w:hint="eastAsia" w:cs="Times New Roman"/>
                <w:b/>
                <w:color w:val="auto"/>
                <w:kern w:val="2"/>
                <w:sz w:val="24"/>
                <w:szCs w:val="24"/>
                <w:lang w:val="en-US" w:eastAsia="zh-CN" w:bidi="ar-SA"/>
              </w:rPr>
              <w:t>5</w:t>
            </w:r>
            <w:r>
              <w:rPr>
                <w:rFonts w:hint="default" w:ascii="Times New Roman" w:hAnsi="Times New Roman" w:eastAsia="宋体" w:cs="Times New Roman"/>
                <w:b/>
                <w:color w:val="auto"/>
                <w:kern w:val="2"/>
                <w:sz w:val="24"/>
                <w:szCs w:val="24"/>
                <w:lang w:val="en-US" w:eastAsia="zh-CN" w:bidi="ar-SA"/>
              </w:rPr>
              <w:t xml:space="preserve"> 运营期废气污染物排放执行标准</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1663"/>
              <w:gridCol w:w="1962"/>
              <w:gridCol w:w="2983"/>
            </w:tblGrid>
            <w:tr w14:paraId="26E7C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dxa"/>
                  <w:tcBorders>
                    <w:tl2br w:val="nil"/>
                    <w:tr2bl w:val="nil"/>
                  </w:tcBorders>
                  <w:noWrap w:val="0"/>
                  <w:vAlign w:val="center"/>
                </w:tcPr>
                <w:p w14:paraId="6BE121F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污染物</w:t>
                  </w:r>
                </w:p>
              </w:tc>
              <w:tc>
                <w:tcPr>
                  <w:tcW w:w="1663" w:type="dxa"/>
                  <w:tcBorders>
                    <w:tl2br w:val="nil"/>
                    <w:tr2bl w:val="nil"/>
                  </w:tcBorders>
                  <w:noWrap w:val="0"/>
                  <w:vAlign w:val="center"/>
                </w:tcPr>
                <w:p w14:paraId="7FD899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最高允许排放浓度mg/m</w:t>
                  </w:r>
                  <w:r>
                    <w:rPr>
                      <w:rFonts w:hint="default" w:ascii="Times New Roman" w:hAnsi="Times New Roman" w:cs="Times New Roman"/>
                      <w:b/>
                      <w:bCs/>
                      <w:color w:val="auto"/>
                      <w:sz w:val="21"/>
                      <w:szCs w:val="21"/>
                      <w:highlight w:val="none"/>
                      <w:vertAlign w:val="superscript"/>
                      <w:lang w:val="en-US" w:eastAsia="zh-CN"/>
                    </w:rPr>
                    <w:t>3</w:t>
                  </w:r>
                </w:p>
              </w:tc>
              <w:tc>
                <w:tcPr>
                  <w:tcW w:w="1962" w:type="dxa"/>
                  <w:tcBorders>
                    <w:tl2br w:val="nil"/>
                    <w:tr2bl w:val="nil"/>
                  </w:tcBorders>
                  <w:noWrap w:val="0"/>
                  <w:vAlign w:val="center"/>
                </w:tcPr>
                <w:p w14:paraId="00B6B1E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无组织排放监控浓度限值mg/m</w:t>
                  </w:r>
                  <w:r>
                    <w:rPr>
                      <w:rFonts w:hint="default" w:ascii="Times New Roman" w:hAnsi="Times New Roman" w:cs="Times New Roman"/>
                      <w:b/>
                      <w:bCs/>
                      <w:color w:val="auto"/>
                      <w:sz w:val="21"/>
                      <w:szCs w:val="21"/>
                      <w:highlight w:val="none"/>
                      <w:vertAlign w:val="superscript"/>
                      <w:lang w:val="en-US" w:eastAsia="zh-CN"/>
                    </w:rPr>
                    <w:t>3</w:t>
                  </w:r>
                </w:p>
              </w:tc>
              <w:tc>
                <w:tcPr>
                  <w:tcW w:w="2984" w:type="dxa"/>
                  <w:tcBorders>
                    <w:tl2br w:val="nil"/>
                    <w:tr2bl w:val="nil"/>
                  </w:tcBorders>
                  <w:noWrap w:val="0"/>
                  <w:vAlign w:val="center"/>
                </w:tcPr>
                <w:p w14:paraId="563FF06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执行标准</w:t>
                  </w:r>
                </w:p>
              </w:tc>
            </w:tr>
            <w:tr w14:paraId="5DE96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29" w:type="dxa"/>
                  <w:tcBorders>
                    <w:tl2br w:val="nil"/>
                    <w:tr2bl w:val="nil"/>
                  </w:tcBorders>
                  <w:noWrap w:val="0"/>
                  <w:vAlign w:val="center"/>
                </w:tcPr>
                <w:p w14:paraId="2034604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烟（粉）尘</w:t>
                  </w:r>
                </w:p>
              </w:tc>
              <w:tc>
                <w:tcPr>
                  <w:tcW w:w="1663" w:type="dxa"/>
                  <w:tcBorders>
                    <w:tl2br w:val="nil"/>
                    <w:tr2bl w:val="nil"/>
                  </w:tcBorders>
                  <w:noWrap w:val="0"/>
                  <w:vAlign w:val="center"/>
                </w:tcPr>
                <w:p w14:paraId="2291099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1962" w:type="dxa"/>
                  <w:tcBorders>
                    <w:tl2br w:val="nil"/>
                    <w:tr2bl w:val="nil"/>
                  </w:tcBorders>
                  <w:noWrap w:val="0"/>
                  <w:vAlign w:val="center"/>
                </w:tcPr>
                <w:p w14:paraId="7043B0E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p>
              </w:tc>
              <w:tc>
                <w:tcPr>
                  <w:tcW w:w="2984" w:type="dxa"/>
                  <w:vMerge w:val="restart"/>
                  <w:tcBorders>
                    <w:tl2br w:val="nil"/>
                    <w:tr2bl w:val="nil"/>
                  </w:tcBorders>
                  <w:noWrap w:val="0"/>
                  <w:vAlign w:val="center"/>
                </w:tcPr>
                <w:p w14:paraId="6C7D487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《工业炉窑大气污染物排放标准》（GB9078-1996）</w:t>
                  </w:r>
                  <w:r>
                    <w:rPr>
                      <w:rFonts w:hint="eastAsia" w:cs="Times New Roman"/>
                      <w:color w:val="auto"/>
                      <w:sz w:val="21"/>
                      <w:szCs w:val="21"/>
                      <w:highlight w:val="none"/>
                      <w:lang w:val="en-US" w:eastAsia="zh-CN"/>
                    </w:rPr>
                    <w:t>二级标准</w:t>
                  </w:r>
                </w:p>
              </w:tc>
            </w:tr>
            <w:tr w14:paraId="7B0AD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29" w:type="dxa"/>
                  <w:tcBorders>
                    <w:tl2br w:val="nil"/>
                    <w:tr2bl w:val="nil"/>
                  </w:tcBorders>
                  <w:noWrap w:val="0"/>
                  <w:vAlign w:val="center"/>
                </w:tcPr>
                <w:p w14:paraId="5604875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烟气黑度</w:t>
                  </w:r>
                </w:p>
              </w:tc>
              <w:tc>
                <w:tcPr>
                  <w:tcW w:w="1663" w:type="dxa"/>
                  <w:tcBorders>
                    <w:tl2br w:val="nil"/>
                    <w:tr2bl w:val="nil"/>
                  </w:tcBorders>
                  <w:noWrap w:val="0"/>
                  <w:vAlign w:val="center"/>
                </w:tcPr>
                <w:p w14:paraId="0BDF046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1（格林曼级）</w:t>
                  </w:r>
                </w:p>
              </w:tc>
              <w:tc>
                <w:tcPr>
                  <w:tcW w:w="1962" w:type="dxa"/>
                  <w:tcBorders>
                    <w:tl2br w:val="nil"/>
                    <w:tr2bl w:val="nil"/>
                  </w:tcBorders>
                  <w:noWrap w:val="0"/>
                  <w:vAlign w:val="center"/>
                </w:tcPr>
                <w:p w14:paraId="6E0547D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984" w:type="dxa"/>
                  <w:vMerge w:val="continue"/>
                  <w:tcBorders>
                    <w:tl2br w:val="nil"/>
                    <w:tr2bl w:val="nil"/>
                  </w:tcBorders>
                  <w:noWrap w:val="0"/>
                  <w:vAlign w:val="center"/>
                </w:tcPr>
                <w:p w14:paraId="7DF67F0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r>
            <w:tr w14:paraId="1B1FC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29" w:type="dxa"/>
                  <w:tcBorders>
                    <w:tl2br w:val="nil"/>
                    <w:tr2bl w:val="nil"/>
                  </w:tcBorders>
                  <w:noWrap w:val="0"/>
                  <w:vAlign w:val="center"/>
                </w:tcPr>
                <w:p w14:paraId="2B2CB51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二氧化硫</w:t>
                  </w:r>
                </w:p>
              </w:tc>
              <w:tc>
                <w:tcPr>
                  <w:tcW w:w="1663" w:type="dxa"/>
                  <w:tcBorders>
                    <w:tl2br w:val="nil"/>
                    <w:tr2bl w:val="nil"/>
                  </w:tcBorders>
                  <w:noWrap w:val="0"/>
                  <w:vAlign w:val="center"/>
                </w:tcPr>
                <w:p w14:paraId="02D04FF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850</w:t>
                  </w:r>
                </w:p>
              </w:tc>
              <w:tc>
                <w:tcPr>
                  <w:tcW w:w="1962" w:type="dxa"/>
                  <w:tcBorders>
                    <w:tl2br w:val="nil"/>
                    <w:tr2bl w:val="nil"/>
                  </w:tcBorders>
                  <w:noWrap w:val="0"/>
                  <w:vAlign w:val="center"/>
                </w:tcPr>
                <w:p w14:paraId="1AD6AE4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984" w:type="dxa"/>
                  <w:vMerge w:val="continue"/>
                  <w:tcBorders>
                    <w:tl2br w:val="nil"/>
                    <w:tr2bl w:val="nil"/>
                  </w:tcBorders>
                  <w:noWrap w:val="0"/>
                  <w:vAlign w:val="center"/>
                </w:tcPr>
                <w:p w14:paraId="65A7C4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r>
            <w:tr w14:paraId="0259A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429" w:type="dxa"/>
                  <w:tcBorders>
                    <w:tl2br w:val="nil"/>
                    <w:tr2bl w:val="nil"/>
                  </w:tcBorders>
                  <w:noWrap w:val="0"/>
                  <w:vAlign w:val="center"/>
                </w:tcPr>
                <w:p w14:paraId="77D8033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color w:val="auto"/>
                    </w:rPr>
                    <w:t>汞</w:t>
                  </w:r>
                </w:p>
              </w:tc>
              <w:tc>
                <w:tcPr>
                  <w:tcW w:w="1663" w:type="dxa"/>
                  <w:tcBorders>
                    <w:tl2br w:val="nil"/>
                    <w:tr2bl w:val="nil"/>
                  </w:tcBorders>
                  <w:noWrap w:val="0"/>
                  <w:vAlign w:val="center"/>
                </w:tcPr>
                <w:p w14:paraId="6835126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w:t>
                  </w:r>
                  <w:r>
                    <w:rPr>
                      <w:rFonts w:hint="eastAsia"/>
                      <w:color w:val="auto"/>
                    </w:rPr>
                    <w:t>mg/m</w:t>
                  </w:r>
                  <w:r>
                    <w:rPr>
                      <w:rFonts w:hint="eastAsia"/>
                      <w:color w:val="auto"/>
                      <w:vertAlign w:val="superscript"/>
                    </w:rPr>
                    <w:t>3</w:t>
                  </w:r>
                </w:p>
              </w:tc>
              <w:tc>
                <w:tcPr>
                  <w:tcW w:w="1962" w:type="dxa"/>
                  <w:tcBorders>
                    <w:tl2br w:val="nil"/>
                    <w:tr2bl w:val="nil"/>
                  </w:tcBorders>
                  <w:noWrap w:val="0"/>
                  <w:vAlign w:val="center"/>
                </w:tcPr>
                <w:p w14:paraId="79DFB6B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2984" w:type="dxa"/>
                  <w:vMerge w:val="continue"/>
                  <w:tcBorders>
                    <w:tl2br w:val="nil"/>
                    <w:tr2bl w:val="nil"/>
                  </w:tcBorders>
                  <w:noWrap w:val="0"/>
                  <w:vAlign w:val="center"/>
                </w:tcPr>
                <w:p w14:paraId="7C33258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r>
            <w:tr w14:paraId="3CA66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9" w:type="dxa"/>
                  <w:tcBorders>
                    <w:tl2br w:val="nil"/>
                    <w:tr2bl w:val="nil"/>
                  </w:tcBorders>
                  <w:noWrap w:val="0"/>
                  <w:vAlign w:val="center"/>
                </w:tcPr>
                <w:p w14:paraId="2AF686A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663" w:type="dxa"/>
                  <w:tcBorders>
                    <w:tl2br w:val="nil"/>
                    <w:tr2bl w:val="nil"/>
                  </w:tcBorders>
                  <w:noWrap w:val="0"/>
                  <w:vAlign w:val="center"/>
                </w:tcPr>
                <w:p w14:paraId="2B67DD8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962" w:type="dxa"/>
                  <w:tcBorders>
                    <w:tl2br w:val="nil"/>
                    <w:tr2bl w:val="nil"/>
                  </w:tcBorders>
                  <w:noWrap w:val="0"/>
                  <w:vAlign w:val="center"/>
                </w:tcPr>
                <w:p w14:paraId="45E69C0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2984" w:type="dxa"/>
                  <w:tcBorders>
                    <w:tl2br w:val="nil"/>
                    <w:tr2bl w:val="nil"/>
                  </w:tcBorders>
                  <w:noWrap w:val="0"/>
                  <w:vAlign w:val="center"/>
                </w:tcPr>
                <w:p w14:paraId="48844C6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《大气污染物综合排放标准》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GB16297</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1996</w:t>
                  </w:r>
                  <w:r>
                    <w:rPr>
                      <w:rFonts w:hint="default" w:ascii="Times New Roman" w:hAnsi="Times New Roman" w:cs="Times New Roman"/>
                      <w:color w:val="auto"/>
                      <w:sz w:val="21"/>
                      <w:szCs w:val="21"/>
                      <w:highlight w:val="none"/>
                      <w:lang w:eastAsia="zh-CN"/>
                    </w:rPr>
                    <w:t>）</w:t>
                  </w:r>
                </w:p>
              </w:tc>
            </w:tr>
            <w:tr w14:paraId="44B88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38" w:type="dxa"/>
                  <w:gridSpan w:val="4"/>
                  <w:tcBorders>
                    <w:tl2br w:val="nil"/>
                    <w:tr2bl w:val="nil"/>
                  </w:tcBorders>
                  <w:noWrap w:val="0"/>
                  <w:vAlign w:val="center"/>
                </w:tcPr>
                <w:p w14:paraId="7C93F682">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排气筒要求：各种工业炉窑</w:t>
                  </w:r>
                  <w:r>
                    <w:rPr>
                      <w:rFonts w:hint="eastAsia" w:cs="Times New Roman"/>
                      <w:color w:val="auto"/>
                      <w:sz w:val="21"/>
                      <w:szCs w:val="21"/>
                      <w:highlight w:val="none"/>
                      <w:lang w:val="en-US" w:eastAsia="zh-CN"/>
                    </w:rPr>
                    <w:t>排气筒</w:t>
                  </w:r>
                  <w:r>
                    <w:rPr>
                      <w:rFonts w:hint="eastAsia" w:ascii="Times New Roman" w:hAnsi="Times New Roman" w:cs="Times New Roman"/>
                      <w:color w:val="auto"/>
                      <w:sz w:val="21"/>
                      <w:szCs w:val="21"/>
                      <w:highlight w:val="none"/>
                      <w:lang w:val="en-US" w:eastAsia="zh-CN"/>
                    </w:rPr>
                    <w:t>最低允许高度为15m</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当</w:t>
                  </w:r>
                  <w:r>
                    <w:rPr>
                      <w:rFonts w:hint="eastAsia" w:cs="Times New Roman"/>
                      <w:color w:val="auto"/>
                      <w:sz w:val="21"/>
                      <w:szCs w:val="21"/>
                      <w:highlight w:val="none"/>
                      <w:lang w:val="en-US" w:eastAsia="zh-CN"/>
                    </w:rPr>
                    <w:t>排气筒</w:t>
                  </w:r>
                  <w:r>
                    <w:rPr>
                      <w:rFonts w:hint="eastAsia" w:ascii="Times New Roman" w:hAnsi="Times New Roman" w:cs="Times New Roman"/>
                      <w:color w:val="auto"/>
                      <w:sz w:val="21"/>
                      <w:szCs w:val="21"/>
                      <w:highlight w:val="none"/>
                      <w:lang w:val="en-US" w:eastAsia="zh-CN"/>
                    </w:rPr>
                    <w:t>周围半径200m距离内有建筑物时，应高出最高建筑物3m以上</w:t>
                  </w:r>
                  <w:r>
                    <w:rPr>
                      <w:rFonts w:hint="eastAsia" w:cs="Times New Roman"/>
                      <w:color w:val="auto"/>
                      <w:sz w:val="21"/>
                      <w:szCs w:val="21"/>
                      <w:highlight w:val="none"/>
                      <w:lang w:val="en-US" w:eastAsia="zh-CN"/>
                    </w:rPr>
                    <w:t>。</w:t>
                  </w:r>
                </w:p>
              </w:tc>
            </w:tr>
          </w:tbl>
          <w:p w14:paraId="54995D2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val="0"/>
                <w:color w:val="auto"/>
                <w:kern w:val="0"/>
                <w:sz w:val="24"/>
                <w:lang w:eastAsia="zh-CN"/>
              </w:rPr>
            </w:pPr>
            <w:r>
              <w:rPr>
                <w:rFonts w:hint="eastAsia" w:ascii="Times New Roman" w:hAnsi="Times New Roman" w:eastAsia="宋体" w:cs="Times New Roman"/>
                <w:b/>
                <w:bCs w:val="0"/>
                <w:color w:val="auto"/>
                <w:kern w:val="0"/>
                <w:sz w:val="24"/>
                <w:lang w:eastAsia="zh-CN"/>
              </w:rPr>
              <w:t>二、噪声</w:t>
            </w:r>
          </w:p>
          <w:p w14:paraId="613D34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kern w:val="0"/>
                <w:sz w:val="24"/>
                <w:lang w:eastAsia="zh-CN"/>
              </w:rPr>
            </w:pPr>
            <w:r>
              <w:rPr>
                <w:rFonts w:hint="default" w:ascii="Times New Roman" w:hAnsi="Times New Roman" w:eastAsia="宋体" w:cs="Times New Roman"/>
                <w:bCs/>
                <w:color w:val="auto"/>
                <w:kern w:val="0"/>
                <w:sz w:val="24"/>
                <w:lang w:eastAsia="zh-CN"/>
              </w:rPr>
              <w:t>施工期</w:t>
            </w:r>
            <w:r>
              <w:rPr>
                <w:rFonts w:hint="eastAsia" w:ascii="Times New Roman" w:hAnsi="Times New Roman" w:eastAsia="宋体" w:cs="Times New Roman"/>
                <w:bCs/>
                <w:color w:val="auto"/>
                <w:kern w:val="0"/>
                <w:sz w:val="24"/>
                <w:lang w:eastAsia="zh-CN"/>
              </w:rPr>
              <w:t>：</w:t>
            </w:r>
            <w:r>
              <w:rPr>
                <w:rFonts w:hint="default" w:ascii="Times New Roman" w:hAnsi="Times New Roman" w:eastAsia="宋体" w:cs="Times New Roman"/>
                <w:bCs/>
                <w:color w:val="auto"/>
                <w:kern w:val="0"/>
                <w:sz w:val="24"/>
                <w:lang w:eastAsia="zh-CN"/>
              </w:rPr>
              <w:t>噪声执行《建筑施工场界环境噪声排放标准》(GB12523-2011)。</w:t>
            </w:r>
          </w:p>
          <w:p w14:paraId="00E2144B">
            <w:pPr>
              <w:jc w:val="center"/>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rPr>
              <w:t>表3</w:t>
            </w:r>
            <w:r>
              <w:rPr>
                <w:rFonts w:hint="eastAsia" w:ascii="Times New Roman" w:hAnsi="Times New Roman" w:eastAsia="宋体" w:cs="Times New Roman"/>
                <w:b/>
                <w:bCs w:val="0"/>
                <w:color w:val="auto"/>
                <w:sz w:val="24"/>
                <w:lang w:val="en-US" w:eastAsia="zh-CN"/>
              </w:rPr>
              <w:t>-6</w:t>
            </w:r>
            <w:r>
              <w:rPr>
                <w:rFonts w:hint="default" w:ascii="Times New Roman" w:hAnsi="Times New Roman" w:eastAsia="宋体" w:cs="Times New Roman"/>
                <w:b/>
                <w:bCs w:val="0"/>
                <w:color w:val="auto"/>
                <w:sz w:val="24"/>
              </w:rPr>
              <w:t xml:space="preserve"> 建筑施工场界环境噪声排放标准  单位：dB(A)</w:t>
            </w:r>
          </w:p>
          <w:tbl>
            <w:tblPr>
              <w:tblStyle w:val="31"/>
              <w:tblW w:w="5000" w:type="pct"/>
              <w:jc w:val="center"/>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122"/>
              <w:gridCol w:w="2959"/>
              <w:gridCol w:w="2959"/>
            </w:tblGrid>
            <w:tr w14:paraId="4AF17CC0">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97" w:hRule="exact"/>
                <w:jc w:val="center"/>
              </w:trPr>
              <w:tc>
                <w:tcPr>
                  <w:tcW w:w="2245" w:type="dxa"/>
                  <w:tcBorders>
                    <w:right w:val="single" w:color="auto" w:sz="4" w:space="0"/>
                  </w:tcBorders>
                  <w:noWrap w:val="0"/>
                  <w:tcMar>
                    <w:top w:w="17" w:type="dxa"/>
                    <w:left w:w="17" w:type="dxa"/>
                    <w:bottom w:w="0" w:type="dxa"/>
                    <w:right w:w="17" w:type="dxa"/>
                  </w:tcMar>
                  <w:vAlign w:val="center"/>
                </w:tcPr>
                <w:p w14:paraId="673346D0">
                  <w:pPr>
                    <w:pStyle w:val="143"/>
                    <w:rPr>
                      <w:color w:val="auto"/>
                      <w:sz w:val="21"/>
                      <w:szCs w:val="21"/>
                    </w:rPr>
                  </w:pPr>
                  <w:r>
                    <w:rPr>
                      <w:color w:val="auto"/>
                      <w:sz w:val="21"/>
                      <w:szCs w:val="21"/>
                    </w:rPr>
                    <w:t>时段</w:t>
                  </w:r>
                </w:p>
              </w:tc>
              <w:tc>
                <w:tcPr>
                  <w:tcW w:w="3130" w:type="dxa"/>
                  <w:tcBorders>
                    <w:left w:val="single" w:color="auto" w:sz="4" w:space="0"/>
                  </w:tcBorders>
                  <w:noWrap w:val="0"/>
                  <w:vAlign w:val="center"/>
                </w:tcPr>
                <w:p w14:paraId="45FAE4E4">
                  <w:pPr>
                    <w:pStyle w:val="143"/>
                    <w:rPr>
                      <w:color w:val="auto"/>
                      <w:sz w:val="21"/>
                      <w:szCs w:val="21"/>
                    </w:rPr>
                  </w:pPr>
                  <w:r>
                    <w:rPr>
                      <w:color w:val="auto"/>
                      <w:sz w:val="21"/>
                      <w:szCs w:val="21"/>
                    </w:rPr>
                    <w:t>昼间</w:t>
                  </w:r>
                </w:p>
              </w:tc>
              <w:tc>
                <w:tcPr>
                  <w:tcW w:w="3130" w:type="dxa"/>
                  <w:noWrap w:val="0"/>
                  <w:tcMar>
                    <w:top w:w="17" w:type="dxa"/>
                    <w:left w:w="17" w:type="dxa"/>
                    <w:bottom w:w="0" w:type="dxa"/>
                    <w:right w:w="17" w:type="dxa"/>
                  </w:tcMar>
                  <w:vAlign w:val="center"/>
                </w:tcPr>
                <w:p w14:paraId="7EF574EF">
                  <w:pPr>
                    <w:pStyle w:val="143"/>
                    <w:rPr>
                      <w:color w:val="auto"/>
                      <w:sz w:val="21"/>
                      <w:szCs w:val="21"/>
                    </w:rPr>
                  </w:pPr>
                  <w:r>
                    <w:rPr>
                      <w:color w:val="auto"/>
                      <w:sz w:val="21"/>
                      <w:szCs w:val="21"/>
                    </w:rPr>
                    <w:t>夜间</w:t>
                  </w:r>
                </w:p>
              </w:tc>
            </w:tr>
            <w:tr w14:paraId="3D83AFA3">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397" w:hRule="exact"/>
                <w:jc w:val="center"/>
              </w:trPr>
              <w:tc>
                <w:tcPr>
                  <w:tcW w:w="2245" w:type="dxa"/>
                  <w:tcBorders>
                    <w:right w:val="single" w:color="auto" w:sz="4" w:space="0"/>
                  </w:tcBorders>
                  <w:noWrap w:val="0"/>
                  <w:tcMar>
                    <w:top w:w="17" w:type="dxa"/>
                    <w:left w:w="17" w:type="dxa"/>
                    <w:bottom w:w="0" w:type="dxa"/>
                    <w:right w:w="17" w:type="dxa"/>
                  </w:tcMar>
                  <w:vAlign w:val="center"/>
                </w:tcPr>
                <w:p w14:paraId="782EAB7F">
                  <w:pPr>
                    <w:pStyle w:val="143"/>
                    <w:rPr>
                      <w:color w:val="auto"/>
                      <w:sz w:val="21"/>
                      <w:szCs w:val="21"/>
                    </w:rPr>
                  </w:pPr>
                  <w:r>
                    <w:rPr>
                      <w:color w:val="auto"/>
                      <w:sz w:val="21"/>
                      <w:szCs w:val="21"/>
                    </w:rPr>
                    <w:t>标准值</w:t>
                  </w:r>
                </w:p>
              </w:tc>
              <w:tc>
                <w:tcPr>
                  <w:tcW w:w="3130" w:type="dxa"/>
                  <w:tcBorders>
                    <w:left w:val="single" w:color="auto" w:sz="4" w:space="0"/>
                  </w:tcBorders>
                  <w:noWrap w:val="0"/>
                  <w:vAlign w:val="center"/>
                </w:tcPr>
                <w:p w14:paraId="5FEC1B82">
                  <w:pPr>
                    <w:pStyle w:val="143"/>
                    <w:rPr>
                      <w:color w:val="auto"/>
                      <w:sz w:val="21"/>
                      <w:szCs w:val="21"/>
                    </w:rPr>
                  </w:pPr>
                  <w:r>
                    <w:rPr>
                      <w:color w:val="auto"/>
                      <w:sz w:val="21"/>
                      <w:szCs w:val="21"/>
                    </w:rPr>
                    <w:t>70</w:t>
                  </w:r>
                </w:p>
              </w:tc>
              <w:tc>
                <w:tcPr>
                  <w:tcW w:w="3130" w:type="dxa"/>
                  <w:noWrap w:val="0"/>
                  <w:tcMar>
                    <w:top w:w="17" w:type="dxa"/>
                    <w:left w:w="17" w:type="dxa"/>
                    <w:bottom w:w="0" w:type="dxa"/>
                    <w:right w:w="17" w:type="dxa"/>
                  </w:tcMar>
                  <w:vAlign w:val="center"/>
                </w:tcPr>
                <w:p w14:paraId="3520EF11">
                  <w:pPr>
                    <w:pStyle w:val="143"/>
                    <w:rPr>
                      <w:color w:val="auto"/>
                      <w:sz w:val="21"/>
                      <w:szCs w:val="21"/>
                    </w:rPr>
                  </w:pPr>
                  <w:r>
                    <w:rPr>
                      <w:color w:val="auto"/>
                      <w:sz w:val="21"/>
                      <w:szCs w:val="21"/>
                    </w:rPr>
                    <w:t>55</w:t>
                  </w:r>
                </w:p>
              </w:tc>
            </w:tr>
          </w:tbl>
          <w:p w14:paraId="0B09BF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kern w:val="0"/>
                <w:sz w:val="24"/>
                <w:highlight w:val="none"/>
                <w:lang w:eastAsia="zh-CN"/>
              </w:rPr>
            </w:pPr>
            <w:r>
              <w:rPr>
                <w:rFonts w:hint="eastAsia" w:ascii="Times New Roman" w:hAnsi="Times New Roman" w:eastAsia="宋体" w:cs="Times New Roman"/>
                <w:bCs/>
                <w:color w:val="auto"/>
                <w:kern w:val="0"/>
                <w:sz w:val="24"/>
                <w:highlight w:val="none"/>
                <w:lang w:eastAsia="zh-CN"/>
              </w:rPr>
              <w:t>运营期：厂界</w:t>
            </w:r>
            <w:r>
              <w:rPr>
                <w:rFonts w:hint="eastAsia" w:cs="Times New Roman"/>
                <w:bCs/>
                <w:color w:val="auto"/>
                <w:kern w:val="0"/>
                <w:sz w:val="24"/>
                <w:highlight w:val="none"/>
                <w:lang w:eastAsia="zh-CN"/>
              </w:rPr>
              <w:t>东侧、西侧、南侧</w:t>
            </w:r>
            <w:r>
              <w:rPr>
                <w:rFonts w:hint="eastAsia" w:ascii="Times New Roman" w:hAnsi="Times New Roman" w:eastAsia="宋体" w:cs="Times New Roman"/>
                <w:bCs/>
                <w:color w:val="auto"/>
                <w:kern w:val="0"/>
                <w:sz w:val="24"/>
                <w:highlight w:val="none"/>
                <w:lang w:eastAsia="zh-CN"/>
              </w:rPr>
              <w:t>噪声执行《工业企业厂界环境噪声排放标准》（GB12348-2008）中</w:t>
            </w:r>
            <w:r>
              <w:rPr>
                <w:rFonts w:hint="eastAsia" w:ascii="Times New Roman" w:hAnsi="Times New Roman" w:eastAsia="宋体" w:cs="Times New Roman"/>
                <w:bCs/>
                <w:color w:val="auto"/>
                <w:kern w:val="0"/>
                <w:sz w:val="24"/>
                <w:highlight w:val="none"/>
                <w:lang w:val="en-US" w:eastAsia="zh-CN"/>
              </w:rPr>
              <w:t>1</w:t>
            </w:r>
            <w:r>
              <w:rPr>
                <w:rFonts w:hint="eastAsia" w:ascii="Times New Roman" w:hAnsi="Times New Roman" w:eastAsia="宋体" w:cs="Times New Roman"/>
                <w:bCs/>
                <w:color w:val="auto"/>
                <w:kern w:val="0"/>
                <w:sz w:val="24"/>
                <w:highlight w:val="none"/>
                <w:lang w:eastAsia="zh-CN"/>
              </w:rPr>
              <w:t>类标准</w:t>
            </w:r>
            <w:r>
              <w:rPr>
                <w:rFonts w:hint="eastAsia" w:cs="Times New Roman"/>
                <w:bCs/>
                <w:color w:val="auto"/>
                <w:kern w:val="0"/>
                <w:sz w:val="24"/>
                <w:highlight w:val="none"/>
                <w:lang w:eastAsia="zh-CN"/>
              </w:rPr>
              <w:t>，北侧执行</w:t>
            </w:r>
            <w:r>
              <w:rPr>
                <w:rFonts w:hint="eastAsia" w:cs="Times New Roman"/>
                <w:bCs/>
                <w:color w:val="auto"/>
                <w:kern w:val="0"/>
                <w:sz w:val="24"/>
                <w:highlight w:val="none"/>
                <w:lang w:val="en-US" w:eastAsia="zh-CN"/>
              </w:rPr>
              <w:t>4类标准</w:t>
            </w:r>
            <w:r>
              <w:rPr>
                <w:rFonts w:hint="eastAsia" w:ascii="Times New Roman" w:hAnsi="Times New Roman" w:eastAsia="宋体" w:cs="Times New Roman"/>
                <w:bCs/>
                <w:color w:val="auto"/>
                <w:kern w:val="0"/>
                <w:sz w:val="24"/>
                <w:highlight w:val="none"/>
                <w:lang w:eastAsia="zh-CN"/>
              </w:rPr>
              <w:t>。</w:t>
            </w:r>
          </w:p>
          <w:p w14:paraId="33AAE1EC">
            <w:pPr>
              <w:jc w:val="center"/>
              <w:rPr>
                <w:rFonts w:hint="eastAsia"/>
                <w:b/>
                <w:bCs/>
                <w:color w:val="auto"/>
                <w:sz w:val="24"/>
                <w:highlight w:val="none"/>
              </w:rPr>
            </w:pPr>
          </w:p>
          <w:p w14:paraId="4EDE7BD2">
            <w:pPr>
              <w:jc w:val="center"/>
              <w:rPr>
                <w:rFonts w:hint="eastAsia"/>
                <w:b/>
                <w:bCs/>
                <w:color w:val="auto"/>
                <w:sz w:val="24"/>
                <w:highlight w:val="none"/>
              </w:rPr>
            </w:pPr>
          </w:p>
          <w:p w14:paraId="7EA7E3AF">
            <w:pPr>
              <w:jc w:val="center"/>
              <w:rPr>
                <w:b/>
                <w:bCs/>
                <w:color w:val="auto"/>
                <w:sz w:val="24"/>
                <w:highlight w:val="none"/>
              </w:rPr>
            </w:pPr>
            <w:r>
              <w:rPr>
                <w:rFonts w:hint="eastAsia"/>
                <w:b/>
                <w:bCs/>
                <w:color w:val="auto"/>
                <w:sz w:val="24"/>
                <w:highlight w:val="none"/>
              </w:rPr>
              <w:t>表3-</w:t>
            </w:r>
            <w:r>
              <w:rPr>
                <w:rFonts w:hint="eastAsia"/>
                <w:b/>
                <w:bCs/>
                <w:color w:val="auto"/>
                <w:sz w:val="24"/>
                <w:highlight w:val="none"/>
                <w:lang w:val="en-US" w:eastAsia="zh-CN"/>
              </w:rPr>
              <w:t>7</w:t>
            </w:r>
            <w:r>
              <w:rPr>
                <w:rFonts w:hint="eastAsia"/>
                <w:b/>
                <w:bCs/>
                <w:color w:val="auto"/>
                <w:sz w:val="24"/>
                <w:highlight w:val="none"/>
              </w:rPr>
              <w:t>工业企业厂界环境噪声排放标准</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9"/>
              <w:gridCol w:w="3220"/>
              <w:gridCol w:w="3220"/>
            </w:tblGrid>
            <w:tr w14:paraId="43925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86" w:type="dxa"/>
                  <w:vMerge w:val="restart"/>
                  <w:vAlign w:val="center"/>
                </w:tcPr>
                <w:p w14:paraId="64BEE926">
                  <w:pPr>
                    <w:widowControl/>
                    <w:adjustRightInd w:val="0"/>
                    <w:snapToGrid w:val="0"/>
                    <w:jc w:val="center"/>
                    <w:rPr>
                      <w:color w:val="auto"/>
                      <w:kern w:val="0"/>
                      <w:szCs w:val="21"/>
                      <w:highlight w:val="none"/>
                    </w:rPr>
                  </w:pPr>
                  <w:r>
                    <w:rPr>
                      <w:color w:val="auto"/>
                      <w:kern w:val="0"/>
                      <w:szCs w:val="21"/>
                      <w:highlight w:val="none"/>
                    </w:rPr>
                    <w:t>类别</w:t>
                  </w:r>
                </w:p>
              </w:tc>
              <w:tc>
                <w:tcPr>
                  <w:tcW w:w="7254" w:type="dxa"/>
                  <w:gridSpan w:val="2"/>
                  <w:vAlign w:val="center"/>
                </w:tcPr>
                <w:p w14:paraId="585FDAD6">
                  <w:pPr>
                    <w:widowControl/>
                    <w:adjustRightInd w:val="0"/>
                    <w:snapToGrid w:val="0"/>
                    <w:jc w:val="center"/>
                    <w:rPr>
                      <w:color w:val="auto"/>
                      <w:kern w:val="0"/>
                      <w:szCs w:val="21"/>
                      <w:highlight w:val="none"/>
                    </w:rPr>
                  </w:pPr>
                  <w:r>
                    <w:rPr>
                      <w:color w:val="auto"/>
                      <w:kern w:val="0"/>
                      <w:szCs w:val="21"/>
                      <w:highlight w:val="none"/>
                    </w:rPr>
                    <w:t>环境噪声标准值dB（A）</w:t>
                  </w:r>
                </w:p>
              </w:tc>
            </w:tr>
            <w:tr w14:paraId="55693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86" w:type="dxa"/>
                  <w:vMerge w:val="continue"/>
                  <w:vAlign w:val="center"/>
                </w:tcPr>
                <w:p w14:paraId="66C7EF98">
                  <w:pPr>
                    <w:widowControl/>
                    <w:adjustRightInd w:val="0"/>
                    <w:snapToGrid w:val="0"/>
                    <w:jc w:val="center"/>
                    <w:rPr>
                      <w:color w:val="auto"/>
                      <w:kern w:val="0"/>
                      <w:szCs w:val="21"/>
                      <w:highlight w:val="none"/>
                    </w:rPr>
                  </w:pPr>
                </w:p>
              </w:tc>
              <w:tc>
                <w:tcPr>
                  <w:tcW w:w="3627" w:type="dxa"/>
                  <w:vAlign w:val="center"/>
                </w:tcPr>
                <w:p w14:paraId="2B32D2FC">
                  <w:pPr>
                    <w:widowControl/>
                    <w:adjustRightInd w:val="0"/>
                    <w:snapToGrid w:val="0"/>
                    <w:jc w:val="center"/>
                    <w:rPr>
                      <w:color w:val="auto"/>
                      <w:kern w:val="0"/>
                      <w:szCs w:val="21"/>
                      <w:highlight w:val="none"/>
                    </w:rPr>
                  </w:pPr>
                  <w:r>
                    <w:rPr>
                      <w:color w:val="auto"/>
                      <w:kern w:val="0"/>
                      <w:szCs w:val="21"/>
                      <w:highlight w:val="none"/>
                    </w:rPr>
                    <w:t>昼间</w:t>
                  </w:r>
                </w:p>
              </w:tc>
              <w:tc>
                <w:tcPr>
                  <w:tcW w:w="3627" w:type="dxa"/>
                  <w:vAlign w:val="center"/>
                </w:tcPr>
                <w:p w14:paraId="12E51AD6">
                  <w:pPr>
                    <w:widowControl/>
                    <w:adjustRightInd w:val="0"/>
                    <w:snapToGrid w:val="0"/>
                    <w:jc w:val="center"/>
                    <w:rPr>
                      <w:color w:val="auto"/>
                      <w:kern w:val="0"/>
                      <w:szCs w:val="21"/>
                      <w:highlight w:val="none"/>
                    </w:rPr>
                  </w:pPr>
                  <w:r>
                    <w:rPr>
                      <w:color w:val="auto"/>
                      <w:kern w:val="0"/>
                      <w:szCs w:val="21"/>
                      <w:highlight w:val="none"/>
                    </w:rPr>
                    <w:t>夜间</w:t>
                  </w:r>
                </w:p>
              </w:tc>
            </w:tr>
            <w:tr w14:paraId="40C41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86" w:type="dxa"/>
                  <w:vAlign w:val="center"/>
                </w:tcPr>
                <w:p w14:paraId="7867418E">
                  <w:pPr>
                    <w:widowControl/>
                    <w:adjustRightInd w:val="0"/>
                    <w:snapToGrid w:val="0"/>
                    <w:jc w:val="center"/>
                    <w:rPr>
                      <w:color w:val="auto"/>
                      <w:kern w:val="0"/>
                      <w:szCs w:val="21"/>
                      <w:highlight w:val="none"/>
                    </w:rPr>
                  </w:pPr>
                  <w:r>
                    <w:rPr>
                      <w:rFonts w:hint="eastAsia"/>
                      <w:color w:val="auto"/>
                      <w:kern w:val="0"/>
                      <w:szCs w:val="21"/>
                      <w:highlight w:val="none"/>
                      <w:lang w:val="en-US" w:eastAsia="zh-CN"/>
                    </w:rPr>
                    <w:t>1</w:t>
                  </w:r>
                  <w:r>
                    <w:rPr>
                      <w:color w:val="auto"/>
                      <w:kern w:val="0"/>
                      <w:szCs w:val="21"/>
                      <w:highlight w:val="none"/>
                    </w:rPr>
                    <w:t>类</w:t>
                  </w:r>
                </w:p>
              </w:tc>
              <w:tc>
                <w:tcPr>
                  <w:tcW w:w="3627" w:type="dxa"/>
                  <w:vAlign w:val="center"/>
                </w:tcPr>
                <w:p w14:paraId="7F89EBF3">
                  <w:pPr>
                    <w:widowControl/>
                    <w:adjustRightInd w:val="0"/>
                    <w:snapToGrid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55</w:t>
                  </w:r>
                </w:p>
              </w:tc>
              <w:tc>
                <w:tcPr>
                  <w:tcW w:w="3627" w:type="dxa"/>
                  <w:vAlign w:val="center"/>
                </w:tcPr>
                <w:p w14:paraId="40643FE1">
                  <w:pPr>
                    <w:widowControl/>
                    <w:adjustRightInd w:val="0"/>
                    <w:snapToGrid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45</w:t>
                  </w:r>
                </w:p>
              </w:tc>
            </w:tr>
            <w:tr w14:paraId="1CFF8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86" w:type="dxa"/>
                  <w:vAlign w:val="center"/>
                </w:tcPr>
                <w:p w14:paraId="646A312A">
                  <w:pPr>
                    <w:widowControl/>
                    <w:adjustRightInd w:val="0"/>
                    <w:snapToGrid w:val="0"/>
                    <w:jc w:val="center"/>
                    <w:rPr>
                      <w:rFonts w:hint="default"/>
                      <w:color w:val="auto"/>
                      <w:kern w:val="0"/>
                      <w:szCs w:val="21"/>
                      <w:highlight w:val="none"/>
                      <w:lang w:val="en-US" w:eastAsia="zh-CN"/>
                    </w:rPr>
                  </w:pPr>
                  <w:r>
                    <w:rPr>
                      <w:rFonts w:hint="eastAsia"/>
                      <w:color w:val="auto"/>
                      <w:kern w:val="0"/>
                      <w:szCs w:val="21"/>
                      <w:highlight w:val="none"/>
                      <w:lang w:val="en-US" w:eastAsia="zh-CN"/>
                    </w:rPr>
                    <w:t>4类</w:t>
                  </w:r>
                </w:p>
              </w:tc>
              <w:tc>
                <w:tcPr>
                  <w:tcW w:w="3627" w:type="dxa"/>
                  <w:vAlign w:val="center"/>
                </w:tcPr>
                <w:p w14:paraId="4ADBF4AD">
                  <w:pPr>
                    <w:widowControl/>
                    <w:adjustRightInd w:val="0"/>
                    <w:snapToGrid w:val="0"/>
                    <w:jc w:val="center"/>
                    <w:rPr>
                      <w:rFonts w:hint="default"/>
                      <w:color w:val="auto"/>
                      <w:kern w:val="0"/>
                      <w:szCs w:val="21"/>
                      <w:highlight w:val="none"/>
                      <w:lang w:val="en-US" w:eastAsia="zh-CN"/>
                    </w:rPr>
                  </w:pPr>
                  <w:r>
                    <w:rPr>
                      <w:rFonts w:hint="eastAsia"/>
                      <w:color w:val="auto"/>
                      <w:kern w:val="0"/>
                      <w:szCs w:val="21"/>
                      <w:highlight w:val="none"/>
                      <w:lang w:val="en-US" w:eastAsia="zh-CN"/>
                    </w:rPr>
                    <w:t>70</w:t>
                  </w:r>
                </w:p>
              </w:tc>
              <w:tc>
                <w:tcPr>
                  <w:tcW w:w="3627" w:type="dxa"/>
                  <w:vAlign w:val="center"/>
                </w:tcPr>
                <w:p w14:paraId="0F18D6C7">
                  <w:pPr>
                    <w:widowControl/>
                    <w:adjustRightInd w:val="0"/>
                    <w:snapToGrid w:val="0"/>
                    <w:jc w:val="center"/>
                    <w:rPr>
                      <w:rFonts w:hint="default"/>
                      <w:color w:val="auto"/>
                      <w:kern w:val="0"/>
                      <w:szCs w:val="21"/>
                      <w:highlight w:val="none"/>
                      <w:lang w:val="en-US" w:eastAsia="zh-CN"/>
                    </w:rPr>
                  </w:pPr>
                  <w:r>
                    <w:rPr>
                      <w:rFonts w:hint="eastAsia"/>
                      <w:color w:val="auto"/>
                      <w:kern w:val="0"/>
                      <w:szCs w:val="21"/>
                      <w:highlight w:val="none"/>
                      <w:lang w:val="en-US" w:eastAsia="zh-CN"/>
                    </w:rPr>
                    <w:t>55</w:t>
                  </w:r>
                </w:p>
              </w:tc>
            </w:tr>
          </w:tbl>
          <w:p w14:paraId="4169C1CE">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b/>
                <w:bCs/>
                <w:color w:val="auto"/>
                <w:sz w:val="24"/>
              </w:rPr>
            </w:pPr>
            <w:r>
              <w:rPr>
                <w:rFonts w:hint="eastAsia"/>
                <w:b/>
                <w:bCs/>
                <w:color w:val="auto"/>
                <w:sz w:val="24"/>
              </w:rPr>
              <w:t>三</w:t>
            </w:r>
            <w:r>
              <w:rPr>
                <w:b/>
                <w:bCs/>
                <w:color w:val="auto"/>
                <w:sz w:val="24"/>
              </w:rPr>
              <w:t>、固废</w:t>
            </w:r>
          </w:p>
          <w:p w14:paraId="25246B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0"/>
                <w:szCs w:val="21"/>
              </w:rPr>
            </w:pPr>
            <w:r>
              <w:rPr>
                <w:snapToGrid w:val="0"/>
                <w:color w:val="auto"/>
                <w:kern w:val="0"/>
                <w:sz w:val="24"/>
                <w:szCs w:val="22"/>
              </w:rPr>
              <w:t>项目固体废物执行《一般工业固体废物贮存和填埋污染控制标准》(GB18599-2020)及《一般固体废物分类与代码》（GB/T39198-2020）的相关规定</w:t>
            </w:r>
            <w:r>
              <w:rPr>
                <w:rFonts w:hint="eastAsia"/>
                <w:snapToGrid w:val="0"/>
                <w:color w:val="auto"/>
                <w:kern w:val="0"/>
                <w:sz w:val="24"/>
                <w:szCs w:val="22"/>
              </w:rPr>
              <w:t>。</w:t>
            </w:r>
            <w:r>
              <w:rPr>
                <w:rFonts w:hint="default" w:ascii="Times New Roman" w:hAnsi="Times New Roman" w:eastAsia="宋体" w:cs="Times New Roman"/>
                <w:snapToGrid w:val="0"/>
                <w:color w:val="auto"/>
                <w:kern w:val="0"/>
                <w:sz w:val="24"/>
                <w:szCs w:val="22"/>
                <w:highlight w:val="none"/>
                <w:lang w:val="en-US" w:eastAsia="zh-CN"/>
              </w:rPr>
              <w:t>危险废物执行《危险废物贮存污染控制标准》（GB18597-2</w:t>
            </w:r>
            <w:r>
              <w:rPr>
                <w:rFonts w:hint="eastAsia" w:ascii="Times New Roman" w:hAnsi="Times New Roman" w:eastAsia="宋体" w:cs="Times New Roman"/>
                <w:snapToGrid w:val="0"/>
                <w:color w:val="auto"/>
                <w:kern w:val="0"/>
                <w:sz w:val="24"/>
                <w:szCs w:val="22"/>
                <w:highlight w:val="none"/>
                <w:lang w:val="en-US" w:eastAsia="zh-CN"/>
              </w:rPr>
              <w:t>023</w:t>
            </w:r>
            <w:r>
              <w:rPr>
                <w:rFonts w:hint="default" w:ascii="Times New Roman" w:hAnsi="Times New Roman" w:eastAsia="宋体" w:cs="Times New Roman"/>
                <w:snapToGrid w:val="0"/>
                <w:color w:val="auto"/>
                <w:kern w:val="0"/>
                <w:sz w:val="24"/>
                <w:szCs w:val="22"/>
                <w:highlight w:val="none"/>
                <w:lang w:val="en-US" w:eastAsia="zh-CN"/>
              </w:rPr>
              <w:t>）</w:t>
            </w:r>
            <w:r>
              <w:rPr>
                <w:rFonts w:hint="eastAsia"/>
                <w:color w:val="auto"/>
                <w:szCs w:val="24"/>
                <w:highlight w:val="none"/>
                <w:lang w:eastAsia="zh-CN"/>
              </w:rPr>
              <w:t>。</w:t>
            </w:r>
          </w:p>
        </w:tc>
      </w:tr>
      <w:tr w14:paraId="0D4DA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94" w:hRule="atLeast"/>
          <w:jc w:val="center"/>
        </w:trPr>
        <w:tc>
          <w:tcPr>
            <w:tcW w:w="800" w:type="dxa"/>
            <w:vAlign w:val="center"/>
          </w:tcPr>
          <w:p w14:paraId="6AA7DEB5">
            <w:pPr>
              <w:adjustRightInd w:val="0"/>
              <w:snapToGrid w:val="0"/>
              <w:jc w:val="center"/>
              <w:rPr>
                <w:rFonts w:ascii="Times New Roman" w:hAnsi="Times New Roman" w:eastAsia="宋体" w:cs="Times New Roman"/>
                <w:b/>
                <w:bCs/>
                <w:color w:val="auto"/>
                <w:kern w:val="0"/>
                <w:sz w:val="24"/>
                <w:szCs w:val="24"/>
              </w:rPr>
            </w:pPr>
            <w:r>
              <w:rPr>
                <w:rFonts w:ascii="Times New Roman" w:hAnsi="Times New Roman" w:eastAsia="宋体" w:cs="Times New Roman"/>
                <w:b/>
                <w:bCs/>
                <w:color w:val="auto"/>
                <w:kern w:val="0"/>
                <w:sz w:val="24"/>
                <w:szCs w:val="24"/>
              </w:rPr>
              <w:t>总量</w:t>
            </w:r>
          </w:p>
          <w:p w14:paraId="6414FAC0">
            <w:pPr>
              <w:adjustRightInd w:val="0"/>
              <w:snapToGrid w:val="0"/>
              <w:jc w:val="center"/>
              <w:rPr>
                <w:rFonts w:ascii="Times New Roman" w:hAnsi="Times New Roman" w:eastAsia="宋体" w:cs="Times New Roman"/>
                <w:b/>
                <w:bCs/>
                <w:color w:val="auto"/>
                <w:kern w:val="0"/>
                <w:sz w:val="24"/>
                <w:szCs w:val="24"/>
              </w:rPr>
            </w:pPr>
            <w:r>
              <w:rPr>
                <w:rFonts w:ascii="Times New Roman" w:hAnsi="Times New Roman" w:eastAsia="宋体" w:cs="Times New Roman"/>
                <w:b/>
                <w:bCs/>
                <w:color w:val="auto"/>
                <w:kern w:val="0"/>
                <w:sz w:val="24"/>
                <w:szCs w:val="24"/>
              </w:rPr>
              <w:t>控制</w:t>
            </w:r>
          </w:p>
          <w:p w14:paraId="2089A19A">
            <w:pPr>
              <w:adjustRightInd w:val="0"/>
              <w:snapToGrid w:val="0"/>
              <w:jc w:val="center"/>
              <w:rPr>
                <w:color w:val="auto"/>
                <w:kern w:val="0"/>
                <w:szCs w:val="21"/>
              </w:rPr>
            </w:pPr>
            <w:r>
              <w:rPr>
                <w:rFonts w:ascii="Times New Roman" w:hAnsi="Times New Roman" w:eastAsia="宋体" w:cs="Times New Roman"/>
                <w:b/>
                <w:bCs/>
                <w:color w:val="auto"/>
                <w:kern w:val="0"/>
                <w:sz w:val="24"/>
                <w:szCs w:val="24"/>
              </w:rPr>
              <w:t>指标</w:t>
            </w:r>
          </w:p>
        </w:tc>
        <w:tc>
          <w:tcPr>
            <w:tcW w:w="8190" w:type="dxa"/>
            <w:vAlign w:val="center"/>
          </w:tcPr>
          <w:p w14:paraId="225F08C8">
            <w:pPr>
              <w:widowControl/>
              <w:spacing w:line="360" w:lineRule="auto"/>
              <w:ind w:firstLine="480" w:firstLineChars="200"/>
              <w:rPr>
                <w:color w:val="auto"/>
                <w:kern w:val="0"/>
                <w:sz w:val="24"/>
                <w:highlight w:val="none"/>
              </w:rPr>
            </w:pPr>
            <w:r>
              <w:rPr>
                <w:color w:val="auto"/>
                <w:kern w:val="0"/>
                <w:sz w:val="24"/>
                <w:highlight w:val="none"/>
              </w:rPr>
              <w:t>本项目总量控制指标见下表。</w:t>
            </w:r>
          </w:p>
          <w:p w14:paraId="44401EA6">
            <w:pPr>
              <w:jc w:val="center"/>
              <w:rPr>
                <w:b/>
                <w:bCs/>
                <w:color w:val="auto"/>
                <w:sz w:val="24"/>
                <w:highlight w:val="none"/>
              </w:rPr>
            </w:pPr>
            <w:r>
              <w:rPr>
                <w:b/>
                <w:bCs/>
                <w:color w:val="auto"/>
                <w:sz w:val="24"/>
                <w:highlight w:val="none"/>
              </w:rPr>
              <w:t>表</w:t>
            </w:r>
            <w:r>
              <w:rPr>
                <w:rFonts w:hint="eastAsia"/>
                <w:b/>
                <w:bCs/>
                <w:color w:val="auto"/>
                <w:sz w:val="24"/>
                <w:highlight w:val="none"/>
              </w:rPr>
              <w:t>3-</w:t>
            </w:r>
            <w:r>
              <w:rPr>
                <w:rFonts w:hint="eastAsia"/>
                <w:b/>
                <w:bCs/>
                <w:color w:val="auto"/>
                <w:sz w:val="24"/>
                <w:highlight w:val="none"/>
                <w:lang w:val="en-US" w:eastAsia="zh-CN"/>
              </w:rPr>
              <w:t>8</w:t>
            </w:r>
            <w:r>
              <w:rPr>
                <w:b/>
                <w:bCs/>
                <w:color w:val="auto"/>
                <w:sz w:val="24"/>
                <w:highlight w:val="none"/>
              </w:rPr>
              <w:t xml:space="preserve"> 本项目总量控制指标情况表  单位：t/a</w:t>
            </w:r>
          </w:p>
          <w:tbl>
            <w:tblPr>
              <w:tblStyle w:val="31"/>
              <w:tblW w:w="491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6"/>
              <w:gridCol w:w="886"/>
              <w:gridCol w:w="905"/>
              <w:gridCol w:w="784"/>
              <w:gridCol w:w="783"/>
              <w:gridCol w:w="807"/>
              <w:gridCol w:w="752"/>
              <w:gridCol w:w="792"/>
              <w:gridCol w:w="870"/>
              <w:gridCol w:w="743"/>
            </w:tblGrid>
            <w:tr w14:paraId="1887ED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4" w:type="pct"/>
                  <w:tcBorders>
                    <w:tl2br w:val="nil"/>
                    <w:tr2bl w:val="nil"/>
                  </w:tcBorders>
                  <w:vAlign w:val="center"/>
                </w:tcPr>
                <w:p w14:paraId="2F8D1FB7">
                  <w:pPr>
                    <w:pStyle w:val="87"/>
                    <w:rPr>
                      <w:snapToGrid w:val="0"/>
                      <w:color w:val="auto"/>
                      <w:sz w:val="21"/>
                      <w:szCs w:val="21"/>
                    </w:rPr>
                  </w:pPr>
                  <w:r>
                    <w:rPr>
                      <w:rFonts w:hint="eastAsia"/>
                      <w:snapToGrid w:val="0"/>
                      <w:color w:val="auto"/>
                      <w:sz w:val="21"/>
                      <w:szCs w:val="21"/>
                    </w:rPr>
                    <w:t>类别</w:t>
                  </w:r>
                </w:p>
              </w:tc>
              <w:tc>
                <w:tcPr>
                  <w:tcW w:w="560" w:type="pct"/>
                  <w:tcBorders>
                    <w:tl2br w:val="nil"/>
                    <w:tr2bl w:val="nil"/>
                  </w:tcBorders>
                  <w:vAlign w:val="center"/>
                </w:tcPr>
                <w:p w14:paraId="4C16C3AA">
                  <w:pPr>
                    <w:pStyle w:val="87"/>
                    <w:rPr>
                      <w:snapToGrid w:val="0"/>
                      <w:color w:val="auto"/>
                      <w:sz w:val="21"/>
                      <w:szCs w:val="21"/>
                    </w:rPr>
                  </w:pPr>
                  <w:r>
                    <w:rPr>
                      <w:rFonts w:hint="eastAsia"/>
                      <w:snapToGrid w:val="0"/>
                      <w:color w:val="auto"/>
                      <w:sz w:val="21"/>
                      <w:szCs w:val="21"/>
                    </w:rPr>
                    <w:t>污染物</w:t>
                  </w:r>
                </w:p>
              </w:tc>
              <w:tc>
                <w:tcPr>
                  <w:tcW w:w="572" w:type="pct"/>
                  <w:tcBorders>
                    <w:tl2br w:val="nil"/>
                    <w:tr2bl w:val="nil"/>
                  </w:tcBorders>
                  <w:vAlign w:val="center"/>
                </w:tcPr>
                <w:p w14:paraId="0D8B8B0C">
                  <w:pPr>
                    <w:pStyle w:val="87"/>
                    <w:rPr>
                      <w:color w:val="auto"/>
                      <w:sz w:val="21"/>
                      <w:szCs w:val="21"/>
                    </w:rPr>
                  </w:pPr>
                  <w:r>
                    <w:rPr>
                      <w:rFonts w:hint="eastAsia"/>
                      <w:color w:val="auto"/>
                      <w:sz w:val="21"/>
                      <w:szCs w:val="21"/>
                    </w:rPr>
                    <w:t>现有工程实际排放量</w:t>
                  </w:r>
                </w:p>
              </w:tc>
              <w:tc>
                <w:tcPr>
                  <w:tcW w:w="496" w:type="pct"/>
                  <w:tcBorders>
                    <w:tl2br w:val="nil"/>
                    <w:tr2bl w:val="nil"/>
                  </w:tcBorders>
                  <w:vAlign w:val="center"/>
                </w:tcPr>
                <w:p w14:paraId="21E9F3E8">
                  <w:pPr>
                    <w:pStyle w:val="87"/>
                    <w:rPr>
                      <w:color w:val="auto"/>
                      <w:sz w:val="21"/>
                      <w:szCs w:val="21"/>
                    </w:rPr>
                  </w:pPr>
                  <w:r>
                    <w:rPr>
                      <w:rFonts w:hint="eastAsia"/>
                      <w:color w:val="auto"/>
                      <w:sz w:val="21"/>
                      <w:szCs w:val="21"/>
                    </w:rPr>
                    <w:t>现有工程核定排放量</w:t>
                  </w:r>
                </w:p>
              </w:tc>
              <w:tc>
                <w:tcPr>
                  <w:tcW w:w="495" w:type="pct"/>
                  <w:tcBorders>
                    <w:tl2br w:val="nil"/>
                    <w:tr2bl w:val="nil"/>
                  </w:tcBorders>
                  <w:vAlign w:val="center"/>
                </w:tcPr>
                <w:p w14:paraId="68B6050D">
                  <w:pPr>
                    <w:pStyle w:val="87"/>
                    <w:rPr>
                      <w:color w:val="auto"/>
                      <w:sz w:val="21"/>
                      <w:szCs w:val="21"/>
                    </w:rPr>
                  </w:pPr>
                  <w:r>
                    <w:rPr>
                      <w:rFonts w:hint="eastAsia"/>
                      <w:color w:val="auto"/>
                      <w:sz w:val="21"/>
                      <w:szCs w:val="21"/>
                    </w:rPr>
                    <w:t>本工程预测排放量</w:t>
                  </w:r>
                </w:p>
              </w:tc>
              <w:tc>
                <w:tcPr>
                  <w:tcW w:w="510" w:type="pct"/>
                  <w:tcBorders>
                    <w:tl2br w:val="nil"/>
                    <w:tr2bl w:val="nil"/>
                  </w:tcBorders>
                  <w:vAlign w:val="center"/>
                </w:tcPr>
                <w:p w14:paraId="611C21B1">
                  <w:pPr>
                    <w:pStyle w:val="87"/>
                    <w:rPr>
                      <w:color w:val="auto"/>
                      <w:sz w:val="21"/>
                      <w:szCs w:val="21"/>
                    </w:rPr>
                  </w:pPr>
                  <w:r>
                    <w:rPr>
                      <w:rFonts w:hint="eastAsia"/>
                      <w:color w:val="auto"/>
                      <w:sz w:val="21"/>
                      <w:szCs w:val="21"/>
                    </w:rPr>
                    <w:t>本工程核定排放量</w:t>
                  </w:r>
                </w:p>
              </w:tc>
              <w:tc>
                <w:tcPr>
                  <w:tcW w:w="476" w:type="pct"/>
                  <w:tcBorders>
                    <w:tl2br w:val="nil"/>
                    <w:tr2bl w:val="nil"/>
                  </w:tcBorders>
                  <w:vAlign w:val="center"/>
                </w:tcPr>
                <w:p w14:paraId="729DE214">
                  <w:pPr>
                    <w:pStyle w:val="87"/>
                    <w:rPr>
                      <w:color w:val="auto"/>
                      <w:sz w:val="21"/>
                      <w:szCs w:val="21"/>
                    </w:rPr>
                  </w:pPr>
                  <w:r>
                    <w:rPr>
                      <w:color w:val="auto"/>
                      <w:sz w:val="21"/>
                      <w:szCs w:val="21"/>
                    </w:rPr>
                    <w:t>“</w:t>
                  </w:r>
                  <w:r>
                    <w:rPr>
                      <w:rFonts w:hint="eastAsia"/>
                      <w:color w:val="auto"/>
                      <w:sz w:val="21"/>
                      <w:szCs w:val="21"/>
                    </w:rPr>
                    <w:t>以新带老</w:t>
                  </w:r>
                  <w:r>
                    <w:rPr>
                      <w:color w:val="auto"/>
                      <w:sz w:val="21"/>
                      <w:szCs w:val="21"/>
                    </w:rPr>
                    <w:t>”</w:t>
                  </w:r>
                  <w:r>
                    <w:rPr>
                      <w:rFonts w:hint="eastAsia"/>
                      <w:color w:val="auto"/>
                      <w:sz w:val="21"/>
                      <w:szCs w:val="21"/>
                    </w:rPr>
                    <w:t>削减量</w:t>
                  </w:r>
                </w:p>
              </w:tc>
              <w:tc>
                <w:tcPr>
                  <w:tcW w:w="501" w:type="pct"/>
                  <w:tcBorders>
                    <w:tl2br w:val="nil"/>
                    <w:tr2bl w:val="nil"/>
                  </w:tcBorders>
                  <w:vAlign w:val="center"/>
                </w:tcPr>
                <w:p w14:paraId="6287DCFC">
                  <w:pPr>
                    <w:pStyle w:val="54"/>
                    <w:keepNext w:val="0"/>
                    <w:keepLines w:val="0"/>
                    <w:pageBreakBefore w:val="0"/>
                    <w:widowControl w:val="0"/>
                    <w:kinsoku/>
                    <w:wordWrap/>
                    <w:overflowPunct/>
                    <w:topLinePunct w:val="0"/>
                    <w:autoSpaceDE/>
                    <w:autoSpaceDN/>
                    <w:bidi w:val="0"/>
                    <w:spacing w:beforeLines="0" w:afterLines="0" w:line="240" w:lineRule="auto"/>
                    <w:jc w:val="center"/>
                    <w:textAlignment w:val="auto"/>
                    <w:rPr>
                      <w:color w:val="auto"/>
                      <w:sz w:val="21"/>
                      <w:szCs w:val="21"/>
                    </w:rPr>
                  </w:pPr>
                  <w:r>
                    <w:rPr>
                      <w:rFonts w:hint="default" w:ascii="Times New Roman" w:hAnsi="Times New Roman" w:eastAsia="宋体" w:cs="Times New Roman"/>
                      <w:b w:val="0"/>
                      <w:bCs w:val="0"/>
                      <w:snapToGrid w:val="0"/>
                      <w:color w:val="auto"/>
                      <w:spacing w:val="-16"/>
                      <w:kern w:val="21"/>
                      <w:sz w:val="21"/>
                      <w:szCs w:val="21"/>
                    </w:rPr>
                    <w:t>本项目建成后全厂排放量</w:t>
                  </w:r>
                </w:p>
              </w:tc>
              <w:tc>
                <w:tcPr>
                  <w:tcW w:w="550" w:type="pct"/>
                  <w:tcBorders>
                    <w:tl2br w:val="nil"/>
                    <w:tr2bl w:val="nil"/>
                  </w:tcBorders>
                  <w:vAlign w:val="center"/>
                </w:tcPr>
                <w:p w14:paraId="5C96D927">
                  <w:pPr>
                    <w:pStyle w:val="66"/>
                    <w:keepNext w:val="0"/>
                    <w:keepLines w:val="0"/>
                    <w:pageBreakBefore w:val="0"/>
                    <w:widowControl w:val="0"/>
                    <w:kinsoku/>
                    <w:wordWrap/>
                    <w:overflowPunct/>
                    <w:topLinePunct w:val="0"/>
                    <w:autoSpaceDE/>
                    <w:autoSpaceDN/>
                    <w:bidi w:val="0"/>
                    <w:jc w:val="center"/>
                    <w:textAlignment w:val="auto"/>
                    <w:rPr>
                      <w:rFonts w:hint="eastAsia"/>
                      <w:color w:val="auto"/>
                      <w:sz w:val="21"/>
                      <w:szCs w:val="21"/>
                    </w:rPr>
                  </w:pPr>
                  <w:r>
                    <w:rPr>
                      <w:rFonts w:hint="default" w:ascii="Times New Roman" w:hAnsi="Times New Roman" w:eastAsia="宋体" w:cs="Times New Roman"/>
                      <w:b w:val="0"/>
                      <w:bCs w:val="0"/>
                      <w:snapToGrid w:val="0"/>
                      <w:color w:val="auto"/>
                      <w:sz w:val="21"/>
                      <w:szCs w:val="21"/>
                    </w:rPr>
                    <w:t>本项目建成后核定排放量</w:t>
                  </w:r>
                </w:p>
              </w:tc>
              <w:tc>
                <w:tcPr>
                  <w:tcW w:w="470" w:type="pct"/>
                  <w:tcBorders>
                    <w:tl2br w:val="nil"/>
                    <w:tr2bl w:val="nil"/>
                  </w:tcBorders>
                  <w:vAlign w:val="center"/>
                </w:tcPr>
                <w:p w14:paraId="099366DC">
                  <w:pPr>
                    <w:pStyle w:val="87"/>
                    <w:rPr>
                      <w:color w:val="auto"/>
                      <w:sz w:val="21"/>
                      <w:szCs w:val="21"/>
                    </w:rPr>
                  </w:pPr>
                  <w:r>
                    <w:rPr>
                      <w:rFonts w:hint="eastAsia"/>
                      <w:color w:val="auto"/>
                      <w:sz w:val="21"/>
                      <w:szCs w:val="21"/>
                    </w:rPr>
                    <w:t>增减量变化</w:t>
                  </w:r>
                </w:p>
              </w:tc>
            </w:tr>
            <w:tr w14:paraId="7B011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restart"/>
                  <w:tcBorders>
                    <w:tl2br w:val="nil"/>
                    <w:tr2bl w:val="nil"/>
                  </w:tcBorders>
                  <w:vAlign w:val="center"/>
                </w:tcPr>
                <w:p w14:paraId="051D8B0F">
                  <w:pPr>
                    <w:widowControl/>
                    <w:jc w:val="center"/>
                    <w:rPr>
                      <w:snapToGrid w:val="0"/>
                      <w:color w:val="auto"/>
                      <w:kern w:val="0"/>
                      <w:sz w:val="21"/>
                      <w:szCs w:val="21"/>
                    </w:rPr>
                  </w:pPr>
                  <w:r>
                    <w:rPr>
                      <w:rFonts w:hint="eastAsia"/>
                      <w:snapToGrid w:val="0"/>
                      <w:color w:val="auto"/>
                      <w:kern w:val="0"/>
                      <w:sz w:val="21"/>
                      <w:szCs w:val="21"/>
                    </w:rPr>
                    <w:t>废气</w:t>
                  </w:r>
                </w:p>
              </w:tc>
              <w:tc>
                <w:tcPr>
                  <w:tcW w:w="560" w:type="pct"/>
                  <w:tcBorders>
                    <w:tl2br w:val="nil"/>
                    <w:tr2bl w:val="nil"/>
                  </w:tcBorders>
                  <w:vAlign w:val="center"/>
                </w:tcPr>
                <w:p w14:paraId="65F1E521">
                  <w:pPr>
                    <w:pStyle w:val="87"/>
                    <w:rPr>
                      <w:snapToGrid w:val="0"/>
                      <w:color w:val="auto"/>
                      <w:sz w:val="21"/>
                      <w:szCs w:val="21"/>
                      <w:lang w:val="zh-CN"/>
                    </w:rPr>
                  </w:pPr>
                  <w:r>
                    <w:rPr>
                      <w:rFonts w:hint="eastAsia"/>
                      <w:snapToGrid w:val="0"/>
                      <w:color w:val="auto"/>
                      <w:sz w:val="21"/>
                      <w:szCs w:val="21"/>
                      <w:lang w:val="zh-CN"/>
                    </w:rPr>
                    <w:t>颗粒物</w:t>
                  </w:r>
                </w:p>
              </w:tc>
              <w:tc>
                <w:tcPr>
                  <w:tcW w:w="572" w:type="pct"/>
                  <w:tcBorders>
                    <w:tl2br w:val="nil"/>
                    <w:tr2bl w:val="nil"/>
                  </w:tcBorders>
                  <w:vAlign w:val="center"/>
                </w:tcPr>
                <w:p w14:paraId="26B7E53F">
                  <w:pPr>
                    <w:pStyle w:val="87"/>
                    <w:rPr>
                      <w:rFonts w:hint="default" w:eastAsia="宋体"/>
                      <w:color w:val="auto"/>
                      <w:sz w:val="21"/>
                      <w:szCs w:val="21"/>
                      <w:lang w:val="en-US" w:eastAsia="zh-CN"/>
                    </w:rPr>
                  </w:pPr>
                  <w:r>
                    <w:rPr>
                      <w:rFonts w:hint="eastAsia"/>
                      <w:color w:val="auto"/>
                      <w:sz w:val="21"/>
                      <w:szCs w:val="21"/>
                      <w:lang w:val="en-US" w:eastAsia="zh-CN"/>
                    </w:rPr>
                    <w:t>0.367</w:t>
                  </w:r>
                </w:p>
              </w:tc>
              <w:tc>
                <w:tcPr>
                  <w:tcW w:w="496" w:type="pct"/>
                  <w:tcBorders>
                    <w:tl2br w:val="nil"/>
                    <w:tr2bl w:val="nil"/>
                  </w:tcBorders>
                  <w:vAlign w:val="center"/>
                </w:tcPr>
                <w:p w14:paraId="78A5C8B3">
                  <w:pPr>
                    <w:pStyle w:val="87"/>
                    <w:rPr>
                      <w:rFonts w:hint="default" w:eastAsia="宋体"/>
                      <w:color w:val="auto"/>
                      <w:sz w:val="21"/>
                      <w:szCs w:val="21"/>
                      <w:lang w:val="en-US" w:eastAsia="zh-CN"/>
                    </w:rPr>
                  </w:pPr>
                  <w:r>
                    <w:rPr>
                      <w:rFonts w:hint="eastAsia"/>
                      <w:color w:val="auto"/>
                      <w:sz w:val="21"/>
                      <w:szCs w:val="21"/>
                      <w:lang w:val="en-US" w:eastAsia="zh-CN"/>
                    </w:rPr>
                    <w:t>0.438</w:t>
                  </w:r>
                </w:p>
              </w:tc>
              <w:tc>
                <w:tcPr>
                  <w:tcW w:w="495" w:type="pct"/>
                  <w:tcBorders>
                    <w:tl2br w:val="nil"/>
                    <w:tr2bl w:val="nil"/>
                  </w:tcBorders>
                  <w:vAlign w:val="center"/>
                </w:tcPr>
                <w:p w14:paraId="2E736E2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0.336</w:t>
                  </w:r>
                </w:p>
              </w:tc>
              <w:tc>
                <w:tcPr>
                  <w:tcW w:w="510" w:type="pct"/>
                  <w:tcBorders>
                    <w:tl2br w:val="nil"/>
                    <w:tr2bl w:val="nil"/>
                  </w:tcBorders>
                  <w:vAlign w:val="center"/>
                </w:tcPr>
                <w:p w14:paraId="4C87F095">
                  <w:pPr>
                    <w:keepNext w:val="0"/>
                    <w:keepLines w:val="0"/>
                    <w:pageBreakBefore w:val="0"/>
                    <w:widowControl w:val="0"/>
                    <w:kinsoku/>
                    <w:wordWrap/>
                    <w:overflowPunct/>
                    <w:topLinePunct w:val="0"/>
                    <w:autoSpaceDE/>
                    <w:autoSpaceDN/>
                    <w:bidi w:val="0"/>
                    <w:jc w:val="center"/>
                    <w:textAlignment w:val="auto"/>
                    <w:outlineLvl w:val="9"/>
                    <w:rPr>
                      <w:color w:val="auto"/>
                      <w:sz w:val="21"/>
                      <w:szCs w:val="21"/>
                    </w:rPr>
                  </w:pPr>
                  <w:r>
                    <w:rPr>
                      <w:rFonts w:hint="eastAsia"/>
                      <w:color w:val="auto"/>
                      <w:sz w:val="21"/>
                      <w:szCs w:val="21"/>
                      <w:lang w:val="en-US" w:eastAsia="zh-CN"/>
                    </w:rPr>
                    <w:t>0.444</w:t>
                  </w:r>
                </w:p>
              </w:tc>
              <w:tc>
                <w:tcPr>
                  <w:tcW w:w="476" w:type="pct"/>
                  <w:tcBorders>
                    <w:tl2br w:val="nil"/>
                    <w:tr2bl w:val="nil"/>
                  </w:tcBorders>
                  <w:vAlign w:val="center"/>
                </w:tcPr>
                <w:p w14:paraId="29065C54">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5D2CE048">
                  <w:pPr>
                    <w:pStyle w:val="87"/>
                    <w:rPr>
                      <w:rFonts w:hint="default" w:eastAsia="宋体"/>
                      <w:color w:val="auto"/>
                      <w:sz w:val="21"/>
                      <w:szCs w:val="21"/>
                      <w:lang w:val="en-US" w:eastAsia="zh-CN"/>
                    </w:rPr>
                  </w:pPr>
                  <w:r>
                    <w:rPr>
                      <w:rFonts w:hint="eastAsia"/>
                      <w:color w:val="auto"/>
                      <w:sz w:val="21"/>
                      <w:szCs w:val="21"/>
                      <w:lang w:val="en-US" w:eastAsia="zh-CN"/>
                    </w:rPr>
                    <w:t>0.703</w:t>
                  </w:r>
                </w:p>
              </w:tc>
              <w:tc>
                <w:tcPr>
                  <w:tcW w:w="550" w:type="pct"/>
                  <w:tcBorders>
                    <w:tl2br w:val="nil"/>
                    <w:tr2bl w:val="nil"/>
                  </w:tcBorders>
                  <w:vAlign w:val="center"/>
                </w:tcPr>
                <w:p w14:paraId="4124CB29">
                  <w:pPr>
                    <w:pStyle w:val="87"/>
                    <w:rPr>
                      <w:rFonts w:hint="default" w:eastAsia="宋体"/>
                      <w:color w:val="auto"/>
                      <w:sz w:val="21"/>
                      <w:szCs w:val="21"/>
                      <w:lang w:val="en-US" w:eastAsia="zh-CN"/>
                    </w:rPr>
                  </w:pPr>
                  <w:r>
                    <w:rPr>
                      <w:rFonts w:hint="eastAsia" w:eastAsia="宋体"/>
                      <w:color w:val="auto"/>
                      <w:sz w:val="21"/>
                      <w:szCs w:val="21"/>
                      <w:lang w:val="en-US" w:eastAsia="zh-CN"/>
                    </w:rPr>
                    <w:t>0.882</w:t>
                  </w:r>
                </w:p>
              </w:tc>
              <w:tc>
                <w:tcPr>
                  <w:tcW w:w="818" w:type="dxa"/>
                  <w:tcBorders>
                    <w:tl2br w:val="nil"/>
                    <w:tr2bl w:val="nil"/>
                  </w:tcBorders>
                  <w:vAlign w:val="center"/>
                </w:tcPr>
                <w:p w14:paraId="1B5FF9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+0.336</w:t>
                  </w:r>
                </w:p>
              </w:tc>
            </w:tr>
            <w:tr w14:paraId="21F03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354CA69D">
                  <w:pPr>
                    <w:widowControl/>
                    <w:jc w:val="left"/>
                    <w:rPr>
                      <w:snapToGrid w:val="0"/>
                      <w:color w:val="auto"/>
                      <w:kern w:val="0"/>
                      <w:sz w:val="21"/>
                      <w:szCs w:val="21"/>
                    </w:rPr>
                  </w:pPr>
                </w:p>
              </w:tc>
              <w:tc>
                <w:tcPr>
                  <w:tcW w:w="560" w:type="pct"/>
                  <w:tcBorders>
                    <w:tl2br w:val="nil"/>
                    <w:tr2bl w:val="nil"/>
                  </w:tcBorders>
                  <w:vAlign w:val="center"/>
                </w:tcPr>
                <w:p w14:paraId="1B995CB3">
                  <w:pPr>
                    <w:pStyle w:val="87"/>
                    <w:rPr>
                      <w:snapToGrid w:val="0"/>
                      <w:color w:val="auto"/>
                      <w:sz w:val="21"/>
                      <w:szCs w:val="21"/>
                      <w:vertAlign w:val="subscript"/>
                      <w:lang w:val="zh-CN"/>
                    </w:rPr>
                  </w:pPr>
                  <w:r>
                    <w:rPr>
                      <w:rFonts w:hint="eastAsia"/>
                      <w:snapToGrid w:val="0"/>
                      <w:color w:val="auto"/>
                      <w:sz w:val="21"/>
                      <w:szCs w:val="21"/>
                      <w:lang w:val="zh-CN"/>
                    </w:rPr>
                    <w:t>S</w:t>
                  </w:r>
                  <w:r>
                    <w:rPr>
                      <w:snapToGrid w:val="0"/>
                      <w:color w:val="auto"/>
                      <w:sz w:val="21"/>
                      <w:szCs w:val="21"/>
                      <w:lang w:val="zh-CN"/>
                    </w:rPr>
                    <w:t>O</w:t>
                  </w:r>
                  <w:r>
                    <w:rPr>
                      <w:snapToGrid w:val="0"/>
                      <w:color w:val="auto"/>
                      <w:sz w:val="21"/>
                      <w:szCs w:val="21"/>
                      <w:vertAlign w:val="subscript"/>
                      <w:lang w:val="zh-CN"/>
                    </w:rPr>
                    <w:t>2</w:t>
                  </w:r>
                </w:p>
              </w:tc>
              <w:tc>
                <w:tcPr>
                  <w:tcW w:w="572" w:type="pct"/>
                  <w:tcBorders>
                    <w:tl2br w:val="nil"/>
                    <w:tr2bl w:val="nil"/>
                  </w:tcBorders>
                  <w:vAlign w:val="center"/>
                </w:tcPr>
                <w:p w14:paraId="78275B54">
                  <w:pPr>
                    <w:pStyle w:val="87"/>
                    <w:rPr>
                      <w:rFonts w:hint="default" w:eastAsia="宋体"/>
                      <w:color w:val="auto"/>
                      <w:sz w:val="21"/>
                      <w:szCs w:val="21"/>
                      <w:lang w:val="en-US" w:eastAsia="zh-CN"/>
                    </w:rPr>
                  </w:pPr>
                  <w:r>
                    <w:rPr>
                      <w:rFonts w:hint="eastAsia"/>
                      <w:color w:val="auto"/>
                      <w:sz w:val="21"/>
                      <w:szCs w:val="21"/>
                      <w:lang w:val="en-US" w:eastAsia="zh-CN"/>
                    </w:rPr>
                    <w:t>1.043</w:t>
                  </w:r>
                </w:p>
              </w:tc>
              <w:tc>
                <w:tcPr>
                  <w:tcW w:w="496" w:type="pct"/>
                  <w:tcBorders>
                    <w:tl2br w:val="nil"/>
                    <w:tr2bl w:val="nil"/>
                  </w:tcBorders>
                  <w:vAlign w:val="center"/>
                </w:tcPr>
                <w:p w14:paraId="7222BB51">
                  <w:pPr>
                    <w:pStyle w:val="87"/>
                    <w:rPr>
                      <w:rFonts w:hint="default" w:eastAsia="宋体"/>
                      <w:color w:val="auto"/>
                      <w:sz w:val="21"/>
                      <w:szCs w:val="21"/>
                      <w:lang w:val="en-US" w:eastAsia="zh-CN"/>
                    </w:rPr>
                  </w:pPr>
                  <w:r>
                    <w:rPr>
                      <w:rFonts w:hint="eastAsia"/>
                      <w:color w:val="auto"/>
                      <w:sz w:val="21"/>
                      <w:szCs w:val="21"/>
                      <w:lang w:val="en-US" w:eastAsia="zh-CN"/>
                    </w:rPr>
                    <w:t>1.55</w:t>
                  </w:r>
                </w:p>
              </w:tc>
              <w:tc>
                <w:tcPr>
                  <w:tcW w:w="495" w:type="pct"/>
                  <w:tcBorders>
                    <w:tl2br w:val="nil"/>
                    <w:tr2bl w:val="nil"/>
                  </w:tcBorders>
                  <w:vAlign w:val="center"/>
                </w:tcPr>
                <w:p w14:paraId="032542E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0.254</w:t>
                  </w:r>
                </w:p>
              </w:tc>
              <w:tc>
                <w:tcPr>
                  <w:tcW w:w="510" w:type="pct"/>
                  <w:tcBorders>
                    <w:tl2br w:val="nil"/>
                    <w:tr2bl w:val="nil"/>
                  </w:tcBorders>
                  <w:vAlign w:val="center"/>
                </w:tcPr>
                <w:p w14:paraId="63EA4B68">
                  <w:pPr>
                    <w:keepNext w:val="0"/>
                    <w:keepLines w:val="0"/>
                    <w:pageBreakBefore w:val="0"/>
                    <w:widowControl w:val="0"/>
                    <w:kinsoku/>
                    <w:wordWrap/>
                    <w:overflowPunct/>
                    <w:topLinePunct w:val="0"/>
                    <w:autoSpaceDE/>
                    <w:autoSpaceDN/>
                    <w:bidi w:val="0"/>
                    <w:jc w:val="center"/>
                    <w:textAlignment w:val="auto"/>
                    <w:outlineLvl w:val="9"/>
                    <w:rPr>
                      <w:color w:val="auto"/>
                      <w:sz w:val="21"/>
                      <w:szCs w:val="21"/>
                    </w:rPr>
                  </w:pPr>
                  <w:r>
                    <w:rPr>
                      <w:rFonts w:hint="eastAsia"/>
                      <w:color w:val="auto"/>
                      <w:sz w:val="21"/>
                      <w:szCs w:val="21"/>
                      <w:lang w:val="en-US" w:eastAsia="zh-CN"/>
                    </w:rPr>
                    <w:t>1.48</w:t>
                  </w:r>
                </w:p>
              </w:tc>
              <w:tc>
                <w:tcPr>
                  <w:tcW w:w="476" w:type="pct"/>
                  <w:tcBorders>
                    <w:tl2br w:val="nil"/>
                    <w:tr2bl w:val="nil"/>
                  </w:tcBorders>
                  <w:vAlign w:val="center"/>
                </w:tcPr>
                <w:p w14:paraId="24420660">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1C2006B5">
                  <w:pPr>
                    <w:pStyle w:val="87"/>
                    <w:rPr>
                      <w:rFonts w:hint="default" w:eastAsia="宋体"/>
                      <w:color w:val="auto"/>
                      <w:sz w:val="21"/>
                      <w:szCs w:val="21"/>
                      <w:lang w:val="en-US" w:eastAsia="zh-CN"/>
                    </w:rPr>
                  </w:pPr>
                  <w:r>
                    <w:rPr>
                      <w:rFonts w:hint="eastAsia"/>
                      <w:color w:val="auto"/>
                      <w:sz w:val="21"/>
                      <w:szCs w:val="21"/>
                      <w:lang w:val="en-US" w:eastAsia="zh-CN"/>
                    </w:rPr>
                    <w:t>1.297</w:t>
                  </w:r>
                </w:p>
              </w:tc>
              <w:tc>
                <w:tcPr>
                  <w:tcW w:w="550" w:type="pct"/>
                  <w:tcBorders>
                    <w:tl2br w:val="nil"/>
                    <w:tr2bl w:val="nil"/>
                  </w:tcBorders>
                  <w:vAlign w:val="center"/>
                </w:tcPr>
                <w:p w14:paraId="4302B0A8">
                  <w:pPr>
                    <w:pStyle w:val="87"/>
                    <w:rPr>
                      <w:rFonts w:hint="default" w:eastAsia="宋体"/>
                      <w:color w:val="auto"/>
                      <w:sz w:val="21"/>
                      <w:szCs w:val="21"/>
                      <w:lang w:val="en-US" w:eastAsia="zh-CN"/>
                    </w:rPr>
                  </w:pPr>
                  <w:r>
                    <w:rPr>
                      <w:rFonts w:hint="eastAsia" w:eastAsia="宋体"/>
                      <w:color w:val="auto"/>
                      <w:sz w:val="21"/>
                      <w:szCs w:val="21"/>
                      <w:lang w:val="en-US" w:eastAsia="zh-CN"/>
                    </w:rPr>
                    <w:t>3.03</w:t>
                  </w:r>
                </w:p>
              </w:tc>
              <w:tc>
                <w:tcPr>
                  <w:tcW w:w="818" w:type="dxa"/>
                  <w:tcBorders>
                    <w:tl2br w:val="nil"/>
                    <w:tr2bl w:val="nil"/>
                  </w:tcBorders>
                  <w:vAlign w:val="center"/>
                </w:tcPr>
                <w:p w14:paraId="71DD0C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+0.254</w:t>
                  </w:r>
                </w:p>
              </w:tc>
            </w:tr>
            <w:tr w14:paraId="6A452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668D1EEC">
                  <w:pPr>
                    <w:widowControl/>
                    <w:jc w:val="left"/>
                    <w:rPr>
                      <w:snapToGrid w:val="0"/>
                      <w:color w:val="auto"/>
                      <w:kern w:val="0"/>
                      <w:sz w:val="21"/>
                      <w:szCs w:val="21"/>
                    </w:rPr>
                  </w:pPr>
                </w:p>
              </w:tc>
              <w:tc>
                <w:tcPr>
                  <w:tcW w:w="560" w:type="pct"/>
                  <w:tcBorders>
                    <w:tl2br w:val="nil"/>
                    <w:tr2bl w:val="nil"/>
                  </w:tcBorders>
                  <w:vAlign w:val="center"/>
                </w:tcPr>
                <w:p w14:paraId="3755A265">
                  <w:pPr>
                    <w:pStyle w:val="87"/>
                    <w:rPr>
                      <w:snapToGrid w:val="0"/>
                      <w:color w:val="auto"/>
                      <w:sz w:val="21"/>
                      <w:szCs w:val="21"/>
                      <w:vertAlign w:val="subscript"/>
                      <w:lang w:val="zh-CN"/>
                    </w:rPr>
                  </w:pPr>
                  <w:r>
                    <w:rPr>
                      <w:rFonts w:hint="eastAsia"/>
                      <w:snapToGrid w:val="0"/>
                      <w:color w:val="auto"/>
                      <w:sz w:val="21"/>
                      <w:szCs w:val="21"/>
                      <w:lang w:val="zh-CN"/>
                    </w:rPr>
                    <w:t>N</w:t>
                  </w:r>
                  <w:r>
                    <w:rPr>
                      <w:snapToGrid w:val="0"/>
                      <w:color w:val="auto"/>
                      <w:sz w:val="21"/>
                      <w:szCs w:val="21"/>
                      <w:lang w:val="zh-CN"/>
                    </w:rPr>
                    <w:t>O</w:t>
                  </w:r>
                  <w:r>
                    <w:rPr>
                      <w:snapToGrid w:val="0"/>
                      <w:color w:val="auto"/>
                      <w:sz w:val="21"/>
                      <w:szCs w:val="21"/>
                      <w:vertAlign w:val="subscript"/>
                      <w:lang w:val="zh-CN"/>
                    </w:rPr>
                    <w:t>X</w:t>
                  </w:r>
                </w:p>
              </w:tc>
              <w:tc>
                <w:tcPr>
                  <w:tcW w:w="572" w:type="pct"/>
                  <w:tcBorders>
                    <w:tl2br w:val="nil"/>
                    <w:tr2bl w:val="nil"/>
                  </w:tcBorders>
                  <w:vAlign w:val="center"/>
                </w:tcPr>
                <w:p w14:paraId="145DAB1E">
                  <w:pPr>
                    <w:pStyle w:val="87"/>
                    <w:rPr>
                      <w:rFonts w:hint="default" w:eastAsia="宋体"/>
                      <w:color w:val="auto"/>
                      <w:sz w:val="21"/>
                      <w:szCs w:val="21"/>
                      <w:lang w:val="en-US" w:eastAsia="zh-CN"/>
                    </w:rPr>
                  </w:pPr>
                  <w:r>
                    <w:rPr>
                      <w:rFonts w:hint="eastAsia"/>
                      <w:color w:val="auto"/>
                      <w:sz w:val="21"/>
                      <w:szCs w:val="21"/>
                      <w:lang w:val="en-US" w:eastAsia="zh-CN"/>
                    </w:rPr>
                    <w:t>1.93</w:t>
                  </w:r>
                </w:p>
              </w:tc>
              <w:tc>
                <w:tcPr>
                  <w:tcW w:w="496" w:type="pct"/>
                  <w:tcBorders>
                    <w:tl2br w:val="nil"/>
                    <w:tr2bl w:val="nil"/>
                  </w:tcBorders>
                  <w:vAlign w:val="center"/>
                </w:tcPr>
                <w:p w14:paraId="57B73CBD">
                  <w:pPr>
                    <w:pStyle w:val="87"/>
                    <w:rPr>
                      <w:rFonts w:hint="default" w:eastAsia="宋体"/>
                      <w:color w:val="auto"/>
                      <w:sz w:val="21"/>
                      <w:szCs w:val="21"/>
                      <w:lang w:val="en-US" w:eastAsia="zh-CN"/>
                    </w:rPr>
                  </w:pPr>
                  <w:r>
                    <w:rPr>
                      <w:rFonts w:hint="eastAsia"/>
                      <w:color w:val="auto"/>
                      <w:sz w:val="21"/>
                      <w:szCs w:val="21"/>
                      <w:lang w:val="en-US" w:eastAsia="zh-CN"/>
                    </w:rPr>
                    <w:t>4.14</w:t>
                  </w:r>
                </w:p>
              </w:tc>
              <w:tc>
                <w:tcPr>
                  <w:tcW w:w="495" w:type="pct"/>
                  <w:tcBorders>
                    <w:tl2br w:val="nil"/>
                    <w:tr2bl w:val="nil"/>
                  </w:tcBorders>
                  <w:vAlign w:val="center"/>
                </w:tcPr>
                <w:p w14:paraId="2C4303A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1.797</w:t>
                  </w:r>
                </w:p>
              </w:tc>
              <w:tc>
                <w:tcPr>
                  <w:tcW w:w="510" w:type="pct"/>
                  <w:tcBorders>
                    <w:tl2br w:val="nil"/>
                    <w:tr2bl w:val="nil"/>
                  </w:tcBorders>
                  <w:vAlign w:val="center"/>
                </w:tcPr>
                <w:p w14:paraId="64E209AD">
                  <w:pPr>
                    <w:keepNext w:val="0"/>
                    <w:keepLines w:val="0"/>
                    <w:pageBreakBefore w:val="0"/>
                    <w:widowControl w:val="0"/>
                    <w:kinsoku/>
                    <w:wordWrap/>
                    <w:overflowPunct/>
                    <w:topLinePunct w:val="0"/>
                    <w:autoSpaceDE/>
                    <w:autoSpaceDN/>
                    <w:bidi w:val="0"/>
                    <w:jc w:val="center"/>
                    <w:textAlignment w:val="auto"/>
                    <w:outlineLvl w:val="9"/>
                    <w:rPr>
                      <w:rFonts w:hint="default"/>
                      <w:color w:val="auto"/>
                      <w:sz w:val="21"/>
                      <w:szCs w:val="21"/>
                      <w:lang w:val="en-US"/>
                    </w:rPr>
                  </w:pPr>
                  <w:r>
                    <w:rPr>
                      <w:rFonts w:hint="eastAsia"/>
                      <w:color w:val="auto"/>
                      <w:sz w:val="21"/>
                      <w:szCs w:val="21"/>
                      <w:lang w:val="en-US" w:eastAsia="zh-CN"/>
                    </w:rPr>
                    <w:t>4.437</w:t>
                  </w:r>
                </w:p>
              </w:tc>
              <w:tc>
                <w:tcPr>
                  <w:tcW w:w="476" w:type="pct"/>
                  <w:tcBorders>
                    <w:tl2br w:val="nil"/>
                    <w:tr2bl w:val="nil"/>
                  </w:tcBorders>
                  <w:vAlign w:val="center"/>
                </w:tcPr>
                <w:p w14:paraId="7EAD2D90">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40D07FD0">
                  <w:pPr>
                    <w:pStyle w:val="87"/>
                    <w:rPr>
                      <w:rFonts w:hint="default" w:eastAsia="宋体"/>
                      <w:color w:val="auto"/>
                      <w:sz w:val="21"/>
                      <w:szCs w:val="21"/>
                      <w:lang w:val="en-US" w:eastAsia="zh-CN"/>
                    </w:rPr>
                  </w:pPr>
                  <w:r>
                    <w:rPr>
                      <w:rFonts w:hint="eastAsia"/>
                      <w:color w:val="auto"/>
                      <w:sz w:val="21"/>
                      <w:szCs w:val="21"/>
                      <w:lang w:val="en-US" w:eastAsia="zh-CN"/>
                    </w:rPr>
                    <w:t>3.727</w:t>
                  </w:r>
                </w:p>
              </w:tc>
              <w:tc>
                <w:tcPr>
                  <w:tcW w:w="550" w:type="pct"/>
                  <w:tcBorders>
                    <w:tl2br w:val="nil"/>
                    <w:tr2bl w:val="nil"/>
                  </w:tcBorders>
                  <w:vAlign w:val="center"/>
                </w:tcPr>
                <w:p w14:paraId="4A0DAB4B">
                  <w:pPr>
                    <w:pStyle w:val="87"/>
                    <w:rPr>
                      <w:rFonts w:hint="default" w:eastAsia="宋体"/>
                      <w:color w:val="auto"/>
                      <w:sz w:val="21"/>
                      <w:szCs w:val="21"/>
                      <w:lang w:val="en-US" w:eastAsia="zh-CN"/>
                    </w:rPr>
                  </w:pPr>
                  <w:r>
                    <w:rPr>
                      <w:rFonts w:hint="eastAsia" w:eastAsia="宋体"/>
                      <w:color w:val="auto"/>
                      <w:sz w:val="21"/>
                      <w:szCs w:val="21"/>
                      <w:lang w:val="en-US" w:eastAsia="zh-CN"/>
                    </w:rPr>
                    <w:t>8.57</w:t>
                  </w:r>
                  <w:r>
                    <w:rPr>
                      <w:rFonts w:hint="eastAsia"/>
                      <w:color w:val="auto"/>
                      <w:sz w:val="21"/>
                      <w:szCs w:val="21"/>
                      <w:lang w:val="en-US" w:eastAsia="zh-CN"/>
                    </w:rPr>
                    <w:t>7</w:t>
                  </w:r>
                </w:p>
              </w:tc>
              <w:tc>
                <w:tcPr>
                  <w:tcW w:w="818" w:type="dxa"/>
                  <w:tcBorders>
                    <w:tl2br w:val="nil"/>
                    <w:tr2bl w:val="nil"/>
                  </w:tcBorders>
                  <w:vAlign w:val="center"/>
                </w:tcPr>
                <w:p w14:paraId="6215C38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+1.797</w:t>
                  </w:r>
                </w:p>
              </w:tc>
            </w:tr>
            <w:tr w14:paraId="306FB8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3AC21DC5">
                  <w:pPr>
                    <w:widowControl/>
                    <w:jc w:val="left"/>
                    <w:rPr>
                      <w:snapToGrid w:val="0"/>
                      <w:color w:val="auto"/>
                      <w:kern w:val="0"/>
                      <w:sz w:val="21"/>
                      <w:szCs w:val="21"/>
                    </w:rPr>
                  </w:pPr>
                </w:p>
              </w:tc>
              <w:tc>
                <w:tcPr>
                  <w:tcW w:w="560" w:type="pct"/>
                  <w:tcBorders>
                    <w:tl2br w:val="nil"/>
                    <w:tr2bl w:val="nil"/>
                  </w:tcBorders>
                  <w:vAlign w:val="center"/>
                </w:tcPr>
                <w:p w14:paraId="26F7074E">
                  <w:pPr>
                    <w:pStyle w:val="87"/>
                    <w:rPr>
                      <w:snapToGrid w:val="0"/>
                      <w:color w:val="auto"/>
                      <w:sz w:val="21"/>
                      <w:szCs w:val="21"/>
                      <w:lang w:val="zh-CN"/>
                    </w:rPr>
                  </w:pPr>
                  <w:r>
                    <w:rPr>
                      <w:rFonts w:hint="eastAsia"/>
                      <w:snapToGrid w:val="0"/>
                      <w:color w:val="auto"/>
                      <w:sz w:val="21"/>
                      <w:szCs w:val="21"/>
                      <w:lang w:val="zh-CN"/>
                    </w:rPr>
                    <w:t>工业粉尘</w:t>
                  </w:r>
                </w:p>
              </w:tc>
              <w:tc>
                <w:tcPr>
                  <w:tcW w:w="572" w:type="pct"/>
                  <w:tcBorders>
                    <w:tl2br w:val="nil"/>
                    <w:tr2bl w:val="nil"/>
                  </w:tcBorders>
                  <w:vAlign w:val="center"/>
                </w:tcPr>
                <w:p w14:paraId="6A38DA3C">
                  <w:pPr>
                    <w:pStyle w:val="87"/>
                    <w:rPr>
                      <w:rFonts w:hint="default" w:eastAsia="宋体"/>
                      <w:color w:val="auto"/>
                      <w:sz w:val="21"/>
                      <w:szCs w:val="21"/>
                      <w:lang w:val="en-US" w:eastAsia="zh-CN"/>
                    </w:rPr>
                  </w:pPr>
                  <w:r>
                    <w:rPr>
                      <w:rFonts w:hint="eastAsia"/>
                      <w:color w:val="auto"/>
                      <w:sz w:val="21"/>
                      <w:szCs w:val="21"/>
                      <w:lang w:val="en-US" w:eastAsia="zh-CN"/>
                    </w:rPr>
                    <w:t>0.9</w:t>
                  </w:r>
                </w:p>
              </w:tc>
              <w:tc>
                <w:tcPr>
                  <w:tcW w:w="496" w:type="pct"/>
                  <w:tcBorders>
                    <w:tl2br w:val="nil"/>
                    <w:tr2bl w:val="nil"/>
                  </w:tcBorders>
                  <w:vAlign w:val="center"/>
                </w:tcPr>
                <w:p w14:paraId="077A1006">
                  <w:pPr>
                    <w:pStyle w:val="87"/>
                    <w:rPr>
                      <w:rFonts w:hint="default" w:eastAsia="宋体"/>
                      <w:color w:val="auto"/>
                      <w:sz w:val="21"/>
                      <w:szCs w:val="21"/>
                      <w:lang w:val="en-US" w:eastAsia="zh-CN"/>
                    </w:rPr>
                  </w:pPr>
                  <w:r>
                    <w:rPr>
                      <w:rFonts w:hint="eastAsia"/>
                      <w:color w:val="auto"/>
                      <w:sz w:val="21"/>
                      <w:szCs w:val="21"/>
                      <w:lang w:val="en-US" w:eastAsia="zh-CN"/>
                    </w:rPr>
                    <w:t>0.9</w:t>
                  </w:r>
                </w:p>
              </w:tc>
              <w:tc>
                <w:tcPr>
                  <w:tcW w:w="495" w:type="pct"/>
                  <w:tcBorders>
                    <w:tl2br w:val="nil"/>
                    <w:tr2bl w:val="nil"/>
                  </w:tcBorders>
                  <w:vAlign w:val="center"/>
                </w:tcPr>
                <w:p w14:paraId="7C992011">
                  <w:pPr>
                    <w:pStyle w:val="87"/>
                    <w:rPr>
                      <w:rFonts w:hint="default" w:eastAsia="宋体"/>
                      <w:color w:val="auto"/>
                      <w:sz w:val="21"/>
                      <w:szCs w:val="21"/>
                      <w:lang w:val="en-US" w:eastAsia="zh-CN"/>
                    </w:rPr>
                  </w:pPr>
                  <w:r>
                    <w:rPr>
                      <w:rFonts w:hint="eastAsia"/>
                      <w:color w:val="auto"/>
                      <w:sz w:val="21"/>
                      <w:szCs w:val="21"/>
                      <w:lang w:val="en-US" w:eastAsia="zh-CN"/>
                    </w:rPr>
                    <w:t>0.758</w:t>
                  </w:r>
                </w:p>
              </w:tc>
              <w:tc>
                <w:tcPr>
                  <w:tcW w:w="510" w:type="pct"/>
                  <w:tcBorders>
                    <w:tl2br w:val="nil"/>
                    <w:tr2bl w:val="nil"/>
                  </w:tcBorders>
                  <w:vAlign w:val="center"/>
                </w:tcPr>
                <w:p w14:paraId="6267FD1E">
                  <w:pPr>
                    <w:pStyle w:val="87"/>
                    <w:rPr>
                      <w:rFonts w:hint="default" w:eastAsia="宋体"/>
                      <w:color w:val="auto"/>
                      <w:sz w:val="21"/>
                      <w:szCs w:val="21"/>
                      <w:lang w:val="en-US" w:eastAsia="zh-CN"/>
                    </w:rPr>
                  </w:pPr>
                  <w:r>
                    <w:rPr>
                      <w:rFonts w:hint="eastAsia"/>
                      <w:color w:val="auto"/>
                      <w:sz w:val="21"/>
                      <w:szCs w:val="21"/>
                      <w:lang w:val="en-US" w:eastAsia="zh-CN"/>
                    </w:rPr>
                    <w:t>0.758</w:t>
                  </w:r>
                </w:p>
              </w:tc>
              <w:tc>
                <w:tcPr>
                  <w:tcW w:w="476" w:type="pct"/>
                  <w:tcBorders>
                    <w:tl2br w:val="nil"/>
                    <w:tr2bl w:val="nil"/>
                  </w:tcBorders>
                  <w:vAlign w:val="center"/>
                </w:tcPr>
                <w:p w14:paraId="63E40228">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623B2770">
                  <w:pPr>
                    <w:pStyle w:val="87"/>
                    <w:rPr>
                      <w:rFonts w:hint="default" w:eastAsia="宋体"/>
                      <w:color w:val="auto"/>
                      <w:sz w:val="21"/>
                      <w:szCs w:val="21"/>
                      <w:lang w:val="en-US" w:eastAsia="zh-CN"/>
                    </w:rPr>
                  </w:pPr>
                  <w:r>
                    <w:rPr>
                      <w:rFonts w:hint="eastAsia"/>
                      <w:color w:val="auto"/>
                      <w:sz w:val="21"/>
                      <w:szCs w:val="21"/>
                      <w:lang w:val="en-US" w:eastAsia="zh-CN"/>
                    </w:rPr>
                    <w:t>1.658</w:t>
                  </w:r>
                </w:p>
              </w:tc>
              <w:tc>
                <w:tcPr>
                  <w:tcW w:w="550" w:type="pct"/>
                  <w:tcBorders>
                    <w:tl2br w:val="nil"/>
                    <w:tr2bl w:val="nil"/>
                  </w:tcBorders>
                  <w:vAlign w:val="center"/>
                </w:tcPr>
                <w:p w14:paraId="7D601C2B">
                  <w:pPr>
                    <w:pStyle w:val="87"/>
                    <w:rPr>
                      <w:rFonts w:hint="default" w:eastAsia="宋体"/>
                      <w:color w:val="auto"/>
                      <w:sz w:val="21"/>
                      <w:szCs w:val="21"/>
                      <w:lang w:val="en-US" w:eastAsia="zh-CN"/>
                    </w:rPr>
                  </w:pPr>
                  <w:r>
                    <w:rPr>
                      <w:rFonts w:hint="eastAsia"/>
                      <w:color w:val="auto"/>
                      <w:sz w:val="21"/>
                      <w:szCs w:val="21"/>
                      <w:lang w:val="en-US" w:eastAsia="zh-CN"/>
                    </w:rPr>
                    <w:t>1.658</w:t>
                  </w:r>
                </w:p>
              </w:tc>
              <w:tc>
                <w:tcPr>
                  <w:tcW w:w="818" w:type="dxa"/>
                  <w:tcBorders>
                    <w:tl2br w:val="nil"/>
                    <w:tr2bl w:val="nil"/>
                  </w:tcBorders>
                  <w:vAlign w:val="center"/>
                </w:tcPr>
                <w:p w14:paraId="38C13C45">
                  <w:pPr>
                    <w:pStyle w:val="87"/>
                    <w:rPr>
                      <w:color w:val="auto"/>
                      <w:sz w:val="21"/>
                      <w:szCs w:val="21"/>
                    </w:rPr>
                  </w:pPr>
                  <w:r>
                    <w:rPr>
                      <w:rFonts w:hint="eastAsia"/>
                      <w:color w:val="auto"/>
                      <w:sz w:val="21"/>
                      <w:szCs w:val="21"/>
                      <w:lang w:val="en-US" w:eastAsia="zh-CN"/>
                    </w:rPr>
                    <w:t>+0.758</w:t>
                  </w:r>
                </w:p>
              </w:tc>
            </w:tr>
          </w:tbl>
          <w:p w14:paraId="26EDC4E4">
            <w:pPr>
              <w:adjustRightInd w:val="0"/>
              <w:snapToGrid w:val="0"/>
              <w:rPr>
                <w:color w:val="auto"/>
                <w:kern w:val="0"/>
                <w:sz w:val="24"/>
              </w:rPr>
            </w:pPr>
          </w:p>
        </w:tc>
      </w:tr>
    </w:tbl>
    <w:p w14:paraId="687F3370">
      <w:pPr>
        <w:pStyle w:val="26"/>
        <w:jc w:val="center"/>
        <w:outlineLvl w:val="9"/>
        <w:rPr>
          <w:rFonts w:ascii="Times New Roman" w:hAnsi="Times New Roman"/>
          <w:snapToGrid w:val="0"/>
          <w:color w:val="auto"/>
          <w:sz w:val="30"/>
          <w:szCs w:val="30"/>
        </w:rPr>
        <w:sectPr>
          <w:footerReference r:id="rId7" w:type="default"/>
          <w:pgSz w:w="11907" w:h="16840"/>
          <w:pgMar w:top="1701" w:right="1531" w:bottom="2127" w:left="1531" w:header="851" w:footer="851" w:gutter="0"/>
          <w:pgNumType w:fmt="decimal"/>
          <w:cols w:space="720" w:num="1"/>
          <w:docGrid w:linePitch="312" w:charSpace="0"/>
        </w:sectPr>
      </w:pPr>
    </w:p>
    <w:p w14:paraId="2279C3E0">
      <w:pPr>
        <w:pStyle w:val="26"/>
        <w:jc w:val="center"/>
        <w:outlineLvl w:val="0"/>
        <w:rPr>
          <w:rFonts w:ascii="Times New Roman" w:hAnsi="Times New Roman"/>
          <w:b/>
          <w:bCs/>
          <w:snapToGrid w:val="0"/>
          <w:color w:val="auto"/>
          <w:sz w:val="30"/>
          <w:szCs w:val="30"/>
        </w:rPr>
      </w:pPr>
      <w:bookmarkStart w:id="11" w:name="_Toc23700"/>
      <w:r>
        <w:rPr>
          <w:rFonts w:ascii="Times New Roman" w:hAnsi="Times New Roman"/>
          <w:b/>
          <w:bCs/>
          <w:snapToGrid w:val="0"/>
          <w:color w:val="auto"/>
          <w:sz w:val="30"/>
          <w:szCs w:val="30"/>
        </w:rPr>
        <w:t>四、主要环境影响和保护措施</w:t>
      </w:r>
      <w:bookmarkEnd w:id="11"/>
    </w:p>
    <w:tbl>
      <w:tblPr>
        <w:tblStyle w:val="31"/>
        <w:tblW w:w="95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8"/>
        <w:gridCol w:w="9062"/>
      </w:tblGrid>
      <w:tr w14:paraId="527201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6" w:hRule="atLeast"/>
          <w:jc w:val="center"/>
        </w:trPr>
        <w:tc>
          <w:tcPr>
            <w:tcW w:w="528" w:type="dxa"/>
            <w:tcMar>
              <w:left w:w="28" w:type="dxa"/>
              <w:right w:w="28" w:type="dxa"/>
            </w:tcMar>
            <w:vAlign w:val="center"/>
          </w:tcPr>
          <w:p w14:paraId="37702E59">
            <w:pPr>
              <w:pStyle w:val="26"/>
              <w:adjustRightInd w:val="0"/>
              <w:snapToGrid w:val="0"/>
              <w:spacing w:before="0" w:beforeAutospacing="0" w:after="0" w:afterAutospacing="0"/>
              <w:jc w:val="center"/>
              <w:rPr>
                <w:rFonts w:ascii="Times New Roman" w:hAnsi="Times New Roman"/>
                <w:b/>
                <w:bCs/>
                <w:color w:val="auto"/>
                <w:kern w:val="2"/>
                <w:szCs w:val="24"/>
              </w:rPr>
            </w:pPr>
          </w:p>
          <w:p w14:paraId="4743FBFB">
            <w:pPr>
              <w:pStyle w:val="26"/>
              <w:adjustRightInd w:val="0"/>
              <w:snapToGrid w:val="0"/>
              <w:spacing w:before="0" w:beforeAutospacing="0" w:after="0" w:afterAutospacing="0"/>
              <w:jc w:val="center"/>
              <w:rPr>
                <w:rFonts w:ascii="Times New Roman" w:hAnsi="Times New Roman"/>
                <w:b/>
                <w:bCs/>
                <w:color w:val="auto"/>
                <w:kern w:val="2"/>
                <w:szCs w:val="24"/>
              </w:rPr>
            </w:pPr>
            <w:r>
              <w:rPr>
                <w:rFonts w:ascii="Times New Roman" w:hAnsi="Times New Roman"/>
                <w:b/>
                <w:bCs/>
                <w:color w:val="auto"/>
                <w:kern w:val="2"/>
                <w:szCs w:val="24"/>
              </w:rPr>
              <w:t>施</w:t>
            </w:r>
          </w:p>
          <w:p w14:paraId="52F9BF19">
            <w:pPr>
              <w:pStyle w:val="26"/>
              <w:adjustRightInd w:val="0"/>
              <w:snapToGrid w:val="0"/>
              <w:spacing w:before="0" w:beforeAutospacing="0" w:after="0" w:afterAutospacing="0"/>
              <w:jc w:val="center"/>
              <w:rPr>
                <w:rFonts w:ascii="Times New Roman" w:hAnsi="Times New Roman"/>
                <w:b/>
                <w:bCs/>
                <w:color w:val="auto"/>
                <w:kern w:val="2"/>
                <w:szCs w:val="24"/>
              </w:rPr>
            </w:pPr>
            <w:r>
              <w:rPr>
                <w:rFonts w:ascii="Times New Roman" w:hAnsi="Times New Roman"/>
                <w:b/>
                <w:bCs/>
                <w:color w:val="auto"/>
                <w:kern w:val="2"/>
                <w:szCs w:val="24"/>
              </w:rPr>
              <w:t>工</w:t>
            </w:r>
          </w:p>
          <w:p w14:paraId="4C114C33">
            <w:pPr>
              <w:pStyle w:val="26"/>
              <w:adjustRightInd w:val="0"/>
              <w:snapToGrid w:val="0"/>
              <w:spacing w:before="0" w:beforeAutospacing="0" w:after="0" w:afterAutospacing="0"/>
              <w:jc w:val="center"/>
              <w:rPr>
                <w:rFonts w:ascii="Times New Roman" w:hAnsi="Times New Roman"/>
                <w:b/>
                <w:bCs/>
                <w:color w:val="auto"/>
                <w:kern w:val="2"/>
                <w:szCs w:val="24"/>
              </w:rPr>
            </w:pPr>
            <w:r>
              <w:rPr>
                <w:rFonts w:ascii="Times New Roman" w:hAnsi="Times New Roman"/>
                <w:b/>
                <w:bCs/>
                <w:color w:val="auto"/>
                <w:kern w:val="2"/>
                <w:szCs w:val="24"/>
              </w:rPr>
              <w:t>期环</w:t>
            </w:r>
          </w:p>
          <w:p w14:paraId="09806F36">
            <w:pPr>
              <w:pStyle w:val="26"/>
              <w:adjustRightInd w:val="0"/>
              <w:snapToGrid w:val="0"/>
              <w:spacing w:before="0" w:beforeAutospacing="0" w:after="0" w:afterAutospacing="0"/>
              <w:jc w:val="center"/>
              <w:rPr>
                <w:rFonts w:ascii="Times New Roman" w:hAnsi="Times New Roman"/>
                <w:b/>
                <w:bCs/>
                <w:color w:val="auto"/>
                <w:kern w:val="2"/>
                <w:szCs w:val="24"/>
              </w:rPr>
            </w:pPr>
            <w:r>
              <w:rPr>
                <w:rFonts w:ascii="Times New Roman" w:hAnsi="Times New Roman"/>
                <w:b/>
                <w:bCs/>
                <w:color w:val="auto"/>
                <w:kern w:val="2"/>
                <w:szCs w:val="24"/>
              </w:rPr>
              <w:t>境保</w:t>
            </w:r>
          </w:p>
          <w:p w14:paraId="42A7AB96">
            <w:pPr>
              <w:pStyle w:val="26"/>
              <w:adjustRightInd w:val="0"/>
              <w:snapToGrid w:val="0"/>
              <w:spacing w:before="0" w:beforeAutospacing="0" w:after="0" w:afterAutospacing="0"/>
              <w:jc w:val="center"/>
              <w:rPr>
                <w:rFonts w:ascii="Times New Roman" w:hAnsi="Times New Roman"/>
                <w:b/>
                <w:bCs/>
                <w:color w:val="auto"/>
                <w:kern w:val="2"/>
                <w:szCs w:val="24"/>
              </w:rPr>
            </w:pPr>
            <w:r>
              <w:rPr>
                <w:rFonts w:ascii="Times New Roman" w:hAnsi="Times New Roman"/>
                <w:b/>
                <w:bCs/>
                <w:color w:val="auto"/>
                <w:kern w:val="2"/>
                <w:szCs w:val="24"/>
              </w:rPr>
              <w:t>护措</w:t>
            </w:r>
          </w:p>
          <w:p w14:paraId="183249FC">
            <w:pPr>
              <w:pStyle w:val="26"/>
              <w:adjustRightInd w:val="0"/>
              <w:snapToGrid w:val="0"/>
              <w:spacing w:before="0" w:beforeAutospacing="0" w:after="0" w:afterAutospacing="0"/>
              <w:jc w:val="center"/>
              <w:rPr>
                <w:rFonts w:ascii="Times New Roman" w:hAnsi="Times New Roman"/>
                <w:b/>
                <w:bCs/>
                <w:color w:val="auto"/>
                <w:kern w:val="2"/>
                <w:szCs w:val="24"/>
              </w:rPr>
            </w:pPr>
          </w:p>
          <w:p w14:paraId="640D6A67">
            <w:pPr>
              <w:pStyle w:val="26"/>
              <w:adjustRightInd w:val="0"/>
              <w:snapToGrid w:val="0"/>
              <w:spacing w:before="0" w:beforeAutospacing="0" w:after="0" w:afterAutospacing="0"/>
              <w:jc w:val="both"/>
              <w:rPr>
                <w:rFonts w:ascii="Times New Roman" w:hAnsi="Times New Roman"/>
                <w:bCs/>
                <w:color w:val="auto"/>
                <w:kern w:val="2"/>
                <w:szCs w:val="24"/>
              </w:rPr>
            </w:pPr>
          </w:p>
        </w:tc>
        <w:tc>
          <w:tcPr>
            <w:tcW w:w="9062" w:type="dxa"/>
            <w:vAlign w:val="center"/>
          </w:tcPr>
          <w:p w14:paraId="3895D7E0">
            <w:pPr>
              <w:spacing w:line="360" w:lineRule="auto"/>
              <w:ind w:firstLine="480" w:firstLineChars="200"/>
              <w:rPr>
                <w:color w:val="auto"/>
                <w:sz w:val="24"/>
              </w:rPr>
            </w:pPr>
            <w:r>
              <w:rPr>
                <w:color w:val="auto"/>
                <w:sz w:val="24"/>
              </w:rPr>
              <w:t xml:space="preserve">1、施工废水防治措施 </w:t>
            </w:r>
          </w:p>
          <w:p w14:paraId="5E183499">
            <w:pPr>
              <w:spacing w:line="360" w:lineRule="auto"/>
              <w:ind w:firstLine="480" w:firstLineChars="200"/>
              <w:rPr>
                <w:color w:val="auto"/>
                <w:sz w:val="24"/>
              </w:rPr>
            </w:pPr>
            <w:r>
              <w:rPr>
                <w:snapToGrid w:val="0"/>
                <w:color w:val="auto"/>
                <w:kern w:val="0"/>
                <w:sz w:val="24"/>
              </w:rPr>
              <w:t>项目施工期</w:t>
            </w:r>
            <w:r>
              <w:rPr>
                <w:rFonts w:hint="eastAsia"/>
                <w:snapToGrid w:val="0"/>
                <w:color w:val="auto"/>
                <w:kern w:val="0"/>
                <w:sz w:val="24"/>
                <w:lang w:eastAsia="zh-CN"/>
              </w:rPr>
              <w:t>废水</w:t>
            </w:r>
            <w:r>
              <w:rPr>
                <w:snapToGrid w:val="0"/>
                <w:color w:val="auto"/>
                <w:kern w:val="0"/>
                <w:sz w:val="24"/>
              </w:rPr>
              <w:t>主要有施工废水和生活污水。</w:t>
            </w:r>
          </w:p>
          <w:p w14:paraId="1839492E">
            <w:pPr>
              <w:spacing w:line="360" w:lineRule="auto"/>
              <w:ind w:firstLine="480" w:firstLineChars="200"/>
              <w:rPr>
                <w:color w:val="auto"/>
                <w:sz w:val="24"/>
              </w:rPr>
            </w:pPr>
            <w:r>
              <w:rPr>
                <w:color w:val="auto"/>
                <w:sz w:val="24"/>
              </w:rPr>
              <w:t>本项目施工生产废水</w:t>
            </w:r>
            <w:r>
              <w:rPr>
                <w:rFonts w:hint="eastAsia"/>
                <w:color w:val="auto"/>
                <w:sz w:val="24"/>
              </w:rPr>
              <w:t>主要为</w:t>
            </w:r>
            <w:r>
              <w:rPr>
                <w:color w:val="auto"/>
                <w:sz w:val="24"/>
              </w:rPr>
              <w:t>施工设备、车辆清洗水，项目施工场地设置沉淀池，将施工废水收集于沉淀池中，经沉淀处理后回用于施工或洒水降尘，不外排。</w:t>
            </w:r>
          </w:p>
          <w:p w14:paraId="79591AE4">
            <w:pPr>
              <w:spacing w:line="360" w:lineRule="auto"/>
              <w:ind w:firstLine="480" w:firstLineChars="200"/>
              <w:rPr>
                <w:color w:val="auto"/>
                <w:sz w:val="24"/>
                <w:highlight w:val="none"/>
              </w:rPr>
            </w:pPr>
            <w:r>
              <w:rPr>
                <w:color w:val="auto"/>
                <w:sz w:val="24"/>
                <w:highlight w:val="none"/>
              </w:rPr>
              <w:t>施工现场人员以</w:t>
            </w:r>
            <w:r>
              <w:rPr>
                <w:rFonts w:hint="eastAsia"/>
                <w:color w:val="auto"/>
                <w:sz w:val="24"/>
                <w:highlight w:val="none"/>
                <w:lang w:val="en-US" w:eastAsia="zh-CN"/>
              </w:rPr>
              <w:t>10</w:t>
            </w:r>
            <w:r>
              <w:rPr>
                <w:color w:val="auto"/>
                <w:sz w:val="24"/>
                <w:highlight w:val="none"/>
              </w:rPr>
              <w:t>人计，</w:t>
            </w:r>
            <w:r>
              <w:rPr>
                <w:snapToGrid w:val="0"/>
                <w:color w:val="auto"/>
                <w:kern w:val="0"/>
                <w:sz w:val="24"/>
                <w:highlight w:val="none"/>
              </w:rPr>
              <w:t>施工营地施工人员人均用水量约</w:t>
            </w:r>
            <w:r>
              <w:rPr>
                <w:rFonts w:hint="eastAsia"/>
                <w:snapToGrid w:val="0"/>
                <w:color w:val="auto"/>
                <w:kern w:val="0"/>
                <w:sz w:val="24"/>
                <w:highlight w:val="none"/>
              </w:rPr>
              <w:t>40</w:t>
            </w:r>
            <w:r>
              <w:rPr>
                <w:snapToGrid w:val="0"/>
                <w:color w:val="auto"/>
                <w:kern w:val="0"/>
                <w:sz w:val="24"/>
                <w:highlight w:val="none"/>
              </w:rPr>
              <w:t>L/人·天，废水排放系数按0.8计算，每天排放生活污水约</w:t>
            </w:r>
            <w:r>
              <w:rPr>
                <w:rFonts w:hint="eastAsia"/>
                <w:snapToGrid w:val="0"/>
                <w:color w:val="auto"/>
                <w:kern w:val="0"/>
                <w:sz w:val="24"/>
                <w:highlight w:val="none"/>
                <w:lang w:val="en-US" w:eastAsia="zh-CN"/>
              </w:rPr>
              <w:t>0.32</w:t>
            </w:r>
            <w:r>
              <w:rPr>
                <w:snapToGrid w:val="0"/>
                <w:color w:val="auto"/>
                <w:kern w:val="0"/>
                <w:sz w:val="24"/>
                <w:highlight w:val="none"/>
              </w:rPr>
              <w:t>t/d。施工场地不设置食堂。施工人员生活污水进入临时防渗旱厕，定期清掏，外运堆肥处置。</w:t>
            </w:r>
          </w:p>
          <w:p w14:paraId="76C0D9DA">
            <w:pPr>
              <w:numPr>
                <w:ilvl w:val="0"/>
                <w:numId w:val="4"/>
              </w:numPr>
              <w:spacing w:line="360" w:lineRule="auto"/>
              <w:ind w:firstLine="480" w:firstLineChars="200"/>
              <w:rPr>
                <w:color w:val="auto"/>
                <w:sz w:val="24"/>
              </w:rPr>
            </w:pPr>
            <w:r>
              <w:rPr>
                <w:color w:val="auto"/>
                <w:sz w:val="24"/>
              </w:rPr>
              <w:t xml:space="preserve">施工废气防治措施 </w:t>
            </w:r>
          </w:p>
          <w:p w14:paraId="6E2C3C1A">
            <w:pPr>
              <w:spacing w:line="360" w:lineRule="auto"/>
              <w:ind w:firstLine="480" w:firstLineChars="200"/>
              <w:rPr>
                <w:color w:val="auto"/>
                <w:sz w:val="24"/>
              </w:rPr>
            </w:pPr>
            <w:r>
              <w:rPr>
                <w:rFonts w:hint="eastAsia"/>
                <w:color w:val="auto"/>
                <w:sz w:val="24"/>
              </w:rPr>
              <w:t>为使施工过程中产生的粉尘和废气对周围环境空气的影响降低到最小程度，建议采取以下防护措施：</w:t>
            </w:r>
          </w:p>
          <w:p w14:paraId="4A173CD7">
            <w:pPr>
              <w:spacing w:line="360" w:lineRule="auto"/>
              <w:ind w:firstLine="480" w:firstLineChars="200"/>
              <w:rPr>
                <w:color w:val="auto"/>
                <w:sz w:val="24"/>
              </w:rPr>
            </w:pPr>
            <w:r>
              <w:rPr>
                <w:rFonts w:hint="eastAsia"/>
                <w:color w:val="auto"/>
                <w:sz w:val="24"/>
              </w:rPr>
              <w:t xml:space="preserve">①在施工作业现场设置围挡，容易产生粉尘的施工过程应洒水作业，使作业面保持一定的湿度；对施工场地内松散、干涸的表土也应经常洒水防止粉尘、扬尘；回填土方时，在表层土质干燥时应适当洒水，防止粉尘飞扬； </w:t>
            </w:r>
          </w:p>
          <w:p w14:paraId="5C0501FD">
            <w:pPr>
              <w:spacing w:line="360" w:lineRule="auto"/>
              <w:ind w:firstLine="480" w:firstLineChars="200"/>
              <w:rPr>
                <w:color w:val="auto"/>
                <w:sz w:val="24"/>
              </w:rPr>
            </w:pPr>
            <w:r>
              <w:rPr>
                <w:rFonts w:hint="eastAsia"/>
                <w:color w:val="auto"/>
                <w:sz w:val="24"/>
              </w:rPr>
              <w:t>②加强回填土方堆放场的管理，要制定土方表面压实、定期喷水、覆盖等措施；不需要的泥土，建筑材料弃渣应及时运走，不宜长时间堆积；</w:t>
            </w:r>
          </w:p>
          <w:p w14:paraId="6268B244">
            <w:pPr>
              <w:spacing w:line="360" w:lineRule="auto"/>
              <w:ind w:firstLine="480" w:firstLineChars="200"/>
              <w:rPr>
                <w:color w:val="auto"/>
                <w:sz w:val="24"/>
              </w:rPr>
            </w:pPr>
            <w:r>
              <w:rPr>
                <w:rFonts w:hint="eastAsia"/>
                <w:color w:val="auto"/>
                <w:sz w:val="24"/>
              </w:rPr>
              <w:t>③</w:t>
            </w:r>
            <w:r>
              <w:rPr>
                <w:color w:val="auto"/>
                <w:sz w:val="24"/>
              </w:rPr>
              <w:t>运输车辆加蓬盖，且出装、卸场地前应先冲洗干净，减少车轮、底盘等携带泥土散落路面；</w:t>
            </w:r>
          </w:p>
          <w:p w14:paraId="5249B8A9">
            <w:pPr>
              <w:spacing w:line="360" w:lineRule="auto"/>
              <w:ind w:firstLine="480" w:firstLineChars="200"/>
              <w:rPr>
                <w:color w:val="auto"/>
                <w:sz w:val="24"/>
              </w:rPr>
            </w:pPr>
            <w:r>
              <w:rPr>
                <w:rFonts w:hint="eastAsia"/>
                <w:color w:val="auto"/>
                <w:sz w:val="24"/>
              </w:rPr>
              <w:t>④</w:t>
            </w:r>
            <w:r>
              <w:rPr>
                <w:color w:val="auto"/>
                <w:sz w:val="24"/>
              </w:rPr>
              <w:t>对运输过程中散落在路面上的泥土要及时清扫，以减少运行过程中的扬尘；</w:t>
            </w:r>
          </w:p>
          <w:p w14:paraId="166330A4">
            <w:pPr>
              <w:spacing w:line="360" w:lineRule="auto"/>
              <w:ind w:firstLine="480" w:firstLineChars="200"/>
              <w:rPr>
                <w:color w:val="auto"/>
                <w:sz w:val="24"/>
              </w:rPr>
            </w:pPr>
            <w:r>
              <w:rPr>
                <w:color w:val="auto"/>
                <w:sz w:val="24"/>
              </w:rPr>
              <w:t>经上述治理后，施工期颗粒物排放浓度满足《大气污染物综合排放标准》（GB16297-1996）表2中颗粒物无组织排放监控浓度限值要求，对周围环境空气的影响较小。</w:t>
            </w:r>
          </w:p>
          <w:p w14:paraId="4A3E3E32">
            <w:pPr>
              <w:numPr>
                <w:ilvl w:val="0"/>
                <w:numId w:val="4"/>
              </w:numPr>
              <w:spacing w:line="360" w:lineRule="auto"/>
              <w:ind w:firstLine="480" w:firstLineChars="200"/>
              <w:rPr>
                <w:color w:val="auto"/>
                <w:sz w:val="24"/>
              </w:rPr>
            </w:pPr>
            <w:r>
              <w:rPr>
                <w:color w:val="auto"/>
                <w:sz w:val="24"/>
              </w:rPr>
              <w:t xml:space="preserve">施工噪声防治措施 </w:t>
            </w:r>
          </w:p>
          <w:p w14:paraId="0C263BC2">
            <w:pPr>
              <w:spacing w:line="360" w:lineRule="auto"/>
              <w:ind w:firstLine="480" w:firstLineChars="200"/>
              <w:rPr>
                <w:color w:val="auto"/>
              </w:rPr>
            </w:pPr>
            <w:r>
              <w:rPr>
                <w:snapToGrid w:val="0"/>
                <w:color w:val="auto"/>
                <w:kern w:val="0"/>
                <w:sz w:val="24"/>
              </w:rPr>
              <w:t>施工期的噪声主要来源于施工机械，如推土机、装载机、挖掘机等设备，这些突发性非稳态声源将对施工人员和施工沿线声环境产生不利影响。施工阶段主要噪声源强一般为80-95</w:t>
            </w:r>
            <w:r>
              <w:rPr>
                <w:color w:val="auto"/>
                <w:kern w:val="0"/>
                <w:sz w:val="24"/>
              </w:rPr>
              <w:t>dB(A)。</w:t>
            </w:r>
          </w:p>
          <w:p w14:paraId="08D69C3D">
            <w:pPr>
              <w:spacing w:line="360" w:lineRule="auto"/>
              <w:ind w:firstLine="480" w:firstLineChars="200"/>
              <w:rPr>
                <w:color w:val="auto"/>
                <w:sz w:val="24"/>
              </w:rPr>
            </w:pPr>
            <w:r>
              <w:rPr>
                <w:color w:val="auto"/>
                <w:sz w:val="24"/>
              </w:rPr>
              <w:t>本项目应采取降噪、隔声以及控制施工时间等措施，确保把施工过程中产生的噪声减小到最小的程度，本项目环评建议采取以下措施确保施工噪声满足国家标准：</w:t>
            </w:r>
          </w:p>
          <w:p w14:paraId="0FB98B04">
            <w:pPr>
              <w:spacing w:line="360" w:lineRule="auto"/>
              <w:ind w:firstLine="480" w:firstLineChars="200"/>
              <w:rPr>
                <w:color w:val="auto"/>
                <w:sz w:val="24"/>
              </w:rPr>
            </w:pPr>
            <w:r>
              <w:rPr>
                <w:color w:val="auto"/>
                <w:sz w:val="24"/>
              </w:rPr>
              <w:t>（1）施工布置时对较高噪声值的固定设备应合理布局。运输车辆出入施工场地要低速行驶，并要合理安排运输路线，夜间不进行运输。除抢修、抢险作业外，不得在夜间进行产生噪声污染的施工作业。</w:t>
            </w:r>
          </w:p>
          <w:p w14:paraId="6B63F259">
            <w:pPr>
              <w:spacing w:line="360" w:lineRule="auto"/>
              <w:ind w:firstLine="480" w:firstLineChars="200"/>
              <w:rPr>
                <w:color w:val="auto"/>
                <w:sz w:val="24"/>
              </w:rPr>
            </w:pPr>
            <w:r>
              <w:rPr>
                <w:color w:val="auto"/>
                <w:sz w:val="24"/>
              </w:rPr>
              <w:t>（2）选用低噪声设备，加强设备的维护与管理。可固定的机械设备如空压机、电锯等安置在施工场地临时房间内，房屋内设吸声材料，降低噪声，使其向周围生活环境排放的建筑噪声，符合国家规定的建筑施工场界噪声限值。</w:t>
            </w:r>
          </w:p>
          <w:p w14:paraId="6939B208">
            <w:pPr>
              <w:spacing w:line="360" w:lineRule="auto"/>
              <w:ind w:firstLine="480" w:firstLineChars="200"/>
              <w:rPr>
                <w:color w:val="auto"/>
                <w:sz w:val="24"/>
              </w:rPr>
            </w:pPr>
            <w:r>
              <w:rPr>
                <w:color w:val="auto"/>
                <w:sz w:val="24"/>
              </w:rPr>
              <w:t>（3）向周围环境排放建筑施工噪声超过建筑施工场界噪声限值的，确因技术条件所限，不能通过治理消除环境噪声污染的，必须采取有效措施，把噪声污染降至最低，并在施工现场所在地区</w:t>
            </w:r>
            <w:r>
              <w:rPr>
                <w:rFonts w:hint="eastAsia"/>
                <w:color w:val="auto"/>
                <w:sz w:val="24"/>
                <w:lang w:eastAsia="zh-CN"/>
              </w:rPr>
              <w:t>生态环境</w:t>
            </w:r>
            <w:r>
              <w:rPr>
                <w:color w:val="auto"/>
                <w:sz w:val="24"/>
              </w:rPr>
              <w:t>主管部门监督下与受其噪声污染的居民组织和有关单位协商，达成一致后，方可施工。</w:t>
            </w:r>
          </w:p>
          <w:p w14:paraId="42396583">
            <w:pPr>
              <w:spacing w:line="360" w:lineRule="auto"/>
              <w:ind w:firstLine="480" w:firstLineChars="200"/>
              <w:rPr>
                <w:color w:val="auto"/>
                <w:sz w:val="24"/>
              </w:rPr>
            </w:pPr>
            <w:r>
              <w:rPr>
                <w:color w:val="auto"/>
                <w:sz w:val="24"/>
              </w:rPr>
              <w:t>（4）施工现场合理布局，以避免局部声级过高，尽可能将施工阶段的噪声减至最小。</w:t>
            </w:r>
          </w:p>
          <w:p w14:paraId="3C54BA71">
            <w:pPr>
              <w:spacing w:line="360" w:lineRule="auto"/>
              <w:ind w:firstLine="480" w:firstLineChars="200"/>
              <w:rPr>
                <w:color w:val="auto"/>
                <w:sz w:val="24"/>
              </w:rPr>
            </w:pPr>
            <w:r>
              <w:rPr>
                <w:color w:val="auto"/>
                <w:sz w:val="24"/>
              </w:rPr>
              <w:t>（5）现场施工人员要严加管理，要求文明施工。</w:t>
            </w:r>
          </w:p>
          <w:p w14:paraId="1FB606D4">
            <w:pPr>
              <w:spacing w:line="360" w:lineRule="auto"/>
              <w:ind w:firstLine="480" w:firstLineChars="200"/>
              <w:rPr>
                <w:bCs/>
                <w:color w:val="auto"/>
                <w:sz w:val="24"/>
              </w:rPr>
            </w:pPr>
            <w:r>
              <w:rPr>
                <w:bCs/>
                <w:color w:val="auto"/>
                <w:sz w:val="24"/>
              </w:rPr>
              <w:t>经上述治理后，施工期产生的噪声满足《建筑施工场界环境噪声排放标准》（GB12523-2011）中要求。</w:t>
            </w:r>
          </w:p>
          <w:p w14:paraId="29C00D27">
            <w:pPr>
              <w:pStyle w:val="40"/>
              <w:numPr>
                <w:ilvl w:val="0"/>
                <w:numId w:val="4"/>
              </w:numPr>
              <w:adjustRightInd/>
              <w:spacing w:line="360" w:lineRule="auto"/>
              <w:ind w:firstLine="480" w:firstLineChars="200"/>
              <w:jc w:val="both"/>
              <w:rPr>
                <w:rFonts w:ascii="Times New Roman" w:eastAsia="宋体" w:cs="Times New Roman"/>
                <w:color w:val="auto"/>
              </w:rPr>
            </w:pPr>
            <w:r>
              <w:rPr>
                <w:rFonts w:ascii="Times New Roman" w:eastAsia="宋体" w:cs="Times New Roman"/>
                <w:color w:val="auto"/>
              </w:rPr>
              <w:t xml:space="preserve">施工期固体废物影响分析 </w:t>
            </w:r>
          </w:p>
          <w:p w14:paraId="49505F5E">
            <w:pPr>
              <w:pStyle w:val="40"/>
              <w:adjustRightInd/>
              <w:spacing w:line="360" w:lineRule="auto"/>
              <w:ind w:firstLine="480" w:firstLineChars="200"/>
              <w:jc w:val="both"/>
              <w:rPr>
                <w:rFonts w:ascii="Times New Roman" w:eastAsia="宋体" w:cs="Times New Roman"/>
                <w:color w:val="auto"/>
              </w:rPr>
            </w:pPr>
            <w:r>
              <w:rPr>
                <w:rFonts w:ascii="Times New Roman" w:eastAsia="宋体" w:cs="Times New Roman"/>
                <w:color w:val="auto"/>
              </w:rPr>
              <w:t>施工阶段的固体废弃物主要为施工人员产生的生活垃圾和土建施工产生的建筑垃圾。施工过程产生的建筑垃圾，需按建筑垃圾有关管理要求及时清</w:t>
            </w:r>
            <w:r>
              <w:rPr>
                <w:rFonts w:hint="eastAsia" w:ascii="Times New Roman" w:eastAsia="宋体" w:cs="Times New Roman"/>
                <w:color w:val="auto"/>
              </w:rPr>
              <w:t>运至指定地点倾倒</w:t>
            </w:r>
            <w:r>
              <w:rPr>
                <w:rFonts w:ascii="Times New Roman" w:eastAsia="宋体" w:cs="Times New Roman"/>
                <w:color w:val="auto"/>
              </w:rPr>
              <w:t>或施工现场进行综合利用。</w:t>
            </w:r>
          </w:p>
          <w:p w14:paraId="4A71713C">
            <w:pPr>
              <w:pStyle w:val="40"/>
              <w:adjustRightInd/>
              <w:spacing w:line="360" w:lineRule="auto"/>
              <w:ind w:firstLine="480" w:firstLineChars="200"/>
              <w:jc w:val="both"/>
              <w:rPr>
                <w:rFonts w:ascii="Times New Roman" w:eastAsia="宋体" w:cs="Times New Roman"/>
                <w:color w:val="auto"/>
              </w:rPr>
            </w:pPr>
            <w:r>
              <w:rPr>
                <w:rFonts w:ascii="Times New Roman" w:eastAsia="宋体" w:cs="Times New Roman"/>
                <w:color w:val="auto"/>
              </w:rPr>
              <w:t>施工人员生活垃圾产生量若按每人每日0.5kg 计，施工人员平均按</w:t>
            </w:r>
            <w:r>
              <w:rPr>
                <w:rFonts w:hint="eastAsia" w:ascii="Times New Roman" w:eastAsia="宋体" w:cs="Times New Roman"/>
                <w:color w:val="auto"/>
                <w:lang w:val="en-US" w:eastAsia="zh-CN"/>
              </w:rPr>
              <w:t>10</w:t>
            </w:r>
            <w:r>
              <w:rPr>
                <w:rFonts w:ascii="Times New Roman" w:eastAsia="宋体" w:cs="Times New Roman"/>
                <w:color w:val="auto"/>
              </w:rPr>
              <w:t>人计，共产生生活垃圾</w:t>
            </w:r>
            <w:r>
              <w:rPr>
                <w:rFonts w:hint="eastAsia" w:ascii="Times New Roman" w:eastAsia="宋体" w:cs="Times New Roman"/>
                <w:color w:val="auto"/>
                <w:lang w:val="en-US" w:eastAsia="zh-CN"/>
              </w:rPr>
              <w:t>5</w:t>
            </w:r>
            <w:r>
              <w:rPr>
                <w:rFonts w:ascii="Times New Roman" w:eastAsia="宋体" w:cs="Times New Roman"/>
                <w:color w:val="auto"/>
              </w:rPr>
              <w:t>kg/d，则共产生生活垃圾</w:t>
            </w:r>
            <w:r>
              <w:rPr>
                <w:rFonts w:hint="eastAsia" w:ascii="Times New Roman" w:eastAsia="宋体" w:cs="Times New Roman"/>
                <w:color w:val="auto"/>
                <w:lang w:val="en-US" w:eastAsia="zh-CN"/>
              </w:rPr>
              <w:t>0.3</w:t>
            </w:r>
            <w:r>
              <w:rPr>
                <w:rFonts w:ascii="Times New Roman" w:eastAsia="宋体" w:cs="Times New Roman"/>
                <w:color w:val="auto"/>
              </w:rPr>
              <w:t xml:space="preserve">t。由市政环卫部门统一收集处理。 </w:t>
            </w:r>
          </w:p>
          <w:p w14:paraId="7488C54C">
            <w:pPr>
              <w:pStyle w:val="4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baseline"/>
              <w:rPr>
                <w:rFonts w:ascii="Times New Roman" w:eastAsia="宋体" w:cs="Times New Roman"/>
                <w:color w:val="auto"/>
              </w:rPr>
            </w:pPr>
            <w:r>
              <w:rPr>
                <w:rFonts w:ascii="Times New Roman" w:eastAsia="宋体" w:cs="Times New Roman"/>
                <w:color w:val="auto"/>
              </w:rPr>
              <w:t>本工程采取上述措施后，不会对环境造成较大影响。随着施工过程结束对周边环境的影响同时结束，对周围环境影响污染较小。</w:t>
            </w:r>
          </w:p>
        </w:tc>
      </w:tr>
      <w:tr w14:paraId="0F7D0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51" w:hRule="atLeast"/>
          <w:jc w:val="center"/>
        </w:trPr>
        <w:tc>
          <w:tcPr>
            <w:tcW w:w="528" w:type="dxa"/>
            <w:tcMar>
              <w:left w:w="28" w:type="dxa"/>
              <w:right w:w="28" w:type="dxa"/>
            </w:tcMar>
            <w:vAlign w:val="center"/>
          </w:tcPr>
          <w:p w14:paraId="09B5E239">
            <w:pPr>
              <w:adjustRightInd w:val="0"/>
              <w:snapToGrid w:val="0"/>
              <w:jc w:val="center"/>
              <w:rPr>
                <w:b/>
                <w:color w:val="auto"/>
                <w:sz w:val="24"/>
              </w:rPr>
            </w:pPr>
            <w:r>
              <w:rPr>
                <w:b/>
                <w:color w:val="auto"/>
                <w:sz w:val="24"/>
              </w:rPr>
              <w:t>运营</w:t>
            </w:r>
          </w:p>
          <w:p w14:paraId="656B9E85">
            <w:pPr>
              <w:adjustRightInd w:val="0"/>
              <w:snapToGrid w:val="0"/>
              <w:jc w:val="center"/>
              <w:rPr>
                <w:b/>
                <w:color w:val="auto"/>
                <w:sz w:val="24"/>
              </w:rPr>
            </w:pPr>
            <w:r>
              <w:rPr>
                <w:b/>
                <w:color w:val="auto"/>
                <w:sz w:val="24"/>
              </w:rPr>
              <w:t>期环</w:t>
            </w:r>
          </w:p>
          <w:p w14:paraId="5DED57EE">
            <w:pPr>
              <w:adjustRightInd w:val="0"/>
              <w:snapToGrid w:val="0"/>
              <w:jc w:val="center"/>
              <w:rPr>
                <w:b/>
                <w:color w:val="auto"/>
                <w:sz w:val="24"/>
              </w:rPr>
            </w:pPr>
            <w:r>
              <w:rPr>
                <w:b/>
                <w:color w:val="auto"/>
                <w:sz w:val="24"/>
              </w:rPr>
              <w:t>境影</w:t>
            </w:r>
          </w:p>
          <w:p w14:paraId="45066C18">
            <w:pPr>
              <w:adjustRightInd w:val="0"/>
              <w:snapToGrid w:val="0"/>
              <w:jc w:val="center"/>
              <w:rPr>
                <w:b/>
                <w:color w:val="auto"/>
                <w:sz w:val="24"/>
              </w:rPr>
            </w:pPr>
            <w:r>
              <w:rPr>
                <w:b/>
                <w:color w:val="auto"/>
                <w:sz w:val="24"/>
              </w:rPr>
              <w:t>响和</w:t>
            </w:r>
          </w:p>
          <w:p w14:paraId="6A181D8A">
            <w:pPr>
              <w:adjustRightInd w:val="0"/>
              <w:snapToGrid w:val="0"/>
              <w:jc w:val="center"/>
              <w:rPr>
                <w:b/>
                <w:color w:val="auto"/>
                <w:sz w:val="24"/>
              </w:rPr>
            </w:pPr>
            <w:r>
              <w:rPr>
                <w:b/>
                <w:color w:val="auto"/>
                <w:sz w:val="24"/>
              </w:rPr>
              <w:t>保护</w:t>
            </w:r>
          </w:p>
          <w:p w14:paraId="51BEA0F7">
            <w:pPr>
              <w:adjustRightInd w:val="0"/>
              <w:snapToGrid w:val="0"/>
              <w:jc w:val="center"/>
              <w:rPr>
                <w:bCs/>
                <w:color w:val="auto"/>
                <w:szCs w:val="21"/>
              </w:rPr>
            </w:pPr>
            <w:r>
              <w:rPr>
                <w:b/>
                <w:color w:val="auto"/>
                <w:sz w:val="24"/>
              </w:rPr>
              <w:t>措施</w:t>
            </w:r>
          </w:p>
        </w:tc>
        <w:tc>
          <w:tcPr>
            <w:tcW w:w="9062" w:type="dxa"/>
          </w:tcPr>
          <w:p w14:paraId="1F9EE7D1">
            <w:pPr>
              <w:widowControl/>
              <w:spacing w:line="360" w:lineRule="auto"/>
              <w:ind w:firstLine="482" w:firstLineChars="200"/>
              <w:rPr>
                <w:b/>
                <w:bCs/>
                <w:color w:val="auto"/>
                <w:kern w:val="0"/>
                <w:sz w:val="24"/>
              </w:rPr>
            </w:pPr>
            <w:r>
              <w:rPr>
                <w:rFonts w:hint="eastAsia"/>
                <w:b/>
                <w:bCs/>
                <w:color w:val="auto"/>
                <w:kern w:val="0"/>
                <w:sz w:val="24"/>
              </w:rPr>
              <w:t>一</w:t>
            </w:r>
            <w:r>
              <w:rPr>
                <w:b/>
                <w:bCs/>
                <w:color w:val="auto"/>
                <w:kern w:val="0"/>
                <w:sz w:val="24"/>
              </w:rPr>
              <w:t>、废气</w:t>
            </w:r>
          </w:p>
          <w:p w14:paraId="78A56A50">
            <w:pPr>
              <w:pStyle w:val="132"/>
              <w:ind w:firstLine="480"/>
              <w:rPr>
                <w:rFonts w:hint="eastAsia" w:eastAsia="宋体" w:cs="Times New Roman"/>
                <w:bCs/>
                <w:color w:val="auto"/>
                <w:sz w:val="24"/>
                <w:highlight w:val="none"/>
                <w:lang w:val="en-US" w:eastAsia="zh-CN"/>
              </w:rPr>
            </w:pPr>
            <w:r>
              <w:rPr>
                <w:rFonts w:hint="eastAsia" w:cs="Times New Roman"/>
                <w:bCs/>
                <w:color w:val="auto"/>
                <w:sz w:val="24"/>
                <w:highlight w:val="none"/>
                <w:lang w:val="en-US" w:eastAsia="zh-CN"/>
              </w:rPr>
              <w:t>1、废气产生情况</w:t>
            </w:r>
          </w:p>
          <w:p w14:paraId="0EF9F6D5">
            <w:pPr>
              <w:widowControl/>
              <w:spacing w:line="360" w:lineRule="auto"/>
              <w:ind w:firstLine="480" w:firstLineChars="200"/>
              <w:rPr>
                <w:color w:val="auto"/>
                <w:sz w:val="24"/>
                <w:highlight w:val="none"/>
              </w:rPr>
            </w:pPr>
            <w:r>
              <w:rPr>
                <w:color w:val="auto"/>
                <w:sz w:val="24"/>
                <w:highlight w:val="none"/>
              </w:rPr>
              <w:t>本项目主要废气</w:t>
            </w:r>
            <w:r>
              <w:rPr>
                <w:rFonts w:hint="eastAsia"/>
                <w:color w:val="auto"/>
                <w:sz w:val="24"/>
                <w:highlight w:val="none"/>
              </w:rPr>
              <w:t>主要</w:t>
            </w:r>
            <w:r>
              <w:rPr>
                <w:color w:val="auto"/>
                <w:sz w:val="24"/>
                <w:highlight w:val="none"/>
              </w:rPr>
              <w:t>为</w:t>
            </w:r>
            <w:r>
              <w:rPr>
                <w:rFonts w:hint="eastAsia"/>
                <w:color w:val="auto"/>
                <w:sz w:val="24"/>
                <w:highlight w:val="none"/>
              </w:rPr>
              <w:t>玉米</w:t>
            </w:r>
            <w:r>
              <w:rPr>
                <w:color w:val="auto"/>
                <w:sz w:val="24"/>
                <w:highlight w:val="none"/>
              </w:rPr>
              <w:t>装卸、筛分、输送等</w:t>
            </w:r>
            <w:r>
              <w:rPr>
                <w:rFonts w:hint="eastAsia"/>
                <w:color w:val="auto"/>
                <w:sz w:val="24"/>
                <w:highlight w:val="none"/>
              </w:rPr>
              <w:t>过程</w:t>
            </w:r>
            <w:r>
              <w:rPr>
                <w:color w:val="auto"/>
                <w:sz w:val="24"/>
                <w:highlight w:val="none"/>
              </w:rPr>
              <w:t>产生的颗粒物</w:t>
            </w:r>
            <w:r>
              <w:rPr>
                <w:rFonts w:hint="eastAsia"/>
                <w:color w:val="auto"/>
                <w:sz w:val="24"/>
                <w:highlight w:val="none"/>
                <w:lang w:eastAsia="zh-CN"/>
              </w:rPr>
              <w:t>；</w:t>
            </w:r>
            <w:r>
              <w:rPr>
                <w:rFonts w:hint="eastAsia"/>
                <w:color w:val="auto"/>
                <w:sz w:val="24"/>
                <w:highlight w:val="none"/>
              </w:rPr>
              <w:t>玉米烘干过程</w:t>
            </w:r>
            <w:r>
              <w:rPr>
                <w:color w:val="auto"/>
                <w:sz w:val="24"/>
                <w:highlight w:val="none"/>
              </w:rPr>
              <w:t>产生的颗粒物</w:t>
            </w:r>
            <w:r>
              <w:rPr>
                <w:rFonts w:hint="eastAsia"/>
                <w:color w:val="auto"/>
                <w:sz w:val="24"/>
                <w:highlight w:val="none"/>
                <w:lang w:eastAsia="zh-CN"/>
              </w:rPr>
              <w:t>；</w:t>
            </w:r>
            <w:r>
              <w:rPr>
                <w:rFonts w:hint="eastAsia"/>
                <w:color w:val="auto"/>
                <w:sz w:val="24"/>
                <w:highlight w:val="none"/>
              </w:rPr>
              <w:t>热风炉产生的含烟尘、二氧化硫、氮氧化物</w:t>
            </w:r>
            <w:r>
              <w:rPr>
                <w:rFonts w:hint="eastAsia"/>
                <w:color w:val="auto"/>
                <w:sz w:val="24"/>
                <w:highlight w:val="none"/>
                <w:lang w:eastAsia="zh-CN"/>
              </w:rPr>
              <w:t>、汞和烟气黑度</w:t>
            </w:r>
            <w:r>
              <w:rPr>
                <w:rFonts w:hint="eastAsia"/>
                <w:color w:val="auto"/>
                <w:sz w:val="24"/>
                <w:highlight w:val="none"/>
              </w:rPr>
              <w:t>的烟气</w:t>
            </w:r>
            <w:r>
              <w:rPr>
                <w:color w:val="auto"/>
                <w:sz w:val="24"/>
                <w:highlight w:val="none"/>
              </w:rPr>
              <w:t>。为降低颗粒物排放量，</w:t>
            </w:r>
            <w:r>
              <w:rPr>
                <w:rFonts w:hint="eastAsia"/>
                <w:color w:val="auto"/>
                <w:sz w:val="24"/>
                <w:highlight w:val="none"/>
              </w:rPr>
              <w:t>本项目</w:t>
            </w:r>
            <w:r>
              <w:rPr>
                <w:color w:val="auto"/>
                <w:sz w:val="24"/>
                <w:highlight w:val="none"/>
              </w:rPr>
              <w:t>采取</w:t>
            </w:r>
            <w:r>
              <w:rPr>
                <w:rFonts w:hint="eastAsia"/>
                <w:color w:val="auto"/>
                <w:sz w:val="24"/>
                <w:highlight w:val="none"/>
              </w:rPr>
              <w:t>输送传送带封闭设置，</w:t>
            </w:r>
            <w:r>
              <w:rPr>
                <w:rFonts w:hint="eastAsia"/>
                <w:color w:val="auto"/>
                <w:sz w:val="24"/>
                <w:highlight w:val="none"/>
                <w:lang w:val="en-US" w:eastAsia="zh-CN"/>
              </w:rPr>
              <w:t>装卸区采取密闭装卸，</w:t>
            </w:r>
            <w:r>
              <w:rPr>
                <w:rFonts w:hint="eastAsia"/>
                <w:color w:val="auto"/>
                <w:sz w:val="24"/>
                <w:highlight w:val="none"/>
              </w:rPr>
              <w:t>清选工艺采用封闭式清理筛；</w:t>
            </w:r>
            <w:r>
              <w:rPr>
                <w:rFonts w:hint="eastAsia" w:ascii="Times New Roman" w:hAnsi="Times New Roman" w:eastAsia="宋体" w:cs="Times New Roman"/>
                <w:bCs/>
                <w:color w:val="auto"/>
                <w:sz w:val="24"/>
                <w:highlight w:val="none"/>
                <w:lang w:val="en-US" w:eastAsia="zh-CN"/>
              </w:rPr>
              <w:t>烘干塔塔体设置彩钢罩</w:t>
            </w:r>
            <w:r>
              <w:rPr>
                <w:rFonts w:hint="eastAsia"/>
                <w:color w:val="auto"/>
                <w:sz w:val="24"/>
                <w:highlight w:val="none"/>
                <w:lang w:eastAsia="zh-CN"/>
              </w:rPr>
              <w:t>、塔底设置围挡</w:t>
            </w:r>
            <w:r>
              <w:rPr>
                <w:rFonts w:hint="eastAsia"/>
                <w:color w:val="auto"/>
                <w:sz w:val="24"/>
                <w:highlight w:val="none"/>
              </w:rPr>
              <w:t>，有效降低颗粒物无组织排放量。热风炉烟气经布袋除尘器净化后由</w:t>
            </w:r>
            <w:r>
              <w:rPr>
                <w:rFonts w:hint="eastAsia"/>
                <w:color w:val="auto"/>
                <w:sz w:val="24"/>
                <w:highlight w:val="none"/>
                <w:lang w:eastAsia="zh-CN"/>
              </w:rPr>
              <w:t>15m</w:t>
            </w:r>
            <w:r>
              <w:rPr>
                <w:rFonts w:hint="eastAsia"/>
                <w:color w:val="auto"/>
                <w:sz w:val="24"/>
                <w:highlight w:val="none"/>
              </w:rPr>
              <w:t>高烟囱高空排放。热风炉布袋除尘器及炉底定期清灰后，灰渣直接装袋封装，灰渣仓临时堆放，产生少量粉尘可忽略不计。</w:t>
            </w:r>
          </w:p>
          <w:p w14:paraId="1AF3D4CD">
            <w:pPr>
              <w:widowControl/>
              <w:spacing w:line="360" w:lineRule="auto"/>
              <w:ind w:firstLine="480" w:firstLineChars="200"/>
              <w:rPr>
                <w:color w:val="auto"/>
                <w:sz w:val="24"/>
                <w:highlight w:val="none"/>
              </w:rPr>
            </w:pPr>
            <w:r>
              <w:rPr>
                <w:color w:val="auto"/>
                <w:sz w:val="24"/>
                <w:highlight w:val="none"/>
              </w:rPr>
              <w:t>废气污染源源强核算内容如下：</w:t>
            </w:r>
          </w:p>
          <w:p w14:paraId="40121F0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hint="eastAsia"/>
                <w:color w:val="auto"/>
                <w:sz w:val="24"/>
                <w:highlight w:val="none"/>
              </w:rPr>
              <w:t>（1）玉米</w:t>
            </w:r>
            <w:r>
              <w:rPr>
                <w:color w:val="auto"/>
                <w:sz w:val="24"/>
                <w:highlight w:val="none"/>
              </w:rPr>
              <w:t>装卸、筛分、输送等过程颗粒物</w:t>
            </w:r>
            <w:r>
              <w:rPr>
                <w:rFonts w:hint="eastAsia"/>
                <w:color w:val="auto"/>
                <w:sz w:val="24"/>
                <w:highlight w:val="none"/>
              </w:rPr>
              <w:t>无</w:t>
            </w:r>
            <w:r>
              <w:rPr>
                <w:color w:val="auto"/>
                <w:sz w:val="24"/>
                <w:highlight w:val="none"/>
              </w:rPr>
              <w:t>组织排放</w:t>
            </w:r>
          </w:p>
          <w:p w14:paraId="6C74B7B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bCs/>
                <w:color w:val="auto"/>
                <w:szCs w:val="21"/>
                <w:highlight w:val="none"/>
              </w:rPr>
            </w:pPr>
            <w:r>
              <w:rPr>
                <w:rFonts w:hint="eastAsia" w:ascii="Times New Roman" w:hAnsi="Times New Roman" w:eastAsia="宋体" w:cs="Times New Roman"/>
                <w:color w:val="auto"/>
                <w:spacing w:val="0"/>
                <w:sz w:val="24"/>
                <w:szCs w:val="24"/>
                <w:highlight w:val="none"/>
                <w:lang w:val="en-US" w:eastAsia="zh-CN"/>
              </w:rPr>
              <w:t>根据</w:t>
            </w:r>
            <w:r>
              <w:rPr>
                <w:rFonts w:hint="default" w:ascii="Times New Roman" w:hAnsi="Times New Roman" w:eastAsia="宋体" w:cs="Times New Roman"/>
                <w:color w:val="auto"/>
                <w:spacing w:val="0"/>
                <w:sz w:val="24"/>
                <w:szCs w:val="24"/>
                <w:highlight w:val="none"/>
                <w:lang w:val="en-US" w:eastAsia="zh-CN"/>
              </w:rPr>
              <w:t>《逸散性工业粉尘控制技术（中国环境科学出版社）》，</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第五章 谷物贮存</w:t>
            </w:r>
            <w:r>
              <w:rPr>
                <w:rFonts w:hint="eastAsia" w:ascii="Times New Roman" w:hAnsi="Times New Roman" w:eastAsia="宋体" w:cs="Times New Roman"/>
                <w:color w:val="auto"/>
                <w:spacing w:val="0"/>
                <w:sz w:val="24"/>
                <w:szCs w:val="24"/>
                <w:highlight w:val="none"/>
                <w:lang w:val="en-US" w:eastAsia="zh-CN"/>
              </w:rPr>
              <w:t>”中“过筛和清理”的逸散尘排放因子为0.1kg/t（过筛和清理料），本项目运营期年加工</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w:t>
            </w:r>
            <w:r>
              <w:rPr>
                <w:rFonts w:hint="eastAsia" w:cs="Times New Roman"/>
                <w:color w:val="auto"/>
                <w:spacing w:val="0"/>
                <w:sz w:val="24"/>
                <w:szCs w:val="24"/>
                <w:highlight w:val="none"/>
                <w:lang w:val="en-US" w:eastAsia="zh-CN"/>
              </w:rPr>
              <w:t>25000</w:t>
            </w:r>
            <w:r>
              <w:rPr>
                <w:rFonts w:hint="eastAsia" w:ascii="Times New Roman" w:hAnsi="Times New Roman" w:eastAsia="宋体" w:cs="Times New Roman"/>
                <w:color w:val="auto"/>
                <w:spacing w:val="0"/>
                <w:sz w:val="24"/>
                <w:szCs w:val="24"/>
                <w:highlight w:val="none"/>
                <w:lang w:val="en-US" w:eastAsia="zh-CN"/>
              </w:rPr>
              <w:t>t，因此颗粒物的产生量为</w:t>
            </w:r>
            <w:r>
              <w:rPr>
                <w:rFonts w:hint="eastAsia" w:cs="Times New Roman"/>
                <w:color w:val="auto"/>
                <w:spacing w:val="0"/>
                <w:sz w:val="24"/>
                <w:szCs w:val="24"/>
                <w:highlight w:val="none"/>
                <w:lang w:val="en-US" w:eastAsia="zh-CN"/>
              </w:rPr>
              <w:t>2.</w:t>
            </w:r>
            <w:r>
              <w:rPr>
                <w:rFonts w:hint="eastAsia" w:ascii="Times New Roman" w:hAnsi="Times New Roman" w:eastAsia="宋体" w:cs="Times New Roman"/>
                <w:color w:val="auto"/>
                <w:spacing w:val="0"/>
                <w:sz w:val="24"/>
                <w:szCs w:val="24"/>
                <w:highlight w:val="none"/>
                <w:lang w:val="en-US" w:eastAsia="zh-CN"/>
              </w:rPr>
              <w:t>5t/a，</w:t>
            </w:r>
            <w:r>
              <w:rPr>
                <w:rFonts w:hint="eastAsia" w:cs="Times New Roman"/>
                <w:color w:val="auto"/>
                <w:spacing w:val="0"/>
                <w:sz w:val="24"/>
                <w:szCs w:val="24"/>
                <w:highlight w:val="none"/>
                <w:lang w:val="en-US" w:eastAsia="zh-CN"/>
              </w:rPr>
              <w:t>2.08</w:t>
            </w:r>
            <w:r>
              <w:rPr>
                <w:rFonts w:hint="eastAsia" w:ascii="Times New Roman" w:hAnsi="Times New Roman" w:eastAsia="宋体" w:cs="Times New Roman"/>
                <w:color w:val="auto"/>
                <w:spacing w:val="0"/>
                <w:sz w:val="24"/>
                <w:szCs w:val="24"/>
                <w:highlight w:val="none"/>
                <w:lang w:val="en-US" w:eastAsia="zh-CN"/>
              </w:rPr>
              <w:t>kg/h。本项目采取输送传送带封闭设置，</w:t>
            </w:r>
            <w:r>
              <w:rPr>
                <w:rFonts w:hint="eastAsia" w:cs="Times New Roman"/>
                <w:color w:val="auto"/>
                <w:spacing w:val="0"/>
                <w:sz w:val="24"/>
                <w:szCs w:val="24"/>
                <w:highlight w:val="none"/>
                <w:lang w:val="en-US" w:eastAsia="zh-CN"/>
              </w:rPr>
              <w:t>装卸区采取密闭装卸，</w:t>
            </w:r>
            <w:r>
              <w:rPr>
                <w:rFonts w:hint="eastAsia" w:ascii="Times New Roman" w:hAnsi="Times New Roman" w:eastAsia="宋体" w:cs="Times New Roman"/>
                <w:color w:val="auto"/>
                <w:spacing w:val="0"/>
                <w:sz w:val="24"/>
                <w:szCs w:val="24"/>
                <w:highlight w:val="none"/>
                <w:lang w:val="en-US" w:eastAsia="zh-CN"/>
              </w:rPr>
              <w:t>清选工艺采用封闭式清理筛，根据《逸散性工业粉尘控制技术</w:t>
            </w:r>
            <w:r>
              <w:rPr>
                <w:rFonts w:hint="default" w:ascii="Times New Roman" w:hAnsi="Times New Roman" w:eastAsia="宋体" w:cs="Times New Roman"/>
                <w:color w:val="auto"/>
                <w:spacing w:val="0"/>
                <w:sz w:val="24"/>
                <w:szCs w:val="24"/>
                <w:highlight w:val="none"/>
                <w:lang w:val="en-US" w:eastAsia="zh-CN"/>
              </w:rPr>
              <w:t>（中国环境科学出版社）</w:t>
            </w:r>
            <w:r>
              <w:rPr>
                <w:rFonts w:hint="eastAsia" w:ascii="Times New Roman" w:hAnsi="Times New Roman" w:eastAsia="宋体" w:cs="Times New Roman"/>
                <w:color w:val="auto"/>
                <w:spacing w:val="0"/>
                <w:sz w:val="24"/>
                <w:szCs w:val="24"/>
                <w:highlight w:val="none"/>
                <w:lang w:val="en-US" w:eastAsia="zh-CN"/>
              </w:rPr>
              <w:t>》采取上述措施后颗粒物排放量可减少约90%，颗粒物排放量约为0.</w:t>
            </w:r>
            <w:r>
              <w:rPr>
                <w:rFonts w:hint="eastAsia" w:cs="Times New Roman"/>
                <w:color w:val="auto"/>
                <w:spacing w:val="0"/>
                <w:sz w:val="24"/>
                <w:szCs w:val="24"/>
                <w:highlight w:val="none"/>
                <w:lang w:val="en-US" w:eastAsia="zh-CN"/>
              </w:rPr>
              <w:t>2</w:t>
            </w:r>
            <w:r>
              <w:rPr>
                <w:rFonts w:hint="eastAsia" w:ascii="Times New Roman" w:hAnsi="Times New Roman" w:eastAsia="宋体" w:cs="Times New Roman"/>
                <w:color w:val="auto"/>
                <w:spacing w:val="0"/>
                <w:sz w:val="24"/>
                <w:szCs w:val="24"/>
                <w:highlight w:val="none"/>
                <w:lang w:val="en-US" w:eastAsia="zh-CN"/>
              </w:rPr>
              <w:t>5t/a，</w:t>
            </w:r>
            <w:r>
              <w:rPr>
                <w:rFonts w:hint="eastAsia" w:cs="Times New Roman"/>
                <w:color w:val="auto"/>
                <w:spacing w:val="0"/>
                <w:sz w:val="24"/>
                <w:szCs w:val="24"/>
                <w:highlight w:val="none"/>
                <w:lang w:val="en-US" w:eastAsia="zh-CN"/>
              </w:rPr>
              <w:t>0.208</w:t>
            </w:r>
            <w:r>
              <w:rPr>
                <w:rFonts w:hint="eastAsia" w:ascii="Times New Roman" w:hAnsi="Times New Roman" w:eastAsia="宋体" w:cs="Times New Roman"/>
                <w:color w:val="auto"/>
                <w:spacing w:val="0"/>
                <w:sz w:val="24"/>
                <w:szCs w:val="24"/>
                <w:highlight w:val="none"/>
                <w:lang w:val="en-US" w:eastAsia="zh-CN"/>
              </w:rPr>
              <w:t>kg/h。</w:t>
            </w:r>
          </w:p>
          <w:p w14:paraId="6D0A6BB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hint="eastAsia"/>
                <w:color w:val="auto"/>
                <w:sz w:val="24"/>
                <w:highlight w:val="none"/>
              </w:rPr>
              <w:t>（2）烘干塔颗粒物无</w:t>
            </w:r>
            <w:r>
              <w:rPr>
                <w:color w:val="auto"/>
                <w:sz w:val="24"/>
                <w:highlight w:val="none"/>
              </w:rPr>
              <w:t>组织排放</w:t>
            </w:r>
          </w:p>
          <w:p w14:paraId="3DE42CEC">
            <w:pPr>
              <w:pStyle w:val="132"/>
              <w:keepNext w:val="0"/>
              <w:keepLines w:val="0"/>
              <w:pageBreakBefore w:val="0"/>
              <w:kinsoku/>
              <w:wordWrap/>
              <w:overflowPunct/>
              <w:topLinePunct w:val="0"/>
              <w:autoSpaceDE/>
              <w:autoSpaceDN/>
              <w:bidi w:val="0"/>
              <w:adjustRightInd/>
              <w:snapToGrid/>
              <w:spacing w:line="360" w:lineRule="auto"/>
              <w:ind w:firstLine="480"/>
              <w:textAlignment w:val="auto"/>
              <w:rPr>
                <w:color w:val="auto"/>
                <w:sz w:val="24"/>
                <w:highlight w:val="none"/>
              </w:rPr>
            </w:pPr>
            <w:r>
              <w:rPr>
                <w:rFonts w:hint="default" w:ascii="Times New Roman" w:hAnsi="Times New Roman" w:eastAsia="宋体" w:cs="Times New Roman"/>
                <w:color w:val="auto"/>
                <w:spacing w:val="0"/>
                <w:sz w:val="24"/>
                <w:szCs w:val="24"/>
                <w:highlight w:val="none"/>
                <w:lang w:val="en-US" w:eastAsia="zh-CN"/>
              </w:rPr>
              <w:t>本项目使用烘干塔</w:t>
            </w:r>
            <w:r>
              <w:rPr>
                <w:rFonts w:hint="eastAsia" w:ascii="Times New Roman" w:hAnsi="Times New Roman" w:eastAsia="宋体" w:cs="Times New Roman"/>
                <w:color w:val="auto"/>
                <w:spacing w:val="0"/>
                <w:sz w:val="24"/>
                <w:szCs w:val="24"/>
                <w:highlight w:val="none"/>
                <w:lang w:val="en-US" w:eastAsia="zh-CN"/>
              </w:rPr>
              <w:t>烘干</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w:t>
            </w:r>
            <w:r>
              <w:rPr>
                <w:rFonts w:hint="eastAsia" w:cs="Times New Roman"/>
                <w:color w:val="auto"/>
                <w:spacing w:val="0"/>
                <w:sz w:val="24"/>
                <w:szCs w:val="24"/>
                <w:highlight w:val="none"/>
                <w:lang w:val="en-US" w:eastAsia="zh-CN"/>
              </w:rPr>
              <w:t>25000</w:t>
            </w:r>
            <w:r>
              <w:rPr>
                <w:rFonts w:hint="eastAsia" w:ascii="Times New Roman" w:hAnsi="Times New Roman" w:eastAsia="宋体" w:cs="Times New Roman"/>
                <w:color w:val="auto"/>
                <w:spacing w:val="0"/>
                <w:sz w:val="24"/>
                <w:szCs w:val="24"/>
                <w:highlight w:val="none"/>
                <w:lang w:val="en-US" w:eastAsia="zh-CN"/>
              </w:rPr>
              <w:t>t，烘干后为</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干粮</w:t>
            </w:r>
            <w:r>
              <w:rPr>
                <w:rFonts w:hint="eastAsia" w:cs="Times New Roman"/>
                <w:color w:val="auto"/>
                <w:spacing w:val="0"/>
                <w:sz w:val="24"/>
                <w:szCs w:val="24"/>
                <w:highlight w:val="none"/>
                <w:lang w:val="en-US" w:eastAsia="zh-CN"/>
              </w:rPr>
              <w:t>20316.26</w:t>
            </w:r>
            <w:r>
              <w:rPr>
                <w:rFonts w:hint="eastAsia" w:ascii="Times New Roman" w:hAnsi="Times New Roman" w:eastAsia="宋体" w:cs="Times New Roman"/>
                <w:color w:val="auto"/>
                <w:spacing w:val="0"/>
                <w:sz w:val="24"/>
                <w:szCs w:val="24"/>
                <w:highlight w:val="none"/>
                <w:lang w:val="en-US" w:eastAsia="zh-CN"/>
              </w:rPr>
              <w:t>t/a，</w:t>
            </w:r>
            <w:r>
              <w:rPr>
                <w:rFonts w:hint="default" w:ascii="Times New Roman" w:hAnsi="Times New Roman" w:eastAsia="宋体" w:cs="Times New Roman"/>
                <w:color w:val="auto"/>
                <w:spacing w:val="0"/>
                <w:sz w:val="24"/>
                <w:szCs w:val="24"/>
                <w:highlight w:val="none"/>
                <w:lang w:val="en-US" w:eastAsia="zh-CN"/>
              </w:rPr>
              <w:t>年使用烘干塔</w:t>
            </w:r>
            <w:r>
              <w:rPr>
                <w:rFonts w:hint="eastAsia" w:cs="Times New Roman"/>
                <w:color w:val="auto"/>
                <w:spacing w:val="0"/>
                <w:sz w:val="24"/>
                <w:szCs w:val="24"/>
                <w:highlight w:val="none"/>
                <w:lang w:val="en-US" w:eastAsia="zh-CN"/>
              </w:rPr>
              <w:t>1200</w:t>
            </w:r>
            <w:r>
              <w:rPr>
                <w:rFonts w:hint="eastAsia" w:ascii="Times New Roman" w:hAnsi="Times New Roman" w:eastAsia="宋体" w:cs="Times New Roman"/>
                <w:color w:val="auto"/>
                <w:spacing w:val="0"/>
                <w:sz w:val="24"/>
                <w:szCs w:val="24"/>
                <w:highlight w:val="none"/>
                <w:lang w:val="en-US" w:eastAsia="zh-CN"/>
              </w:rPr>
              <w:t>h</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潮粮烘干过程</w:t>
            </w:r>
            <w:r>
              <w:rPr>
                <w:rFonts w:hint="default" w:ascii="Times New Roman" w:hAnsi="Times New Roman" w:eastAsia="宋体" w:cs="Times New Roman"/>
                <w:color w:val="auto"/>
                <w:spacing w:val="0"/>
                <w:sz w:val="24"/>
                <w:szCs w:val="24"/>
                <w:highlight w:val="none"/>
                <w:lang w:val="en-US" w:eastAsia="zh-CN"/>
              </w:rPr>
              <w:t>产生</w:t>
            </w:r>
            <w:r>
              <w:rPr>
                <w:rFonts w:hint="eastAsia" w:ascii="Times New Roman" w:hAnsi="Times New Roman" w:eastAsia="宋体" w:cs="Times New Roman"/>
                <w:color w:val="auto"/>
                <w:spacing w:val="0"/>
                <w:sz w:val="24"/>
                <w:szCs w:val="24"/>
                <w:highlight w:val="none"/>
                <w:lang w:val="en-US" w:eastAsia="zh-CN"/>
              </w:rPr>
              <w:t>少量颗粒物。</w:t>
            </w:r>
            <w:r>
              <w:rPr>
                <w:rFonts w:hint="default" w:ascii="Times New Roman" w:hAnsi="Times New Roman" w:eastAsia="宋体" w:cs="Times New Roman"/>
                <w:color w:val="auto"/>
                <w:spacing w:val="0"/>
                <w:sz w:val="24"/>
                <w:szCs w:val="24"/>
                <w:highlight w:val="none"/>
                <w:lang w:val="en-US" w:eastAsia="zh-CN"/>
              </w:rPr>
              <w:t>根据《逸散性工业粉尘控制技术（中国环境科学出版社）》，</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第五章 谷物贮存</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中</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柱式谷物干燥</w:t>
            </w:r>
            <w:r>
              <w:rPr>
                <w:rFonts w:hint="eastAsia" w:ascii="Times New Roman" w:hAnsi="Times New Roman" w:eastAsia="宋体" w:cs="Times New Roman"/>
                <w:color w:val="auto"/>
                <w:spacing w:val="0"/>
                <w:sz w:val="24"/>
                <w:szCs w:val="24"/>
                <w:highlight w:val="none"/>
                <w:lang w:val="en-US" w:eastAsia="zh-CN"/>
              </w:rPr>
              <w:t>”的逸散尘排放因子</w:t>
            </w:r>
            <w:r>
              <w:rPr>
                <w:rFonts w:hint="default" w:ascii="Times New Roman" w:hAnsi="Times New Roman" w:eastAsia="宋体" w:cs="Times New Roman"/>
                <w:color w:val="auto"/>
                <w:spacing w:val="0"/>
                <w:sz w:val="24"/>
                <w:szCs w:val="24"/>
                <w:highlight w:val="none"/>
                <w:lang w:val="en-US" w:eastAsia="zh-CN"/>
              </w:rPr>
              <w:t>为0.25kg/t（干燥料），</w:t>
            </w:r>
            <w:r>
              <w:rPr>
                <w:rFonts w:hint="eastAsia" w:ascii="Times New Roman" w:hAnsi="Times New Roman" w:eastAsia="宋体" w:cs="Times New Roman"/>
                <w:color w:val="auto"/>
                <w:spacing w:val="0"/>
                <w:sz w:val="24"/>
                <w:szCs w:val="24"/>
                <w:highlight w:val="none"/>
                <w:lang w:val="en-US" w:eastAsia="zh-CN"/>
              </w:rPr>
              <w:t>则本项目烘干塔废气中颗粒物产生量</w:t>
            </w:r>
            <w:r>
              <w:rPr>
                <w:rFonts w:hint="eastAsia" w:cs="Times New Roman"/>
                <w:color w:val="auto"/>
                <w:spacing w:val="0"/>
                <w:sz w:val="24"/>
                <w:szCs w:val="24"/>
                <w:highlight w:val="none"/>
                <w:lang w:val="en-US" w:eastAsia="zh-CN"/>
              </w:rPr>
              <w:t>5.08</w:t>
            </w:r>
            <w:r>
              <w:rPr>
                <w:rFonts w:hint="default" w:ascii="Times New Roman" w:hAnsi="Times New Roman" w:eastAsia="宋体" w:cs="Times New Roman"/>
                <w:color w:val="auto"/>
                <w:spacing w:val="0"/>
                <w:sz w:val="24"/>
                <w:szCs w:val="24"/>
                <w:highlight w:val="none"/>
                <w:lang w:val="en-US" w:eastAsia="zh-CN"/>
              </w:rPr>
              <w:t>t/a，产生速率</w:t>
            </w:r>
            <w:r>
              <w:rPr>
                <w:rFonts w:hint="eastAsia" w:cs="Times New Roman"/>
                <w:color w:val="auto"/>
                <w:spacing w:val="0"/>
                <w:sz w:val="24"/>
                <w:szCs w:val="24"/>
                <w:highlight w:val="none"/>
                <w:lang w:val="en-US" w:eastAsia="zh-CN"/>
              </w:rPr>
              <w:t>4.23</w:t>
            </w:r>
            <w:r>
              <w:rPr>
                <w:rFonts w:hint="default" w:ascii="Times New Roman" w:hAnsi="Times New Roman" w:eastAsia="宋体" w:cs="Times New Roman"/>
                <w:color w:val="auto"/>
                <w:spacing w:val="0"/>
                <w:sz w:val="24"/>
                <w:szCs w:val="24"/>
                <w:highlight w:val="none"/>
                <w:lang w:val="en-US" w:eastAsia="zh-CN"/>
              </w:rPr>
              <w:t>kg/h，</w:t>
            </w:r>
            <w:r>
              <w:rPr>
                <w:rFonts w:hint="eastAsia" w:ascii="Times New Roman" w:hAnsi="Times New Roman" w:eastAsia="宋体" w:cs="Times New Roman"/>
                <w:bCs/>
                <w:color w:val="auto"/>
                <w:sz w:val="24"/>
                <w:highlight w:val="none"/>
                <w:lang w:val="en-US" w:eastAsia="zh-CN"/>
              </w:rPr>
              <w:t>烘干塔塔体设置彩钢罩，具有防风抑尘功能，为环保型烘干塔</w:t>
            </w:r>
            <w:r>
              <w:rPr>
                <w:rFonts w:hAnsi="宋体" w:cs="Times New Roman"/>
                <w:color w:val="auto"/>
                <w:sz w:val="24"/>
                <w:highlight w:val="none"/>
              </w:rPr>
              <w:t>，</w:t>
            </w:r>
            <w:r>
              <w:rPr>
                <w:rFonts w:hint="eastAsia" w:ascii="Times New Roman" w:hAnsi="Times New Roman" w:eastAsia="宋体" w:cs="Times New Roman"/>
                <w:bCs/>
                <w:color w:val="auto"/>
                <w:sz w:val="24"/>
                <w:highlight w:val="none"/>
                <w:lang w:val="en-US" w:eastAsia="zh-CN"/>
              </w:rPr>
              <w:t>烘干塔塔底设置围挡，沉降的粉尘定期清扫收集</w:t>
            </w:r>
            <w:r>
              <w:rPr>
                <w:rFonts w:hint="eastAsia"/>
                <w:bCs/>
                <w:color w:val="auto"/>
                <w:sz w:val="24"/>
                <w:highlight w:val="none"/>
              </w:rPr>
              <w:t>。</w:t>
            </w:r>
            <w:r>
              <w:rPr>
                <w:rFonts w:hint="eastAsia" w:hAnsi="宋体" w:cs="Times New Roman"/>
                <w:color w:val="auto"/>
                <w:sz w:val="24"/>
                <w:highlight w:val="none"/>
              </w:rPr>
              <w:t>参照《扬尘源颗粒物排放清单编制技术指南》中围挡遮围对</w:t>
            </w:r>
            <w:r>
              <w:rPr>
                <w:rFonts w:hAnsi="宋体" w:cs="Times New Roman"/>
                <w:color w:val="auto"/>
                <w:sz w:val="24"/>
                <w:highlight w:val="none"/>
              </w:rPr>
              <w:t xml:space="preserve">TSP </w:t>
            </w:r>
            <w:r>
              <w:rPr>
                <w:rFonts w:hint="eastAsia" w:hAnsi="宋体" w:cs="Times New Roman"/>
                <w:color w:val="auto"/>
                <w:sz w:val="24"/>
                <w:highlight w:val="none"/>
              </w:rPr>
              <w:t>的控制效率，本项目抑尘效率按</w:t>
            </w:r>
            <w:r>
              <w:rPr>
                <w:rFonts w:hAnsi="宋体" w:cs="Times New Roman"/>
                <w:color w:val="auto"/>
                <w:sz w:val="24"/>
                <w:highlight w:val="none"/>
              </w:rPr>
              <w:t>90%</w:t>
            </w:r>
            <w:r>
              <w:rPr>
                <w:rFonts w:hint="eastAsia" w:hAnsi="宋体" w:cs="Times New Roman"/>
                <w:color w:val="auto"/>
                <w:sz w:val="24"/>
                <w:highlight w:val="none"/>
              </w:rPr>
              <w:t>计，</w:t>
            </w:r>
            <w:r>
              <w:rPr>
                <w:rFonts w:hAnsi="宋体" w:cs="Times New Roman"/>
                <w:color w:val="auto"/>
                <w:sz w:val="24"/>
                <w:highlight w:val="none"/>
              </w:rPr>
              <w:t>烘干塔废气经塔体两侧排气孔排出，</w:t>
            </w:r>
            <w:r>
              <w:rPr>
                <w:rFonts w:hint="eastAsia" w:hAnsi="宋体" w:cs="Times New Roman"/>
                <w:color w:val="auto"/>
                <w:sz w:val="24"/>
                <w:highlight w:val="none"/>
              </w:rPr>
              <w:t>则颗粒物</w:t>
            </w:r>
            <w:r>
              <w:rPr>
                <w:rFonts w:hAnsi="宋体" w:cs="Times New Roman"/>
                <w:color w:val="auto"/>
                <w:sz w:val="24"/>
                <w:highlight w:val="none"/>
              </w:rPr>
              <w:t>排放速率为</w:t>
            </w:r>
            <w:r>
              <w:rPr>
                <w:rFonts w:hint="eastAsia" w:hAnsi="宋体" w:cs="Times New Roman"/>
                <w:color w:val="auto"/>
                <w:sz w:val="24"/>
                <w:highlight w:val="none"/>
                <w:lang w:val="en-US" w:eastAsia="zh-CN"/>
              </w:rPr>
              <w:t>0.423</w:t>
            </w:r>
            <w:r>
              <w:rPr>
                <w:rFonts w:hAnsi="宋体" w:cs="Times New Roman"/>
                <w:color w:val="auto"/>
                <w:sz w:val="24"/>
                <w:highlight w:val="none"/>
              </w:rPr>
              <w:t>kg/h，排放量为</w:t>
            </w:r>
            <w:r>
              <w:rPr>
                <w:rFonts w:hint="eastAsia" w:hAnsi="宋体" w:cs="Times New Roman"/>
                <w:color w:val="auto"/>
                <w:sz w:val="24"/>
                <w:highlight w:val="none"/>
                <w:lang w:val="en-US" w:eastAsia="zh-CN"/>
              </w:rPr>
              <w:t>0.508</w:t>
            </w:r>
            <w:r>
              <w:rPr>
                <w:rFonts w:hAnsi="宋体" w:cs="Times New Roman"/>
                <w:color w:val="auto"/>
                <w:sz w:val="24"/>
                <w:highlight w:val="none"/>
              </w:rPr>
              <w:t>t/a。</w:t>
            </w:r>
          </w:p>
          <w:p w14:paraId="096CC956">
            <w:pPr>
              <w:widowControl/>
              <w:spacing w:line="360" w:lineRule="auto"/>
              <w:ind w:firstLine="480" w:firstLineChars="200"/>
              <w:rPr>
                <w:b/>
                <w:bCs/>
                <w:color w:val="auto"/>
                <w:kern w:val="0"/>
                <w:sz w:val="24"/>
                <w:highlight w:val="none"/>
              </w:rPr>
            </w:pPr>
            <w:r>
              <w:rPr>
                <w:rFonts w:hint="eastAsia"/>
                <w:color w:val="auto"/>
                <w:kern w:val="24"/>
                <w:sz w:val="24"/>
                <w:highlight w:val="none"/>
              </w:rPr>
              <w:t>（3）</w:t>
            </w:r>
            <w:r>
              <w:rPr>
                <w:color w:val="auto"/>
                <w:kern w:val="24"/>
                <w:sz w:val="24"/>
                <w:highlight w:val="none"/>
              </w:rPr>
              <w:t>热风炉废气</w:t>
            </w:r>
          </w:p>
          <w:p w14:paraId="627166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default"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本项目烘干塔热源为</w:t>
            </w:r>
            <w:r>
              <w:rPr>
                <w:rFonts w:hint="eastAsia" w:cs="Times New Roman"/>
                <w:bCs/>
                <w:color w:val="auto"/>
                <w:spacing w:val="0"/>
                <w:sz w:val="24"/>
                <w:szCs w:val="24"/>
                <w:highlight w:val="none"/>
                <w:lang w:val="en-US" w:eastAsia="zh-CN"/>
              </w:rPr>
              <w:t>1</w:t>
            </w:r>
            <w:r>
              <w:rPr>
                <w:rFonts w:hint="eastAsia" w:ascii="Times New Roman" w:hAnsi="Times New Roman" w:eastAsia="宋体" w:cs="Times New Roman"/>
                <w:bCs/>
                <w:color w:val="auto"/>
                <w:spacing w:val="0"/>
                <w:sz w:val="24"/>
                <w:szCs w:val="24"/>
                <w:highlight w:val="none"/>
                <w:lang w:val="en-US" w:eastAsia="zh-CN"/>
              </w:rPr>
              <w:t>台</w:t>
            </w:r>
            <w:r>
              <w:rPr>
                <w:rFonts w:hint="eastAsia" w:cs="Times New Roman"/>
                <w:bCs/>
                <w:color w:val="auto"/>
                <w:sz w:val="24"/>
                <w:highlight w:val="none"/>
                <w:lang w:val="en-US" w:eastAsia="zh-CN"/>
              </w:rPr>
              <w:t>600万kcal</w:t>
            </w:r>
            <w:r>
              <w:rPr>
                <w:rFonts w:hint="eastAsia" w:cs="Times New Roman"/>
                <w:bCs/>
                <w:color w:val="auto"/>
                <w:spacing w:val="0"/>
                <w:sz w:val="24"/>
                <w:szCs w:val="24"/>
                <w:highlight w:val="none"/>
                <w:lang w:val="en-US" w:eastAsia="zh-CN"/>
              </w:rPr>
              <w:t>燃生物质热风炉</w:t>
            </w:r>
            <w:r>
              <w:rPr>
                <w:rFonts w:hint="eastAsia" w:ascii="Times New Roman" w:hAnsi="Times New Roman" w:cs="Times New Roman"/>
                <w:color w:val="auto"/>
                <w:spacing w:val="0"/>
                <w:sz w:val="24"/>
                <w:szCs w:val="24"/>
                <w:highlight w:val="none"/>
                <w:lang w:eastAsia="zh-CN"/>
              </w:rPr>
              <w:t>。</w:t>
            </w:r>
            <w:r>
              <w:rPr>
                <w:rFonts w:hint="eastAsia" w:ascii="Times New Roman" w:hAnsi="Times New Roman" w:eastAsia="宋体" w:cs="Times New Roman"/>
                <w:bCs/>
                <w:color w:val="auto"/>
                <w:spacing w:val="0"/>
                <w:sz w:val="24"/>
                <w:szCs w:val="24"/>
                <w:highlight w:val="none"/>
                <w:lang w:val="en-US" w:eastAsia="zh-CN"/>
              </w:rPr>
              <w:t>根据报告表中“主要原辅材料及燃料”小节对</w:t>
            </w:r>
            <w:r>
              <w:rPr>
                <w:rFonts w:hint="eastAsia" w:cs="Times New Roman"/>
                <w:bCs/>
                <w:color w:val="auto"/>
                <w:spacing w:val="0"/>
                <w:sz w:val="24"/>
                <w:szCs w:val="24"/>
                <w:highlight w:val="none"/>
                <w:lang w:val="en-US" w:eastAsia="zh-CN"/>
              </w:rPr>
              <w:t>生物质</w:t>
            </w:r>
            <w:r>
              <w:rPr>
                <w:rFonts w:hint="eastAsia" w:ascii="Times New Roman" w:hAnsi="Times New Roman" w:eastAsia="宋体" w:cs="Times New Roman"/>
                <w:bCs/>
                <w:color w:val="auto"/>
                <w:spacing w:val="0"/>
                <w:sz w:val="24"/>
                <w:szCs w:val="24"/>
                <w:highlight w:val="none"/>
                <w:lang w:val="en-US" w:eastAsia="zh-CN"/>
              </w:rPr>
              <w:t>燃料消耗量的计算结果，本项目</w:t>
            </w:r>
            <w:r>
              <w:rPr>
                <w:rFonts w:hint="eastAsia" w:cs="Times New Roman"/>
                <w:bCs/>
                <w:color w:val="auto"/>
                <w:spacing w:val="0"/>
                <w:sz w:val="24"/>
                <w:szCs w:val="24"/>
                <w:highlight w:val="none"/>
                <w:lang w:val="en-US" w:eastAsia="zh-CN"/>
              </w:rPr>
              <w:t>用生物质颗粒量1762</w:t>
            </w:r>
            <w:r>
              <w:rPr>
                <w:rFonts w:hint="eastAsia" w:ascii="Times New Roman" w:hAnsi="Times New Roman" w:eastAsia="宋体" w:cs="Times New Roman"/>
                <w:bCs/>
                <w:color w:val="auto"/>
                <w:spacing w:val="0"/>
                <w:sz w:val="24"/>
                <w:szCs w:val="24"/>
                <w:highlight w:val="none"/>
                <w:lang w:val="en-US" w:eastAsia="zh-CN"/>
              </w:rPr>
              <w:t>t/a，热风炉年运行时间为</w:t>
            </w:r>
            <w:r>
              <w:rPr>
                <w:rFonts w:hint="eastAsia" w:cs="Times New Roman"/>
                <w:bCs/>
                <w:color w:val="auto"/>
                <w:spacing w:val="0"/>
                <w:sz w:val="24"/>
                <w:szCs w:val="24"/>
                <w:highlight w:val="none"/>
                <w:lang w:val="en-US" w:eastAsia="zh-CN"/>
              </w:rPr>
              <w:t>1200</w:t>
            </w:r>
            <w:r>
              <w:rPr>
                <w:rFonts w:hint="eastAsia" w:ascii="Times New Roman" w:hAnsi="Times New Roman" w:eastAsia="宋体" w:cs="Times New Roman"/>
                <w:bCs/>
                <w:color w:val="auto"/>
                <w:spacing w:val="0"/>
                <w:sz w:val="24"/>
                <w:szCs w:val="24"/>
                <w:highlight w:val="none"/>
                <w:lang w:val="en-US" w:eastAsia="zh-CN"/>
              </w:rPr>
              <w:t>h。热风炉烟气经1台除尘效率为99.5%的布袋除尘器处理后，由1座15m高烟囱（DA00</w:t>
            </w:r>
            <w:r>
              <w:rPr>
                <w:rFonts w:hint="eastAsia" w:cs="Times New Roman"/>
                <w:bCs/>
                <w:color w:val="auto"/>
                <w:spacing w:val="0"/>
                <w:sz w:val="24"/>
                <w:szCs w:val="24"/>
                <w:highlight w:val="none"/>
                <w:lang w:val="en-US" w:eastAsia="zh-CN"/>
              </w:rPr>
              <w:t>3</w:t>
            </w:r>
            <w:r>
              <w:rPr>
                <w:rFonts w:hint="eastAsia" w:ascii="Times New Roman" w:hAnsi="Times New Roman" w:eastAsia="宋体" w:cs="Times New Roman"/>
                <w:bCs/>
                <w:color w:val="auto"/>
                <w:spacing w:val="0"/>
                <w:sz w:val="24"/>
                <w:szCs w:val="24"/>
                <w:highlight w:val="none"/>
                <w:lang w:val="en-US" w:eastAsia="zh-CN"/>
              </w:rPr>
              <w:t>）排放。</w:t>
            </w:r>
          </w:p>
          <w:p w14:paraId="3782526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本次评价热风炉废气有</w:t>
            </w:r>
            <w:r>
              <w:rPr>
                <w:rFonts w:hint="default" w:ascii="Times New Roman" w:hAnsi="Times New Roman" w:eastAsia="宋体" w:cs="Times New Roman"/>
                <w:bCs/>
                <w:color w:val="auto"/>
                <w:spacing w:val="0"/>
                <w:sz w:val="24"/>
                <w:szCs w:val="24"/>
                <w:highlight w:val="none"/>
                <w:lang w:val="en-US" w:eastAsia="zh-CN"/>
              </w:rPr>
              <w:t>组织排放源强</w:t>
            </w:r>
            <w:r>
              <w:rPr>
                <w:rFonts w:hint="eastAsia" w:ascii="Times New Roman" w:hAnsi="Times New Roman" w:eastAsia="宋体" w:cs="Times New Roman"/>
                <w:bCs/>
                <w:color w:val="auto"/>
                <w:spacing w:val="0"/>
                <w:sz w:val="24"/>
                <w:szCs w:val="24"/>
                <w:highlight w:val="none"/>
                <w:lang w:val="en-US" w:eastAsia="zh-CN"/>
              </w:rPr>
              <w:t>核算参照《污染源源强核算技术指南 锅炉》（HJ 991-2018）中的物料衡算法，氮氧化物源强核算采用产污系数法，具体核算方法及计算结果如下：</w:t>
            </w:r>
          </w:p>
          <w:p w14:paraId="5D48EE11">
            <w:pPr>
              <w:keepNext w:val="0"/>
              <w:keepLines w:val="0"/>
              <w:pageBreakBefore w:val="0"/>
              <w:kinsoku/>
              <w:wordWrap/>
              <w:overflowPunct/>
              <w:topLinePunct w:val="0"/>
              <w:bidi w:val="0"/>
              <w:adjustRightInd/>
              <w:snapToGrid/>
              <w:spacing w:line="360" w:lineRule="auto"/>
              <w:ind w:firstLine="480" w:firstLineChars="200"/>
              <w:textAlignment w:val="auto"/>
              <w:rPr>
                <w:rFonts w:hint="default" w:ascii="Times New Roman" w:hAnsi="Times New Roman" w:cs="Times New Roman"/>
                <w:b/>
                <w:bCs/>
                <w:color w:val="auto"/>
                <w:szCs w:val="21"/>
                <w:highlight w:val="none"/>
              </w:rPr>
            </w:pPr>
            <w:r>
              <w:rPr>
                <w:rFonts w:hint="eastAsia" w:ascii="宋体" w:hAnsi="宋体" w:eastAsia="宋体" w:cs="宋体"/>
                <w:color w:val="auto"/>
                <w:sz w:val="24"/>
                <w:szCs w:val="24"/>
                <w:highlight w:val="none"/>
                <w:lang w:val="en-US" w:eastAsia="zh-CN"/>
              </w:rPr>
              <w:t>①</w:t>
            </w:r>
            <w:r>
              <w:rPr>
                <w:rFonts w:hint="default" w:ascii="Times New Roman" w:hAnsi="Times New Roman" w:eastAsia="宋体" w:cs="Times New Roman"/>
                <w:color w:val="auto"/>
                <w:sz w:val="24"/>
                <w:highlight w:val="none"/>
                <w:lang w:eastAsia="zh-CN"/>
              </w:rPr>
              <w:t>本项目烟气量的计算参照《污染源源强核算技术指南 锅炉》（HJ991—2018）中附录C.5中的要求，利用物料衡算法进行计算。</w:t>
            </w:r>
          </w:p>
          <w:p w14:paraId="20B8749B">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w:t>
            </w:r>
          </w:p>
          <w:p w14:paraId="09338B35">
            <w:pPr>
              <w:pStyle w:val="23"/>
              <w:keepNext w:val="0"/>
              <w:keepLines w:val="0"/>
              <w:pageBreakBefore w:val="0"/>
              <w:widowControl w:val="0"/>
              <w:kinsoku/>
              <w:wordWrap/>
              <w:overflowPunct/>
              <w:topLinePunct w:val="0"/>
              <w:bidi w:val="0"/>
              <w:adjustRightInd/>
              <w:snapToGrid/>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Qnet,ar 燃料收到基低位发热量为</w:t>
            </w:r>
            <w:r>
              <w:rPr>
                <w:rFonts w:hint="default" w:ascii="Times New Roman" w:hAnsi="Times New Roman" w:cs="Times New Roman"/>
                <w:bCs/>
                <w:color w:val="auto"/>
                <w:sz w:val="24"/>
                <w:szCs w:val="24"/>
                <w:highlight w:val="none"/>
                <w:lang w:val="en-US" w:eastAsia="zh-CN"/>
              </w:rPr>
              <w:t>16.77</w:t>
            </w:r>
            <w:r>
              <w:rPr>
                <w:rFonts w:hint="default" w:ascii="Times New Roman" w:hAnsi="Times New Roman" w:cs="Times New Roman"/>
                <w:bCs/>
                <w:color w:val="auto"/>
                <w:sz w:val="24"/>
                <w:szCs w:val="24"/>
                <w:highlight w:val="none"/>
              </w:rPr>
              <w:t>MJ/kg，大于12.54MJ/kg</w:t>
            </w:r>
          </w:p>
          <w:p w14:paraId="1EB274C6">
            <w:pPr>
              <w:pStyle w:val="23"/>
              <w:keepNext w:val="0"/>
              <w:keepLines w:val="0"/>
              <w:pageBreakBefore w:val="0"/>
              <w:widowControl w:val="0"/>
              <w:kinsoku/>
              <w:wordWrap/>
              <w:overflowPunct/>
              <w:topLinePunct w:val="0"/>
              <w:bidi w:val="0"/>
              <w:adjustRightInd/>
              <w:snapToGrid/>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Vda</w:t>
            </w:r>
            <w:r>
              <w:rPr>
                <w:rFonts w:hint="eastAsia" w:ascii="Times New Roman" w:hAnsi="Times New Roman" w:cs="Times New Roman"/>
                <w:bCs/>
                <w:color w:val="auto"/>
                <w:sz w:val="24"/>
                <w:szCs w:val="24"/>
                <w:highlight w:val="none"/>
                <w:lang w:val="en-US" w:eastAsia="zh-CN"/>
              </w:rPr>
              <w:t>f干燥无灰基</w:t>
            </w:r>
            <w:r>
              <w:rPr>
                <w:rFonts w:hint="default" w:ascii="Times New Roman" w:hAnsi="Times New Roman" w:cs="Times New Roman"/>
                <w:bCs/>
                <w:color w:val="auto"/>
                <w:sz w:val="24"/>
                <w:szCs w:val="24"/>
                <w:highlight w:val="none"/>
              </w:rPr>
              <w:t>挥发分为</w:t>
            </w:r>
            <w:r>
              <w:rPr>
                <w:rFonts w:hint="eastAsia" w:ascii="Times New Roman" w:hAnsi="Times New Roman" w:cs="Times New Roman"/>
                <w:bCs/>
                <w:color w:val="auto"/>
                <w:sz w:val="24"/>
                <w:szCs w:val="24"/>
                <w:highlight w:val="none"/>
                <w:lang w:val="en-US" w:eastAsia="zh-CN"/>
              </w:rPr>
              <w:t>83.31</w:t>
            </w:r>
            <w:r>
              <w:rPr>
                <w:rFonts w:hint="default" w:ascii="Times New Roman" w:hAnsi="Times New Roman" w:cs="Times New Roman"/>
                <w:bCs/>
                <w:color w:val="auto"/>
                <w:sz w:val="24"/>
                <w:szCs w:val="24"/>
                <w:highlight w:val="none"/>
              </w:rPr>
              <w:t>（%），大于15%</w:t>
            </w:r>
          </w:p>
          <w:p w14:paraId="0ECF3AC0">
            <w:pPr>
              <w:pStyle w:val="23"/>
              <w:keepNext w:val="0"/>
              <w:keepLines w:val="0"/>
              <w:pageBreakBefore w:val="0"/>
              <w:widowControl w:val="0"/>
              <w:kinsoku/>
              <w:wordWrap/>
              <w:overflowPunct/>
              <w:topLinePunct w:val="0"/>
              <w:bidi w:val="0"/>
              <w:adjustRightInd/>
              <w:snapToGrid/>
              <w:ind w:left="0" w:leftChars="0" w:firstLine="480" w:firstLineChars="200"/>
              <w:textAlignment w:val="auto"/>
              <w:rPr>
                <w:rFonts w:hint="default"/>
                <w:color w:val="auto"/>
              </w:rPr>
            </w:pPr>
            <w:r>
              <w:rPr>
                <w:rFonts w:hint="eastAsia" w:ascii="Times New Roman" w:hAnsi="Times New Roman" w:cs="Times New Roman"/>
                <w:bCs/>
                <w:color w:val="auto"/>
                <w:sz w:val="24"/>
                <w:szCs w:val="24"/>
                <w:highlight w:val="none"/>
                <w:lang w:eastAsia="zh-CN"/>
              </w:rPr>
              <w:t>干燥无灰基挥发分</w:t>
            </w:r>
            <w:r>
              <w:rPr>
                <w:rFonts w:hint="eastAsia" w:ascii="Times New Roman" w:hAnsi="Times New Roman" w:cs="Times New Roman"/>
                <w:bCs/>
                <w:color w:val="auto"/>
                <w:sz w:val="24"/>
                <w:szCs w:val="24"/>
                <w:highlight w:val="none"/>
                <w:lang w:val="en-US" w:eastAsia="zh-CN"/>
              </w:rPr>
              <w:t>Vdaf=</w:t>
            </w:r>
            <w:r>
              <w:rPr>
                <w:rFonts w:hint="default" w:ascii="Times New Roman" w:hAnsi="Times New Roman" w:cs="Times New Roman"/>
                <w:bCs/>
                <w:color w:val="auto"/>
                <w:sz w:val="24"/>
                <w:szCs w:val="24"/>
                <w:highlight w:val="none"/>
              </w:rPr>
              <w:t>Vad</w:t>
            </w:r>
            <w:r>
              <w:rPr>
                <w:rFonts w:hint="eastAsia" w:ascii="Times New Roman" w:hAnsi="Times New Roman" w:cs="Times New Roman"/>
                <w:bCs/>
                <w:color w:val="auto"/>
                <w:sz w:val="24"/>
                <w:szCs w:val="24"/>
                <w:highlight w:val="none"/>
                <w:lang w:val="en-US" w:eastAsia="zh-CN"/>
              </w:rPr>
              <w:t>/（100-</w:t>
            </w:r>
            <w:r>
              <w:rPr>
                <w:rFonts w:hint="default" w:ascii="Times New Roman" w:hAnsi="Times New Roman" w:cs="Times New Roman"/>
                <w:bCs/>
                <w:color w:val="auto"/>
                <w:sz w:val="24"/>
                <w:szCs w:val="24"/>
                <w:highlight w:val="none"/>
              </w:rPr>
              <w:t>Mad</w:t>
            </w:r>
            <w:r>
              <w:rPr>
                <w:rFonts w:hint="eastAsia"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rPr>
              <w:t>Aad</w:t>
            </w:r>
            <w:r>
              <w:rPr>
                <w:rFonts w:hint="eastAsia"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val="en-US" w:eastAsia="zh-CN"/>
              </w:rPr>
              <w:t>100=73.22%/(100--5.55-6.56）=83.31%</w:t>
            </w:r>
          </w:p>
          <w:p w14:paraId="54A29A15">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采用公式：Vgy=0.393Qnet,ar+0.876</w:t>
            </w:r>
          </w:p>
          <w:p w14:paraId="2021F417">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eastAsia="宋体" w:cs="Times New Roman"/>
                <w:bCs/>
                <w:color w:val="auto"/>
                <w:spacing w:val="0"/>
                <w:sz w:val="24"/>
                <w:szCs w:val="24"/>
                <w:highlight w:val="none"/>
                <w:lang w:val="en-US" w:eastAsia="zh-CN"/>
              </w:rPr>
            </w:pPr>
            <w:r>
              <w:rPr>
                <w:rFonts w:hint="default" w:ascii="Times New Roman" w:hAnsi="Times New Roman" w:cs="Times New Roman"/>
                <w:bCs/>
                <w:color w:val="auto"/>
                <w:sz w:val="24"/>
                <w:szCs w:val="24"/>
                <w:highlight w:val="none"/>
              </w:rPr>
              <w:t>根据上式计算结果，干烟气排放量为</w:t>
            </w:r>
            <w:r>
              <w:rPr>
                <w:rFonts w:hint="default" w:ascii="Times New Roman" w:hAnsi="Times New Roman" w:cs="Times New Roman"/>
                <w:bCs/>
                <w:color w:val="auto"/>
                <w:sz w:val="24"/>
                <w:szCs w:val="24"/>
                <w:highlight w:val="none"/>
                <w:lang w:val="en-US" w:eastAsia="zh-CN"/>
              </w:rPr>
              <w:t>7.47</w:t>
            </w:r>
            <w:r>
              <w:rPr>
                <w:rFonts w:hint="default" w:ascii="Times New Roman" w:hAnsi="Times New Roman" w:cs="Times New Roman"/>
                <w:bCs/>
                <w:color w:val="auto"/>
                <w:sz w:val="24"/>
                <w:szCs w:val="24"/>
                <w:highlight w:val="none"/>
              </w:rPr>
              <w:t>Nm</w:t>
            </w:r>
            <w:r>
              <w:rPr>
                <w:rFonts w:hint="default" w:ascii="Times New Roman" w:hAnsi="Times New Roman" w:cs="Times New Roman"/>
                <w:bCs/>
                <w:color w:val="auto"/>
                <w:sz w:val="24"/>
                <w:szCs w:val="24"/>
                <w:highlight w:val="none"/>
                <w:vertAlign w:val="superscript"/>
              </w:rPr>
              <w:t>3</w:t>
            </w:r>
            <w:r>
              <w:rPr>
                <w:rFonts w:hint="default" w:ascii="Times New Roman" w:hAnsi="Times New Roman" w:cs="Times New Roman"/>
                <w:bCs/>
                <w:color w:val="auto"/>
                <w:sz w:val="24"/>
                <w:szCs w:val="24"/>
                <w:highlight w:val="none"/>
              </w:rPr>
              <w:t>/kg，</w:t>
            </w:r>
            <w:r>
              <w:rPr>
                <w:rFonts w:hint="eastAsia" w:ascii="Times New Roman" w:hAnsi="Times New Roman" w:cs="Times New Roman"/>
                <w:bCs/>
                <w:color w:val="auto"/>
                <w:sz w:val="24"/>
                <w:szCs w:val="24"/>
                <w:highlight w:val="none"/>
                <w:lang w:val="en-US" w:eastAsia="zh-CN"/>
              </w:rPr>
              <w:t>热风炉</w:t>
            </w:r>
            <w:r>
              <w:rPr>
                <w:rFonts w:hint="default" w:ascii="Times New Roman" w:hAnsi="Times New Roman" w:cs="Times New Roman"/>
                <w:bCs/>
                <w:color w:val="auto"/>
                <w:sz w:val="24"/>
                <w:szCs w:val="24"/>
                <w:highlight w:val="none"/>
              </w:rPr>
              <w:t>年消耗</w:t>
            </w:r>
            <w:r>
              <w:rPr>
                <w:rFonts w:hint="eastAsia" w:cs="Times New Roman"/>
                <w:bCs/>
                <w:color w:val="auto"/>
                <w:sz w:val="24"/>
                <w:szCs w:val="24"/>
                <w:highlight w:val="none"/>
                <w:lang w:eastAsia="zh-CN"/>
              </w:rPr>
              <w:t>生物质颗粒燃料</w:t>
            </w:r>
            <w:r>
              <w:rPr>
                <w:rFonts w:hint="eastAsia" w:cs="Times New Roman"/>
                <w:bCs/>
                <w:color w:val="auto"/>
                <w:sz w:val="24"/>
                <w:szCs w:val="24"/>
                <w:highlight w:val="none"/>
                <w:lang w:val="en-US" w:eastAsia="zh-CN"/>
              </w:rPr>
              <w:t>1762</w:t>
            </w:r>
            <w:r>
              <w:rPr>
                <w:rFonts w:hint="default" w:ascii="Times New Roman" w:hAnsi="Times New Roman" w:cs="Times New Roman"/>
                <w:bCs/>
                <w:color w:val="auto"/>
                <w:sz w:val="24"/>
                <w:szCs w:val="24"/>
                <w:highlight w:val="none"/>
              </w:rPr>
              <w:t>t，烟气排放量</w:t>
            </w:r>
            <w:r>
              <w:rPr>
                <w:rFonts w:hint="eastAsia" w:cs="Times New Roman"/>
                <w:bCs/>
                <w:color w:val="auto"/>
                <w:sz w:val="24"/>
                <w:szCs w:val="24"/>
                <w:highlight w:val="none"/>
                <w:lang w:val="en-US" w:eastAsia="zh-CN"/>
              </w:rPr>
              <w:t>13162140</w:t>
            </w:r>
            <w:r>
              <w:rPr>
                <w:rFonts w:hint="default" w:ascii="Times New Roman" w:hAnsi="Times New Roman" w:cs="Times New Roman"/>
                <w:bCs/>
                <w:color w:val="auto"/>
                <w:sz w:val="24"/>
                <w:szCs w:val="24"/>
                <w:highlight w:val="none"/>
              </w:rPr>
              <w:t>m</w:t>
            </w:r>
            <w:r>
              <w:rPr>
                <w:rFonts w:hint="default" w:ascii="Times New Roman" w:hAnsi="Times New Roman" w:cs="Times New Roman"/>
                <w:bCs/>
                <w:color w:val="auto"/>
                <w:sz w:val="24"/>
                <w:szCs w:val="24"/>
                <w:highlight w:val="none"/>
                <w:vertAlign w:val="superscript"/>
              </w:rPr>
              <w:t>3</w:t>
            </w:r>
            <w:r>
              <w:rPr>
                <w:rFonts w:hint="default" w:ascii="Times New Roman" w:hAnsi="Times New Roman" w:cs="Times New Roman"/>
                <w:bCs/>
                <w:color w:val="auto"/>
                <w:sz w:val="24"/>
                <w:szCs w:val="24"/>
                <w:highlight w:val="none"/>
              </w:rPr>
              <w:t>/a</w:t>
            </w:r>
            <w:r>
              <w:rPr>
                <w:rFonts w:hint="eastAsia" w:ascii="Times New Roman" w:hAnsi="Times New Roman" w:cs="Times New Roman"/>
                <w:bCs/>
                <w:color w:val="auto"/>
                <w:sz w:val="24"/>
                <w:szCs w:val="24"/>
                <w:highlight w:val="none"/>
                <w:lang w:eastAsia="zh-CN"/>
              </w:rPr>
              <w:t>。</w:t>
            </w:r>
          </w:p>
          <w:p w14:paraId="691A6D72">
            <w:pPr>
              <w:pStyle w:val="1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lang w:val="en-US" w:eastAsia="zh-CN"/>
              </w:rPr>
              <w:t>②</w:t>
            </w:r>
            <w:r>
              <w:rPr>
                <w:rFonts w:hint="default" w:ascii="Times New Roman" w:hAnsi="Times New Roman" w:eastAsia="宋体" w:cs="Times New Roman"/>
                <w:color w:val="auto"/>
                <w:sz w:val="24"/>
                <w:szCs w:val="24"/>
                <w:highlight w:val="none"/>
              </w:rPr>
              <w:t>颗粒物排放量按下式计算：</w:t>
            </w:r>
          </w:p>
          <w:p w14:paraId="60AAB6B6">
            <w:pPr>
              <w:keepNext w:val="0"/>
              <w:keepLines w:val="0"/>
              <w:pageBreakBefore w:val="0"/>
              <w:kinsoku/>
              <w:wordWrap/>
              <w:overflowPunct/>
              <w:topLinePunct w:val="0"/>
              <w:autoSpaceDE/>
              <w:autoSpaceDN/>
              <w:bidi w:val="0"/>
              <w:adjustRightInd/>
              <w:snapToGrid/>
              <w:spacing w:line="360" w:lineRule="auto"/>
              <w:ind w:firstLine="480" w:firstLineChars="20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position w:val="-56"/>
                <w:sz w:val="24"/>
                <w:szCs w:val="24"/>
                <w:highlight w:val="none"/>
              </w:rPr>
              <w:object>
                <v:shape id="_x0000_i1028" o:spt="75" type="#_x0000_t75" style="height:58.9pt;width:142.75pt;" o:ole="t" filled="f" o:preferrelative="t" stroked="f" coordsize="21600,21600">
                  <v:path/>
                  <v:fill on="f" focussize="0,0"/>
                  <v:stroke on="f"/>
                  <v:imagedata r:id="rId31" o:title=""/>
                  <o:lock v:ext="edit" aspectratio="t"/>
                  <w10:wrap type="none"/>
                  <w10:anchorlock/>
                </v:shape>
                <o:OLEObject Type="Embed" ProgID="Equation.DSMT4" ShapeID="_x0000_i1028" DrawAspect="Content" ObjectID="_1468075728" r:id="rId30">
                  <o:LockedField>false</o:LockedField>
                </o:OLEObject>
              </w:object>
            </w:r>
          </w:p>
          <w:p w14:paraId="24230DDC">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式中：E</w:t>
            </w:r>
            <w:r>
              <w:rPr>
                <w:rFonts w:hint="default" w:ascii="Times New Roman" w:hAnsi="Times New Roman" w:eastAsia="宋体" w:cs="Times New Roman"/>
                <w:color w:val="auto"/>
                <w:sz w:val="24"/>
                <w:szCs w:val="24"/>
                <w:highlight w:val="none"/>
                <w:vertAlign w:val="subscript"/>
              </w:rPr>
              <w:t>A</w:t>
            </w:r>
            <w:r>
              <w:rPr>
                <w:rFonts w:hint="default" w:ascii="Times New Roman" w:hAnsi="Times New Roman" w:eastAsia="宋体" w:cs="Times New Roman"/>
                <w:color w:val="auto"/>
                <w:sz w:val="24"/>
                <w:szCs w:val="24"/>
                <w:highlight w:val="none"/>
              </w:rPr>
              <w:t>—核算时段颗粒物（烟尘）排放量，t；</w:t>
            </w:r>
          </w:p>
          <w:p w14:paraId="00FA9368">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 xml:space="preserve">      R—核算时段内锅炉燃料耗量</w:t>
            </w:r>
            <w:r>
              <w:rPr>
                <w:rFonts w:hint="eastAsia" w:cs="Times New Roman"/>
                <w:color w:val="auto"/>
                <w:sz w:val="24"/>
                <w:szCs w:val="24"/>
                <w:highlight w:val="none"/>
                <w:lang w:val="en-US" w:eastAsia="zh-CN"/>
              </w:rPr>
              <w:t>1762t/a；</w:t>
            </w:r>
          </w:p>
          <w:p w14:paraId="15A291AD">
            <w:pPr>
              <w:spacing w:line="360" w:lineRule="auto"/>
              <w:ind w:firstLine="480" w:firstLineChars="200"/>
              <w:jc w:val="left"/>
              <w:rPr>
                <w:rFonts w:hint="eastAsia"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 xml:space="preserve">      A</w:t>
            </w:r>
            <w:r>
              <w:rPr>
                <w:rFonts w:hint="default" w:ascii="Times New Roman" w:hAnsi="Times New Roman" w:eastAsia="宋体" w:cs="Times New Roman"/>
                <w:color w:val="auto"/>
                <w:sz w:val="24"/>
                <w:szCs w:val="24"/>
                <w:highlight w:val="none"/>
                <w:vertAlign w:val="subscript"/>
              </w:rPr>
              <w:t>ar</w:t>
            </w:r>
            <w:r>
              <w:rPr>
                <w:rFonts w:hint="default" w:ascii="Times New Roman" w:hAnsi="Times New Roman" w:eastAsia="宋体" w:cs="Times New Roman"/>
                <w:color w:val="auto"/>
                <w:sz w:val="24"/>
                <w:szCs w:val="24"/>
                <w:highlight w:val="none"/>
              </w:rPr>
              <w:t>—收到基灰分的质量分数，</w:t>
            </w:r>
            <w:r>
              <w:rPr>
                <w:rFonts w:hint="eastAsia" w:cs="Times New Roman"/>
                <w:color w:val="auto"/>
                <w:sz w:val="24"/>
                <w:szCs w:val="24"/>
                <w:highlight w:val="none"/>
                <w:lang w:val="en-US" w:eastAsia="zh-CN"/>
              </w:rPr>
              <w:t>6.56</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w:t>
            </w:r>
          </w:p>
          <w:p w14:paraId="59AEBDE4">
            <w:pPr>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收到基 Aar=Aad×（100-Mar）/（100-Mad）</w:t>
            </w:r>
            <w:r>
              <w:rPr>
                <w:rFonts w:hint="eastAsia" w:cs="Times New Roman"/>
                <w:color w:val="auto"/>
                <w:sz w:val="24"/>
                <w:szCs w:val="24"/>
                <w:highlight w:val="none"/>
                <w:lang w:val="en-US" w:eastAsia="zh-CN"/>
              </w:rPr>
              <w:t>=6.56</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100-5.5</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/（100-5.55）=6.56%</w:t>
            </w:r>
          </w:p>
          <w:p w14:paraId="2D6B1753">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d</w:t>
            </w:r>
            <w:r>
              <w:rPr>
                <w:rFonts w:hint="default" w:ascii="Times New Roman" w:hAnsi="Times New Roman" w:eastAsia="宋体" w:cs="Times New Roman"/>
                <w:color w:val="auto"/>
                <w:sz w:val="24"/>
                <w:szCs w:val="24"/>
                <w:highlight w:val="none"/>
                <w:vertAlign w:val="subscript"/>
              </w:rPr>
              <w:t>f</w:t>
            </w:r>
            <w:r>
              <w:rPr>
                <w:rFonts w:hint="default" w:ascii="Times New Roman" w:hAnsi="Times New Roman" w:eastAsia="宋体" w:cs="Times New Roman"/>
                <w:color w:val="auto"/>
                <w:sz w:val="24"/>
                <w:szCs w:val="24"/>
                <w:highlight w:val="none"/>
                <w:vertAlign w:val="subscript"/>
                <w:lang w:val="en-US" w:eastAsia="zh-CN"/>
              </w:rPr>
              <w:t>h</w:t>
            </w:r>
            <w:r>
              <w:rPr>
                <w:rFonts w:hint="default" w:ascii="Times New Roman" w:hAnsi="Times New Roman" w:eastAsia="宋体" w:cs="Times New Roman"/>
                <w:color w:val="auto"/>
                <w:sz w:val="24"/>
                <w:szCs w:val="24"/>
                <w:highlight w:val="none"/>
              </w:rPr>
              <w:t>—锅炉烟气带出的飞灰份额，</w:t>
            </w:r>
            <w:r>
              <w:rPr>
                <w:rFonts w:hint="eastAsia"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rPr>
              <w:t>%</w:t>
            </w:r>
          </w:p>
          <w:p w14:paraId="188A7EFD">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ηc—综合除尘效率，</w:t>
            </w:r>
            <w:r>
              <w:rPr>
                <w:rFonts w:hint="default" w:ascii="Times New Roman" w:hAnsi="Times New Roman" w:eastAsia="宋体" w:cs="Times New Roman"/>
                <w:color w:val="auto"/>
                <w:sz w:val="24"/>
                <w:szCs w:val="24"/>
                <w:highlight w:val="none"/>
                <w:lang w:val="en-US" w:eastAsia="zh-CN"/>
              </w:rPr>
              <w:t>99</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p>
          <w:p w14:paraId="2A165AFF">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rPr>
              <w:t xml:space="preserve">      C</w:t>
            </w:r>
            <w:r>
              <w:rPr>
                <w:rFonts w:hint="default" w:ascii="Times New Roman" w:hAnsi="Times New Roman" w:eastAsia="宋体" w:cs="Times New Roman"/>
                <w:color w:val="auto"/>
                <w:sz w:val="24"/>
                <w:szCs w:val="24"/>
                <w:highlight w:val="none"/>
                <w:vertAlign w:val="subscript"/>
              </w:rPr>
              <w:t>f</w:t>
            </w:r>
            <w:r>
              <w:rPr>
                <w:rFonts w:hint="default" w:ascii="Times New Roman" w:hAnsi="Times New Roman" w:eastAsia="宋体" w:cs="Times New Roman"/>
                <w:color w:val="auto"/>
                <w:sz w:val="24"/>
                <w:szCs w:val="24"/>
                <w:highlight w:val="none"/>
                <w:vertAlign w:val="subscript"/>
                <w:lang w:val="en-US" w:eastAsia="zh-CN"/>
              </w:rPr>
              <w:t>h</w:t>
            </w:r>
            <w:r>
              <w:rPr>
                <w:rFonts w:hint="default" w:ascii="Times New Roman" w:hAnsi="Times New Roman" w:eastAsia="宋体" w:cs="Times New Roman"/>
                <w:color w:val="auto"/>
                <w:sz w:val="24"/>
                <w:szCs w:val="24"/>
                <w:highlight w:val="none"/>
              </w:rPr>
              <w:t>—飞灰中的可燃物含量，</w:t>
            </w:r>
            <w:r>
              <w:rPr>
                <w:rFonts w:hint="eastAsia"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w:t>
            </w:r>
          </w:p>
          <w:p w14:paraId="797ED340">
            <w:pPr>
              <w:pStyle w:val="1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rPr>
              <w:t>经计算，本项目烟尘产生量为</w:t>
            </w:r>
            <w:r>
              <w:rPr>
                <w:rFonts w:hint="eastAsia" w:ascii="Times New Roman" w:hAnsi="Times New Roman" w:cs="Times New Roman"/>
                <w:color w:val="auto"/>
                <w:highlight w:val="none"/>
                <w:lang w:val="en-US" w:eastAsia="zh-CN"/>
              </w:rPr>
              <w:t>56</w:t>
            </w:r>
            <w:r>
              <w:rPr>
                <w:rFonts w:hint="default" w:ascii="Times New Roman" w:hAnsi="Times New Roman" w:cs="Times New Roman"/>
                <w:color w:val="auto"/>
                <w:highlight w:val="none"/>
              </w:rPr>
              <w:t>kg/h、</w:t>
            </w:r>
            <w:r>
              <w:rPr>
                <w:rFonts w:hint="eastAsia" w:ascii="Times New Roman" w:hAnsi="Times New Roman" w:cs="Times New Roman"/>
                <w:color w:val="auto"/>
                <w:highlight w:val="none"/>
                <w:lang w:val="en-US" w:eastAsia="zh-CN"/>
              </w:rPr>
              <w:t>67.2</w:t>
            </w:r>
            <w:r>
              <w:rPr>
                <w:rFonts w:hint="default" w:ascii="Times New Roman" w:hAnsi="Times New Roman" w:cs="Times New Roman"/>
                <w:color w:val="auto"/>
                <w:highlight w:val="none"/>
              </w:rPr>
              <w:t>t/a，产生浓度</w:t>
            </w:r>
            <w:r>
              <w:rPr>
                <w:rFonts w:hint="eastAsia" w:ascii="Times New Roman" w:hAnsi="Times New Roman" w:cs="Times New Roman"/>
                <w:color w:val="auto"/>
                <w:highlight w:val="none"/>
                <w:lang w:val="en-US" w:eastAsia="zh-CN"/>
              </w:rPr>
              <w:t>5105.69</w:t>
            </w:r>
            <w:r>
              <w:rPr>
                <w:rFonts w:hint="default" w:ascii="Times New Roman" w:hAnsi="Times New Roman" w:cs="Times New Roman"/>
                <w:color w:val="auto"/>
                <w:highlight w:val="none"/>
              </w:rPr>
              <w:t>mg/Nm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；除尘处理后排放量为</w:t>
            </w:r>
            <w:r>
              <w:rPr>
                <w:rFonts w:hint="eastAsia" w:ascii="Times New Roman" w:hAnsi="Times New Roman" w:cs="Times New Roman"/>
                <w:color w:val="auto"/>
                <w:highlight w:val="none"/>
                <w:lang w:val="en-US" w:eastAsia="zh-CN"/>
              </w:rPr>
              <w:t>0.28</w:t>
            </w:r>
            <w:r>
              <w:rPr>
                <w:rFonts w:hint="default" w:ascii="Times New Roman" w:hAnsi="Times New Roman" w:cs="Times New Roman"/>
                <w:color w:val="auto"/>
                <w:highlight w:val="none"/>
              </w:rPr>
              <w:t>kg/h、</w:t>
            </w:r>
            <w:r>
              <w:rPr>
                <w:rFonts w:hint="eastAsia" w:ascii="Times New Roman" w:hAnsi="Times New Roman" w:cs="Times New Roman"/>
                <w:color w:val="auto"/>
                <w:highlight w:val="none"/>
                <w:lang w:val="en-US" w:eastAsia="zh-CN"/>
              </w:rPr>
              <w:t>0.336</w:t>
            </w:r>
            <w:r>
              <w:rPr>
                <w:rFonts w:hint="default" w:ascii="Times New Roman" w:hAnsi="Times New Roman" w:cs="Times New Roman"/>
                <w:color w:val="auto"/>
                <w:highlight w:val="none"/>
              </w:rPr>
              <w:t>t/a，排放浓度为</w:t>
            </w:r>
            <w:r>
              <w:rPr>
                <w:rFonts w:hint="eastAsia" w:ascii="Times New Roman" w:hAnsi="Times New Roman" w:cs="Times New Roman"/>
                <w:color w:val="auto"/>
                <w:highlight w:val="none"/>
                <w:lang w:val="en-US" w:eastAsia="zh-CN"/>
              </w:rPr>
              <w:t>25.53</w:t>
            </w:r>
            <w:r>
              <w:rPr>
                <w:rFonts w:hint="default" w:ascii="Times New Roman" w:hAnsi="Times New Roman" w:cs="Times New Roman"/>
                <w:color w:val="auto"/>
                <w:highlight w:val="none"/>
              </w:rPr>
              <w:t>mg/Nm</w:t>
            </w:r>
            <w:r>
              <w:rPr>
                <w:rFonts w:hint="default" w:ascii="Times New Roman" w:hAnsi="Times New Roman" w:cs="Times New Roman"/>
                <w:color w:val="auto"/>
                <w:highlight w:val="none"/>
                <w:vertAlign w:val="superscript"/>
              </w:rPr>
              <w:t>3</w:t>
            </w:r>
            <w:r>
              <w:rPr>
                <w:rFonts w:hint="eastAsia" w:ascii="Times New Roman" w:hAnsi="Times New Roman" w:cs="Times New Roman"/>
                <w:color w:val="auto"/>
                <w:highlight w:val="none"/>
                <w:vertAlign w:val="baseline"/>
                <w:lang w:val="en-US" w:eastAsia="zh-CN"/>
              </w:rPr>
              <w:t>。</w:t>
            </w:r>
          </w:p>
          <w:p w14:paraId="1B422476">
            <w:pPr>
              <w:pStyle w:val="12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lang w:val="en-US" w:eastAsia="zh-CN"/>
              </w:rPr>
              <w:t>③</w:t>
            </w:r>
            <w:r>
              <w:rPr>
                <w:rFonts w:hint="default" w:ascii="Times New Roman" w:hAnsi="Times New Roman" w:eastAsia="宋体" w:cs="Times New Roman"/>
                <w:color w:val="auto"/>
                <w:sz w:val="24"/>
                <w:szCs w:val="24"/>
                <w:highlight w:val="none"/>
              </w:rPr>
              <w:t>二氧化硫排放量按下式计算：</w:t>
            </w:r>
          </w:p>
          <w:p w14:paraId="66872B78">
            <w:pPr>
              <w:pStyle w:val="42"/>
              <w:keepNext w:val="0"/>
              <w:keepLines w:val="0"/>
              <w:pageBreakBefore w:val="0"/>
              <w:kinsoku/>
              <w:wordWrap/>
              <w:overflowPunct/>
              <w:topLinePunct w:val="0"/>
              <w:autoSpaceDE/>
              <w:autoSpaceDN/>
              <w:bidi w:val="0"/>
              <w:adjustRightInd/>
              <w:snapToGrid/>
              <w:spacing w:line="360" w:lineRule="auto"/>
              <w:ind w:firstLine="48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position w:val="-28"/>
                <w:sz w:val="24"/>
                <w:szCs w:val="24"/>
                <w:highlight w:val="none"/>
              </w:rPr>
              <w:object>
                <v:shape id="_x0000_i1029" o:spt="75" type="#_x0000_t75" style="height:31.4pt;width:200.1pt;" o:ole="t" filled="f" o:preferrelative="t" stroked="f" coordsize="21600,21600">
                  <v:path/>
                  <v:fill on="f" focussize="0,0"/>
                  <v:stroke on="f"/>
                  <v:imagedata r:id="rId33" o:title=""/>
                  <o:lock v:ext="edit" aspectratio="t"/>
                  <w10:wrap type="none"/>
                  <w10:anchorlock/>
                </v:shape>
                <o:OLEObject Type="Embed" ProgID="Equation.DSMT4" ShapeID="_x0000_i1029" DrawAspect="Content" ObjectID="_1468075729" r:id="rId32">
                  <o:LockedField>false</o:LockedField>
                </o:OLEObject>
              </w:object>
            </w:r>
          </w:p>
          <w:p w14:paraId="561B4EA1">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式中：E</w:t>
            </w:r>
            <w:r>
              <w:rPr>
                <w:rFonts w:hint="default" w:ascii="Times New Roman" w:hAnsi="Times New Roman" w:eastAsia="宋体" w:cs="Times New Roman"/>
                <w:color w:val="auto"/>
                <w:sz w:val="24"/>
                <w:szCs w:val="24"/>
                <w:highlight w:val="none"/>
                <w:vertAlign w:val="subscript"/>
              </w:rPr>
              <w:t>SO2</w:t>
            </w:r>
            <w:r>
              <w:rPr>
                <w:rFonts w:hint="default" w:ascii="Times New Roman" w:hAnsi="Times New Roman" w:eastAsia="宋体" w:cs="Times New Roman"/>
                <w:color w:val="auto"/>
                <w:sz w:val="24"/>
                <w:szCs w:val="24"/>
                <w:highlight w:val="none"/>
              </w:rPr>
              <w:t>—核算时段二氧化硫排放量，t；</w:t>
            </w:r>
          </w:p>
          <w:p w14:paraId="2DE13C3C">
            <w:pPr>
              <w:pStyle w:val="121"/>
              <w:keepNext w:val="0"/>
              <w:keepLines w:val="0"/>
              <w:pageBreakBefore w:val="0"/>
              <w:kinsoku/>
              <w:wordWrap/>
              <w:overflowPunct/>
              <w:topLinePunct w:val="0"/>
              <w:autoSpaceDE/>
              <w:autoSpaceDN/>
              <w:bidi w:val="0"/>
              <w:adjustRightInd/>
              <w:snapToGrid/>
              <w:spacing w:line="360" w:lineRule="auto"/>
              <w:rPr>
                <w:rFonts w:hint="eastAsia"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 xml:space="preserve">      R—核算时段内锅炉燃料耗量</w:t>
            </w:r>
            <w:r>
              <w:rPr>
                <w:rFonts w:hint="eastAsia" w:cs="Times New Roman"/>
                <w:color w:val="auto"/>
                <w:sz w:val="24"/>
                <w:szCs w:val="24"/>
                <w:highlight w:val="none"/>
                <w:lang w:val="en-US" w:eastAsia="zh-CN"/>
              </w:rPr>
              <w:t>1762t/a；</w:t>
            </w:r>
          </w:p>
          <w:p w14:paraId="0A4BF2FA">
            <w:pPr>
              <w:pStyle w:val="121"/>
              <w:keepNext w:val="0"/>
              <w:keepLines w:val="0"/>
              <w:pageBreakBefore w:val="0"/>
              <w:kinsoku/>
              <w:wordWrap/>
              <w:overflowPunct/>
              <w:topLinePunct w:val="0"/>
              <w:autoSpaceDE/>
              <w:autoSpaceDN/>
              <w:bidi w:val="0"/>
              <w:adjustRightInd/>
              <w:snapToGrid/>
              <w:spacing w:line="360" w:lineRule="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 xml:space="preserve">      S</w:t>
            </w:r>
            <w:r>
              <w:rPr>
                <w:rFonts w:hint="default" w:ascii="Times New Roman" w:hAnsi="Times New Roman" w:eastAsia="宋体" w:cs="Times New Roman"/>
                <w:color w:val="auto"/>
                <w:sz w:val="24"/>
                <w:szCs w:val="24"/>
                <w:highlight w:val="none"/>
                <w:vertAlign w:val="subscript"/>
              </w:rPr>
              <w:t>ar</w:t>
            </w:r>
            <w:r>
              <w:rPr>
                <w:rFonts w:hint="default" w:ascii="Times New Roman" w:hAnsi="Times New Roman" w:eastAsia="宋体" w:cs="Times New Roman"/>
                <w:color w:val="auto"/>
                <w:sz w:val="24"/>
                <w:szCs w:val="24"/>
                <w:highlight w:val="none"/>
              </w:rPr>
              <w:t>—收到基硫的质量分数，</w:t>
            </w:r>
            <w:r>
              <w:rPr>
                <w:rFonts w:hint="default"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p>
          <w:p w14:paraId="0FDB32A6">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收到基 </w:t>
            </w:r>
            <w:r>
              <w:rPr>
                <w:rFonts w:hint="eastAsia" w:cs="Times New Roman"/>
                <w:color w:val="auto"/>
                <w:sz w:val="24"/>
                <w:szCs w:val="24"/>
                <w:highlight w:val="none"/>
                <w:lang w:val="en-US" w:eastAsia="zh-CN"/>
              </w:rPr>
              <w:t>S</w:t>
            </w:r>
            <w:r>
              <w:rPr>
                <w:rFonts w:hint="default" w:ascii="Times New Roman" w:hAnsi="Times New Roman" w:eastAsia="宋体" w:cs="Times New Roman"/>
                <w:color w:val="auto"/>
                <w:sz w:val="24"/>
                <w:szCs w:val="24"/>
                <w:highlight w:val="none"/>
              </w:rPr>
              <w:t>ar=</w:t>
            </w:r>
            <w:r>
              <w:rPr>
                <w:rFonts w:hint="eastAsia" w:cs="Times New Roman"/>
                <w:color w:val="auto"/>
                <w:sz w:val="24"/>
                <w:szCs w:val="24"/>
                <w:highlight w:val="none"/>
                <w:lang w:val="en-US" w:eastAsia="zh-CN"/>
              </w:rPr>
              <w:t>S</w:t>
            </w:r>
            <w:r>
              <w:rPr>
                <w:rFonts w:hint="default" w:ascii="Times New Roman" w:hAnsi="Times New Roman" w:eastAsia="宋体" w:cs="Times New Roman"/>
                <w:color w:val="auto"/>
                <w:sz w:val="24"/>
                <w:szCs w:val="24"/>
                <w:highlight w:val="none"/>
              </w:rPr>
              <w:t>ad×（100-Mar）/（100-Mad）</w:t>
            </w:r>
            <w:r>
              <w:rPr>
                <w:rFonts w:hint="eastAsia" w:cs="Times New Roman"/>
                <w:color w:val="auto"/>
                <w:sz w:val="24"/>
                <w:szCs w:val="24"/>
                <w:highlight w:val="none"/>
                <w:lang w:val="en-US" w:eastAsia="zh-CN"/>
              </w:rPr>
              <w:t>=0.02</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100-5.5</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/（100-5.55）=0.02%</w:t>
            </w:r>
          </w:p>
          <w:p w14:paraId="615142F8">
            <w:pPr>
              <w:pStyle w:val="121"/>
              <w:keepNext w:val="0"/>
              <w:keepLines w:val="0"/>
              <w:pageBreakBefore w:val="0"/>
              <w:kinsoku/>
              <w:wordWrap/>
              <w:overflowPunct/>
              <w:topLinePunct w:val="0"/>
              <w:autoSpaceDE/>
              <w:autoSpaceDN/>
              <w:bidi w:val="0"/>
              <w:adjustRightInd/>
              <w:snapToGrid/>
              <w:spacing w:line="360" w:lineRule="auto"/>
              <w:ind w:firstLine="1024" w:firstLineChars="427"/>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 xml:space="preserve"> q</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—锅炉机械不完全燃烧热损失，</w:t>
            </w:r>
            <w:r>
              <w:rPr>
                <w:rFonts w:hint="eastAsia"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p>
          <w:p w14:paraId="0D7885C2">
            <w:pPr>
              <w:pStyle w:val="121"/>
              <w:keepNext w:val="0"/>
              <w:keepLines w:val="0"/>
              <w:pageBreakBefore w:val="0"/>
              <w:kinsoku/>
              <w:wordWrap/>
              <w:overflowPunct/>
              <w:topLinePunct w:val="0"/>
              <w:autoSpaceDE/>
              <w:autoSpaceDN/>
              <w:bidi w:val="0"/>
              <w:adjustRightInd/>
              <w:snapToGrid/>
              <w:spacing w:line="360" w:lineRule="auto"/>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 xml:space="preserve">      η</w:t>
            </w:r>
            <w:r>
              <w:rPr>
                <w:rFonts w:hint="default" w:ascii="Times New Roman" w:hAnsi="Times New Roman" w:eastAsia="宋体" w:cs="Times New Roman"/>
                <w:color w:val="auto"/>
                <w:sz w:val="24"/>
                <w:szCs w:val="24"/>
                <w:highlight w:val="none"/>
                <w:vertAlign w:val="subscript"/>
              </w:rPr>
              <w:t>s</w:t>
            </w:r>
            <w:r>
              <w:rPr>
                <w:rFonts w:hint="default" w:ascii="Times New Roman" w:hAnsi="Times New Roman" w:eastAsia="宋体" w:cs="Times New Roman"/>
                <w:color w:val="auto"/>
                <w:sz w:val="24"/>
                <w:szCs w:val="24"/>
                <w:highlight w:val="none"/>
              </w:rPr>
              <w:t>—脱硫效率，</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p>
          <w:p w14:paraId="33F9B8F0">
            <w:pPr>
              <w:pStyle w:val="121"/>
              <w:keepNext w:val="0"/>
              <w:keepLines w:val="0"/>
              <w:pageBreakBefore w:val="0"/>
              <w:kinsoku/>
              <w:wordWrap/>
              <w:overflowPunct/>
              <w:topLinePunct w:val="0"/>
              <w:autoSpaceDE/>
              <w:autoSpaceDN/>
              <w:bidi w:val="0"/>
              <w:adjustRightInd/>
              <w:snapToGrid/>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K—燃料中的硫燃烧后氧化成二氧化硫的份额，量纲一的量</w:t>
            </w:r>
            <w:r>
              <w:rPr>
                <w:rFonts w:hint="default" w:ascii="Times New Roman" w:hAnsi="Times New Roman" w:eastAsia="宋体" w:cs="Times New Roman"/>
                <w:color w:val="auto"/>
                <w:sz w:val="24"/>
                <w:szCs w:val="24"/>
                <w:highlight w:val="none"/>
                <w:lang w:val="en-US" w:eastAsia="zh-CN"/>
              </w:rPr>
              <w:t>，0.4</w:t>
            </w:r>
            <w:r>
              <w:rPr>
                <w:rFonts w:hint="default" w:ascii="Times New Roman" w:hAnsi="Times New Roman" w:eastAsia="宋体" w:cs="Times New Roman"/>
                <w:color w:val="auto"/>
                <w:sz w:val="24"/>
                <w:szCs w:val="24"/>
                <w:highlight w:val="none"/>
              </w:rPr>
              <w:t>。</w:t>
            </w:r>
          </w:p>
          <w:p w14:paraId="1BB56D4B">
            <w:pPr>
              <w:pStyle w:val="120"/>
              <w:keepNext w:val="0"/>
              <w:keepLines w:val="0"/>
              <w:pageBreakBefore w:val="0"/>
              <w:kinsoku/>
              <w:wordWrap/>
              <w:overflowPunct/>
              <w:topLinePunct w:val="0"/>
              <w:autoSpaceDE/>
              <w:autoSpaceDN/>
              <w:bidi w:val="0"/>
              <w:adjustRightInd/>
              <w:snapToGrid/>
              <w:spacing w:line="360" w:lineRule="auto"/>
              <w:ind w:firstLine="482" w:firstLineChars="0"/>
              <w:rPr>
                <w:rFonts w:hint="eastAsia" w:ascii="宋体" w:hAnsi="宋体" w:eastAsia="宋体" w:cs="宋体"/>
                <w:color w:val="auto"/>
                <w:sz w:val="24"/>
                <w:szCs w:val="24"/>
                <w:highlight w:val="none"/>
                <w:lang w:val="en-US" w:eastAsia="zh-CN"/>
              </w:rPr>
            </w:pPr>
            <w:r>
              <w:rPr>
                <w:rFonts w:hint="default" w:ascii="Times New Roman" w:hAnsi="Times New Roman" w:cs="Times New Roman"/>
                <w:color w:val="auto"/>
                <w:highlight w:val="none"/>
              </w:rPr>
              <w:t>经计算，本项目</w:t>
            </w:r>
            <w:r>
              <w:rPr>
                <w:rFonts w:hint="default" w:ascii="Times New Roman" w:hAnsi="Times New Roman" w:eastAsia="宋体" w:cs="Times New Roman"/>
                <w:color w:val="auto"/>
                <w:sz w:val="24"/>
                <w:szCs w:val="24"/>
                <w:highlight w:val="none"/>
              </w:rPr>
              <w:t>二氧化硫</w:t>
            </w:r>
            <w:r>
              <w:rPr>
                <w:rFonts w:hint="default" w:ascii="Times New Roman" w:hAnsi="Times New Roman" w:cs="Times New Roman"/>
                <w:color w:val="auto"/>
                <w:highlight w:val="none"/>
              </w:rPr>
              <w:t>产生量为</w:t>
            </w:r>
            <w:r>
              <w:rPr>
                <w:rFonts w:hint="eastAsia" w:ascii="Times New Roman" w:hAnsi="Times New Roman" w:cs="Times New Roman"/>
                <w:color w:val="auto"/>
                <w:highlight w:val="none"/>
                <w:lang w:val="en-US" w:eastAsia="zh-CN"/>
              </w:rPr>
              <w:t>0.21</w:t>
            </w:r>
            <w:r>
              <w:rPr>
                <w:rFonts w:hint="default" w:ascii="Times New Roman" w:hAnsi="Times New Roman" w:cs="Times New Roman"/>
                <w:color w:val="auto"/>
                <w:highlight w:val="none"/>
              </w:rPr>
              <w:t>kg/h、</w:t>
            </w:r>
            <w:r>
              <w:rPr>
                <w:rFonts w:hint="eastAsia" w:ascii="Times New Roman" w:hAnsi="Times New Roman" w:cs="Times New Roman"/>
                <w:color w:val="auto"/>
                <w:highlight w:val="none"/>
                <w:lang w:val="en-US" w:eastAsia="zh-CN"/>
              </w:rPr>
              <w:t>0.254</w:t>
            </w:r>
            <w:r>
              <w:rPr>
                <w:rFonts w:hint="default" w:ascii="Times New Roman" w:hAnsi="Times New Roman" w:cs="Times New Roman"/>
                <w:color w:val="auto"/>
                <w:highlight w:val="none"/>
              </w:rPr>
              <w:t>t/a，产生浓度</w:t>
            </w:r>
            <w:r>
              <w:rPr>
                <w:rFonts w:hint="eastAsia" w:ascii="Times New Roman" w:hAnsi="Times New Roman" w:cs="Times New Roman"/>
                <w:color w:val="auto"/>
                <w:highlight w:val="none"/>
                <w:lang w:val="en-US" w:eastAsia="zh-CN"/>
              </w:rPr>
              <w:t>19.28</w:t>
            </w:r>
            <w:r>
              <w:rPr>
                <w:rFonts w:hint="default" w:ascii="Times New Roman" w:hAnsi="Times New Roman" w:cs="Times New Roman"/>
                <w:color w:val="auto"/>
                <w:highlight w:val="none"/>
              </w:rPr>
              <w:t>mg/Nm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；排放量为</w:t>
            </w:r>
            <w:r>
              <w:rPr>
                <w:rFonts w:hint="eastAsia" w:ascii="Times New Roman" w:hAnsi="Times New Roman" w:cs="Times New Roman"/>
                <w:color w:val="auto"/>
                <w:highlight w:val="none"/>
                <w:lang w:val="en-US" w:eastAsia="zh-CN"/>
              </w:rPr>
              <w:t>0.21</w:t>
            </w:r>
            <w:r>
              <w:rPr>
                <w:rFonts w:hint="default" w:ascii="Times New Roman" w:hAnsi="Times New Roman" w:cs="Times New Roman"/>
                <w:color w:val="auto"/>
                <w:highlight w:val="none"/>
              </w:rPr>
              <w:t>kg/h、</w:t>
            </w:r>
            <w:r>
              <w:rPr>
                <w:rFonts w:hint="eastAsia" w:ascii="Times New Roman" w:hAnsi="Times New Roman" w:cs="Times New Roman"/>
                <w:color w:val="auto"/>
                <w:highlight w:val="none"/>
                <w:lang w:val="en-US" w:eastAsia="zh-CN"/>
              </w:rPr>
              <w:t>0.254</w:t>
            </w:r>
            <w:r>
              <w:rPr>
                <w:rFonts w:hint="default" w:ascii="Times New Roman" w:hAnsi="Times New Roman" w:cs="Times New Roman"/>
                <w:color w:val="auto"/>
                <w:highlight w:val="none"/>
              </w:rPr>
              <w:t>/a，排放浓度为</w:t>
            </w:r>
            <w:r>
              <w:rPr>
                <w:rFonts w:hint="eastAsia" w:ascii="Times New Roman" w:hAnsi="Times New Roman" w:cs="Times New Roman"/>
                <w:color w:val="auto"/>
                <w:highlight w:val="none"/>
                <w:lang w:val="en-US" w:eastAsia="zh-CN"/>
              </w:rPr>
              <w:t>19.28</w:t>
            </w:r>
            <w:r>
              <w:rPr>
                <w:rFonts w:hint="default" w:ascii="Times New Roman" w:hAnsi="Times New Roman" w:cs="Times New Roman"/>
                <w:color w:val="auto"/>
                <w:highlight w:val="none"/>
              </w:rPr>
              <w:t>mg/Nm</w:t>
            </w:r>
            <w:r>
              <w:rPr>
                <w:rFonts w:hint="default" w:ascii="Times New Roman" w:hAnsi="Times New Roman" w:cs="Times New Roman"/>
                <w:color w:val="auto"/>
                <w:highlight w:val="none"/>
                <w:vertAlign w:val="superscript"/>
              </w:rPr>
              <w:t>3</w:t>
            </w:r>
            <w:r>
              <w:rPr>
                <w:rFonts w:hint="eastAsia" w:ascii="Times New Roman" w:hAnsi="Times New Roman" w:cs="Times New Roman"/>
                <w:color w:val="auto"/>
                <w:highlight w:val="none"/>
                <w:vertAlign w:val="baseline"/>
                <w:lang w:val="en-US" w:eastAsia="zh-CN"/>
              </w:rPr>
              <w:t>。</w:t>
            </w:r>
          </w:p>
          <w:p w14:paraId="4AE0251B">
            <w:pPr>
              <w:pStyle w:val="120"/>
              <w:keepNext w:val="0"/>
              <w:keepLines w:val="0"/>
              <w:pageBreakBefore w:val="0"/>
              <w:kinsoku/>
              <w:wordWrap/>
              <w:overflowPunct/>
              <w:topLinePunct w:val="0"/>
              <w:autoSpaceDE/>
              <w:autoSpaceDN/>
              <w:bidi w:val="0"/>
              <w:adjustRightInd/>
              <w:snapToGrid/>
              <w:spacing w:line="360" w:lineRule="auto"/>
              <w:ind w:firstLine="482" w:firstLineChars="0"/>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lang w:val="en-US" w:eastAsia="zh-CN"/>
              </w:rPr>
              <w:t>④</w:t>
            </w:r>
            <w:r>
              <w:rPr>
                <w:rFonts w:hint="default" w:ascii="Times New Roman" w:hAnsi="Times New Roman" w:eastAsia="宋体" w:cs="Times New Roman"/>
                <w:color w:val="auto"/>
                <w:sz w:val="24"/>
                <w:szCs w:val="24"/>
                <w:highlight w:val="none"/>
              </w:rPr>
              <w:t>氮氧化物排放量计算：</w:t>
            </w:r>
          </w:p>
          <w:p w14:paraId="573FACF5">
            <w:pPr>
              <w:widowControl/>
              <w:spacing w:line="360" w:lineRule="auto"/>
              <w:ind w:firstLine="480" w:firstLineChars="200"/>
              <w:rPr>
                <w:color w:val="auto"/>
                <w:kern w:val="0"/>
                <w:sz w:val="24"/>
                <w:highlight w:val="none"/>
              </w:rPr>
            </w:pPr>
            <w:r>
              <w:rPr>
                <w:color w:val="auto"/>
                <w:sz w:val="24"/>
                <w:highlight w:val="none"/>
              </w:rPr>
              <w:t>本项目</w:t>
            </w:r>
            <w:r>
              <w:rPr>
                <w:rFonts w:hint="default" w:ascii="Times New Roman" w:hAnsi="Times New Roman" w:eastAsia="宋体" w:cs="Times New Roman"/>
                <w:color w:val="auto"/>
                <w:sz w:val="24"/>
                <w:szCs w:val="24"/>
                <w:highlight w:val="none"/>
              </w:rPr>
              <w:t>氮氧化物</w:t>
            </w:r>
            <w:r>
              <w:rPr>
                <w:color w:val="auto"/>
                <w:sz w:val="24"/>
                <w:highlight w:val="none"/>
              </w:rPr>
              <w:t>排放量参照</w:t>
            </w:r>
            <w:r>
              <w:rPr>
                <w:rFonts w:hint="eastAsia"/>
                <w:color w:val="auto"/>
                <w:sz w:val="24"/>
                <w:highlight w:val="none"/>
              </w:rPr>
              <w:t>《排放源统计调查产排污核算方法和系数手册》中</w:t>
            </w:r>
            <w:r>
              <w:rPr>
                <w:color w:val="auto"/>
                <w:sz w:val="24"/>
                <w:highlight w:val="none"/>
              </w:rPr>
              <w:t xml:space="preserve">“4430 </w:t>
            </w:r>
            <w:r>
              <w:rPr>
                <w:rFonts w:hint="eastAsia"/>
                <w:color w:val="auto"/>
                <w:sz w:val="24"/>
                <w:highlight w:val="none"/>
              </w:rPr>
              <w:t>工业锅炉（热力生产和供应行业）产污系数表</w:t>
            </w:r>
            <w:r>
              <w:rPr>
                <w:color w:val="auto"/>
                <w:sz w:val="24"/>
                <w:highlight w:val="none"/>
              </w:rPr>
              <w:t>-</w:t>
            </w:r>
            <w:r>
              <w:rPr>
                <w:rFonts w:hint="eastAsia"/>
                <w:color w:val="auto"/>
                <w:sz w:val="24"/>
                <w:highlight w:val="none"/>
              </w:rPr>
              <w:t xml:space="preserve">生物质工业锅炉 </w:t>
            </w:r>
            <w:r>
              <w:rPr>
                <w:color w:val="auto"/>
                <w:sz w:val="24"/>
                <w:highlight w:val="none"/>
              </w:rPr>
              <w:t>”</w:t>
            </w:r>
            <w:r>
              <w:rPr>
                <w:color w:val="auto"/>
                <w:kern w:val="0"/>
                <w:sz w:val="24"/>
                <w:highlight w:val="none"/>
              </w:rPr>
              <w:t>系数表见表</w:t>
            </w:r>
            <w:r>
              <w:rPr>
                <w:rFonts w:hint="eastAsia"/>
                <w:color w:val="auto"/>
                <w:kern w:val="0"/>
                <w:sz w:val="24"/>
                <w:highlight w:val="none"/>
              </w:rPr>
              <w:t>4</w:t>
            </w:r>
            <w:r>
              <w:rPr>
                <w:color w:val="auto"/>
                <w:kern w:val="0"/>
                <w:sz w:val="24"/>
                <w:highlight w:val="none"/>
              </w:rPr>
              <w:t>-</w:t>
            </w:r>
            <w:r>
              <w:rPr>
                <w:rFonts w:hint="eastAsia"/>
                <w:color w:val="auto"/>
                <w:kern w:val="0"/>
                <w:sz w:val="24"/>
                <w:highlight w:val="none"/>
                <w:lang w:val="en-US" w:eastAsia="zh-CN"/>
              </w:rPr>
              <w:t>1</w:t>
            </w:r>
            <w:r>
              <w:rPr>
                <w:rFonts w:hint="eastAsia"/>
                <w:color w:val="auto"/>
                <w:kern w:val="0"/>
                <w:sz w:val="24"/>
                <w:highlight w:val="none"/>
              </w:rPr>
              <w:t>。</w:t>
            </w:r>
          </w:p>
          <w:p w14:paraId="55A3043C">
            <w:pPr>
              <w:widowControl/>
              <w:jc w:val="center"/>
              <w:rPr>
                <w:b/>
                <w:bCs/>
                <w:color w:val="auto"/>
                <w:kern w:val="0"/>
                <w:sz w:val="24"/>
                <w:highlight w:val="none"/>
              </w:rPr>
            </w:pPr>
            <w:r>
              <w:rPr>
                <w:rFonts w:hint="eastAsia"/>
                <w:b/>
                <w:bCs/>
                <w:color w:val="auto"/>
                <w:kern w:val="0"/>
                <w:sz w:val="24"/>
                <w:highlight w:val="none"/>
              </w:rPr>
              <w:t>表4-</w:t>
            </w:r>
            <w:r>
              <w:rPr>
                <w:rFonts w:hint="eastAsia"/>
                <w:b/>
                <w:bCs/>
                <w:color w:val="auto"/>
                <w:kern w:val="0"/>
                <w:sz w:val="24"/>
                <w:highlight w:val="none"/>
                <w:lang w:val="en-US" w:eastAsia="zh-CN"/>
              </w:rPr>
              <w:t>1</w:t>
            </w:r>
            <w:r>
              <w:rPr>
                <w:rFonts w:hint="eastAsia"/>
                <w:b/>
                <w:bCs/>
                <w:color w:val="auto"/>
                <w:kern w:val="0"/>
                <w:sz w:val="24"/>
                <w:highlight w:val="none"/>
              </w:rPr>
              <w:t xml:space="preserve"> 工业锅炉（热力生产和供应行业）产污系数表</w:t>
            </w:r>
            <w:r>
              <w:rPr>
                <w:b/>
                <w:bCs/>
                <w:color w:val="auto"/>
                <w:kern w:val="0"/>
                <w:sz w:val="24"/>
                <w:highlight w:val="none"/>
              </w:rPr>
              <w:t>-</w:t>
            </w:r>
            <w:r>
              <w:rPr>
                <w:rFonts w:hint="eastAsia"/>
                <w:b/>
                <w:bCs/>
                <w:color w:val="auto"/>
                <w:kern w:val="0"/>
                <w:sz w:val="24"/>
                <w:highlight w:val="none"/>
              </w:rPr>
              <w:t>生物质工业锅炉</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6"/>
              <w:gridCol w:w="2389"/>
              <w:gridCol w:w="3966"/>
            </w:tblGrid>
            <w:tr w14:paraId="1202C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5" w:type="pct"/>
                  <w:noWrap/>
                  <w:vAlign w:val="center"/>
                </w:tcPr>
                <w:p w14:paraId="2375535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污染物指标</w:t>
                  </w:r>
                </w:p>
              </w:tc>
              <w:tc>
                <w:tcPr>
                  <w:tcW w:w="1351" w:type="pct"/>
                  <w:noWrap/>
                  <w:vAlign w:val="center"/>
                </w:tcPr>
                <w:p w14:paraId="16BD4C1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单位</w:t>
                  </w:r>
                </w:p>
              </w:tc>
              <w:tc>
                <w:tcPr>
                  <w:tcW w:w="2242" w:type="pct"/>
                  <w:noWrap/>
                  <w:vAlign w:val="center"/>
                </w:tcPr>
                <w:p w14:paraId="0727A1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产污系数</w:t>
                  </w:r>
                </w:p>
              </w:tc>
            </w:tr>
            <w:tr w14:paraId="7F9CC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05" w:type="pct"/>
                  <w:noWrap/>
                  <w:vAlign w:val="center"/>
                </w:tcPr>
                <w:p w14:paraId="091F3F1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氮氧化物</w:t>
                  </w:r>
                </w:p>
              </w:tc>
              <w:tc>
                <w:tcPr>
                  <w:tcW w:w="1351" w:type="pct"/>
                  <w:noWrap/>
                  <w:vAlign w:val="center"/>
                </w:tcPr>
                <w:p w14:paraId="2F5665E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千克/吨-原料</w:t>
                  </w:r>
                </w:p>
              </w:tc>
              <w:tc>
                <w:tcPr>
                  <w:tcW w:w="2242" w:type="pct"/>
                  <w:noWrap/>
                  <w:vAlign w:val="center"/>
                </w:tcPr>
                <w:p w14:paraId="599CD01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1.02</w:t>
                  </w:r>
                </w:p>
              </w:tc>
            </w:tr>
          </w:tbl>
          <w:p w14:paraId="555A9458">
            <w:pPr>
              <w:pStyle w:val="132"/>
              <w:adjustRightInd w:val="0"/>
              <w:snapToGrid w:val="0"/>
              <w:spacing w:line="500" w:lineRule="exact"/>
              <w:ind w:firstLine="480"/>
              <w:rPr>
                <w:rFonts w:hint="eastAsia" w:ascii="宋体" w:hAnsi="宋体" w:eastAsia="宋体" w:cs="宋体"/>
                <w:color w:val="auto"/>
                <w:sz w:val="24"/>
                <w:szCs w:val="24"/>
                <w:highlight w:val="none"/>
              </w:rPr>
            </w:pPr>
            <w:r>
              <w:rPr>
                <w:rFonts w:hint="default" w:ascii="Times New Roman" w:hAnsi="Times New Roman" w:cs="Times New Roman"/>
                <w:color w:val="auto"/>
                <w:sz w:val="24"/>
                <w:szCs w:val="24"/>
                <w:highlight w:val="none"/>
              </w:rPr>
              <w:t>经计算，本项目</w:t>
            </w:r>
            <w:r>
              <w:rPr>
                <w:rFonts w:hint="eastAsia" w:ascii="Times New Roman" w:hAnsi="Times New Roman" w:cs="Times New Roman"/>
                <w:color w:val="auto"/>
                <w:sz w:val="24"/>
                <w:szCs w:val="24"/>
                <w:highlight w:val="none"/>
                <w:lang w:eastAsia="zh-CN"/>
              </w:rPr>
              <w:t>氮氧化物</w:t>
            </w:r>
            <w:r>
              <w:rPr>
                <w:rFonts w:hint="default" w:ascii="Times New Roman" w:hAnsi="Times New Roman" w:cs="Times New Roman"/>
                <w:color w:val="auto"/>
                <w:sz w:val="24"/>
                <w:szCs w:val="24"/>
                <w:highlight w:val="none"/>
              </w:rPr>
              <w:t>产生量为</w:t>
            </w:r>
            <w:r>
              <w:rPr>
                <w:rFonts w:hint="eastAsia"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kg/h、</w:t>
            </w:r>
            <w:r>
              <w:rPr>
                <w:rFonts w:hint="eastAsia" w:cs="Times New Roman"/>
                <w:color w:val="auto"/>
                <w:sz w:val="24"/>
                <w:szCs w:val="24"/>
                <w:highlight w:val="none"/>
                <w:lang w:val="en-US" w:eastAsia="zh-CN"/>
              </w:rPr>
              <w:t>1.797</w:t>
            </w:r>
            <w:r>
              <w:rPr>
                <w:rFonts w:hint="default" w:ascii="Times New Roman" w:hAnsi="Times New Roman" w:cs="Times New Roman"/>
                <w:color w:val="auto"/>
                <w:sz w:val="24"/>
                <w:szCs w:val="24"/>
                <w:highlight w:val="none"/>
              </w:rPr>
              <w:t>t/a，产生浓度</w:t>
            </w:r>
            <w:r>
              <w:rPr>
                <w:rFonts w:hint="eastAsia" w:ascii="Times New Roman" w:hAnsi="Times New Roman" w:cs="Times New Roman"/>
                <w:color w:val="auto"/>
                <w:sz w:val="24"/>
                <w:szCs w:val="24"/>
                <w:highlight w:val="none"/>
                <w:lang w:val="en-US" w:eastAsia="zh-CN"/>
              </w:rPr>
              <w:t>136.55</w:t>
            </w:r>
            <w:r>
              <w:rPr>
                <w:rFonts w:hint="default" w:ascii="Times New Roman" w:hAnsi="Times New Roman" w:cs="Times New Roman"/>
                <w:color w:val="auto"/>
                <w:sz w:val="24"/>
                <w:szCs w:val="24"/>
                <w:highlight w:val="none"/>
              </w:rPr>
              <w:t>mg/Nm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；排放量为</w:t>
            </w:r>
            <w:r>
              <w:rPr>
                <w:rFonts w:hint="eastAsia"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kg/h、</w:t>
            </w:r>
            <w:r>
              <w:rPr>
                <w:rFonts w:hint="eastAsia" w:cs="Times New Roman"/>
                <w:color w:val="auto"/>
                <w:sz w:val="24"/>
                <w:szCs w:val="24"/>
                <w:highlight w:val="none"/>
                <w:lang w:val="en-US" w:eastAsia="zh-CN"/>
              </w:rPr>
              <w:t>1.797</w:t>
            </w:r>
            <w:r>
              <w:rPr>
                <w:rFonts w:hint="default" w:ascii="Times New Roman" w:hAnsi="Times New Roman" w:cs="Times New Roman"/>
                <w:color w:val="auto"/>
                <w:sz w:val="24"/>
                <w:szCs w:val="24"/>
                <w:highlight w:val="none"/>
              </w:rPr>
              <w:t>/a，排放浓度为</w:t>
            </w:r>
            <w:r>
              <w:rPr>
                <w:rFonts w:hint="eastAsia" w:ascii="Times New Roman" w:hAnsi="Times New Roman" w:cs="Times New Roman"/>
                <w:color w:val="auto"/>
                <w:sz w:val="24"/>
                <w:szCs w:val="24"/>
                <w:highlight w:val="none"/>
                <w:lang w:val="en-US" w:eastAsia="zh-CN"/>
              </w:rPr>
              <w:t>136.55</w:t>
            </w:r>
            <w:r>
              <w:rPr>
                <w:rFonts w:hint="default" w:ascii="Times New Roman" w:hAnsi="Times New Roman" w:cs="Times New Roman"/>
                <w:color w:val="auto"/>
                <w:sz w:val="24"/>
                <w:szCs w:val="24"/>
                <w:highlight w:val="none"/>
              </w:rPr>
              <w:t>mg/Nm</w:t>
            </w:r>
            <w:r>
              <w:rPr>
                <w:rFonts w:hint="default"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vertAlign w:val="baseline"/>
                <w:lang w:val="en-US" w:eastAsia="zh-CN"/>
              </w:rPr>
              <w:t>。</w:t>
            </w:r>
          </w:p>
          <w:p w14:paraId="5DAD944F">
            <w:pPr>
              <w:pStyle w:val="132"/>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宋体" w:hAnsi="宋体" w:eastAsia="宋体" w:cs="宋体"/>
                <w:color w:val="auto"/>
                <w:sz w:val="24"/>
                <w:highlight w:val="none"/>
              </w:rPr>
              <w:t>⑤</w:t>
            </w:r>
            <w:r>
              <w:rPr>
                <w:rFonts w:hint="default" w:ascii="Times New Roman" w:hAnsi="Times New Roman" w:eastAsia="宋体" w:cs="Times New Roman"/>
                <w:color w:val="auto"/>
                <w:sz w:val="24"/>
                <w:highlight w:val="none"/>
              </w:rPr>
              <w:t>汞</w:t>
            </w:r>
          </w:p>
          <w:p w14:paraId="2E1FBAA1">
            <w:pPr>
              <w:pStyle w:val="120"/>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Cs/>
                <w:color w:val="auto"/>
                <w:spacing w:val="0"/>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生物质分析报告中未体现汞含量，根据《直接法测定固体生物质燃料中汞的</w:t>
            </w:r>
            <w:r>
              <w:rPr>
                <w:rFonts w:hint="eastAsia" w:ascii="Times New Roman" w:hAnsi="Times New Roman" w:eastAsia="宋体" w:cs="Times New Roman"/>
                <w:bCs/>
                <w:color w:val="auto"/>
                <w:spacing w:val="0"/>
                <w:kern w:val="2"/>
                <w:sz w:val="24"/>
                <w:szCs w:val="24"/>
                <w:highlight w:val="none"/>
                <w:lang w:val="en-US" w:eastAsia="zh-CN" w:bidi="ar-SA"/>
              </w:rPr>
              <w:t>试验研究》（煤质技术，2020年）可知，生物质汞含量为15.47ng/g。由于生物质汞含量极低的特点，本项目暂不考虑汞的排放。</w:t>
            </w:r>
          </w:p>
          <w:p w14:paraId="1AB6068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rPr>
            </w:pPr>
            <w:r>
              <w:rPr>
                <w:rFonts w:hint="eastAsia"/>
                <w:color w:val="auto"/>
                <w:sz w:val="24"/>
                <w:highlight w:val="none"/>
              </w:rPr>
              <w:t>根据计算本项目</w:t>
            </w:r>
            <w:r>
              <w:rPr>
                <w:color w:val="auto"/>
                <w:sz w:val="24"/>
                <w:highlight w:val="none"/>
              </w:rPr>
              <w:t>热风炉大气污染物产排</w:t>
            </w:r>
            <w:r>
              <w:rPr>
                <w:rFonts w:hint="eastAsia"/>
                <w:color w:val="auto"/>
                <w:sz w:val="24"/>
                <w:highlight w:val="none"/>
              </w:rPr>
              <w:t>情况见表4-</w:t>
            </w:r>
            <w:r>
              <w:rPr>
                <w:rFonts w:hint="eastAsia"/>
                <w:color w:val="auto"/>
                <w:sz w:val="24"/>
                <w:highlight w:val="none"/>
                <w:lang w:val="en-US" w:eastAsia="zh-CN"/>
              </w:rPr>
              <w:t>2</w:t>
            </w:r>
            <w:r>
              <w:rPr>
                <w:rFonts w:hint="eastAsia"/>
                <w:color w:val="auto"/>
                <w:sz w:val="24"/>
                <w:highlight w:val="none"/>
              </w:rPr>
              <w:t>。</w:t>
            </w:r>
          </w:p>
          <w:p w14:paraId="620AB5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auto"/>
                <w:kern w:val="0"/>
                <w:sz w:val="24"/>
                <w:highlight w:val="none"/>
              </w:rPr>
            </w:pPr>
            <w:r>
              <w:rPr>
                <w:b/>
                <w:bCs/>
                <w:color w:val="auto"/>
                <w:kern w:val="0"/>
                <w:sz w:val="24"/>
                <w:highlight w:val="none"/>
              </w:rPr>
              <w:t>表</w:t>
            </w:r>
            <w:r>
              <w:rPr>
                <w:rFonts w:hint="eastAsia"/>
                <w:b/>
                <w:bCs/>
                <w:color w:val="auto"/>
                <w:kern w:val="0"/>
                <w:sz w:val="24"/>
                <w:highlight w:val="none"/>
              </w:rPr>
              <w:t>4</w:t>
            </w:r>
            <w:r>
              <w:rPr>
                <w:b/>
                <w:bCs/>
                <w:color w:val="auto"/>
                <w:kern w:val="0"/>
                <w:sz w:val="24"/>
                <w:highlight w:val="none"/>
              </w:rPr>
              <w:t>-</w:t>
            </w:r>
            <w:r>
              <w:rPr>
                <w:rFonts w:hint="eastAsia"/>
                <w:b/>
                <w:bCs/>
                <w:color w:val="auto"/>
                <w:kern w:val="0"/>
                <w:sz w:val="24"/>
                <w:highlight w:val="none"/>
                <w:lang w:val="en-US" w:eastAsia="zh-CN"/>
              </w:rPr>
              <w:t>2</w:t>
            </w:r>
            <w:r>
              <w:rPr>
                <w:b/>
                <w:bCs/>
                <w:color w:val="auto"/>
                <w:kern w:val="0"/>
                <w:sz w:val="24"/>
                <w:highlight w:val="none"/>
              </w:rPr>
              <w:t>热风炉大气污染物产排情况一览表</w:t>
            </w:r>
          </w:p>
          <w:tbl>
            <w:tblPr>
              <w:tblStyle w:val="31"/>
              <w:tblW w:w="892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5"/>
              <w:gridCol w:w="946"/>
              <w:gridCol w:w="932"/>
              <w:gridCol w:w="1093"/>
              <w:gridCol w:w="934"/>
              <w:gridCol w:w="1038"/>
              <w:gridCol w:w="1100"/>
              <w:gridCol w:w="1062"/>
              <w:gridCol w:w="1144"/>
            </w:tblGrid>
            <w:tr w14:paraId="3188D3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675" w:type="dxa"/>
                  <w:tcBorders>
                    <w:tl2br w:val="nil"/>
                    <w:tr2bl w:val="nil"/>
                  </w:tcBorders>
                  <w:noWrap/>
                  <w:vAlign w:val="center"/>
                </w:tcPr>
                <w:p w14:paraId="4A9E9F5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设备名称</w:t>
                  </w:r>
                </w:p>
              </w:tc>
              <w:tc>
                <w:tcPr>
                  <w:tcW w:w="946" w:type="dxa"/>
                  <w:tcBorders>
                    <w:tl2br w:val="nil"/>
                    <w:tr2bl w:val="nil"/>
                  </w:tcBorders>
                  <w:noWrap/>
                  <w:vAlign w:val="center"/>
                </w:tcPr>
                <w:p w14:paraId="2338D4B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污染物名称</w:t>
                  </w:r>
                </w:p>
              </w:tc>
              <w:tc>
                <w:tcPr>
                  <w:tcW w:w="932" w:type="dxa"/>
                  <w:tcBorders>
                    <w:tl2br w:val="nil"/>
                    <w:tr2bl w:val="nil"/>
                  </w:tcBorders>
                  <w:noWrap/>
                  <w:vAlign w:val="center"/>
                </w:tcPr>
                <w:p w14:paraId="013780E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1093" w:type="dxa"/>
                  <w:tcBorders>
                    <w:tl2br w:val="nil"/>
                    <w:tr2bl w:val="nil"/>
                  </w:tcBorders>
                  <w:noWrap/>
                  <w:vAlign w:val="center"/>
                </w:tcPr>
                <w:p w14:paraId="355CCF5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934" w:type="dxa"/>
                  <w:tcBorders>
                    <w:tl2br w:val="nil"/>
                    <w:tr2bl w:val="nil"/>
                  </w:tcBorders>
                  <w:noWrap/>
                  <w:vAlign w:val="center"/>
                </w:tcPr>
                <w:p w14:paraId="7B6BB95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1038" w:type="dxa"/>
                  <w:tcBorders>
                    <w:tl2br w:val="nil"/>
                    <w:tr2bl w:val="nil"/>
                  </w:tcBorders>
                  <w:noWrap/>
                  <w:vAlign w:val="center"/>
                </w:tcPr>
                <w:p w14:paraId="4D79ECC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1100" w:type="dxa"/>
                  <w:tcBorders>
                    <w:tl2br w:val="nil"/>
                    <w:tr2bl w:val="nil"/>
                  </w:tcBorders>
                  <w:noWrap/>
                  <w:vAlign w:val="center"/>
                </w:tcPr>
                <w:p w14:paraId="39B2B37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1062" w:type="dxa"/>
                  <w:tcBorders>
                    <w:tl2br w:val="nil"/>
                    <w:tr2bl w:val="nil"/>
                  </w:tcBorders>
                  <w:noWrap/>
                  <w:vAlign w:val="center"/>
                </w:tcPr>
                <w:p w14:paraId="2DF5DB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c>
                <w:tcPr>
                  <w:tcW w:w="1144" w:type="dxa"/>
                  <w:tcBorders>
                    <w:tl2br w:val="nil"/>
                    <w:tr2bl w:val="nil"/>
                  </w:tcBorders>
                  <w:noWrap/>
                  <w:vAlign w:val="center"/>
                </w:tcPr>
                <w:p w14:paraId="124FC1A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措施</w:t>
                  </w:r>
                </w:p>
              </w:tc>
            </w:tr>
            <w:tr w14:paraId="13EA84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75" w:type="dxa"/>
                  <w:vMerge w:val="restart"/>
                  <w:tcBorders>
                    <w:tl2br w:val="nil"/>
                    <w:tr2bl w:val="nil"/>
                  </w:tcBorders>
                  <w:noWrap/>
                  <w:vAlign w:val="center"/>
                </w:tcPr>
                <w:p w14:paraId="322A14C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热风炉</w:t>
                  </w:r>
                </w:p>
              </w:tc>
              <w:tc>
                <w:tcPr>
                  <w:tcW w:w="946" w:type="dxa"/>
                  <w:tcBorders>
                    <w:tl2br w:val="nil"/>
                    <w:tr2bl w:val="nil"/>
                  </w:tcBorders>
                  <w:noWrap/>
                  <w:vAlign w:val="center"/>
                </w:tcPr>
                <w:p w14:paraId="5F8860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烟尘</w:t>
                  </w:r>
                </w:p>
              </w:tc>
              <w:tc>
                <w:tcPr>
                  <w:tcW w:w="932" w:type="dxa"/>
                  <w:vMerge w:val="restart"/>
                  <w:tcBorders>
                    <w:tl2br w:val="nil"/>
                    <w:tr2bl w:val="nil"/>
                  </w:tcBorders>
                  <w:noWrap/>
                  <w:vAlign w:val="center"/>
                </w:tcPr>
                <w:p w14:paraId="1353B4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13162140</w:t>
                  </w:r>
                </w:p>
              </w:tc>
              <w:tc>
                <w:tcPr>
                  <w:tcW w:w="1093" w:type="dxa"/>
                  <w:tcBorders>
                    <w:tl2br w:val="nil"/>
                    <w:tr2bl w:val="nil"/>
                  </w:tcBorders>
                  <w:noWrap/>
                  <w:vAlign w:val="center"/>
                </w:tcPr>
                <w:p w14:paraId="1A6FA6B3">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5105.69</w:t>
                  </w:r>
                </w:p>
              </w:tc>
              <w:tc>
                <w:tcPr>
                  <w:tcW w:w="934" w:type="dxa"/>
                  <w:tcBorders>
                    <w:tl2br w:val="nil"/>
                    <w:tr2bl w:val="nil"/>
                  </w:tcBorders>
                  <w:noWrap/>
                  <w:vAlign w:val="center"/>
                </w:tcPr>
                <w:p w14:paraId="4423743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67.2</w:t>
                  </w:r>
                </w:p>
              </w:tc>
              <w:tc>
                <w:tcPr>
                  <w:tcW w:w="1038" w:type="dxa"/>
                  <w:vMerge w:val="restart"/>
                  <w:tcBorders>
                    <w:tl2br w:val="nil"/>
                    <w:tr2bl w:val="nil"/>
                  </w:tcBorders>
                  <w:noWrap/>
                  <w:vAlign w:val="center"/>
                </w:tcPr>
                <w:p w14:paraId="4B042D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13162140</w:t>
                  </w:r>
                </w:p>
              </w:tc>
              <w:tc>
                <w:tcPr>
                  <w:tcW w:w="1100" w:type="dxa"/>
                  <w:tcBorders>
                    <w:tl2br w:val="nil"/>
                    <w:tr2bl w:val="nil"/>
                  </w:tcBorders>
                  <w:noWrap/>
                  <w:vAlign w:val="center"/>
                </w:tcPr>
                <w:p w14:paraId="76198C89">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25.53</w:t>
                  </w:r>
                </w:p>
              </w:tc>
              <w:tc>
                <w:tcPr>
                  <w:tcW w:w="1062" w:type="dxa"/>
                  <w:tcBorders>
                    <w:tl2br w:val="nil"/>
                    <w:tr2bl w:val="nil"/>
                  </w:tcBorders>
                  <w:noWrap/>
                  <w:vAlign w:val="center"/>
                </w:tcPr>
                <w:p w14:paraId="743197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0.336</w:t>
                  </w:r>
                </w:p>
              </w:tc>
              <w:tc>
                <w:tcPr>
                  <w:tcW w:w="1144" w:type="dxa"/>
                  <w:vMerge w:val="restart"/>
                  <w:tcBorders>
                    <w:tl2br w:val="nil"/>
                    <w:tr2bl w:val="nil"/>
                  </w:tcBorders>
                  <w:noWrap/>
                  <w:vAlign w:val="center"/>
                </w:tcPr>
                <w:p w14:paraId="65EE575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布袋除尘器处理（除尘效率99</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%），经1根</w:t>
                  </w:r>
                  <w:r>
                    <w:rPr>
                      <w:rFonts w:hint="eastAsia" w:ascii="Times New Roman" w:hAnsi="Times New Roman" w:eastAsia="宋体" w:cs="Times New Roman"/>
                      <w:color w:val="auto"/>
                      <w:sz w:val="21"/>
                      <w:szCs w:val="21"/>
                      <w:highlight w:val="none"/>
                      <w:lang w:eastAsia="zh-CN"/>
                    </w:rPr>
                    <w:t>15m</w:t>
                  </w:r>
                  <w:r>
                    <w:rPr>
                      <w:rFonts w:hint="default" w:ascii="Times New Roman" w:hAnsi="Times New Roman" w:eastAsia="宋体" w:cs="Times New Roman"/>
                      <w:color w:val="auto"/>
                      <w:sz w:val="21"/>
                      <w:szCs w:val="21"/>
                      <w:highlight w:val="none"/>
                    </w:rPr>
                    <w:t>高</w:t>
                  </w:r>
                  <w:r>
                    <w:rPr>
                      <w:rFonts w:hint="eastAsia" w:ascii="Times New Roman" w:hAnsi="Times New Roman" w:eastAsia="宋体" w:cs="Times New Roman"/>
                      <w:color w:val="auto"/>
                      <w:sz w:val="21"/>
                      <w:szCs w:val="21"/>
                      <w:highlight w:val="none"/>
                    </w:rPr>
                    <w:t>烟囱</w:t>
                  </w:r>
                  <w:r>
                    <w:rPr>
                      <w:rFonts w:hint="default" w:ascii="Times New Roman" w:hAnsi="Times New Roman" w:eastAsia="宋体" w:cs="Times New Roman"/>
                      <w:color w:val="auto"/>
                      <w:sz w:val="21"/>
                      <w:szCs w:val="21"/>
                      <w:highlight w:val="none"/>
                    </w:rPr>
                    <w:t>排放</w:t>
                  </w:r>
                </w:p>
              </w:tc>
            </w:tr>
            <w:tr w14:paraId="18C8E5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75" w:type="dxa"/>
                  <w:vMerge w:val="continue"/>
                  <w:tcBorders>
                    <w:tl2br w:val="nil"/>
                    <w:tr2bl w:val="nil"/>
                  </w:tcBorders>
                  <w:noWrap/>
                  <w:vAlign w:val="center"/>
                </w:tcPr>
                <w:p w14:paraId="59695B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46" w:type="dxa"/>
                  <w:tcBorders>
                    <w:tl2br w:val="nil"/>
                    <w:tr2bl w:val="nil"/>
                  </w:tcBorders>
                  <w:noWrap/>
                  <w:vAlign w:val="center"/>
                </w:tcPr>
                <w:p w14:paraId="672074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932" w:type="dxa"/>
                  <w:vMerge w:val="continue"/>
                  <w:tcBorders>
                    <w:tl2br w:val="nil"/>
                    <w:tr2bl w:val="nil"/>
                  </w:tcBorders>
                  <w:noWrap/>
                  <w:vAlign w:val="center"/>
                </w:tcPr>
                <w:p w14:paraId="74A6814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093" w:type="dxa"/>
                  <w:tcBorders>
                    <w:tl2br w:val="nil"/>
                    <w:tr2bl w:val="nil"/>
                  </w:tcBorders>
                  <w:noWrap/>
                  <w:vAlign w:val="center"/>
                </w:tcPr>
                <w:p w14:paraId="56586D79">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i w:val="0"/>
                      <w:iCs w:val="0"/>
                      <w:color w:val="auto"/>
                      <w:kern w:val="0"/>
                      <w:sz w:val="21"/>
                      <w:szCs w:val="21"/>
                      <w:u w:val="none"/>
                      <w:lang w:val="en-US" w:eastAsia="zh-CN" w:bidi="ar"/>
                    </w:rPr>
                    <w:t>19.28</w:t>
                  </w:r>
                </w:p>
              </w:tc>
              <w:tc>
                <w:tcPr>
                  <w:tcW w:w="934" w:type="dxa"/>
                  <w:tcBorders>
                    <w:tl2br w:val="nil"/>
                    <w:tr2bl w:val="nil"/>
                  </w:tcBorders>
                  <w:noWrap/>
                  <w:vAlign w:val="center"/>
                </w:tcPr>
                <w:p w14:paraId="48DD22E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0.254</w:t>
                  </w:r>
                </w:p>
              </w:tc>
              <w:tc>
                <w:tcPr>
                  <w:tcW w:w="1038" w:type="dxa"/>
                  <w:vMerge w:val="continue"/>
                  <w:tcBorders>
                    <w:tl2br w:val="nil"/>
                    <w:tr2bl w:val="nil"/>
                  </w:tcBorders>
                  <w:noWrap/>
                  <w:vAlign w:val="center"/>
                </w:tcPr>
                <w:p w14:paraId="0E229E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100" w:type="dxa"/>
                  <w:tcBorders>
                    <w:tl2br w:val="nil"/>
                    <w:tr2bl w:val="nil"/>
                  </w:tcBorders>
                  <w:noWrap/>
                  <w:vAlign w:val="center"/>
                </w:tcPr>
                <w:p w14:paraId="13090602">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i w:val="0"/>
                      <w:iCs w:val="0"/>
                      <w:color w:val="auto"/>
                      <w:kern w:val="0"/>
                      <w:sz w:val="21"/>
                      <w:szCs w:val="21"/>
                      <w:u w:val="none"/>
                      <w:lang w:val="en-US" w:eastAsia="zh-CN" w:bidi="ar"/>
                    </w:rPr>
                    <w:t>19.28</w:t>
                  </w:r>
                </w:p>
              </w:tc>
              <w:tc>
                <w:tcPr>
                  <w:tcW w:w="1062" w:type="dxa"/>
                  <w:tcBorders>
                    <w:tl2br w:val="nil"/>
                    <w:tr2bl w:val="nil"/>
                  </w:tcBorders>
                  <w:noWrap/>
                  <w:vAlign w:val="center"/>
                </w:tcPr>
                <w:p w14:paraId="5DD9D7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0.254</w:t>
                  </w:r>
                </w:p>
              </w:tc>
              <w:tc>
                <w:tcPr>
                  <w:tcW w:w="1144" w:type="dxa"/>
                  <w:vMerge w:val="continue"/>
                  <w:tcBorders>
                    <w:tl2br w:val="nil"/>
                    <w:tr2bl w:val="nil"/>
                  </w:tcBorders>
                  <w:noWrap/>
                  <w:vAlign w:val="center"/>
                </w:tcPr>
                <w:p w14:paraId="6DAACA94">
                  <w:pPr>
                    <w:keepNext w:val="0"/>
                    <w:keepLines w:val="0"/>
                    <w:pageBreakBefore w:val="0"/>
                    <w:kinsoku/>
                    <w:wordWrap/>
                    <w:overflowPunct/>
                    <w:topLinePunct w:val="0"/>
                    <w:autoSpaceDE/>
                    <w:autoSpaceDN/>
                    <w:bidi w:val="0"/>
                    <w:adjustRightInd/>
                    <w:snapToGrid/>
                    <w:spacing w:line="240" w:lineRule="auto"/>
                    <w:jc w:val="center"/>
                    <w:textAlignment w:val="auto"/>
                    <w:rPr>
                      <w:color w:val="auto"/>
                      <w:szCs w:val="21"/>
                      <w:highlight w:val="none"/>
                    </w:rPr>
                  </w:pPr>
                </w:p>
              </w:tc>
            </w:tr>
            <w:tr w14:paraId="7DE5DA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75" w:type="dxa"/>
                  <w:vMerge w:val="continue"/>
                  <w:tcBorders>
                    <w:tl2br w:val="nil"/>
                    <w:tr2bl w:val="nil"/>
                  </w:tcBorders>
                  <w:noWrap/>
                  <w:vAlign w:val="center"/>
                </w:tcPr>
                <w:p w14:paraId="0CA803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46" w:type="dxa"/>
                  <w:tcBorders>
                    <w:tl2br w:val="nil"/>
                    <w:tr2bl w:val="nil"/>
                  </w:tcBorders>
                  <w:noWrap/>
                  <w:vAlign w:val="center"/>
                </w:tcPr>
                <w:p w14:paraId="7A3AC4F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NOx</w:t>
                  </w:r>
                </w:p>
              </w:tc>
              <w:tc>
                <w:tcPr>
                  <w:tcW w:w="932" w:type="dxa"/>
                  <w:vMerge w:val="continue"/>
                  <w:tcBorders>
                    <w:tl2br w:val="nil"/>
                    <w:tr2bl w:val="nil"/>
                  </w:tcBorders>
                  <w:noWrap/>
                  <w:vAlign w:val="center"/>
                </w:tcPr>
                <w:p w14:paraId="305B8F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093" w:type="dxa"/>
                  <w:tcBorders>
                    <w:tl2br w:val="nil"/>
                    <w:tr2bl w:val="nil"/>
                  </w:tcBorders>
                  <w:noWrap/>
                  <w:vAlign w:val="center"/>
                </w:tcPr>
                <w:p w14:paraId="1ACE641A">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i w:val="0"/>
                      <w:iCs w:val="0"/>
                      <w:color w:val="auto"/>
                      <w:kern w:val="0"/>
                      <w:sz w:val="21"/>
                      <w:szCs w:val="21"/>
                      <w:u w:val="none"/>
                      <w:lang w:val="en-US" w:eastAsia="zh-CN" w:bidi="ar"/>
                    </w:rPr>
                    <w:t>136.55</w:t>
                  </w:r>
                </w:p>
              </w:tc>
              <w:tc>
                <w:tcPr>
                  <w:tcW w:w="934" w:type="dxa"/>
                  <w:tcBorders>
                    <w:tl2br w:val="nil"/>
                    <w:tr2bl w:val="nil"/>
                  </w:tcBorders>
                  <w:noWrap/>
                  <w:vAlign w:val="center"/>
                </w:tcPr>
                <w:p w14:paraId="3374BB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1.797</w:t>
                  </w:r>
                </w:p>
              </w:tc>
              <w:tc>
                <w:tcPr>
                  <w:tcW w:w="1038" w:type="dxa"/>
                  <w:vMerge w:val="continue"/>
                  <w:tcBorders>
                    <w:tl2br w:val="nil"/>
                    <w:tr2bl w:val="nil"/>
                  </w:tcBorders>
                  <w:noWrap/>
                  <w:vAlign w:val="center"/>
                </w:tcPr>
                <w:p w14:paraId="179A876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100" w:type="dxa"/>
                  <w:tcBorders>
                    <w:tl2br w:val="nil"/>
                    <w:tr2bl w:val="nil"/>
                  </w:tcBorders>
                  <w:noWrap/>
                  <w:vAlign w:val="center"/>
                </w:tcPr>
                <w:p w14:paraId="7FD5FA05">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i w:val="0"/>
                      <w:iCs w:val="0"/>
                      <w:color w:val="auto"/>
                      <w:kern w:val="0"/>
                      <w:sz w:val="21"/>
                      <w:szCs w:val="21"/>
                      <w:u w:val="none"/>
                      <w:lang w:val="en-US" w:eastAsia="zh-CN" w:bidi="ar"/>
                    </w:rPr>
                    <w:t>136.55</w:t>
                  </w:r>
                </w:p>
              </w:tc>
              <w:tc>
                <w:tcPr>
                  <w:tcW w:w="1062" w:type="dxa"/>
                  <w:tcBorders>
                    <w:tl2br w:val="nil"/>
                    <w:tr2bl w:val="nil"/>
                  </w:tcBorders>
                  <w:noWrap/>
                  <w:vAlign w:val="center"/>
                </w:tcPr>
                <w:p w14:paraId="6F0942A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1.797</w:t>
                  </w:r>
                </w:p>
              </w:tc>
              <w:tc>
                <w:tcPr>
                  <w:tcW w:w="1144" w:type="dxa"/>
                  <w:vMerge w:val="continue"/>
                  <w:tcBorders>
                    <w:tl2br w:val="nil"/>
                    <w:tr2bl w:val="nil"/>
                  </w:tcBorders>
                  <w:noWrap/>
                  <w:vAlign w:val="center"/>
                </w:tcPr>
                <w:p w14:paraId="6DE885EF">
                  <w:pPr>
                    <w:keepNext w:val="0"/>
                    <w:keepLines w:val="0"/>
                    <w:pageBreakBefore w:val="0"/>
                    <w:kinsoku/>
                    <w:wordWrap/>
                    <w:overflowPunct/>
                    <w:topLinePunct w:val="0"/>
                    <w:autoSpaceDE/>
                    <w:autoSpaceDN/>
                    <w:bidi w:val="0"/>
                    <w:adjustRightInd/>
                    <w:snapToGrid/>
                    <w:spacing w:line="240" w:lineRule="auto"/>
                    <w:jc w:val="center"/>
                    <w:textAlignment w:val="auto"/>
                    <w:rPr>
                      <w:color w:val="auto"/>
                      <w:szCs w:val="21"/>
                      <w:highlight w:val="none"/>
                    </w:rPr>
                  </w:pPr>
                </w:p>
              </w:tc>
            </w:tr>
            <w:tr w14:paraId="646826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75" w:type="dxa"/>
                  <w:vMerge w:val="continue"/>
                  <w:tcBorders>
                    <w:tl2br w:val="nil"/>
                    <w:tr2bl w:val="nil"/>
                  </w:tcBorders>
                  <w:noWrap/>
                  <w:vAlign w:val="center"/>
                </w:tcPr>
                <w:p w14:paraId="56B94A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46" w:type="dxa"/>
                  <w:tcBorders>
                    <w:tl2br w:val="nil"/>
                    <w:tr2bl w:val="nil"/>
                  </w:tcBorders>
                  <w:noWrap/>
                  <w:vAlign w:val="center"/>
                </w:tcPr>
                <w:p w14:paraId="70E34F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yellow"/>
                      <w:lang w:eastAsia="zh-CN"/>
                    </w:rPr>
                  </w:pPr>
                  <w:r>
                    <w:rPr>
                      <w:rFonts w:hint="eastAsia" w:cs="Times New Roman"/>
                      <w:color w:val="auto"/>
                      <w:sz w:val="21"/>
                      <w:szCs w:val="21"/>
                      <w:highlight w:val="none"/>
                      <w:lang w:eastAsia="zh-CN"/>
                    </w:rPr>
                    <w:t>汞</w:t>
                  </w:r>
                </w:p>
              </w:tc>
              <w:tc>
                <w:tcPr>
                  <w:tcW w:w="932" w:type="dxa"/>
                  <w:vMerge w:val="continue"/>
                  <w:tcBorders>
                    <w:tl2br w:val="nil"/>
                    <w:tr2bl w:val="nil"/>
                  </w:tcBorders>
                  <w:noWrap/>
                  <w:vAlign w:val="center"/>
                </w:tcPr>
                <w:p w14:paraId="74F4682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yellow"/>
                    </w:rPr>
                  </w:pPr>
                </w:p>
              </w:tc>
              <w:tc>
                <w:tcPr>
                  <w:tcW w:w="1093" w:type="dxa"/>
                  <w:tcBorders>
                    <w:tl2br w:val="nil"/>
                    <w:tr2bl w:val="nil"/>
                  </w:tcBorders>
                  <w:noWrap/>
                  <w:vAlign w:val="center"/>
                </w:tcPr>
                <w:p w14:paraId="208E8FE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0.0011</w:t>
                  </w:r>
                </w:p>
              </w:tc>
              <w:tc>
                <w:tcPr>
                  <w:tcW w:w="934" w:type="dxa"/>
                  <w:tcBorders>
                    <w:tl2br w:val="nil"/>
                    <w:tr2bl w:val="nil"/>
                  </w:tcBorders>
                  <w:noWrap/>
                  <w:vAlign w:val="center"/>
                </w:tcPr>
                <w:p w14:paraId="434199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038" w:type="dxa"/>
                  <w:vMerge w:val="continue"/>
                  <w:tcBorders>
                    <w:tl2br w:val="nil"/>
                    <w:tr2bl w:val="nil"/>
                  </w:tcBorders>
                  <w:noWrap/>
                  <w:vAlign w:val="center"/>
                </w:tcPr>
                <w:p w14:paraId="0729F7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100" w:type="dxa"/>
                  <w:tcBorders>
                    <w:tl2br w:val="nil"/>
                    <w:tr2bl w:val="nil"/>
                  </w:tcBorders>
                  <w:noWrap/>
                  <w:vAlign w:val="center"/>
                </w:tcPr>
                <w:p w14:paraId="67ACC3D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0.00085</w:t>
                  </w:r>
                </w:p>
              </w:tc>
              <w:tc>
                <w:tcPr>
                  <w:tcW w:w="1062" w:type="dxa"/>
                  <w:tcBorders>
                    <w:tl2br w:val="nil"/>
                    <w:tr2bl w:val="nil"/>
                  </w:tcBorders>
                  <w:noWrap/>
                  <w:vAlign w:val="center"/>
                </w:tcPr>
                <w:p w14:paraId="38D0A0E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1.12</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-5</w:t>
                  </w:r>
                </w:p>
              </w:tc>
              <w:tc>
                <w:tcPr>
                  <w:tcW w:w="1144" w:type="dxa"/>
                  <w:vMerge w:val="continue"/>
                  <w:tcBorders>
                    <w:tl2br w:val="nil"/>
                    <w:tr2bl w:val="nil"/>
                  </w:tcBorders>
                  <w:noWrap/>
                  <w:vAlign w:val="center"/>
                </w:tcPr>
                <w:p w14:paraId="76684C28">
                  <w:pPr>
                    <w:keepNext w:val="0"/>
                    <w:keepLines w:val="0"/>
                    <w:pageBreakBefore w:val="0"/>
                    <w:kinsoku/>
                    <w:wordWrap/>
                    <w:overflowPunct/>
                    <w:topLinePunct w:val="0"/>
                    <w:autoSpaceDE/>
                    <w:autoSpaceDN/>
                    <w:bidi w:val="0"/>
                    <w:adjustRightInd/>
                    <w:snapToGrid/>
                    <w:spacing w:line="240" w:lineRule="auto"/>
                    <w:jc w:val="center"/>
                    <w:textAlignment w:val="auto"/>
                    <w:rPr>
                      <w:color w:val="auto"/>
                      <w:szCs w:val="21"/>
                      <w:highlight w:val="none"/>
                    </w:rPr>
                  </w:pPr>
                </w:p>
              </w:tc>
            </w:tr>
          </w:tbl>
          <w:p w14:paraId="436230F6">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color w:val="auto"/>
                <w:sz w:val="24"/>
                <w:highlight w:val="none"/>
              </w:rPr>
            </w:pPr>
            <w:r>
              <w:rPr>
                <w:color w:val="auto"/>
                <w:sz w:val="24"/>
                <w:highlight w:val="none"/>
              </w:rPr>
              <w:t>本项目废气污染物源源强核算结果及相关参数见表</w:t>
            </w:r>
            <w:r>
              <w:rPr>
                <w:rFonts w:hint="eastAsia"/>
                <w:color w:val="auto"/>
                <w:sz w:val="24"/>
                <w:highlight w:val="none"/>
              </w:rPr>
              <w:t>4-</w:t>
            </w:r>
            <w:r>
              <w:rPr>
                <w:rFonts w:hint="eastAsia"/>
                <w:color w:val="auto"/>
                <w:sz w:val="24"/>
                <w:highlight w:val="none"/>
                <w:lang w:val="en-US" w:eastAsia="zh-CN"/>
              </w:rPr>
              <w:t>3</w:t>
            </w:r>
            <w:r>
              <w:rPr>
                <w:color w:val="auto"/>
                <w:sz w:val="24"/>
                <w:highlight w:val="none"/>
              </w:rPr>
              <w:t>。</w:t>
            </w:r>
          </w:p>
          <w:p w14:paraId="0691F580">
            <w:pPr>
              <w:pStyle w:val="4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 xml:space="preserve"> 废气污染物源源强核算结果及相关参数一览表</w:t>
            </w:r>
          </w:p>
          <w:tbl>
            <w:tblPr>
              <w:tblStyle w:val="32"/>
              <w:tblW w:w="89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506"/>
              <w:gridCol w:w="574"/>
              <w:gridCol w:w="739"/>
              <w:gridCol w:w="801"/>
              <w:gridCol w:w="793"/>
              <w:gridCol w:w="903"/>
              <w:gridCol w:w="601"/>
              <w:gridCol w:w="556"/>
              <w:gridCol w:w="654"/>
              <w:gridCol w:w="685"/>
              <w:gridCol w:w="671"/>
              <w:gridCol w:w="734"/>
            </w:tblGrid>
            <w:tr w14:paraId="594DE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413" w:type="pct"/>
                  <w:vMerge w:val="restart"/>
                  <w:tcBorders>
                    <w:tl2br w:val="nil"/>
                    <w:tr2bl w:val="nil"/>
                  </w:tcBorders>
                  <w:noWrap/>
                  <w:vAlign w:val="center"/>
                </w:tcPr>
                <w:p w14:paraId="198135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排放源</w:t>
                  </w:r>
                </w:p>
              </w:tc>
              <w:tc>
                <w:tcPr>
                  <w:tcW w:w="282" w:type="pct"/>
                  <w:vMerge w:val="restart"/>
                  <w:tcBorders>
                    <w:tl2br w:val="nil"/>
                    <w:tr2bl w:val="nil"/>
                  </w:tcBorders>
                  <w:noWrap/>
                  <w:vAlign w:val="center"/>
                </w:tcPr>
                <w:p w14:paraId="62E4E8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w:t>
                  </w:r>
                </w:p>
              </w:tc>
              <w:tc>
                <w:tcPr>
                  <w:tcW w:w="1622" w:type="pct"/>
                  <w:gridSpan w:val="4"/>
                  <w:tcBorders>
                    <w:tl2br w:val="nil"/>
                    <w:tr2bl w:val="nil"/>
                  </w:tcBorders>
                  <w:noWrap/>
                  <w:vAlign w:val="center"/>
                </w:tcPr>
                <w:p w14:paraId="2FCE94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污染物产生</w:t>
                  </w:r>
                </w:p>
              </w:tc>
              <w:tc>
                <w:tcPr>
                  <w:tcW w:w="839" w:type="pct"/>
                  <w:gridSpan w:val="2"/>
                  <w:tcBorders>
                    <w:tl2br w:val="nil"/>
                    <w:tr2bl w:val="nil"/>
                  </w:tcBorders>
                  <w:noWrap/>
                  <w:vAlign w:val="center"/>
                </w:tcPr>
                <w:p w14:paraId="1F76BC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治理措施</w:t>
                  </w:r>
                </w:p>
              </w:tc>
              <w:tc>
                <w:tcPr>
                  <w:tcW w:w="1432" w:type="pct"/>
                  <w:gridSpan w:val="4"/>
                  <w:tcBorders>
                    <w:tl2br w:val="nil"/>
                    <w:tr2bl w:val="nil"/>
                  </w:tcBorders>
                  <w:noWrap/>
                  <w:vAlign w:val="center"/>
                </w:tcPr>
                <w:p w14:paraId="04AD04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污染物排放</w:t>
                  </w:r>
                </w:p>
              </w:tc>
              <w:tc>
                <w:tcPr>
                  <w:tcW w:w="409" w:type="pct"/>
                  <w:vMerge w:val="restart"/>
                  <w:tcBorders>
                    <w:tl2br w:val="nil"/>
                    <w:tr2bl w:val="nil"/>
                  </w:tcBorders>
                  <w:noWrap/>
                  <w:vAlign w:val="center"/>
                </w:tcPr>
                <w:p w14:paraId="566624CC">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color w:val="auto"/>
                      <w:sz w:val="21"/>
                      <w:szCs w:val="21"/>
                      <w:highlight w:val="none"/>
                    </w:rPr>
                  </w:pPr>
                  <w:r>
                    <w:rPr>
                      <w:rFonts w:hint="default" w:ascii="Times New Roman" w:hAnsi="Times New Roman" w:cs="Times New Roman"/>
                      <w:b w:val="0"/>
                      <w:color w:val="auto"/>
                      <w:kern w:val="0"/>
                      <w:sz w:val="21"/>
                      <w:szCs w:val="21"/>
                      <w:highlight w:val="none"/>
                    </w:rPr>
                    <w:t>排放时间(h)</w:t>
                  </w:r>
                </w:p>
              </w:tc>
            </w:tr>
            <w:tr w14:paraId="4AF7BE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413" w:type="pct"/>
                  <w:vMerge w:val="continue"/>
                  <w:tcBorders>
                    <w:tl2br w:val="nil"/>
                    <w:tr2bl w:val="nil"/>
                  </w:tcBorders>
                  <w:noWrap/>
                  <w:vAlign w:val="center"/>
                </w:tcPr>
                <w:p w14:paraId="452414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282" w:type="pct"/>
                  <w:vMerge w:val="continue"/>
                  <w:tcBorders>
                    <w:tl2br w:val="nil"/>
                    <w:tr2bl w:val="nil"/>
                  </w:tcBorders>
                  <w:noWrap/>
                  <w:vAlign w:val="center"/>
                </w:tcPr>
                <w:p w14:paraId="6CCEF8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320" w:type="pct"/>
                  <w:tcBorders>
                    <w:tl2br w:val="nil"/>
                    <w:tr2bl w:val="nil"/>
                  </w:tcBorders>
                  <w:noWrap/>
                  <w:vAlign w:val="center"/>
                </w:tcPr>
                <w:p w14:paraId="1C46A7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412" w:type="pct"/>
                  <w:tcBorders>
                    <w:tl2br w:val="nil"/>
                    <w:tr2bl w:val="nil"/>
                  </w:tcBorders>
                  <w:noWrap/>
                  <w:vAlign w:val="center"/>
                </w:tcPr>
                <w:p w14:paraId="67DB11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产生速率(kg/h)</w:t>
                  </w:r>
                </w:p>
              </w:tc>
              <w:tc>
                <w:tcPr>
                  <w:tcW w:w="447" w:type="pct"/>
                  <w:tcBorders>
                    <w:tl2br w:val="nil"/>
                    <w:tr2bl w:val="nil"/>
                  </w:tcBorders>
                  <w:noWrap/>
                  <w:vAlign w:val="center"/>
                </w:tcPr>
                <w:p w14:paraId="11590C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产生浓度(</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442" w:type="pct"/>
                  <w:tcBorders>
                    <w:tl2br w:val="nil"/>
                    <w:tr2bl w:val="nil"/>
                  </w:tcBorders>
                  <w:noWrap/>
                  <w:vAlign w:val="center"/>
                </w:tcPr>
                <w:p w14:paraId="198FCB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产生量(t/a)</w:t>
                  </w:r>
                </w:p>
              </w:tc>
              <w:tc>
                <w:tcPr>
                  <w:tcW w:w="504" w:type="pct"/>
                  <w:tcBorders>
                    <w:tl2br w:val="nil"/>
                    <w:tr2bl w:val="nil"/>
                  </w:tcBorders>
                  <w:noWrap/>
                  <w:vAlign w:val="center"/>
                </w:tcPr>
                <w:p w14:paraId="6DFB42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工艺</w:t>
                  </w:r>
                </w:p>
              </w:tc>
              <w:tc>
                <w:tcPr>
                  <w:tcW w:w="335" w:type="pct"/>
                  <w:tcBorders>
                    <w:tl2br w:val="nil"/>
                    <w:tr2bl w:val="nil"/>
                  </w:tcBorders>
                  <w:noWrap/>
                  <w:vAlign w:val="center"/>
                </w:tcPr>
                <w:p w14:paraId="3BB5A3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效率(%)</w:t>
                  </w:r>
                </w:p>
              </w:tc>
              <w:tc>
                <w:tcPr>
                  <w:tcW w:w="310" w:type="pct"/>
                  <w:tcBorders>
                    <w:tl2br w:val="nil"/>
                    <w:tr2bl w:val="nil"/>
                  </w:tcBorders>
                  <w:noWrap/>
                  <w:vAlign w:val="center"/>
                </w:tcPr>
                <w:p w14:paraId="06875F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核算方法</w:t>
                  </w:r>
                </w:p>
              </w:tc>
              <w:tc>
                <w:tcPr>
                  <w:tcW w:w="365" w:type="pct"/>
                  <w:tcBorders>
                    <w:tl2br w:val="nil"/>
                    <w:tr2bl w:val="nil"/>
                  </w:tcBorders>
                  <w:noWrap/>
                  <w:vAlign w:val="center"/>
                </w:tcPr>
                <w:p w14:paraId="3BF01A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排放速率(kg/h)</w:t>
                  </w:r>
                </w:p>
              </w:tc>
              <w:tc>
                <w:tcPr>
                  <w:tcW w:w="382" w:type="pct"/>
                  <w:tcBorders>
                    <w:tl2br w:val="nil"/>
                    <w:tr2bl w:val="nil"/>
                  </w:tcBorders>
                  <w:noWrap/>
                  <w:vAlign w:val="center"/>
                </w:tcPr>
                <w:p w14:paraId="7ED3B0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排放浓度(</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374" w:type="pct"/>
                  <w:tcBorders>
                    <w:tl2br w:val="nil"/>
                    <w:tr2bl w:val="nil"/>
                  </w:tcBorders>
                  <w:noWrap/>
                  <w:vAlign w:val="center"/>
                </w:tcPr>
                <w:p w14:paraId="35952B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排放量(t/a)</w:t>
                  </w:r>
                </w:p>
              </w:tc>
              <w:tc>
                <w:tcPr>
                  <w:tcW w:w="409" w:type="pct"/>
                  <w:vMerge w:val="continue"/>
                  <w:tcBorders>
                    <w:tl2br w:val="nil"/>
                    <w:tr2bl w:val="nil"/>
                  </w:tcBorders>
                  <w:noWrap/>
                  <w:vAlign w:val="center"/>
                </w:tcPr>
                <w:p w14:paraId="5D4187EF">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color w:val="auto"/>
                      <w:sz w:val="21"/>
                      <w:szCs w:val="21"/>
                      <w:highlight w:val="none"/>
                    </w:rPr>
                  </w:pPr>
                </w:p>
              </w:tc>
            </w:tr>
            <w:tr w14:paraId="52F5F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2" w:hRule="atLeast"/>
                <w:jc w:val="center"/>
              </w:trPr>
              <w:tc>
                <w:tcPr>
                  <w:tcW w:w="413" w:type="pct"/>
                  <w:tcBorders>
                    <w:tl2br w:val="nil"/>
                    <w:tr2bl w:val="nil"/>
                  </w:tcBorders>
                  <w:noWrap/>
                  <w:vAlign w:val="center"/>
                </w:tcPr>
                <w:p w14:paraId="484674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装卸、</w:t>
                  </w:r>
                </w:p>
                <w:p w14:paraId="65A124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筛分、</w:t>
                  </w:r>
                </w:p>
                <w:p w14:paraId="534F38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输送无组织</w:t>
                  </w:r>
                </w:p>
              </w:tc>
              <w:tc>
                <w:tcPr>
                  <w:tcW w:w="282" w:type="pct"/>
                  <w:tcBorders>
                    <w:tl2br w:val="nil"/>
                    <w:tr2bl w:val="nil"/>
                  </w:tcBorders>
                  <w:noWrap/>
                  <w:vAlign w:val="center"/>
                </w:tcPr>
                <w:p w14:paraId="7B0B76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320" w:type="pct"/>
                  <w:vMerge w:val="restart"/>
                  <w:tcBorders>
                    <w:tl2br w:val="nil"/>
                    <w:tr2bl w:val="nil"/>
                  </w:tcBorders>
                  <w:noWrap/>
                  <w:vAlign w:val="center"/>
                </w:tcPr>
                <w:p w14:paraId="2E888D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产污系数法</w:t>
                  </w:r>
                </w:p>
              </w:tc>
              <w:tc>
                <w:tcPr>
                  <w:tcW w:w="412" w:type="pct"/>
                  <w:tcBorders>
                    <w:tl2br w:val="nil"/>
                    <w:tr2bl w:val="nil"/>
                  </w:tcBorders>
                  <w:noWrap/>
                  <w:vAlign w:val="center"/>
                </w:tcPr>
                <w:p w14:paraId="3F8FDD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2.08</w:t>
                  </w:r>
                </w:p>
              </w:tc>
              <w:tc>
                <w:tcPr>
                  <w:tcW w:w="447" w:type="pct"/>
                  <w:tcBorders>
                    <w:tl2br w:val="nil"/>
                    <w:tr2bl w:val="nil"/>
                  </w:tcBorders>
                  <w:noWrap/>
                  <w:vAlign w:val="center"/>
                </w:tcPr>
                <w:p w14:paraId="6BD21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442" w:type="pct"/>
                  <w:tcBorders>
                    <w:tl2br w:val="nil"/>
                    <w:tr2bl w:val="nil"/>
                  </w:tcBorders>
                  <w:noWrap/>
                  <w:vAlign w:val="center"/>
                </w:tcPr>
                <w:p w14:paraId="6FAA3E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504" w:type="pct"/>
                  <w:tcBorders>
                    <w:tl2br w:val="nil"/>
                    <w:tr2bl w:val="nil"/>
                  </w:tcBorders>
                  <w:noWrap/>
                  <w:vAlign w:val="center"/>
                </w:tcPr>
                <w:p w14:paraId="69C037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封闭传送带，</w:t>
                  </w:r>
                  <w:r>
                    <w:rPr>
                      <w:rFonts w:hint="eastAsia" w:ascii="Times New Roman" w:hAnsi="Times New Roman" w:cs="Times New Roman"/>
                      <w:color w:val="auto"/>
                      <w:kern w:val="0"/>
                      <w:sz w:val="21"/>
                      <w:szCs w:val="21"/>
                      <w:highlight w:val="none"/>
                      <w:lang w:val="en-US" w:eastAsia="zh-CN"/>
                    </w:rPr>
                    <w:t>装卸区采取密闭装卸</w:t>
                  </w:r>
                  <w:r>
                    <w:rPr>
                      <w:rFonts w:hint="default" w:ascii="Times New Roman" w:hAnsi="Times New Roman" w:cs="Times New Roman"/>
                      <w:color w:val="auto"/>
                      <w:kern w:val="0"/>
                      <w:sz w:val="21"/>
                      <w:szCs w:val="21"/>
                      <w:highlight w:val="none"/>
                    </w:rPr>
                    <w:t>，采用封闭式清理筛</w:t>
                  </w:r>
                </w:p>
              </w:tc>
              <w:tc>
                <w:tcPr>
                  <w:tcW w:w="335" w:type="pct"/>
                  <w:tcBorders>
                    <w:tl2br w:val="nil"/>
                    <w:tr2bl w:val="nil"/>
                  </w:tcBorders>
                  <w:noWrap/>
                  <w:vAlign w:val="center"/>
                </w:tcPr>
                <w:p w14:paraId="7104BE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90</w:t>
                  </w:r>
                </w:p>
              </w:tc>
              <w:tc>
                <w:tcPr>
                  <w:tcW w:w="310" w:type="pct"/>
                  <w:vMerge w:val="restart"/>
                  <w:tcBorders>
                    <w:tl2br w:val="nil"/>
                    <w:tr2bl w:val="nil"/>
                  </w:tcBorders>
                  <w:noWrap/>
                  <w:vAlign w:val="center"/>
                </w:tcPr>
                <w:p w14:paraId="378D7B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产污系数法</w:t>
                  </w:r>
                </w:p>
              </w:tc>
              <w:tc>
                <w:tcPr>
                  <w:tcW w:w="365" w:type="pct"/>
                  <w:tcBorders>
                    <w:tl2br w:val="nil"/>
                    <w:tr2bl w:val="nil"/>
                  </w:tcBorders>
                  <w:noWrap/>
                  <w:vAlign w:val="center"/>
                </w:tcPr>
                <w:p w14:paraId="5FB170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0.208</w:t>
                  </w:r>
                </w:p>
              </w:tc>
              <w:tc>
                <w:tcPr>
                  <w:tcW w:w="382" w:type="pct"/>
                  <w:tcBorders>
                    <w:tl2br w:val="nil"/>
                    <w:tr2bl w:val="nil"/>
                  </w:tcBorders>
                  <w:noWrap/>
                  <w:vAlign w:val="center"/>
                </w:tcPr>
                <w:p w14:paraId="42B61F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374" w:type="pct"/>
                  <w:tcBorders>
                    <w:tl2br w:val="nil"/>
                    <w:tr2bl w:val="nil"/>
                  </w:tcBorders>
                  <w:noWrap/>
                  <w:vAlign w:val="center"/>
                </w:tcPr>
                <w:p w14:paraId="03B793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0.25</w:t>
                  </w:r>
                </w:p>
              </w:tc>
              <w:tc>
                <w:tcPr>
                  <w:tcW w:w="409" w:type="pct"/>
                  <w:tcBorders>
                    <w:tl2br w:val="nil"/>
                    <w:tr2bl w:val="nil"/>
                  </w:tcBorders>
                  <w:noWrap/>
                  <w:vAlign w:val="center"/>
                </w:tcPr>
                <w:p w14:paraId="7799DD42">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cs="Times New Roman"/>
                      <w:b w:val="0"/>
                      <w:color w:val="auto"/>
                      <w:sz w:val="21"/>
                      <w:szCs w:val="21"/>
                      <w:highlight w:val="none"/>
                      <w:lang w:val="en-US" w:eastAsia="zh-CN"/>
                    </w:rPr>
                    <w:t>1200</w:t>
                  </w:r>
                </w:p>
              </w:tc>
            </w:tr>
            <w:tr w14:paraId="40B32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413" w:type="pct"/>
                  <w:tcBorders>
                    <w:tl2br w:val="nil"/>
                    <w:tr2bl w:val="nil"/>
                  </w:tcBorders>
                  <w:noWrap/>
                  <w:vAlign w:val="center"/>
                </w:tcPr>
                <w:p w14:paraId="71B206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烘干塔无组织</w:t>
                  </w:r>
                </w:p>
              </w:tc>
              <w:tc>
                <w:tcPr>
                  <w:tcW w:w="282" w:type="pct"/>
                  <w:tcBorders>
                    <w:tl2br w:val="nil"/>
                    <w:tr2bl w:val="nil"/>
                  </w:tcBorders>
                  <w:noWrap/>
                  <w:vAlign w:val="center"/>
                </w:tcPr>
                <w:p w14:paraId="78FCB6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320" w:type="pct"/>
                  <w:vMerge w:val="continue"/>
                  <w:tcBorders>
                    <w:tl2br w:val="nil"/>
                    <w:tr2bl w:val="nil"/>
                  </w:tcBorders>
                  <w:noWrap/>
                  <w:vAlign w:val="center"/>
                </w:tcPr>
                <w:p w14:paraId="5BBFD1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p>
              </w:tc>
              <w:tc>
                <w:tcPr>
                  <w:tcW w:w="412" w:type="pct"/>
                  <w:tcBorders>
                    <w:tl2br w:val="nil"/>
                    <w:tr2bl w:val="nil"/>
                  </w:tcBorders>
                  <w:noWrap/>
                  <w:vAlign w:val="center"/>
                </w:tcPr>
                <w:p w14:paraId="1B5078E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kern w:val="0"/>
                      <w:sz w:val="21"/>
                      <w:szCs w:val="21"/>
                      <w:highlight w:val="none"/>
                      <w:lang w:val="en-US"/>
                    </w:rPr>
                  </w:pPr>
                  <w:r>
                    <w:rPr>
                      <w:rFonts w:hint="eastAsia" w:cs="Times New Roman"/>
                      <w:b w:val="0"/>
                      <w:bCs w:val="0"/>
                      <w:i w:val="0"/>
                      <w:iCs w:val="0"/>
                      <w:color w:val="auto"/>
                      <w:spacing w:val="0"/>
                      <w:kern w:val="0"/>
                      <w:sz w:val="21"/>
                      <w:szCs w:val="21"/>
                      <w:highlight w:val="none"/>
                      <w:lang w:val="en-US" w:eastAsia="zh-CN"/>
                    </w:rPr>
                    <w:t>4.23</w:t>
                  </w:r>
                </w:p>
              </w:tc>
              <w:tc>
                <w:tcPr>
                  <w:tcW w:w="447" w:type="pct"/>
                  <w:tcBorders>
                    <w:tl2br w:val="nil"/>
                    <w:tr2bl w:val="nil"/>
                  </w:tcBorders>
                  <w:noWrap/>
                  <w:vAlign w:val="center"/>
                </w:tcPr>
                <w:p w14:paraId="6525198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b w:val="0"/>
                      <w:bCs w:val="0"/>
                      <w:i w:val="0"/>
                      <w:iCs w:val="0"/>
                      <w:color w:val="auto"/>
                      <w:spacing w:val="0"/>
                      <w:kern w:val="0"/>
                      <w:sz w:val="21"/>
                      <w:szCs w:val="21"/>
                      <w:highlight w:val="none"/>
                      <w:lang w:val="en-US" w:eastAsia="zh-CN"/>
                    </w:rPr>
                    <w:t>/</w:t>
                  </w:r>
                </w:p>
              </w:tc>
              <w:tc>
                <w:tcPr>
                  <w:tcW w:w="442" w:type="pct"/>
                  <w:tcBorders>
                    <w:tl2br w:val="nil"/>
                    <w:tr2bl w:val="nil"/>
                  </w:tcBorders>
                  <w:noWrap/>
                  <w:vAlign w:val="center"/>
                </w:tcPr>
                <w:p w14:paraId="4AEF67C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5.08</w:t>
                  </w:r>
                </w:p>
              </w:tc>
              <w:tc>
                <w:tcPr>
                  <w:tcW w:w="504" w:type="pct"/>
                  <w:tcBorders>
                    <w:tl2br w:val="nil"/>
                    <w:tr2bl w:val="nil"/>
                  </w:tcBorders>
                  <w:noWrap/>
                  <w:vAlign w:val="center"/>
                </w:tcPr>
                <w:p w14:paraId="6564F8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烘干塔塔体设置彩钢罩</w:t>
                  </w:r>
                </w:p>
              </w:tc>
              <w:tc>
                <w:tcPr>
                  <w:tcW w:w="335" w:type="pct"/>
                  <w:tcBorders>
                    <w:tl2br w:val="nil"/>
                    <w:tr2bl w:val="nil"/>
                  </w:tcBorders>
                  <w:noWrap/>
                  <w:vAlign w:val="center"/>
                </w:tcPr>
                <w:p w14:paraId="7A6102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90</w:t>
                  </w:r>
                </w:p>
              </w:tc>
              <w:tc>
                <w:tcPr>
                  <w:tcW w:w="310" w:type="pct"/>
                  <w:vMerge w:val="continue"/>
                  <w:tcBorders>
                    <w:tl2br w:val="nil"/>
                    <w:tr2bl w:val="nil"/>
                  </w:tcBorders>
                  <w:noWrap/>
                  <w:vAlign w:val="center"/>
                </w:tcPr>
                <w:p w14:paraId="00C235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p>
              </w:tc>
              <w:tc>
                <w:tcPr>
                  <w:tcW w:w="365" w:type="pct"/>
                  <w:tcBorders>
                    <w:tl2br w:val="nil"/>
                    <w:tr2bl w:val="nil"/>
                  </w:tcBorders>
                  <w:noWrap/>
                  <w:vAlign w:val="center"/>
                </w:tcPr>
                <w:p w14:paraId="7DC4FDA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kern w:val="0"/>
                      <w:sz w:val="21"/>
                      <w:szCs w:val="21"/>
                      <w:highlight w:val="none"/>
                      <w:lang w:val="en-US"/>
                    </w:rPr>
                  </w:pPr>
                  <w:r>
                    <w:rPr>
                      <w:rFonts w:hint="eastAsia" w:cs="Times New Roman"/>
                      <w:b w:val="0"/>
                      <w:bCs w:val="0"/>
                      <w:i w:val="0"/>
                      <w:iCs w:val="0"/>
                      <w:color w:val="auto"/>
                      <w:spacing w:val="0"/>
                      <w:kern w:val="0"/>
                      <w:sz w:val="21"/>
                      <w:szCs w:val="21"/>
                      <w:highlight w:val="none"/>
                      <w:lang w:val="en-US" w:eastAsia="zh-CN" w:bidi="ar-SA"/>
                    </w:rPr>
                    <w:t>0.423</w:t>
                  </w:r>
                </w:p>
              </w:tc>
              <w:tc>
                <w:tcPr>
                  <w:tcW w:w="382" w:type="pct"/>
                  <w:tcBorders>
                    <w:tl2br w:val="nil"/>
                    <w:tr2bl w:val="nil"/>
                  </w:tcBorders>
                  <w:noWrap/>
                  <w:vAlign w:val="center"/>
                </w:tcPr>
                <w:p w14:paraId="5371541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b w:val="0"/>
                      <w:bCs w:val="0"/>
                      <w:i w:val="0"/>
                      <w:iCs w:val="0"/>
                      <w:color w:val="auto"/>
                      <w:spacing w:val="0"/>
                      <w:kern w:val="0"/>
                      <w:sz w:val="21"/>
                      <w:szCs w:val="21"/>
                      <w:highlight w:val="none"/>
                      <w:lang w:val="en-US" w:eastAsia="zh-CN" w:bidi="ar-SA"/>
                    </w:rPr>
                    <w:t>/</w:t>
                  </w:r>
                </w:p>
              </w:tc>
              <w:tc>
                <w:tcPr>
                  <w:tcW w:w="374" w:type="pct"/>
                  <w:tcBorders>
                    <w:tl2br w:val="nil"/>
                    <w:tr2bl w:val="nil"/>
                  </w:tcBorders>
                  <w:noWrap/>
                  <w:vAlign w:val="center"/>
                </w:tcPr>
                <w:p w14:paraId="5DC5B08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cs="Times New Roman"/>
                      <w:color w:val="auto"/>
                      <w:kern w:val="0"/>
                      <w:sz w:val="21"/>
                      <w:szCs w:val="21"/>
                      <w:highlight w:val="none"/>
                      <w:lang w:val="en-US"/>
                    </w:rPr>
                  </w:pPr>
                  <w:r>
                    <w:rPr>
                      <w:rFonts w:hint="eastAsia" w:cs="Times New Roman"/>
                      <w:b w:val="0"/>
                      <w:bCs w:val="0"/>
                      <w:i w:val="0"/>
                      <w:iCs w:val="0"/>
                      <w:color w:val="auto"/>
                      <w:spacing w:val="0"/>
                      <w:kern w:val="0"/>
                      <w:sz w:val="21"/>
                      <w:szCs w:val="21"/>
                      <w:highlight w:val="none"/>
                      <w:lang w:val="en-US" w:eastAsia="zh-CN" w:bidi="ar-SA"/>
                    </w:rPr>
                    <w:t>0.508</w:t>
                  </w:r>
                </w:p>
              </w:tc>
              <w:tc>
                <w:tcPr>
                  <w:tcW w:w="409" w:type="pct"/>
                  <w:tcBorders>
                    <w:tl2br w:val="nil"/>
                    <w:tr2bl w:val="nil"/>
                  </w:tcBorders>
                  <w:noWrap/>
                  <w:vAlign w:val="center"/>
                </w:tcPr>
                <w:p w14:paraId="553D63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1200</w:t>
                  </w:r>
                </w:p>
              </w:tc>
            </w:tr>
            <w:tr w14:paraId="3125D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13" w:type="pct"/>
                  <w:vMerge w:val="restart"/>
                  <w:tcBorders>
                    <w:tl2br w:val="nil"/>
                    <w:tr2bl w:val="nil"/>
                  </w:tcBorders>
                  <w:noWrap/>
                  <w:vAlign w:val="center"/>
                </w:tcPr>
                <w:p w14:paraId="4EFD0D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热风炉烟气</w:t>
                  </w:r>
                </w:p>
              </w:tc>
              <w:tc>
                <w:tcPr>
                  <w:tcW w:w="282" w:type="pct"/>
                  <w:tcBorders>
                    <w:tl2br w:val="nil"/>
                    <w:tr2bl w:val="nil"/>
                  </w:tcBorders>
                  <w:noWrap/>
                  <w:vAlign w:val="center"/>
                </w:tcPr>
                <w:p w14:paraId="14719A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烟尘</w:t>
                  </w:r>
                </w:p>
              </w:tc>
              <w:tc>
                <w:tcPr>
                  <w:tcW w:w="320" w:type="pct"/>
                  <w:vMerge w:val="restart"/>
                  <w:tcBorders>
                    <w:tl2br w:val="nil"/>
                    <w:tr2bl w:val="nil"/>
                  </w:tcBorders>
                  <w:noWrap/>
                  <w:vAlign w:val="center"/>
                </w:tcPr>
                <w:p w14:paraId="31A043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物料衡算法</w:t>
                  </w:r>
                </w:p>
              </w:tc>
              <w:tc>
                <w:tcPr>
                  <w:tcW w:w="412" w:type="pct"/>
                  <w:tcBorders>
                    <w:tl2br w:val="nil"/>
                    <w:tr2bl w:val="nil"/>
                  </w:tcBorders>
                  <w:noWrap/>
                  <w:vAlign w:val="center"/>
                </w:tcPr>
                <w:p w14:paraId="2032CA24">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56</w:t>
                  </w:r>
                </w:p>
              </w:tc>
              <w:tc>
                <w:tcPr>
                  <w:tcW w:w="447" w:type="pct"/>
                  <w:tcBorders>
                    <w:tl2br w:val="nil"/>
                    <w:tr2bl w:val="nil"/>
                  </w:tcBorders>
                  <w:noWrap/>
                  <w:vAlign w:val="center"/>
                </w:tcPr>
                <w:p w14:paraId="33F774CF">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lang w:val="en-US"/>
                    </w:rPr>
                  </w:pPr>
                  <w:r>
                    <w:rPr>
                      <w:rFonts w:hint="eastAsia" w:cs="Times New Roman"/>
                      <w:i w:val="0"/>
                      <w:iCs w:val="0"/>
                      <w:color w:val="auto"/>
                      <w:kern w:val="0"/>
                      <w:sz w:val="21"/>
                      <w:szCs w:val="21"/>
                      <w:u w:val="none"/>
                      <w:lang w:val="en-US" w:eastAsia="zh-CN" w:bidi="ar"/>
                    </w:rPr>
                    <w:t>5105.69</w:t>
                  </w:r>
                </w:p>
              </w:tc>
              <w:tc>
                <w:tcPr>
                  <w:tcW w:w="442" w:type="pct"/>
                  <w:tcBorders>
                    <w:tl2br w:val="nil"/>
                    <w:tr2bl w:val="nil"/>
                  </w:tcBorders>
                  <w:noWrap/>
                  <w:vAlign w:val="center"/>
                </w:tcPr>
                <w:p w14:paraId="506CF3C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rPr>
                  </w:pPr>
                  <w:r>
                    <w:rPr>
                      <w:rFonts w:hint="eastAsia" w:cs="Times New Roman"/>
                      <w:color w:val="auto"/>
                      <w:sz w:val="21"/>
                      <w:szCs w:val="21"/>
                      <w:highlight w:val="none"/>
                      <w:lang w:val="en-US" w:eastAsia="zh-CN"/>
                    </w:rPr>
                    <w:t>67.2</w:t>
                  </w:r>
                </w:p>
              </w:tc>
              <w:tc>
                <w:tcPr>
                  <w:tcW w:w="504" w:type="pct"/>
                  <w:vMerge w:val="restart"/>
                  <w:tcBorders>
                    <w:tl2br w:val="nil"/>
                    <w:tr2bl w:val="nil"/>
                  </w:tcBorders>
                  <w:noWrap/>
                  <w:vAlign w:val="center"/>
                </w:tcPr>
                <w:p w14:paraId="70963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布袋除尘器+</w:t>
                  </w:r>
                  <w:r>
                    <w:rPr>
                      <w:rFonts w:hint="eastAsia" w:cs="Times New Roman"/>
                      <w:color w:val="auto"/>
                      <w:sz w:val="21"/>
                      <w:szCs w:val="21"/>
                      <w:highlight w:val="none"/>
                      <w:lang w:eastAsia="zh-CN"/>
                    </w:rPr>
                    <w:t>15m</w:t>
                  </w:r>
                  <w:r>
                    <w:rPr>
                      <w:rFonts w:hint="default" w:ascii="Times New Roman" w:hAnsi="Times New Roman" w:cs="Times New Roman"/>
                      <w:color w:val="auto"/>
                      <w:sz w:val="21"/>
                      <w:szCs w:val="21"/>
                      <w:highlight w:val="none"/>
                    </w:rPr>
                    <w:t>高烟囱（</w:t>
                  </w:r>
                  <w:r>
                    <w:rPr>
                      <w:rFonts w:hint="eastAsia" w:cs="Times New Roman"/>
                      <w:color w:val="auto"/>
                      <w:sz w:val="21"/>
                      <w:szCs w:val="21"/>
                      <w:highlight w:val="none"/>
                      <w:lang w:val="en-US" w:eastAsia="zh-CN"/>
                    </w:rPr>
                    <w:t>DA003</w:t>
                  </w:r>
                  <w:r>
                    <w:rPr>
                      <w:rFonts w:hint="default" w:ascii="Times New Roman" w:hAnsi="Times New Roman" w:cs="Times New Roman"/>
                      <w:color w:val="auto"/>
                      <w:sz w:val="21"/>
                      <w:szCs w:val="21"/>
                      <w:highlight w:val="none"/>
                    </w:rPr>
                    <w:t>）</w:t>
                  </w:r>
                </w:p>
              </w:tc>
              <w:tc>
                <w:tcPr>
                  <w:tcW w:w="335" w:type="pct"/>
                  <w:tcBorders>
                    <w:tl2br w:val="nil"/>
                    <w:tr2bl w:val="nil"/>
                  </w:tcBorders>
                  <w:noWrap/>
                  <w:vAlign w:val="center"/>
                </w:tcPr>
                <w:p w14:paraId="7EC7B0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99</w:t>
                  </w:r>
                  <w:r>
                    <w:rPr>
                      <w:rFonts w:hint="eastAsia" w:cs="Times New Roman"/>
                      <w:color w:val="auto"/>
                      <w:kern w:val="0"/>
                      <w:sz w:val="21"/>
                      <w:szCs w:val="21"/>
                      <w:highlight w:val="none"/>
                      <w:lang w:val="en-US" w:eastAsia="zh-CN"/>
                    </w:rPr>
                    <w:t>.5</w:t>
                  </w:r>
                </w:p>
              </w:tc>
              <w:tc>
                <w:tcPr>
                  <w:tcW w:w="310" w:type="pct"/>
                  <w:vMerge w:val="restart"/>
                  <w:tcBorders>
                    <w:tl2br w:val="nil"/>
                    <w:tr2bl w:val="nil"/>
                  </w:tcBorders>
                  <w:noWrap/>
                  <w:vAlign w:val="center"/>
                </w:tcPr>
                <w:p w14:paraId="27C412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物料衡算法</w:t>
                  </w:r>
                </w:p>
              </w:tc>
              <w:tc>
                <w:tcPr>
                  <w:tcW w:w="365" w:type="pct"/>
                  <w:tcBorders>
                    <w:tl2br w:val="nil"/>
                    <w:tr2bl w:val="nil"/>
                  </w:tcBorders>
                  <w:noWrap/>
                  <w:vAlign w:val="center"/>
                </w:tcPr>
                <w:p w14:paraId="7B2B2D5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0.28</w:t>
                  </w:r>
                </w:p>
              </w:tc>
              <w:tc>
                <w:tcPr>
                  <w:tcW w:w="382" w:type="pct"/>
                  <w:tcBorders>
                    <w:tl2br w:val="nil"/>
                    <w:tr2bl w:val="nil"/>
                  </w:tcBorders>
                  <w:noWrap/>
                  <w:vAlign w:val="center"/>
                </w:tcPr>
                <w:p w14:paraId="78EEBDD5">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i w:val="0"/>
                      <w:iCs w:val="0"/>
                      <w:color w:val="auto"/>
                      <w:kern w:val="0"/>
                      <w:sz w:val="21"/>
                      <w:szCs w:val="21"/>
                      <w:u w:val="none"/>
                      <w:lang w:val="en-US" w:eastAsia="zh-CN" w:bidi="ar"/>
                    </w:rPr>
                    <w:t>25.53</w:t>
                  </w:r>
                </w:p>
              </w:tc>
              <w:tc>
                <w:tcPr>
                  <w:tcW w:w="374" w:type="pct"/>
                  <w:tcBorders>
                    <w:tl2br w:val="nil"/>
                    <w:tr2bl w:val="nil"/>
                  </w:tcBorders>
                  <w:noWrap/>
                  <w:vAlign w:val="center"/>
                </w:tcPr>
                <w:p w14:paraId="1E06170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rPr>
                  </w:pPr>
                  <w:r>
                    <w:rPr>
                      <w:rFonts w:hint="eastAsia" w:cs="Times New Roman"/>
                      <w:color w:val="auto"/>
                      <w:sz w:val="21"/>
                      <w:szCs w:val="21"/>
                      <w:highlight w:val="none"/>
                      <w:lang w:val="en-US" w:eastAsia="zh-CN"/>
                    </w:rPr>
                    <w:t>0.336</w:t>
                  </w:r>
                </w:p>
              </w:tc>
              <w:tc>
                <w:tcPr>
                  <w:tcW w:w="409" w:type="pct"/>
                  <w:vMerge w:val="restart"/>
                  <w:tcBorders>
                    <w:tl2br w:val="nil"/>
                    <w:tr2bl w:val="nil"/>
                  </w:tcBorders>
                  <w:noWrap/>
                  <w:vAlign w:val="center"/>
                </w:tcPr>
                <w:p w14:paraId="307A76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1200</w:t>
                  </w:r>
                </w:p>
              </w:tc>
            </w:tr>
            <w:tr w14:paraId="186B5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413" w:type="pct"/>
                  <w:vMerge w:val="continue"/>
                  <w:tcBorders>
                    <w:tl2br w:val="nil"/>
                    <w:tr2bl w:val="nil"/>
                  </w:tcBorders>
                  <w:noWrap/>
                  <w:vAlign w:val="center"/>
                </w:tcPr>
                <w:p w14:paraId="3D098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282" w:type="pct"/>
                  <w:tcBorders>
                    <w:tl2br w:val="nil"/>
                    <w:tr2bl w:val="nil"/>
                  </w:tcBorders>
                  <w:noWrap/>
                  <w:vAlign w:val="center"/>
                </w:tcPr>
                <w:p w14:paraId="6AFA33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320" w:type="pct"/>
                  <w:vMerge w:val="continue"/>
                  <w:tcBorders>
                    <w:tl2br w:val="nil"/>
                    <w:tr2bl w:val="nil"/>
                  </w:tcBorders>
                  <w:noWrap/>
                  <w:vAlign w:val="center"/>
                </w:tcPr>
                <w:p w14:paraId="55D1BB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p>
              </w:tc>
              <w:tc>
                <w:tcPr>
                  <w:tcW w:w="412" w:type="pct"/>
                  <w:tcBorders>
                    <w:tl2br w:val="nil"/>
                    <w:tr2bl w:val="nil"/>
                  </w:tcBorders>
                  <w:noWrap/>
                  <w:vAlign w:val="center"/>
                </w:tcPr>
                <w:p w14:paraId="15C8FB0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0.21</w:t>
                  </w:r>
                </w:p>
              </w:tc>
              <w:tc>
                <w:tcPr>
                  <w:tcW w:w="447" w:type="pct"/>
                  <w:tcBorders>
                    <w:tl2br w:val="nil"/>
                    <w:tr2bl w:val="nil"/>
                  </w:tcBorders>
                  <w:noWrap/>
                  <w:vAlign w:val="center"/>
                </w:tcPr>
                <w:p w14:paraId="34BC5EBF">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i w:val="0"/>
                      <w:iCs w:val="0"/>
                      <w:color w:val="auto"/>
                      <w:kern w:val="0"/>
                      <w:sz w:val="21"/>
                      <w:szCs w:val="21"/>
                      <w:u w:val="none"/>
                      <w:lang w:val="en-US" w:eastAsia="zh-CN" w:bidi="ar"/>
                    </w:rPr>
                    <w:t>19.28</w:t>
                  </w:r>
                </w:p>
              </w:tc>
              <w:tc>
                <w:tcPr>
                  <w:tcW w:w="442" w:type="pct"/>
                  <w:tcBorders>
                    <w:tl2br w:val="nil"/>
                    <w:tr2bl w:val="nil"/>
                  </w:tcBorders>
                  <w:noWrap/>
                  <w:vAlign w:val="center"/>
                </w:tcPr>
                <w:p w14:paraId="367884C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0.254</w:t>
                  </w:r>
                </w:p>
              </w:tc>
              <w:tc>
                <w:tcPr>
                  <w:tcW w:w="504" w:type="pct"/>
                  <w:vMerge w:val="continue"/>
                  <w:tcBorders>
                    <w:tl2br w:val="nil"/>
                    <w:tr2bl w:val="nil"/>
                  </w:tcBorders>
                  <w:noWrap/>
                  <w:vAlign w:val="center"/>
                </w:tcPr>
                <w:p w14:paraId="5AF8C8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335" w:type="pct"/>
                  <w:tcBorders>
                    <w:tl2br w:val="nil"/>
                    <w:tr2bl w:val="nil"/>
                  </w:tcBorders>
                  <w:noWrap/>
                  <w:vAlign w:val="center"/>
                </w:tcPr>
                <w:p w14:paraId="42CECA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310" w:type="pct"/>
                  <w:vMerge w:val="continue"/>
                  <w:tcBorders>
                    <w:tl2br w:val="nil"/>
                    <w:tr2bl w:val="nil"/>
                  </w:tcBorders>
                  <w:noWrap/>
                  <w:vAlign w:val="center"/>
                </w:tcPr>
                <w:p w14:paraId="525D07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p>
              </w:tc>
              <w:tc>
                <w:tcPr>
                  <w:tcW w:w="365" w:type="pct"/>
                  <w:tcBorders>
                    <w:tl2br w:val="nil"/>
                    <w:tr2bl w:val="nil"/>
                  </w:tcBorders>
                  <w:noWrap/>
                  <w:vAlign w:val="center"/>
                </w:tcPr>
                <w:p w14:paraId="13CB0E6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rPr>
                  </w:pPr>
                  <w:r>
                    <w:rPr>
                      <w:rFonts w:hint="eastAsia" w:cs="Times New Roman"/>
                      <w:b w:val="0"/>
                      <w:bCs w:val="0"/>
                      <w:i w:val="0"/>
                      <w:iCs w:val="0"/>
                      <w:color w:val="auto"/>
                      <w:spacing w:val="0"/>
                      <w:kern w:val="0"/>
                      <w:sz w:val="21"/>
                      <w:szCs w:val="21"/>
                      <w:highlight w:val="none"/>
                      <w:lang w:val="en-US" w:eastAsia="zh-CN" w:bidi="ar-SA"/>
                    </w:rPr>
                    <w:t>0.21</w:t>
                  </w:r>
                </w:p>
              </w:tc>
              <w:tc>
                <w:tcPr>
                  <w:tcW w:w="382" w:type="pct"/>
                  <w:tcBorders>
                    <w:tl2br w:val="nil"/>
                    <w:tr2bl w:val="nil"/>
                  </w:tcBorders>
                  <w:noWrap/>
                  <w:vAlign w:val="center"/>
                </w:tcPr>
                <w:p w14:paraId="63381BF1">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i w:val="0"/>
                      <w:iCs w:val="0"/>
                      <w:color w:val="auto"/>
                      <w:kern w:val="0"/>
                      <w:sz w:val="21"/>
                      <w:szCs w:val="21"/>
                      <w:u w:val="none"/>
                      <w:lang w:val="en-US" w:eastAsia="zh-CN" w:bidi="ar"/>
                    </w:rPr>
                    <w:t>19.28</w:t>
                  </w:r>
                </w:p>
              </w:tc>
              <w:tc>
                <w:tcPr>
                  <w:tcW w:w="374" w:type="pct"/>
                  <w:tcBorders>
                    <w:tl2br w:val="nil"/>
                    <w:tr2bl w:val="nil"/>
                  </w:tcBorders>
                  <w:noWrap/>
                  <w:vAlign w:val="center"/>
                </w:tcPr>
                <w:p w14:paraId="53A7332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0.254</w:t>
                  </w:r>
                </w:p>
              </w:tc>
              <w:tc>
                <w:tcPr>
                  <w:tcW w:w="409" w:type="pct"/>
                  <w:vMerge w:val="continue"/>
                  <w:tcBorders>
                    <w:tl2br w:val="nil"/>
                    <w:tr2bl w:val="nil"/>
                  </w:tcBorders>
                  <w:noWrap/>
                  <w:vAlign w:val="center"/>
                </w:tcPr>
                <w:p w14:paraId="3556F679">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color w:val="auto"/>
                      <w:sz w:val="18"/>
                      <w:szCs w:val="18"/>
                      <w:highlight w:val="none"/>
                    </w:rPr>
                  </w:pPr>
                </w:p>
              </w:tc>
            </w:tr>
            <w:tr w14:paraId="62BC5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5" w:hRule="atLeast"/>
                <w:jc w:val="center"/>
              </w:trPr>
              <w:tc>
                <w:tcPr>
                  <w:tcW w:w="413" w:type="pct"/>
                  <w:vMerge w:val="continue"/>
                  <w:tcBorders>
                    <w:tl2br w:val="nil"/>
                    <w:tr2bl w:val="nil"/>
                  </w:tcBorders>
                  <w:noWrap/>
                  <w:vAlign w:val="center"/>
                </w:tcPr>
                <w:p w14:paraId="1E7EF9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282" w:type="pct"/>
                  <w:tcBorders>
                    <w:tl2br w:val="nil"/>
                    <w:tr2bl w:val="nil"/>
                  </w:tcBorders>
                  <w:noWrap/>
                  <w:vAlign w:val="center"/>
                </w:tcPr>
                <w:p w14:paraId="3B1C8F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320" w:type="pct"/>
                  <w:tcBorders>
                    <w:tl2br w:val="nil"/>
                    <w:tr2bl w:val="nil"/>
                  </w:tcBorders>
                  <w:noWrap/>
                  <w:vAlign w:val="center"/>
                </w:tcPr>
                <w:p w14:paraId="43EE66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产污系数法</w:t>
                  </w:r>
                </w:p>
              </w:tc>
              <w:tc>
                <w:tcPr>
                  <w:tcW w:w="412" w:type="pct"/>
                  <w:tcBorders>
                    <w:tl2br w:val="nil"/>
                    <w:tr2bl w:val="nil"/>
                  </w:tcBorders>
                  <w:noWrap/>
                  <w:vAlign w:val="center"/>
                </w:tcPr>
                <w:p w14:paraId="41438B1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1.5</w:t>
                  </w:r>
                </w:p>
              </w:tc>
              <w:tc>
                <w:tcPr>
                  <w:tcW w:w="447" w:type="pct"/>
                  <w:tcBorders>
                    <w:tl2br w:val="nil"/>
                    <w:tr2bl w:val="nil"/>
                  </w:tcBorders>
                  <w:noWrap/>
                  <w:vAlign w:val="center"/>
                </w:tcPr>
                <w:p w14:paraId="34D5BF26">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i w:val="0"/>
                      <w:iCs w:val="0"/>
                      <w:color w:val="auto"/>
                      <w:kern w:val="0"/>
                      <w:sz w:val="21"/>
                      <w:szCs w:val="21"/>
                      <w:u w:val="none"/>
                      <w:lang w:val="en-US" w:eastAsia="zh-CN" w:bidi="ar"/>
                    </w:rPr>
                    <w:t>136.55</w:t>
                  </w:r>
                </w:p>
              </w:tc>
              <w:tc>
                <w:tcPr>
                  <w:tcW w:w="442" w:type="pct"/>
                  <w:tcBorders>
                    <w:tl2br w:val="nil"/>
                    <w:tr2bl w:val="nil"/>
                  </w:tcBorders>
                  <w:noWrap/>
                  <w:vAlign w:val="center"/>
                </w:tcPr>
                <w:p w14:paraId="025E803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1.797</w:t>
                  </w:r>
                </w:p>
              </w:tc>
              <w:tc>
                <w:tcPr>
                  <w:tcW w:w="504" w:type="pct"/>
                  <w:vMerge w:val="continue"/>
                  <w:tcBorders>
                    <w:tl2br w:val="nil"/>
                    <w:tr2bl w:val="nil"/>
                  </w:tcBorders>
                  <w:noWrap/>
                  <w:vAlign w:val="center"/>
                </w:tcPr>
                <w:p w14:paraId="74AEB4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335" w:type="pct"/>
                  <w:tcBorders>
                    <w:tl2br w:val="nil"/>
                    <w:tr2bl w:val="nil"/>
                  </w:tcBorders>
                  <w:noWrap/>
                  <w:vAlign w:val="center"/>
                </w:tcPr>
                <w:p w14:paraId="04B039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310" w:type="pct"/>
                  <w:tcBorders>
                    <w:tl2br w:val="nil"/>
                    <w:tr2bl w:val="nil"/>
                  </w:tcBorders>
                  <w:noWrap/>
                  <w:vAlign w:val="center"/>
                </w:tcPr>
                <w:p w14:paraId="070B01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eastAsia" w:cs="Times New Roman"/>
                      <w:color w:val="auto"/>
                      <w:kern w:val="0"/>
                      <w:sz w:val="21"/>
                      <w:szCs w:val="21"/>
                      <w:highlight w:val="none"/>
                      <w:lang w:val="en-US" w:eastAsia="zh-CN"/>
                    </w:rPr>
                    <w:t>产污系数法</w:t>
                  </w:r>
                </w:p>
              </w:tc>
              <w:tc>
                <w:tcPr>
                  <w:tcW w:w="365" w:type="pct"/>
                  <w:tcBorders>
                    <w:tl2br w:val="nil"/>
                    <w:tr2bl w:val="nil"/>
                  </w:tcBorders>
                  <w:noWrap/>
                  <w:vAlign w:val="center"/>
                </w:tcPr>
                <w:p w14:paraId="603FAFB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rPr>
                  </w:pPr>
                  <w:r>
                    <w:rPr>
                      <w:rFonts w:hint="eastAsia" w:cs="Times New Roman"/>
                      <w:b w:val="0"/>
                      <w:bCs w:val="0"/>
                      <w:i w:val="0"/>
                      <w:iCs w:val="0"/>
                      <w:color w:val="auto"/>
                      <w:spacing w:val="0"/>
                      <w:kern w:val="0"/>
                      <w:sz w:val="21"/>
                      <w:szCs w:val="21"/>
                      <w:highlight w:val="none"/>
                      <w:lang w:val="en-US" w:eastAsia="zh-CN" w:bidi="ar-SA"/>
                    </w:rPr>
                    <w:t>1.5</w:t>
                  </w:r>
                </w:p>
              </w:tc>
              <w:tc>
                <w:tcPr>
                  <w:tcW w:w="382" w:type="pct"/>
                  <w:tcBorders>
                    <w:tl2br w:val="nil"/>
                    <w:tr2bl w:val="nil"/>
                  </w:tcBorders>
                  <w:noWrap/>
                  <w:vAlign w:val="center"/>
                </w:tcPr>
                <w:p w14:paraId="05323ED0">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cs="Times New Roman"/>
                      <w:i w:val="0"/>
                      <w:iCs w:val="0"/>
                      <w:color w:val="auto"/>
                      <w:kern w:val="0"/>
                      <w:sz w:val="21"/>
                      <w:szCs w:val="21"/>
                      <w:u w:val="none"/>
                      <w:lang w:val="en-US" w:eastAsia="zh-CN" w:bidi="ar"/>
                    </w:rPr>
                    <w:t>136.55</w:t>
                  </w:r>
                </w:p>
              </w:tc>
              <w:tc>
                <w:tcPr>
                  <w:tcW w:w="374" w:type="pct"/>
                  <w:tcBorders>
                    <w:tl2br w:val="nil"/>
                    <w:tr2bl w:val="nil"/>
                  </w:tcBorders>
                  <w:noWrap/>
                  <w:vAlign w:val="center"/>
                </w:tcPr>
                <w:p w14:paraId="763E402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1.797</w:t>
                  </w:r>
                </w:p>
              </w:tc>
              <w:tc>
                <w:tcPr>
                  <w:tcW w:w="409" w:type="pct"/>
                  <w:vMerge w:val="continue"/>
                  <w:tcBorders>
                    <w:tl2br w:val="nil"/>
                    <w:tr2bl w:val="nil"/>
                  </w:tcBorders>
                  <w:noWrap/>
                  <w:vAlign w:val="center"/>
                </w:tcPr>
                <w:p w14:paraId="2D3C4935">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color w:val="auto"/>
                      <w:sz w:val="18"/>
                      <w:szCs w:val="18"/>
                      <w:highlight w:val="none"/>
                    </w:rPr>
                  </w:pPr>
                </w:p>
              </w:tc>
            </w:tr>
            <w:tr w14:paraId="5D721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3" w:type="pct"/>
                  <w:vMerge w:val="continue"/>
                  <w:tcBorders>
                    <w:tl2br w:val="nil"/>
                    <w:tr2bl w:val="nil"/>
                  </w:tcBorders>
                  <w:noWrap/>
                  <w:vAlign w:val="center"/>
                </w:tcPr>
                <w:p w14:paraId="128EA0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282" w:type="pct"/>
                  <w:tcBorders>
                    <w:tl2br w:val="nil"/>
                    <w:tr2bl w:val="nil"/>
                  </w:tcBorders>
                  <w:noWrap/>
                  <w:vAlign w:val="center"/>
                </w:tcPr>
                <w:p w14:paraId="14013D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汞</w:t>
                  </w:r>
                </w:p>
              </w:tc>
              <w:tc>
                <w:tcPr>
                  <w:tcW w:w="320" w:type="pct"/>
                  <w:tcBorders>
                    <w:tl2br w:val="nil"/>
                    <w:tr2bl w:val="nil"/>
                  </w:tcBorders>
                  <w:noWrap/>
                  <w:vAlign w:val="center"/>
                </w:tcPr>
                <w:p w14:paraId="6C9F8E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物料衡算法</w:t>
                  </w:r>
                </w:p>
              </w:tc>
              <w:tc>
                <w:tcPr>
                  <w:tcW w:w="412" w:type="pct"/>
                  <w:tcBorders>
                    <w:tl2br w:val="nil"/>
                    <w:tr2bl w:val="nil"/>
                  </w:tcBorders>
                  <w:noWrap/>
                  <w:vAlign w:val="center"/>
                </w:tcPr>
                <w:p w14:paraId="07039D5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eastAsia" w:ascii="Times New Roman" w:hAnsi="Times New Roman" w:eastAsia="宋体" w:cs="Times New Roman"/>
                      <w:b w:val="0"/>
                      <w:bCs w:val="0"/>
                      <w:i w:val="0"/>
                      <w:iCs w:val="0"/>
                      <w:color w:val="auto"/>
                      <w:spacing w:val="0"/>
                      <w:kern w:val="0"/>
                      <w:sz w:val="21"/>
                      <w:szCs w:val="21"/>
                      <w:highlight w:val="none"/>
                      <w:lang w:val="en-US" w:eastAsia="zh-CN" w:bidi="ar-SA"/>
                    </w:rPr>
                    <w:t>0.0000</w:t>
                  </w:r>
                  <w:r>
                    <w:rPr>
                      <w:rFonts w:hint="eastAsia" w:cs="Times New Roman"/>
                      <w:b w:val="0"/>
                      <w:bCs w:val="0"/>
                      <w:i w:val="0"/>
                      <w:iCs w:val="0"/>
                      <w:color w:val="auto"/>
                      <w:spacing w:val="0"/>
                      <w:kern w:val="0"/>
                      <w:sz w:val="21"/>
                      <w:szCs w:val="21"/>
                      <w:highlight w:val="none"/>
                      <w:lang w:val="en-US" w:eastAsia="zh-CN" w:bidi="ar-SA"/>
                    </w:rPr>
                    <w:t>116</w:t>
                  </w:r>
                </w:p>
              </w:tc>
              <w:tc>
                <w:tcPr>
                  <w:tcW w:w="447" w:type="pct"/>
                  <w:tcBorders>
                    <w:tl2br w:val="nil"/>
                    <w:tr2bl w:val="nil"/>
                  </w:tcBorders>
                  <w:noWrap/>
                  <w:vAlign w:val="center"/>
                </w:tcPr>
                <w:p w14:paraId="3DBEF75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default" w:ascii="Times New Roman" w:hAnsi="Times New Roman" w:eastAsia="宋体" w:cs="Times New Roman"/>
                      <w:b w:val="0"/>
                      <w:bCs w:val="0"/>
                      <w:i w:val="0"/>
                      <w:iCs w:val="0"/>
                      <w:color w:val="auto"/>
                      <w:spacing w:val="0"/>
                      <w:kern w:val="0"/>
                      <w:sz w:val="21"/>
                      <w:szCs w:val="21"/>
                      <w:highlight w:val="none"/>
                      <w:lang w:val="en-US" w:eastAsia="zh-CN" w:bidi="ar-SA"/>
                    </w:rPr>
                    <w:t>0.00</w:t>
                  </w:r>
                  <w:r>
                    <w:rPr>
                      <w:rFonts w:hint="eastAsia" w:eastAsia="宋体" w:cs="Times New Roman"/>
                      <w:b w:val="0"/>
                      <w:bCs w:val="0"/>
                      <w:i w:val="0"/>
                      <w:iCs w:val="0"/>
                      <w:color w:val="auto"/>
                      <w:spacing w:val="0"/>
                      <w:kern w:val="0"/>
                      <w:sz w:val="21"/>
                      <w:szCs w:val="21"/>
                      <w:highlight w:val="none"/>
                      <w:lang w:val="en-US" w:eastAsia="zh-CN" w:bidi="ar-SA"/>
                    </w:rPr>
                    <w:t>11</w:t>
                  </w:r>
                </w:p>
              </w:tc>
              <w:tc>
                <w:tcPr>
                  <w:tcW w:w="442" w:type="pct"/>
                  <w:tcBorders>
                    <w:tl2br w:val="nil"/>
                    <w:tr2bl w:val="nil"/>
                  </w:tcBorders>
                  <w:noWrap/>
                  <w:vAlign w:val="center"/>
                </w:tcPr>
                <w:p w14:paraId="58EE56E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eastAsia" w:ascii="Times New Roman" w:hAnsi="Times New Roman" w:eastAsia="宋体" w:cs="Times New Roman"/>
                      <w:b w:val="0"/>
                      <w:bCs w:val="0"/>
                      <w:i w:val="0"/>
                      <w:iCs w:val="0"/>
                      <w:color w:val="auto"/>
                      <w:spacing w:val="0"/>
                      <w:kern w:val="0"/>
                      <w:sz w:val="21"/>
                      <w:szCs w:val="21"/>
                      <w:highlight w:val="none"/>
                      <w:lang w:val="en-US" w:eastAsia="zh-CN" w:bidi="ar-SA"/>
                    </w:rPr>
                    <w:t>0.0000</w:t>
                  </w:r>
                  <w:r>
                    <w:rPr>
                      <w:rFonts w:hint="eastAsia" w:cs="Times New Roman"/>
                      <w:b w:val="0"/>
                      <w:bCs w:val="0"/>
                      <w:i w:val="0"/>
                      <w:iCs w:val="0"/>
                      <w:color w:val="auto"/>
                      <w:spacing w:val="0"/>
                      <w:kern w:val="0"/>
                      <w:sz w:val="21"/>
                      <w:szCs w:val="21"/>
                      <w:highlight w:val="none"/>
                      <w:lang w:val="en-US" w:eastAsia="zh-CN" w:bidi="ar-SA"/>
                    </w:rPr>
                    <w:t>14</w:t>
                  </w:r>
                </w:p>
              </w:tc>
              <w:tc>
                <w:tcPr>
                  <w:tcW w:w="504" w:type="pct"/>
                  <w:vMerge w:val="continue"/>
                  <w:tcBorders>
                    <w:tl2br w:val="nil"/>
                    <w:tr2bl w:val="nil"/>
                  </w:tcBorders>
                  <w:noWrap/>
                  <w:vAlign w:val="center"/>
                </w:tcPr>
                <w:p w14:paraId="45DC51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335" w:type="pct"/>
                  <w:tcBorders>
                    <w:tl2br w:val="nil"/>
                    <w:tr2bl w:val="nil"/>
                  </w:tcBorders>
                  <w:noWrap/>
                  <w:vAlign w:val="center"/>
                </w:tcPr>
                <w:p w14:paraId="08DBFA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43.34</w:t>
                  </w:r>
                </w:p>
              </w:tc>
              <w:tc>
                <w:tcPr>
                  <w:tcW w:w="310" w:type="pct"/>
                  <w:tcBorders>
                    <w:tl2br w:val="nil"/>
                    <w:tr2bl w:val="nil"/>
                  </w:tcBorders>
                  <w:noWrap/>
                  <w:vAlign w:val="center"/>
                </w:tcPr>
                <w:p w14:paraId="4CBF05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物料衡算法</w:t>
                  </w:r>
                </w:p>
              </w:tc>
              <w:tc>
                <w:tcPr>
                  <w:tcW w:w="365" w:type="pct"/>
                  <w:tcBorders>
                    <w:tl2br w:val="nil"/>
                    <w:tr2bl w:val="nil"/>
                  </w:tcBorders>
                  <w:noWrap/>
                  <w:vAlign w:val="center"/>
                </w:tcPr>
                <w:p w14:paraId="6E2931C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eastAsia" w:ascii="Times New Roman" w:hAnsi="Times New Roman" w:eastAsia="宋体" w:cs="Times New Roman"/>
                      <w:b w:val="0"/>
                      <w:bCs w:val="0"/>
                      <w:i w:val="0"/>
                      <w:iCs w:val="0"/>
                      <w:color w:val="auto"/>
                      <w:spacing w:val="0"/>
                      <w:kern w:val="0"/>
                      <w:sz w:val="21"/>
                      <w:szCs w:val="21"/>
                      <w:highlight w:val="none"/>
                      <w:lang w:val="en-US" w:eastAsia="zh-CN" w:bidi="ar-SA"/>
                    </w:rPr>
                    <w:t>0.000</w:t>
                  </w:r>
                  <w:r>
                    <w:rPr>
                      <w:rFonts w:hint="eastAsia" w:cs="Times New Roman"/>
                      <w:b w:val="0"/>
                      <w:bCs w:val="0"/>
                      <w:i w:val="0"/>
                      <w:iCs w:val="0"/>
                      <w:color w:val="auto"/>
                      <w:spacing w:val="0"/>
                      <w:kern w:val="0"/>
                      <w:sz w:val="21"/>
                      <w:szCs w:val="21"/>
                      <w:highlight w:val="none"/>
                      <w:lang w:val="en-US" w:eastAsia="zh-CN" w:bidi="ar-SA"/>
                    </w:rPr>
                    <w:t>0933</w:t>
                  </w:r>
                </w:p>
              </w:tc>
              <w:tc>
                <w:tcPr>
                  <w:tcW w:w="382" w:type="pct"/>
                  <w:tcBorders>
                    <w:tl2br w:val="nil"/>
                    <w:tr2bl w:val="nil"/>
                  </w:tcBorders>
                  <w:noWrap/>
                  <w:vAlign w:val="center"/>
                </w:tcPr>
                <w:p w14:paraId="369C0262">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default" w:ascii="Times New Roman" w:hAnsi="Times New Roman" w:eastAsia="宋体" w:cs="Times New Roman"/>
                      <w:b w:val="0"/>
                      <w:bCs w:val="0"/>
                      <w:i w:val="0"/>
                      <w:iCs w:val="0"/>
                      <w:color w:val="auto"/>
                      <w:spacing w:val="0"/>
                      <w:kern w:val="0"/>
                      <w:sz w:val="21"/>
                      <w:szCs w:val="21"/>
                      <w:highlight w:val="none"/>
                      <w:lang w:val="en-US" w:eastAsia="zh-CN" w:bidi="ar-SA"/>
                    </w:rPr>
                    <w:t>0.00</w:t>
                  </w:r>
                  <w:r>
                    <w:rPr>
                      <w:rFonts w:hint="eastAsia" w:eastAsia="宋体" w:cs="Times New Roman"/>
                      <w:b w:val="0"/>
                      <w:bCs w:val="0"/>
                      <w:i w:val="0"/>
                      <w:iCs w:val="0"/>
                      <w:color w:val="auto"/>
                      <w:spacing w:val="0"/>
                      <w:kern w:val="0"/>
                      <w:sz w:val="21"/>
                      <w:szCs w:val="21"/>
                      <w:highlight w:val="none"/>
                      <w:lang w:val="en-US" w:eastAsia="zh-CN" w:bidi="ar-SA"/>
                    </w:rPr>
                    <w:t>085</w:t>
                  </w:r>
                </w:p>
              </w:tc>
              <w:tc>
                <w:tcPr>
                  <w:tcW w:w="374" w:type="pct"/>
                  <w:tcBorders>
                    <w:tl2br w:val="nil"/>
                    <w:tr2bl w:val="nil"/>
                  </w:tcBorders>
                  <w:noWrap/>
                  <w:vAlign w:val="center"/>
                </w:tcPr>
                <w:p w14:paraId="6DB229A7">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bidi="ar-SA"/>
                    </w:rPr>
                  </w:pPr>
                  <w:r>
                    <w:rPr>
                      <w:rFonts w:hint="eastAsia" w:ascii="Times New Roman" w:hAnsi="Times New Roman" w:eastAsia="宋体" w:cs="Times New Roman"/>
                      <w:b w:val="0"/>
                      <w:bCs w:val="0"/>
                      <w:i w:val="0"/>
                      <w:iCs w:val="0"/>
                      <w:color w:val="auto"/>
                      <w:spacing w:val="0"/>
                      <w:kern w:val="0"/>
                      <w:sz w:val="21"/>
                      <w:szCs w:val="21"/>
                      <w:highlight w:val="none"/>
                      <w:lang w:val="en-US" w:eastAsia="zh-CN" w:bidi="ar-SA"/>
                    </w:rPr>
                    <w:t>0.0000</w:t>
                  </w:r>
                  <w:r>
                    <w:rPr>
                      <w:rFonts w:hint="eastAsia" w:cs="Times New Roman"/>
                      <w:b w:val="0"/>
                      <w:bCs w:val="0"/>
                      <w:i w:val="0"/>
                      <w:iCs w:val="0"/>
                      <w:color w:val="auto"/>
                      <w:spacing w:val="0"/>
                      <w:kern w:val="0"/>
                      <w:sz w:val="21"/>
                      <w:szCs w:val="21"/>
                      <w:highlight w:val="none"/>
                      <w:lang w:val="en-US" w:eastAsia="zh-CN" w:bidi="ar-SA"/>
                    </w:rPr>
                    <w:t>112</w:t>
                  </w:r>
                </w:p>
              </w:tc>
              <w:tc>
                <w:tcPr>
                  <w:tcW w:w="409" w:type="pct"/>
                  <w:vMerge w:val="continue"/>
                  <w:tcBorders>
                    <w:tl2br w:val="nil"/>
                    <w:tr2bl w:val="nil"/>
                  </w:tcBorders>
                  <w:noWrap/>
                  <w:vAlign w:val="center"/>
                </w:tcPr>
                <w:p w14:paraId="7676DD47">
                  <w:pPr>
                    <w:pStyle w:val="12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color w:val="auto"/>
                      <w:sz w:val="18"/>
                      <w:szCs w:val="18"/>
                      <w:highlight w:val="none"/>
                    </w:rPr>
                  </w:pPr>
                </w:p>
              </w:tc>
            </w:tr>
          </w:tbl>
          <w:p w14:paraId="3BEC6F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hint="eastAsia"/>
                <w:bCs/>
                <w:color w:val="auto"/>
                <w:sz w:val="24"/>
                <w:highlight w:val="none"/>
              </w:rPr>
              <w:t>2、</w:t>
            </w:r>
            <w:r>
              <w:rPr>
                <w:bCs/>
                <w:color w:val="auto"/>
                <w:sz w:val="24"/>
                <w:highlight w:val="none"/>
              </w:rPr>
              <w:t>本项目</w:t>
            </w:r>
            <w:r>
              <w:rPr>
                <w:rFonts w:hint="eastAsia"/>
                <w:bCs/>
                <w:color w:val="auto"/>
                <w:sz w:val="24"/>
                <w:highlight w:val="none"/>
              </w:rPr>
              <w:t>废气处理措施可行性分析</w:t>
            </w:r>
          </w:p>
          <w:p w14:paraId="0A184154">
            <w:pPr>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szCs w:val="24"/>
                <w:highlight w:val="none"/>
              </w:rPr>
            </w:pPr>
            <w:r>
              <w:rPr>
                <w:bCs/>
                <w:color w:val="auto"/>
                <w:sz w:val="24"/>
                <w:szCs w:val="24"/>
                <w:highlight w:val="none"/>
              </w:rPr>
              <w:t>本项目热风炉配</w:t>
            </w:r>
            <w:r>
              <w:rPr>
                <w:rFonts w:hint="eastAsia"/>
                <w:bCs/>
                <w:color w:val="auto"/>
                <w:sz w:val="24"/>
                <w:szCs w:val="24"/>
                <w:highlight w:val="none"/>
                <w:lang w:eastAsia="zh-CN"/>
              </w:rPr>
              <w:t>套</w:t>
            </w:r>
            <w:r>
              <w:rPr>
                <w:bCs/>
                <w:color w:val="auto"/>
                <w:sz w:val="24"/>
                <w:szCs w:val="24"/>
                <w:highlight w:val="none"/>
              </w:rPr>
              <w:t>除尘效率99</w:t>
            </w:r>
            <w:r>
              <w:rPr>
                <w:rFonts w:hint="eastAsia"/>
                <w:bCs/>
                <w:color w:val="auto"/>
                <w:sz w:val="24"/>
                <w:szCs w:val="24"/>
                <w:highlight w:val="none"/>
                <w:lang w:val="en-US" w:eastAsia="zh-CN"/>
              </w:rPr>
              <w:t>.5</w:t>
            </w:r>
            <w:r>
              <w:rPr>
                <w:bCs/>
                <w:color w:val="auto"/>
                <w:sz w:val="24"/>
                <w:szCs w:val="24"/>
                <w:highlight w:val="none"/>
              </w:rPr>
              <w:t>%的布袋除尘器，热风炉烟气经布袋除尘器净化处理后由1座</w:t>
            </w:r>
            <w:r>
              <w:rPr>
                <w:rFonts w:hint="eastAsia"/>
                <w:bCs/>
                <w:color w:val="auto"/>
                <w:sz w:val="24"/>
                <w:szCs w:val="24"/>
                <w:highlight w:val="none"/>
                <w:lang w:eastAsia="zh-CN"/>
              </w:rPr>
              <w:t>15m</w:t>
            </w:r>
            <w:r>
              <w:rPr>
                <w:bCs/>
                <w:color w:val="auto"/>
                <w:sz w:val="24"/>
                <w:szCs w:val="24"/>
                <w:highlight w:val="none"/>
              </w:rPr>
              <w:t>高烟囱排放。热风炉燃用</w:t>
            </w:r>
            <w:r>
              <w:rPr>
                <w:rFonts w:hint="eastAsia"/>
                <w:bCs/>
                <w:color w:val="auto"/>
                <w:sz w:val="24"/>
                <w:szCs w:val="24"/>
                <w:highlight w:val="none"/>
                <w:lang w:eastAsia="zh-CN"/>
              </w:rPr>
              <w:t>生物质颗粒燃料</w:t>
            </w:r>
            <w:r>
              <w:rPr>
                <w:bCs/>
                <w:color w:val="auto"/>
                <w:sz w:val="24"/>
                <w:szCs w:val="24"/>
                <w:highlight w:val="none"/>
              </w:rPr>
              <w:t>，燃料中含硫量较低，烟气中二氧化硫浓度较低，且热风炉生产商提供的氮氧化物控制保证浓度值较低，因此，本项目未设置脱硫及脱硝设施。</w:t>
            </w:r>
          </w:p>
          <w:p w14:paraId="43D7FBC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b/>
                <w:bCs/>
                <w:color w:val="auto"/>
                <w:kern w:val="0"/>
                <w:sz w:val="24"/>
                <w:highlight w:val="none"/>
              </w:rPr>
            </w:pPr>
            <w:r>
              <w:rPr>
                <w:rFonts w:hint="eastAsia" w:ascii="宋体" w:hAnsi="宋体" w:eastAsia="宋体" w:cs="宋体"/>
                <w:color w:val="auto"/>
                <w:kern w:val="0"/>
                <w:sz w:val="24"/>
                <w:szCs w:val="24"/>
                <w:highlight w:val="none"/>
                <w:lang w:val="en-US" w:eastAsia="zh-CN" w:bidi="ar"/>
              </w:rPr>
              <w:t>根据《排污许可证申请与核发技术规范总则》、</w:t>
            </w:r>
            <w:r>
              <w:rPr>
                <w:rFonts w:hint="eastAsia"/>
                <w:color w:val="auto"/>
                <w:sz w:val="24"/>
                <w:szCs w:val="24"/>
                <w:highlight w:val="none"/>
              </w:rPr>
              <w:t>《排污许可证申请与核发技术规范 工业炉窑》（HJ1121-2020）</w:t>
            </w:r>
            <w:r>
              <w:rPr>
                <w:rFonts w:hint="eastAsia"/>
                <w:bCs/>
                <w:color w:val="auto"/>
                <w:sz w:val="24"/>
                <w:szCs w:val="24"/>
                <w:highlight w:val="none"/>
              </w:rPr>
              <w:t>提供的污染防治可行技术与本项目进行对照，对照表见表</w:t>
            </w:r>
            <w:r>
              <w:rPr>
                <w:rFonts w:hint="eastAsia"/>
                <w:bCs/>
                <w:color w:val="auto"/>
                <w:sz w:val="24"/>
                <w:szCs w:val="24"/>
                <w:highlight w:val="none"/>
                <w:lang w:val="en-US" w:eastAsia="zh-CN"/>
              </w:rPr>
              <w:t>4-4</w:t>
            </w:r>
            <w:r>
              <w:rPr>
                <w:rFonts w:hint="eastAsia"/>
                <w:bCs/>
                <w:color w:val="auto"/>
                <w:sz w:val="24"/>
                <w:szCs w:val="24"/>
                <w:highlight w:val="none"/>
              </w:rPr>
              <w:t>。</w:t>
            </w:r>
          </w:p>
          <w:p w14:paraId="3B617AFC">
            <w:pPr>
              <w:pStyle w:val="94"/>
              <w:ind w:firstLine="0" w:firstLineChars="0"/>
              <w:jc w:val="center"/>
              <w:rPr>
                <w:rFonts w:hint="eastAsia"/>
                <w:b/>
                <w:bCs/>
                <w:color w:val="auto"/>
                <w:kern w:val="0"/>
                <w:sz w:val="24"/>
                <w:highlight w:val="none"/>
              </w:rPr>
            </w:pPr>
          </w:p>
          <w:p w14:paraId="2AE94A5C">
            <w:pPr>
              <w:pStyle w:val="94"/>
              <w:ind w:firstLine="0" w:firstLineChars="0"/>
              <w:jc w:val="center"/>
              <w:rPr>
                <w:rFonts w:hint="eastAsia"/>
                <w:b/>
                <w:bCs/>
                <w:color w:val="auto"/>
                <w:kern w:val="0"/>
                <w:sz w:val="24"/>
                <w:highlight w:val="none"/>
              </w:rPr>
            </w:pPr>
          </w:p>
          <w:p w14:paraId="742E1951">
            <w:pPr>
              <w:pStyle w:val="94"/>
              <w:ind w:firstLine="0" w:firstLineChars="0"/>
              <w:jc w:val="center"/>
              <w:rPr>
                <w:b/>
                <w:bCs/>
                <w:color w:val="auto"/>
                <w:kern w:val="0"/>
                <w:sz w:val="24"/>
                <w:highlight w:val="none"/>
              </w:rPr>
            </w:pPr>
            <w:r>
              <w:rPr>
                <w:rFonts w:hint="eastAsia"/>
                <w:b/>
                <w:bCs/>
                <w:color w:val="auto"/>
                <w:kern w:val="0"/>
                <w:sz w:val="24"/>
                <w:highlight w:val="none"/>
              </w:rPr>
              <w:t>表</w:t>
            </w:r>
            <w:r>
              <w:rPr>
                <w:rFonts w:hint="eastAsia"/>
                <w:b/>
                <w:bCs/>
                <w:color w:val="auto"/>
                <w:kern w:val="0"/>
                <w:sz w:val="24"/>
                <w:highlight w:val="none"/>
                <w:lang w:val="en-US" w:eastAsia="zh-CN"/>
              </w:rPr>
              <w:t xml:space="preserve">4-4 </w:t>
            </w:r>
            <w:r>
              <w:rPr>
                <w:rFonts w:hint="eastAsia"/>
                <w:b/>
                <w:bCs/>
                <w:color w:val="auto"/>
                <w:kern w:val="0"/>
                <w:sz w:val="24"/>
                <w:highlight w:val="none"/>
              </w:rPr>
              <w:t xml:space="preserve"> 污染防治可行技术对照分析表</w:t>
            </w:r>
          </w:p>
          <w:tbl>
            <w:tblPr>
              <w:tblStyle w:val="31"/>
              <w:tblW w:w="8419"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23"/>
              <w:gridCol w:w="1559"/>
              <w:gridCol w:w="2127"/>
              <w:gridCol w:w="2551"/>
              <w:gridCol w:w="759"/>
            </w:tblGrid>
            <w:tr w14:paraId="2E9CE769">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23" w:type="dxa"/>
                  <w:noWrap w:val="0"/>
                  <w:vAlign w:val="center"/>
                </w:tcPr>
                <w:p w14:paraId="4EFD6098">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rFonts w:hint="eastAsia"/>
                      <w:color w:val="auto"/>
                      <w:highlight w:val="none"/>
                    </w:rPr>
                    <w:t>废气类别</w:t>
                  </w:r>
                </w:p>
              </w:tc>
              <w:tc>
                <w:tcPr>
                  <w:tcW w:w="1559" w:type="dxa"/>
                  <w:noWrap w:val="0"/>
                  <w:vAlign w:val="center"/>
                </w:tcPr>
                <w:p w14:paraId="465EFEB0">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rFonts w:hint="eastAsia"/>
                      <w:color w:val="auto"/>
                      <w:highlight w:val="none"/>
                    </w:rPr>
                    <w:t>主要污染物</w:t>
                  </w:r>
                </w:p>
              </w:tc>
              <w:tc>
                <w:tcPr>
                  <w:tcW w:w="2127" w:type="dxa"/>
                  <w:tcBorders>
                    <w:right w:val="single" w:color="auto" w:sz="4" w:space="0"/>
                  </w:tcBorders>
                  <w:noWrap w:val="0"/>
                  <w:vAlign w:val="center"/>
                </w:tcPr>
                <w:p w14:paraId="094261F6">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color w:val="auto"/>
                      <w:highlight w:val="none"/>
                    </w:rPr>
                    <w:t>项目采取的措施</w:t>
                  </w:r>
                </w:p>
              </w:tc>
              <w:tc>
                <w:tcPr>
                  <w:tcW w:w="2551" w:type="dxa"/>
                  <w:noWrap w:val="0"/>
                  <w:vAlign w:val="center"/>
                </w:tcPr>
                <w:p w14:paraId="5235A306">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highlight w:val="none"/>
                    </w:rPr>
                  </w:pPr>
                  <w:r>
                    <w:rPr>
                      <w:rFonts w:hint="eastAsia"/>
                      <w:color w:val="auto"/>
                      <w:highlight w:val="none"/>
                    </w:rPr>
                    <w:t>《排污许可证申请与核发技术规范》中的可行技术</w:t>
                  </w:r>
                </w:p>
              </w:tc>
              <w:tc>
                <w:tcPr>
                  <w:tcW w:w="759" w:type="dxa"/>
                  <w:noWrap w:val="0"/>
                  <w:vAlign w:val="center"/>
                </w:tcPr>
                <w:p w14:paraId="571509B7">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color w:val="auto"/>
                      <w:highlight w:val="none"/>
                    </w:rPr>
                    <w:t>是否可行</w:t>
                  </w:r>
                </w:p>
              </w:tc>
            </w:tr>
            <w:tr w14:paraId="2D12726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23" w:type="dxa"/>
                  <w:noWrap w:val="0"/>
                  <w:vAlign w:val="center"/>
                </w:tcPr>
                <w:p w14:paraId="46C2AA6E">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highlight w:val="none"/>
                    </w:rPr>
                  </w:pPr>
                  <w:r>
                    <w:rPr>
                      <w:rFonts w:hint="eastAsia"/>
                      <w:color w:val="auto"/>
                      <w:highlight w:val="none"/>
                    </w:rPr>
                    <w:t>热风炉</w:t>
                  </w:r>
                </w:p>
              </w:tc>
              <w:tc>
                <w:tcPr>
                  <w:tcW w:w="1559" w:type="dxa"/>
                  <w:noWrap w:val="0"/>
                  <w:vAlign w:val="center"/>
                </w:tcPr>
                <w:p w14:paraId="0B885EBF">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highlight w:val="none"/>
                    </w:rPr>
                  </w:pPr>
                  <w:r>
                    <w:rPr>
                      <w:color w:val="auto"/>
                      <w:highlight w:val="none"/>
                      <w:lang w:val="zh-CN"/>
                    </w:rPr>
                    <w:t>颗粒物</w:t>
                  </w:r>
                  <w:r>
                    <w:rPr>
                      <w:rFonts w:hint="eastAsia"/>
                      <w:color w:val="auto"/>
                      <w:highlight w:val="none"/>
                      <w:lang w:val="zh-CN"/>
                    </w:rPr>
                    <w:t>、二氧化硫、氮氧化物</w:t>
                  </w:r>
                </w:p>
              </w:tc>
              <w:tc>
                <w:tcPr>
                  <w:tcW w:w="2127" w:type="dxa"/>
                  <w:tcBorders>
                    <w:right w:val="single" w:color="auto" w:sz="4" w:space="0"/>
                  </w:tcBorders>
                  <w:noWrap w:val="0"/>
                  <w:vAlign w:val="center"/>
                </w:tcPr>
                <w:p w14:paraId="37B91014">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rFonts w:hint="eastAsia"/>
                      <w:color w:val="auto"/>
                      <w:highlight w:val="none"/>
                    </w:rPr>
                    <w:t>布袋除尘</w:t>
                  </w:r>
                </w:p>
              </w:tc>
              <w:tc>
                <w:tcPr>
                  <w:tcW w:w="2551" w:type="dxa"/>
                  <w:noWrap w:val="0"/>
                  <w:vAlign w:val="center"/>
                </w:tcPr>
                <w:p w14:paraId="3827BEB7">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rFonts w:hint="eastAsia"/>
                      <w:color w:val="auto"/>
                      <w:highlight w:val="none"/>
                    </w:rPr>
                    <w:t>袋式除尘、静电除尘</w:t>
                  </w:r>
                </w:p>
              </w:tc>
              <w:tc>
                <w:tcPr>
                  <w:tcW w:w="759" w:type="dxa"/>
                  <w:noWrap w:val="0"/>
                  <w:vAlign w:val="center"/>
                </w:tcPr>
                <w:p w14:paraId="5F53EEEC">
                  <w:pPr>
                    <w:pStyle w:val="14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color w:val="auto"/>
                      <w:highlight w:val="none"/>
                    </w:rPr>
                  </w:pPr>
                  <w:r>
                    <w:rPr>
                      <w:color w:val="auto"/>
                      <w:highlight w:val="none"/>
                    </w:rPr>
                    <w:t>可行</w:t>
                  </w:r>
                </w:p>
              </w:tc>
            </w:tr>
          </w:tbl>
          <w:p w14:paraId="5B0363D1">
            <w:pPr>
              <w:pStyle w:val="14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Style w:val="72"/>
                <w:rFonts w:hint="eastAsia"/>
                <w:color w:val="auto"/>
                <w:highlight w:val="none"/>
              </w:rPr>
              <w:t>根据上表分析可知，本项目采取的废气污染防治措施均属于</w:t>
            </w:r>
            <w:r>
              <w:rPr>
                <w:rFonts w:hint="eastAsia"/>
                <w:color w:val="auto"/>
                <w:highlight w:val="none"/>
              </w:rPr>
              <w:t>《排污许可证申请与核发技术规范 工业炉窑》（HJ1121-2020）中的可行技术，故本项目废气污染防治措施</w:t>
            </w:r>
            <w:r>
              <w:rPr>
                <w:rStyle w:val="72"/>
                <w:rFonts w:hint="eastAsia"/>
                <w:color w:val="auto"/>
                <w:highlight w:val="none"/>
              </w:rPr>
              <w:t>是可行的。</w:t>
            </w:r>
          </w:p>
          <w:p w14:paraId="1F34F3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3、烟囱高度</w:t>
            </w:r>
            <w:r>
              <w:rPr>
                <w:rFonts w:hint="default" w:ascii="Times New Roman" w:hAnsi="Times New Roman" w:eastAsia="宋体" w:cs="Times New Roman"/>
                <w:bCs/>
                <w:color w:val="auto"/>
                <w:sz w:val="24"/>
                <w:highlight w:val="none"/>
                <w:lang w:val="en-US" w:eastAsia="zh-CN"/>
              </w:rPr>
              <w:t>可行性论证</w:t>
            </w:r>
          </w:p>
          <w:p w14:paraId="57D6E6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hint="default" w:ascii="Times New Roman" w:hAnsi="Times New Roman" w:eastAsia="宋体" w:cs="Times New Roman"/>
                <w:b w:val="0"/>
                <w:bCs/>
                <w:color w:val="auto"/>
                <w:kern w:val="2"/>
                <w:sz w:val="24"/>
                <w:szCs w:val="24"/>
                <w:highlight w:val="none"/>
                <w:lang w:val="en-US" w:eastAsia="zh-CN" w:bidi="ar-SA"/>
              </w:rPr>
              <w:t>本项目为烘干工序提供热源</w:t>
            </w:r>
            <w:r>
              <w:rPr>
                <w:rFonts w:hint="eastAsia" w:ascii="Times New Roman" w:hAnsi="Times New Roman" w:cs="Times New Roman"/>
                <w:b w:val="0"/>
                <w:bCs/>
                <w:color w:val="auto"/>
                <w:kern w:val="2"/>
                <w:sz w:val="24"/>
                <w:szCs w:val="24"/>
                <w:highlight w:val="none"/>
                <w:lang w:val="en-US" w:eastAsia="zh-CN" w:bidi="ar-SA"/>
              </w:rPr>
              <w:t>的</w:t>
            </w:r>
            <w:r>
              <w:rPr>
                <w:rFonts w:hint="default" w:ascii="Times New Roman" w:hAnsi="Times New Roman" w:eastAsia="宋体" w:cs="Times New Roman"/>
                <w:b w:val="0"/>
                <w:bCs/>
                <w:color w:val="auto"/>
                <w:kern w:val="2"/>
                <w:sz w:val="24"/>
                <w:szCs w:val="24"/>
                <w:highlight w:val="none"/>
                <w:lang w:val="en-US" w:eastAsia="zh-CN" w:bidi="ar-SA"/>
              </w:rPr>
              <w:t>热风炉配备布袋除尘器，除尘效率99</w:t>
            </w:r>
            <w:r>
              <w:rPr>
                <w:rFonts w:hint="eastAsia" w:ascii="Times New Roman" w:hAnsi="Times New Roman" w:cs="Times New Roman"/>
                <w:b w:val="0"/>
                <w:bCs/>
                <w:color w:val="auto"/>
                <w:kern w:val="2"/>
                <w:sz w:val="24"/>
                <w:szCs w:val="24"/>
                <w:highlight w:val="none"/>
                <w:lang w:val="en-US" w:eastAsia="zh-CN" w:bidi="ar-SA"/>
              </w:rPr>
              <w:t>.5</w:t>
            </w:r>
            <w:r>
              <w:rPr>
                <w:rFonts w:hint="default" w:ascii="Times New Roman" w:hAnsi="Times New Roman" w:eastAsia="宋体" w:cs="Times New Roman"/>
                <w:b w:val="0"/>
                <w:bCs/>
                <w:color w:val="auto"/>
                <w:kern w:val="2"/>
                <w:sz w:val="24"/>
                <w:szCs w:val="24"/>
                <w:highlight w:val="none"/>
                <w:lang w:val="en-US" w:eastAsia="zh-CN" w:bidi="ar-SA"/>
              </w:rPr>
              <w:t>%，烟气经处理达标后由</w:t>
            </w:r>
            <w:r>
              <w:rPr>
                <w:rFonts w:hint="eastAsia" w:ascii="Times New Roman" w:hAnsi="Times New Roman" w:cs="Times New Roman"/>
                <w:b w:val="0"/>
                <w:bCs/>
                <w:color w:val="auto"/>
                <w:kern w:val="2"/>
                <w:sz w:val="24"/>
                <w:szCs w:val="24"/>
                <w:highlight w:val="none"/>
                <w:lang w:val="en-US" w:eastAsia="zh-CN" w:bidi="ar-SA"/>
              </w:rPr>
              <w:t>1根</w:t>
            </w:r>
            <w:r>
              <w:rPr>
                <w:rFonts w:hint="default" w:ascii="Times New Roman" w:hAnsi="Times New Roman" w:eastAsia="宋体" w:cs="Times New Roman"/>
                <w:b w:val="0"/>
                <w:bCs/>
                <w:color w:val="auto"/>
                <w:kern w:val="2"/>
                <w:sz w:val="24"/>
                <w:szCs w:val="24"/>
                <w:highlight w:val="none"/>
                <w:lang w:val="en-US" w:eastAsia="zh-CN" w:bidi="ar-SA"/>
              </w:rPr>
              <w:t>15m高的</w:t>
            </w:r>
            <w:r>
              <w:rPr>
                <w:rFonts w:hint="eastAsia" w:eastAsia="宋体" w:cs="Times New Roman"/>
                <w:b w:val="0"/>
                <w:bCs/>
                <w:color w:val="auto"/>
                <w:kern w:val="2"/>
                <w:sz w:val="24"/>
                <w:szCs w:val="24"/>
                <w:highlight w:val="none"/>
                <w:lang w:val="en-US" w:eastAsia="zh-CN" w:bidi="ar-SA"/>
              </w:rPr>
              <w:t>烟囱</w:t>
            </w:r>
            <w:r>
              <w:rPr>
                <w:rFonts w:hint="default" w:ascii="Times New Roman" w:hAnsi="Times New Roman" w:eastAsia="宋体" w:cs="Times New Roman"/>
                <w:b w:val="0"/>
                <w:bCs/>
                <w:color w:val="auto"/>
                <w:kern w:val="2"/>
                <w:sz w:val="24"/>
                <w:szCs w:val="24"/>
                <w:highlight w:val="none"/>
                <w:lang w:val="en-US" w:eastAsia="zh-CN" w:bidi="ar-SA"/>
              </w:rPr>
              <w:t>排放，</w:t>
            </w:r>
            <w:r>
              <w:rPr>
                <w:rFonts w:hint="eastAsia"/>
                <w:bCs/>
                <w:color w:val="auto"/>
                <w:sz w:val="24"/>
                <w:highlight w:val="none"/>
              </w:rPr>
              <w:t>热风炉烟气中烟尘、烟气黑度、二氧化硫排放满足《工业炉窑大气污染物排放标准》（GB9078-1996）中表2和表4二级标准要求。</w:t>
            </w:r>
          </w:p>
          <w:p w14:paraId="45B770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color w:val="auto"/>
                <w:kern w:val="2"/>
                <w:sz w:val="24"/>
                <w:szCs w:val="24"/>
                <w:highlight w:val="none"/>
                <w:lang w:val="en-US" w:eastAsia="zh-CN" w:bidi="ar-SA"/>
              </w:rPr>
            </w:pPr>
            <w:r>
              <w:rPr>
                <w:rFonts w:hint="eastAsia" w:ascii="Times New Roman" w:hAnsi="Times New Roman" w:eastAsia="宋体" w:cs="Times New Roman"/>
                <w:b w:val="0"/>
                <w:bCs/>
                <w:color w:val="auto"/>
                <w:kern w:val="2"/>
                <w:sz w:val="24"/>
                <w:szCs w:val="24"/>
                <w:highlight w:val="none"/>
                <w:lang w:val="en-US" w:eastAsia="zh-CN" w:bidi="ar-SA"/>
              </w:rPr>
              <w:t>《工业炉窑大气污染物排放标准》（GB9078-1996）中要求“工业炉窑烟囱最低允许高度为15m”，</w:t>
            </w:r>
            <w:r>
              <w:rPr>
                <w:rFonts w:hint="default" w:ascii="Times New Roman" w:hAnsi="Times New Roman" w:eastAsia="宋体" w:cs="Times New Roman"/>
                <w:b w:val="0"/>
                <w:bCs/>
                <w:color w:val="auto"/>
                <w:kern w:val="2"/>
                <w:sz w:val="24"/>
                <w:szCs w:val="24"/>
                <w:highlight w:val="none"/>
                <w:lang w:val="en-US" w:eastAsia="zh-CN" w:bidi="ar-SA"/>
              </w:rPr>
              <w:t>本项目</w:t>
            </w:r>
            <w:r>
              <w:rPr>
                <w:rFonts w:hint="eastAsia" w:ascii="Times New Roman" w:hAnsi="Times New Roman" w:eastAsia="宋体" w:cs="Times New Roman"/>
                <w:b w:val="0"/>
                <w:bCs/>
                <w:color w:val="auto"/>
                <w:kern w:val="2"/>
                <w:sz w:val="24"/>
                <w:szCs w:val="24"/>
                <w:highlight w:val="none"/>
                <w:lang w:val="en-US" w:eastAsia="zh-CN" w:bidi="ar-SA"/>
              </w:rPr>
              <w:t>热风炉</w:t>
            </w:r>
            <w:r>
              <w:rPr>
                <w:rFonts w:hint="default" w:ascii="Times New Roman" w:hAnsi="Times New Roman" w:eastAsia="宋体" w:cs="Times New Roman"/>
                <w:b w:val="0"/>
                <w:bCs/>
                <w:color w:val="auto"/>
                <w:kern w:val="2"/>
                <w:sz w:val="24"/>
                <w:szCs w:val="24"/>
                <w:highlight w:val="none"/>
                <w:lang w:val="en-US" w:eastAsia="zh-CN" w:bidi="ar-SA"/>
              </w:rPr>
              <w:t>设置</w:t>
            </w:r>
            <w:r>
              <w:rPr>
                <w:rFonts w:hint="eastAsia" w:cs="Times New Roman"/>
                <w:b w:val="0"/>
                <w:bCs/>
                <w:color w:val="auto"/>
                <w:kern w:val="2"/>
                <w:sz w:val="24"/>
                <w:szCs w:val="24"/>
                <w:highlight w:val="none"/>
                <w:lang w:val="en-US" w:eastAsia="zh-CN" w:bidi="ar-SA"/>
              </w:rPr>
              <w:t>1</w:t>
            </w:r>
            <w:r>
              <w:rPr>
                <w:rFonts w:hint="default" w:ascii="Times New Roman" w:hAnsi="Times New Roman" w:eastAsia="宋体" w:cs="Times New Roman"/>
                <w:b w:val="0"/>
                <w:bCs/>
                <w:color w:val="auto"/>
                <w:kern w:val="2"/>
                <w:sz w:val="24"/>
                <w:szCs w:val="24"/>
                <w:highlight w:val="none"/>
                <w:lang w:val="en-US" w:eastAsia="zh-CN" w:bidi="ar-SA"/>
              </w:rPr>
              <w:t>根15m高的</w:t>
            </w:r>
            <w:r>
              <w:rPr>
                <w:rFonts w:hint="eastAsia" w:ascii="Times New Roman" w:hAnsi="Times New Roman" w:eastAsia="宋体" w:cs="Times New Roman"/>
                <w:b w:val="0"/>
                <w:bCs/>
                <w:color w:val="auto"/>
                <w:kern w:val="2"/>
                <w:sz w:val="24"/>
                <w:szCs w:val="24"/>
                <w:highlight w:val="none"/>
                <w:lang w:val="en-US" w:eastAsia="zh-CN" w:bidi="ar-SA"/>
              </w:rPr>
              <w:t>烟囱</w:t>
            </w:r>
            <w:r>
              <w:rPr>
                <w:rFonts w:hint="default" w:ascii="Times New Roman" w:hAnsi="Times New Roman" w:eastAsia="宋体" w:cs="Times New Roman"/>
                <w:b w:val="0"/>
                <w:bCs/>
                <w:color w:val="auto"/>
                <w:kern w:val="2"/>
                <w:sz w:val="24"/>
                <w:szCs w:val="24"/>
                <w:highlight w:val="none"/>
                <w:lang w:val="en-US" w:eastAsia="zh-CN" w:bidi="ar-SA"/>
              </w:rPr>
              <w:t>，</w:t>
            </w:r>
            <w:r>
              <w:rPr>
                <w:rFonts w:hint="eastAsia" w:ascii="Times New Roman" w:hAnsi="Times New Roman" w:eastAsia="宋体" w:cs="Times New Roman"/>
                <w:b w:val="0"/>
                <w:bCs/>
                <w:color w:val="auto"/>
                <w:kern w:val="2"/>
                <w:sz w:val="24"/>
                <w:szCs w:val="24"/>
                <w:highlight w:val="none"/>
                <w:lang w:val="en-US" w:eastAsia="zh-CN" w:bidi="ar-SA"/>
              </w:rPr>
              <w:t>本项目热风炉烟囱周围200m范围内最高建筑物为项目热风炉房，高度为</w:t>
            </w:r>
            <w:r>
              <w:rPr>
                <w:rFonts w:hint="eastAsia" w:cs="Times New Roman"/>
                <w:b w:val="0"/>
                <w:bCs/>
                <w:color w:val="auto"/>
                <w:kern w:val="2"/>
                <w:sz w:val="24"/>
                <w:szCs w:val="24"/>
                <w:highlight w:val="none"/>
                <w:lang w:val="en-US" w:eastAsia="zh-CN" w:bidi="ar-SA"/>
              </w:rPr>
              <w:t>5</w:t>
            </w:r>
            <w:r>
              <w:rPr>
                <w:rFonts w:hint="eastAsia" w:ascii="Times New Roman" w:hAnsi="Times New Roman" w:eastAsia="宋体" w:cs="Times New Roman"/>
                <w:b w:val="0"/>
                <w:bCs/>
                <w:color w:val="auto"/>
                <w:kern w:val="2"/>
                <w:sz w:val="24"/>
                <w:szCs w:val="24"/>
                <w:highlight w:val="none"/>
                <w:lang w:val="en-US" w:eastAsia="zh-CN" w:bidi="ar-SA"/>
              </w:rPr>
              <w:t>m，本项目</w:t>
            </w:r>
            <w:r>
              <w:rPr>
                <w:rFonts w:hint="eastAsia" w:eastAsia="宋体" w:cs="Times New Roman"/>
                <w:b w:val="0"/>
                <w:bCs/>
                <w:color w:val="auto"/>
                <w:kern w:val="2"/>
                <w:sz w:val="24"/>
                <w:szCs w:val="24"/>
                <w:highlight w:val="none"/>
                <w:lang w:val="en-US" w:eastAsia="zh-CN" w:bidi="ar-SA"/>
              </w:rPr>
              <w:t>烟囱高度</w:t>
            </w:r>
            <w:r>
              <w:rPr>
                <w:rFonts w:hint="default" w:ascii="Times New Roman" w:hAnsi="Times New Roman" w:eastAsia="宋体" w:cs="Times New Roman"/>
                <w:b w:val="0"/>
                <w:bCs/>
                <w:color w:val="auto"/>
                <w:kern w:val="2"/>
                <w:sz w:val="24"/>
                <w:szCs w:val="24"/>
                <w:highlight w:val="none"/>
                <w:lang w:val="en-US" w:eastAsia="zh-CN" w:bidi="ar-SA"/>
              </w:rPr>
              <w:t>已高出周围200m半径范围内的建筑</w:t>
            </w:r>
            <w:r>
              <w:rPr>
                <w:rFonts w:hint="eastAsia" w:ascii="Times New Roman" w:hAnsi="Times New Roman" w:eastAsia="宋体" w:cs="Times New Roman"/>
                <w:b w:val="0"/>
                <w:bCs/>
                <w:color w:val="auto"/>
                <w:kern w:val="2"/>
                <w:sz w:val="24"/>
                <w:szCs w:val="24"/>
                <w:highlight w:val="none"/>
                <w:lang w:val="en-US" w:eastAsia="zh-CN" w:bidi="ar-SA"/>
              </w:rPr>
              <w:t>3</w:t>
            </w:r>
            <w:r>
              <w:rPr>
                <w:rFonts w:hint="default" w:ascii="Times New Roman" w:hAnsi="Times New Roman" w:eastAsia="宋体" w:cs="Times New Roman"/>
                <w:b w:val="0"/>
                <w:bCs/>
                <w:color w:val="auto"/>
                <w:kern w:val="2"/>
                <w:sz w:val="24"/>
                <w:szCs w:val="24"/>
                <w:highlight w:val="none"/>
                <w:lang w:val="en-US" w:eastAsia="zh-CN" w:bidi="ar-SA"/>
              </w:rPr>
              <w:t>m以上，</w:t>
            </w:r>
            <w:r>
              <w:rPr>
                <w:rFonts w:hint="eastAsia" w:ascii="Times New Roman" w:hAnsi="Times New Roman" w:cs="Times New Roman"/>
                <w:b w:val="0"/>
                <w:bCs/>
                <w:color w:val="auto"/>
                <w:kern w:val="2"/>
                <w:sz w:val="24"/>
                <w:szCs w:val="24"/>
                <w:highlight w:val="none"/>
                <w:lang w:val="en-US" w:eastAsia="zh-CN" w:bidi="ar-SA"/>
              </w:rPr>
              <w:t>因此</w:t>
            </w:r>
            <w:r>
              <w:rPr>
                <w:rFonts w:hint="default" w:ascii="Times New Roman" w:hAnsi="Times New Roman" w:eastAsia="宋体" w:cs="Times New Roman"/>
                <w:b w:val="0"/>
                <w:bCs/>
                <w:color w:val="auto"/>
                <w:kern w:val="2"/>
                <w:sz w:val="24"/>
                <w:szCs w:val="24"/>
                <w:highlight w:val="none"/>
                <w:lang w:val="en-US" w:eastAsia="zh-CN" w:bidi="ar-SA"/>
              </w:rPr>
              <w:t>符合《工业炉窑大气污染物排放标准》（GB9078-1996）</w:t>
            </w:r>
            <w:r>
              <w:rPr>
                <w:rFonts w:hint="eastAsia" w:ascii="Times New Roman" w:hAnsi="Times New Roman" w:eastAsia="宋体" w:cs="Times New Roman"/>
                <w:b w:val="0"/>
                <w:bCs/>
                <w:color w:val="auto"/>
                <w:kern w:val="2"/>
                <w:sz w:val="24"/>
                <w:szCs w:val="24"/>
                <w:highlight w:val="none"/>
                <w:lang w:val="en-US" w:eastAsia="zh-CN" w:bidi="ar-SA"/>
              </w:rPr>
              <w:t>4.6</w:t>
            </w:r>
            <w:r>
              <w:rPr>
                <w:rFonts w:hint="eastAsia" w:cs="Times New Roman"/>
                <w:b w:val="0"/>
                <w:bCs/>
                <w:color w:val="auto"/>
                <w:kern w:val="2"/>
                <w:sz w:val="24"/>
                <w:szCs w:val="24"/>
                <w:highlight w:val="none"/>
                <w:lang w:val="en-US" w:eastAsia="zh-CN" w:bidi="ar-SA"/>
              </w:rPr>
              <w:t>中</w:t>
            </w:r>
            <w:r>
              <w:rPr>
                <w:rFonts w:hint="eastAsia" w:ascii="Times New Roman" w:hAnsi="Times New Roman" w:eastAsia="宋体" w:cs="Times New Roman"/>
                <w:b w:val="0"/>
                <w:bCs/>
                <w:color w:val="auto"/>
                <w:kern w:val="2"/>
                <w:sz w:val="24"/>
                <w:szCs w:val="24"/>
                <w:highlight w:val="none"/>
                <w:lang w:val="en-US" w:eastAsia="zh-CN" w:bidi="ar-SA"/>
              </w:rPr>
              <w:t>烟囱高度的要</w:t>
            </w:r>
            <w:r>
              <w:rPr>
                <w:rFonts w:hint="default" w:ascii="Times New Roman" w:hAnsi="Times New Roman" w:eastAsia="宋体" w:cs="Times New Roman"/>
                <w:b w:val="0"/>
                <w:bCs/>
                <w:color w:val="auto"/>
                <w:kern w:val="2"/>
                <w:sz w:val="24"/>
                <w:szCs w:val="24"/>
                <w:highlight w:val="none"/>
                <w:lang w:val="en-US" w:eastAsia="zh-CN" w:bidi="ar-SA"/>
              </w:rPr>
              <w:t>求</w:t>
            </w:r>
            <w:r>
              <w:rPr>
                <w:rFonts w:hint="eastAsia" w:ascii="Times New Roman" w:hAnsi="Times New Roman" w:cs="Times New Roman"/>
                <w:b w:val="0"/>
                <w:bCs/>
                <w:color w:val="auto"/>
                <w:kern w:val="2"/>
                <w:sz w:val="24"/>
                <w:szCs w:val="24"/>
                <w:highlight w:val="none"/>
                <w:lang w:val="en-US" w:eastAsia="zh-CN" w:bidi="ar-SA"/>
              </w:rPr>
              <w:t>。</w:t>
            </w:r>
          </w:p>
          <w:p w14:paraId="7614EC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lang w:val="en-US" w:eastAsia="zh-CN"/>
              </w:rPr>
            </w:pPr>
            <w:r>
              <w:rPr>
                <w:rFonts w:hint="eastAsia" w:ascii="Times New Roman" w:hAnsi="Times New Roman" w:cs="Times New Roman"/>
                <w:b w:val="0"/>
                <w:bCs/>
                <w:color w:val="auto"/>
                <w:kern w:val="2"/>
                <w:sz w:val="24"/>
                <w:szCs w:val="24"/>
                <w:highlight w:val="none"/>
                <w:lang w:val="en-US" w:eastAsia="zh-CN" w:bidi="ar-SA"/>
              </w:rPr>
              <w:t>同时本项目在热风炉烟囱设置永久采样、监测孔。</w:t>
            </w:r>
          </w:p>
          <w:p w14:paraId="2D240F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hint="eastAsia"/>
                <w:bCs/>
                <w:color w:val="auto"/>
                <w:sz w:val="24"/>
                <w:highlight w:val="none"/>
                <w:lang w:val="en-US" w:eastAsia="zh-CN"/>
              </w:rPr>
              <w:t>4</w:t>
            </w:r>
            <w:r>
              <w:rPr>
                <w:bCs/>
                <w:color w:val="auto"/>
                <w:sz w:val="24"/>
                <w:highlight w:val="none"/>
              </w:rPr>
              <w:t>、达标排放分析</w:t>
            </w:r>
          </w:p>
          <w:p w14:paraId="54F9A6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本项目采取输送传送带封闭设置，</w:t>
            </w:r>
            <w:r>
              <w:rPr>
                <w:rFonts w:hint="eastAsia" w:cs="Times New Roman"/>
                <w:color w:val="auto"/>
                <w:spacing w:val="0"/>
                <w:sz w:val="24"/>
                <w:szCs w:val="24"/>
                <w:highlight w:val="none"/>
                <w:lang w:val="en-US" w:eastAsia="zh-CN"/>
              </w:rPr>
              <w:t>装卸区采取密闭装卸</w:t>
            </w:r>
            <w:r>
              <w:rPr>
                <w:rFonts w:hint="default" w:ascii="Times New Roman" w:hAnsi="Times New Roman" w:eastAsia="宋体" w:cs="Times New Roman"/>
                <w:bCs/>
                <w:color w:val="auto"/>
                <w:sz w:val="24"/>
                <w:highlight w:val="none"/>
              </w:rPr>
              <w:t>，清选工艺采用封闭式清理筛，可使颗粒物无组织排放量减少90%；</w:t>
            </w:r>
            <w:r>
              <w:rPr>
                <w:rFonts w:hint="default" w:ascii="Times New Roman" w:hAnsi="Times New Roman" w:eastAsia="宋体" w:cs="Times New Roman"/>
                <w:bCs/>
                <w:color w:val="auto"/>
                <w:sz w:val="24"/>
                <w:highlight w:val="none"/>
                <w:lang w:val="en-US" w:eastAsia="zh-CN"/>
              </w:rPr>
              <w:t>烘干塔塔体设置彩钢罩，有效控制杂质及大粒径粉尘的排放，拦尘效率 90%，</w:t>
            </w:r>
            <w:r>
              <w:rPr>
                <w:rFonts w:hint="default" w:ascii="Times New Roman" w:hAnsi="Times New Roman" w:eastAsia="宋体" w:cs="Times New Roman"/>
                <w:bCs/>
                <w:color w:val="auto"/>
                <w:sz w:val="24"/>
                <w:highlight w:val="none"/>
              </w:rPr>
              <w:t>烘干塔废气经塔体两侧排气孔排出。运营期</w:t>
            </w:r>
            <w:r>
              <w:rPr>
                <w:rFonts w:hint="default" w:ascii="Times New Roman" w:hAnsi="Times New Roman" w:eastAsia="宋体" w:cs="Times New Roman"/>
                <w:bCs/>
                <w:color w:val="auto"/>
                <w:sz w:val="24"/>
                <w:highlight w:val="none"/>
                <w:lang w:eastAsia="zh-CN"/>
              </w:rPr>
              <w:t>厂界</w:t>
            </w:r>
            <w:r>
              <w:rPr>
                <w:rFonts w:hint="default" w:ascii="Times New Roman" w:hAnsi="Times New Roman" w:eastAsia="宋体" w:cs="Times New Roman"/>
                <w:bCs/>
                <w:color w:val="auto"/>
                <w:sz w:val="24"/>
                <w:highlight w:val="none"/>
              </w:rPr>
              <w:t>颗粒物无组织排放满足《大气污染物综合排放标准》（GB16297-1996）表2中无组织排放浓度监控限值要求。</w:t>
            </w:r>
          </w:p>
          <w:p w14:paraId="104B11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本项目</w:t>
            </w:r>
            <w:r>
              <w:rPr>
                <w:rFonts w:hint="default" w:ascii="Times New Roman" w:hAnsi="Times New Roman" w:eastAsia="宋体" w:cs="Times New Roman"/>
                <w:bCs/>
                <w:color w:val="auto"/>
                <w:sz w:val="24"/>
                <w:highlight w:val="none"/>
                <w:lang w:eastAsia="zh-CN"/>
              </w:rPr>
              <w:t>生物质</w:t>
            </w:r>
            <w:r>
              <w:rPr>
                <w:rFonts w:hint="default" w:ascii="Times New Roman" w:hAnsi="Times New Roman" w:eastAsia="宋体" w:cs="Times New Roman"/>
                <w:bCs/>
                <w:color w:val="auto"/>
                <w:sz w:val="24"/>
                <w:highlight w:val="none"/>
              </w:rPr>
              <w:t>热风炉烟气经1台除尘效率为99</w:t>
            </w:r>
            <w:r>
              <w:rPr>
                <w:rFonts w:hint="default"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%的布袋除尘器处理后，由1座15m高烟囱（DA00</w:t>
            </w:r>
            <w:r>
              <w:rPr>
                <w:rFonts w:hint="eastAsia" w:cs="Times New Roman"/>
                <w:bCs/>
                <w:color w:val="auto"/>
                <w:sz w:val="24"/>
                <w:highlight w:val="none"/>
                <w:lang w:val="en-US" w:eastAsia="zh-CN"/>
              </w:rPr>
              <w:t>3</w:t>
            </w:r>
            <w:r>
              <w:rPr>
                <w:rFonts w:hint="default" w:ascii="Times New Roman" w:hAnsi="Times New Roman" w:eastAsia="宋体" w:cs="Times New Roman"/>
                <w:bCs/>
                <w:color w:val="auto"/>
                <w:sz w:val="24"/>
                <w:highlight w:val="none"/>
              </w:rPr>
              <w:t>）排放。热风炉烟气中烟尘、烟气黑度、二氧化硫排放满足《工业炉窑大气污染物排放标准》（GB9078-1996）中表2和表4二级标准要求</w:t>
            </w:r>
            <w:r>
              <w:rPr>
                <w:rFonts w:hint="default" w:ascii="Times New Roman" w:hAnsi="Times New Roman" w:eastAsia="宋体" w:cs="Times New Roman"/>
                <w:color w:val="auto"/>
                <w:sz w:val="24"/>
                <w:szCs w:val="32"/>
                <w:highlight w:val="none"/>
                <w:lang w:val="en-US" w:eastAsia="zh-CN"/>
              </w:rPr>
              <w:t>。炉窑周边无组织颗粒物排放满足</w:t>
            </w:r>
            <w:r>
              <w:rPr>
                <w:rFonts w:hint="default" w:ascii="Times New Roman" w:hAnsi="Times New Roman" w:eastAsia="宋体" w:cs="Times New Roman"/>
                <w:bCs/>
                <w:color w:val="auto"/>
                <w:sz w:val="24"/>
                <w:highlight w:val="none"/>
              </w:rPr>
              <w:t>《工业炉窑大气污染物排放标准》（GB9078-1996）中表</w:t>
            </w:r>
            <w:r>
              <w:rPr>
                <w:rFonts w:hint="default" w:ascii="Times New Roman" w:hAnsi="Times New Roman" w:eastAsia="宋体" w:cs="Times New Roman"/>
                <w:bCs/>
                <w:color w:val="auto"/>
                <w:sz w:val="24"/>
                <w:highlight w:val="none"/>
                <w:lang w:val="en-US" w:eastAsia="zh-CN"/>
              </w:rPr>
              <w:t>3</w:t>
            </w:r>
            <w:r>
              <w:rPr>
                <w:rFonts w:hint="default" w:ascii="Times New Roman" w:hAnsi="Times New Roman" w:eastAsia="宋体" w:cs="Times New Roman"/>
                <w:bCs/>
                <w:color w:val="auto"/>
                <w:sz w:val="24"/>
                <w:highlight w:val="none"/>
              </w:rPr>
              <w:t>标准要求</w:t>
            </w:r>
            <w:r>
              <w:rPr>
                <w:rFonts w:hint="default" w:ascii="Times New Roman" w:hAnsi="Times New Roman" w:eastAsia="宋体" w:cs="Times New Roman"/>
                <w:bCs/>
                <w:color w:val="auto"/>
                <w:sz w:val="24"/>
                <w:highlight w:val="none"/>
                <w:lang w:eastAsia="zh-CN"/>
              </w:rPr>
              <w:t>。</w:t>
            </w:r>
          </w:p>
          <w:p w14:paraId="4F007894">
            <w:pPr>
              <w:pStyle w:val="132"/>
              <w:ind w:firstLine="480"/>
              <w:rPr>
                <w:rFonts w:hint="default" w:ascii="Times New Roman" w:hAnsi="Times New Roman" w:eastAsia="宋体" w:cs="Times New Roman"/>
                <w:bCs/>
                <w:color w:val="auto"/>
                <w:sz w:val="24"/>
                <w:szCs w:val="24"/>
                <w:highlight w:val="none"/>
                <w:lang w:eastAsia="zh-CN"/>
              </w:rPr>
            </w:pPr>
            <w:r>
              <w:rPr>
                <w:rFonts w:hint="eastAsia" w:cs="Times New Roman"/>
                <w:bCs/>
                <w:color w:val="auto"/>
                <w:sz w:val="24"/>
                <w:highlight w:val="none"/>
              </w:rPr>
              <w:t>综上所述，在落实污染防治措施的前提下，并保证环保设施正常运行，本项目排放的污染物对评价区域环境空气质量影响较小。</w:t>
            </w:r>
          </w:p>
          <w:p w14:paraId="76A294FA">
            <w:pPr>
              <w:pStyle w:val="118"/>
              <w:adjustRightInd w:val="0"/>
              <w:spacing w:line="336" w:lineRule="auto"/>
              <w:ind w:firstLine="48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、非正常工况</w:t>
            </w:r>
          </w:p>
          <w:p w14:paraId="27C1EA3F">
            <w:pPr>
              <w:pStyle w:val="118"/>
              <w:adjustRightInd w:val="0"/>
              <w:spacing w:line="336"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若项目</w:t>
            </w:r>
            <w:r>
              <w:rPr>
                <w:rFonts w:hint="eastAsia" w:ascii="Times New Roman" w:hAnsi="Times New Roman" w:cs="Times New Roman"/>
                <w:color w:val="auto"/>
                <w:sz w:val="24"/>
                <w:highlight w:val="none"/>
                <w:lang w:eastAsia="zh-CN"/>
              </w:rPr>
              <w:t>热风炉</w:t>
            </w:r>
            <w:r>
              <w:rPr>
                <w:rFonts w:hint="default" w:ascii="Times New Roman" w:hAnsi="Times New Roman" w:cs="Times New Roman"/>
                <w:color w:val="auto"/>
                <w:sz w:val="24"/>
                <w:highlight w:val="none"/>
              </w:rPr>
              <w:t>配套的布袋除尘器</w:t>
            </w:r>
            <w:r>
              <w:rPr>
                <w:rFonts w:hint="eastAsia" w:cs="Times New Roman"/>
                <w:color w:val="auto"/>
                <w:sz w:val="24"/>
                <w:highlight w:val="none"/>
                <w:lang w:eastAsia="zh-CN"/>
              </w:rPr>
              <w:t>布袋破损</w:t>
            </w:r>
            <w:r>
              <w:rPr>
                <w:rFonts w:hint="default" w:ascii="Times New Roman" w:hAnsi="Times New Roman" w:cs="Times New Roman"/>
                <w:color w:val="auto"/>
                <w:sz w:val="24"/>
                <w:highlight w:val="none"/>
              </w:rPr>
              <w:t>发生故障，会导致除尘效率下降为</w:t>
            </w:r>
            <w:r>
              <w:rPr>
                <w:rFonts w:hint="eastAsia" w:cs="Times New Roman"/>
                <w:color w:val="auto"/>
                <w:sz w:val="24"/>
                <w:highlight w:val="none"/>
                <w:lang w:val="en-US" w:eastAsia="zh-CN"/>
              </w:rPr>
              <w:t>50%</w:t>
            </w:r>
            <w:r>
              <w:rPr>
                <w:rFonts w:hint="default" w:ascii="Times New Roman" w:hAnsi="Times New Roman" w:cs="Times New Roman"/>
                <w:color w:val="auto"/>
                <w:sz w:val="24"/>
                <w:highlight w:val="none"/>
              </w:rPr>
              <w:t>，则本项目非正常工况下废气产生及排放情况见表4-</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w:t>
            </w:r>
          </w:p>
          <w:p w14:paraId="19CB34C1">
            <w:pPr>
              <w:pStyle w:val="4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表4-</w:t>
            </w:r>
            <w:r>
              <w:rPr>
                <w:rFonts w:hint="eastAsia" w:ascii="Times New Roman" w:hAnsi="Times New Roman" w:cs="Times New Roman"/>
                <w:b/>
                <w:bCs/>
                <w:color w:val="auto"/>
                <w:highlight w:val="none"/>
                <w:lang w:val="en-US" w:eastAsia="zh-CN"/>
              </w:rPr>
              <w:t>5</w:t>
            </w:r>
            <w:r>
              <w:rPr>
                <w:rFonts w:hint="default" w:ascii="Times New Roman" w:hAnsi="Times New Roman" w:eastAsia="宋体" w:cs="Times New Roman"/>
                <w:b/>
                <w:bCs/>
                <w:color w:val="auto"/>
                <w:highlight w:val="none"/>
                <w:lang w:val="en-US" w:eastAsia="zh-CN"/>
              </w:rPr>
              <w:t xml:space="preserve">  非正常工况下废气污染物产生及排放情况</w:t>
            </w:r>
          </w:p>
          <w:tbl>
            <w:tblPr>
              <w:tblStyle w:val="31"/>
              <w:tblW w:w="89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072"/>
              <w:gridCol w:w="1441"/>
              <w:gridCol w:w="1206"/>
              <w:gridCol w:w="1154"/>
              <w:gridCol w:w="1078"/>
              <w:gridCol w:w="1433"/>
            </w:tblGrid>
            <w:tr w14:paraId="28E9E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1613" w:type="dxa"/>
                  <w:tcBorders>
                    <w:tl2br w:val="nil"/>
                    <w:tr2bl w:val="nil"/>
                  </w:tcBorders>
                  <w:noWrap w:val="0"/>
                  <w:vAlign w:val="center"/>
                </w:tcPr>
                <w:p w14:paraId="145268E3">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污染源</w:t>
                  </w:r>
                </w:p>
              </w:tc>
              <w:tc>
                <w:tcPr>
                  <w:tcW w:w="1072" w:type="dxa"/>
                  <w:tcBorders>
                    <w:tl2br w:val="nil"/>
                    <w:tr2bl w:val="nil"/>
                  </w:tcBorders>
                  <w:noWrap w:val="0"/>
                  <w:vAlign w:val="center"/>
                </w:tcPr>
                <w:p w14:paraId="5569C1D1">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污染物</w:t>
                  </w:r>
                </w:p>
              </w:tc>
              <w:tc>
                <w:tcPr>
                  <w:tcW w:w="1441" w:type="dxa"/>
                  <w:tcBorders>
                    <w:tl2br w:val="nil"/>
                    <w:tr2bl w:val="nil"/>
                  </w:tcBorders>
                  <w:noWrap w:val="0"/>
                  <w:vAlign w:val="center"/>
                </w:tcPr>
                <w:p w14:paraId="16BE71E1">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产生速率(kg/h)</w:t>
                  </w:r>
                </w:p>
              </w:tc>
              <w:tc>
                <w:tcPr>
                  <w:tcW w:w="1206" w:type="dxa"/>
                  <w:tcBorders>
                    <w:tl2br w:val="nil"/>
                    <w:tr2bl w:val="nil"/>
                  </w:tcBorders>
                  <w:noWrap w:val="0"/>
                  <w:vAlign w:val="center"/>
                </w:tcPr>
                <w:p w14:paraId="137532F7">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非正常排放原因</w:t>
                  </w:r>
                </w:p>
              </w:tc>
              <w:tc>
                <w:tcPr>
                  <w:tcW w:w="1154" w:type="dxa"/>
                  <w:tcBorders>
                    <w:tl2br w:val="nil"/>
                    <w:tr2bl w:val="nil"/>
                  </w:tcBorders>
                  <w:noWrap w:val="0"/>
                  <w:vAlign w:val="center"/>
                </w:tcPr>
                <w:p w14:paraId="25E7C89C">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排放速率(kg/h)</w:t>
                  </w:r>
                </w:p>
              </w:tc>
              <w:tc>
                <w:tcPr>
                  <w:tcW w:w="1078" w:type="dxa"/>
                  <w:tcBorders>
                    <w:tl2br w:val="nil"/>
                    <w:tr2bl w:val="nil"/>
                  </w:tcBorders>
                  <w:noWrap w:val="0"/>
                  <w:vAlign w:val="center"/>
                </w:tcPr>
                <w:p w14:paraId="55544D16">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单次持续时间(h)</w:t>
                  </w:r>
                </w:p>
              </w:tc>
              <w:tc>
                <w:tcPr>
                  <w:tcW w:w="1433" w:type="dxa"/>
                  <w:tcBorders>
                    <w:tl2br w:val="nil"/>
                    <w:tr2bl w:val="nil"/>
                  </w:tcBorders>
                  <w:noWrap w:val="0"/>
                  <w:vAlign w:val="center"/>
                </w:tcPr>
                <w:p w14:paraId="694B2732">
                  <w:pPr>
                    <w:pStyle w:val="70"/>
                    <w:spacing w:line="0" w:lineRule="atLeast"/>
                    <w:ind w:firstLine="0" w:firstLineChars="0"/>
                    <w:contextualSpacing/>
                    <w:jc w:val="center"/>
                    <w:rPr>
                      <w:rFonts w:hint="default"/>
                      <w:color w:val="auto"/>
                      <w:sz w:val="21"/>
                      <w:szCs w:val="21"/>
                      <w:highlight w:val="none"/>
                      <w:lang w:val="en-US" w:eastAsia="zh-CN"/>
                    </w:rPr>
                  </w:pPr>
                  <w:r>
                    <w:rPr>
                      <w:color w:val="auto"/>
                      <w:sz w:val="21"/>
                      <w:szCs w:val="21"/>
                      <w:highlight w:val="none"/>
                    </w:rPr>
                    <w:t>应对措施</w:t>
                  </w:r>
                </w:p>
              </w:tc>
            </w:tr>
            <w:tr w14:paraId="6AAB0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613" w:type="dxa"/>
                  <w:vMerge w:val="restart"/>
                  <w:tcBorders>
                    <w:tl2br w:val="nil"/>
                    <w:tr2bl w:val="nil"/>
                  </w:tcBorders>
                  <w:noWrap w:val="0"/>
                  <w:vAlign w:val="center"/>
                </w:tcPr>
                <w:p w14:paraId="23561C95">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生物质</w:t>
                  </w:r>
                  <w:r>
                    <w:rPr>
                      <w:rFonts w:hint="eastAsia"/>
                      <w:color w:val="auto"/>
                      <w:sz w:val="21"/>
                      <w:szCs w:val="21"/>
                      <w:highlight w:val="none"/>
                      <w:lang w:val="en-US" w:eastAsia="zh-CN"/>
                    </w:rPr>
                    <w:t>热风炉</w:t>
                  </w:r>
                </w:p>
              </w:tc>
              <w:tc>
                <w:tcPr>
                  <w:tcW w:w="1072" w:type="dxa"/>
                  <w:tcBorders>
                    <w:tl2br w:val="nil"/>
                    <w:tr2bl w:val="nil"/>
                  </w:tcBorders>
                  <w:noWrap w:val="0"/>
                  <w:vAlign w:val="center"/>
                </w:tcPr>
                <w:p w14:paraId="19C02C0A">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olor w:val="auto"/>
                      <w:sz w:val="21"/>
                      <w:szCs w:val="21"/>
                      <w:highlight w:val="none"/>
                      <w:lang w:val="en-US" w:eastAsia="zh-CN"/>
                    </w:rPr>
                  </w:pPr>
                  <w:r>
                    <w:rPr>
                      <w:rFonts w:hint="eastAsia" w:cs="Times New Roman"/>
                      <w:b w:val="0"/>
                      <w:bCs w:val="0"/>
                      <w:i w:val="0"/>
                      <w:iCs w:val="0"/>
                      <w:color w:val="auto"/>
                      <w:spacing w:val="0"/>
                      <w:kern w:val="2"/>
                      <w:sz w:val="21"/>
                      <w:szCs w:val="21"/>
                      <w:highlight w:val="none"/>
                      <w:vertAlign w:val="baseline"/>
                      <w:lang w:val="en-US" w:eastAsia="zh-CN" w:bidi="ar-SA"/>
                    </w:rPr>
                    <w:t>烟尘</w:t>
                  </w:r>
                </w:p>
              </w:tc>
              <w:tc>
                <w:tcPr>
                  <w:tcW w:w="1441" w:type="dxa"/>
                  <w:tcBorders>
                    <w:tl2br w:val="nil"/>
                    <w:tr2bl w:val="nil"/>
                  </w:tcBorders>
                  <w:noWrap w:val="0"/>
                  <w:vAlign w:val="center"/>
                </w:tcPr>
                <w:p w14:paraId="6839EF21">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rPr>
                    <w:t>56</w:t>
                  </w:r>
                </w:p>
              </w:tc>
              <w:tc>
                <w:tcPr>
                  <w:tcW w:w="1206" w:type="dxa"/>
                  <w:vMerge w:val="restart"/>
                  <w:tcBorders>
                    <w:tl2br w:val="nil"/>
                    <w:tr2bl w:val="nil"/>
                  </w:tcBorders>
                  <w:noWrap w:val="0"/>
                  <w:vAlign w:val="center"/>
                </w:tcPr>
                <w:p w14:paraId="5EFBFC2E">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布袋除尘器故障</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除尘效率</w:t>
                  </w:r>
                  <w:r>
                    <w:rPr>
                      <w:rFonts w:hint="eastAsia" w:cs="Times New Roman"/>
                      <w:color w:val="auto"/>
                      <w:sz w:val="21"/>
                      <w:szCs w:val="21"/>
                      <w:highlight w:val="none"/>
                      <w:lang w:val="en-US" w:eastAsia="zh-CN"/>
                    </w:rPr>
                    <w:t>50</w:t>
                  </w:r>
                  <w:r>
                    <w:rPr>
                      <w:rFonts w:hint="eastAsia" w:ascii="Times New Roman" w:hAnsi="Times New Roman" w:cs="Times New Roman"/>
                      <w:color w:val="auto"/>
                      <w:sz w:val="21"/>
                      <w:szCs w:val="21"/>
                      <w:highlight w:val="none"/>
                      <w:lang w:val="en-US" w:eastAsia="zh-CN"/>
                    </w:rPr>
                    <w:t>%）</w:t>
                  </w:r>
                </w:p>
              </w:tc>
              <w:tc>
                <w:tcPr>
                  <w:tcW w:w="1154" w:type="dxa"/>
                  <w:tcBorders>
                    <w:tl2br w:val="nil"/>
                    <w:tr2bl w:val="nil"/>
                  </w:tcBorders>
                  <w:noWrap w:val="0"/>
                  <w:vAlign w:val="center"/>
                </w:tcPr>
                <w:p w14:paraId="4CC6B31C">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rPr>
                    <w:t>28</w:t>
                  </w:r>
                </w:p>
              </w:tc>
              <w:tc>
                <w:tcPr>
                  <w:tcW w:w="1078" w:type="dxa"/>
                  <w:vMerge w:val="restart"/>
                  <w:tcBorders>
                    <w:tl2br w:val="nil"/>
                    <w:tr2bl w:val="nil"/>
                  </w:tcBorders>
                  <w:noWrap w:val="0"/>
                  <w:vAlign w:val="center"/>
                </w:tcPr>
                <w:p w14:paraId="42958201">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1</w:t>
                  </w:r>
                </w:p>
              </w:tc>
              <w:tc>
                <w:tcPr>
                  <w:tcW w:w="1433" w:type="dxa"/>
                  <w:vMerge w:val="restart"/>
                  <w:tcBorders>
                    <w:tl2br w:val="nil"/>
                    <w:tr2bl w:val="nil"/>
                  </w:tcBorders>
                  <w:noWrap w:val="0"/>
                  <w:vAlign w:val="center"/>
                </w:tcPr>
                <w:p w14:paraId="47EB54DD">
                  <w:pPr>
                    <w:pStyle w:val="70"/>
                    <w:spacing w:line="0" w:lineRule="atLeast"/>
                    <w:ind w:firstLine="0" w:firstLineChars="0"/>
                    <w:contextualSpacing/>
                    <w:jc w:val="center"/>
                    <w:rPr>
                      <w:rFonts w:hint="default"/>
                      <w:color w:val="auto"/>
                      <w:sz w:val="21"/>
                      <w:szCs w:val="21"/>
                      <w:highlight w:val="none"/>
                      <w:lang w:val="en-US" w:eastAsia="zh-CN"/>
                    </w:rPr>
                  </w:pPr>
                  <w:r>
                    <w:rPr>
                      <w:color w:val="auto"/>
                      <w:sz w:val="21"/>
                      <w:szCs w:val="21"/>
                      <w:highlight w:val="none"/>
                    </w:rPr>
                    <w:t>加强日常检修</w:t>
                  </w:r>
                </w:p>
              </w:tc>
            </w:tr>
            <w:tr w14:paraId="279D5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613" w:type="dxa"/>
                  <w:vMerge w:val="continue"/>
                  <w:tcBorders>
                    <w:tl2br w:val="nil"/>
                    <w:tr2bl w:val="nil"/>
                  </w:tcBorders>
                  <w:noWrap w:val="0"/>
                  <w:vAlign w:val="center"/>
                </w:tcPr>
                <w:p w14:paraId="298478B9">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p>
              </w:tc>
              <w:tc>
                <w:tcPr>
                  <w:tcW w:w="1072" w:type="dxa"/>
                  <w:tcBorders>
                    <w:tl2br w:val="nil"/>
                    <w:tr2bl w:val="nil"/>
                  </w:tcBorders>
                  <w:noWrap w:val="0"/>
                  <w:vAlign w:val="center"/>
                </w:tcPr>
                <w:p w14:paraId="21FD56E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olor w:val="auto"/>
                      <w:sz w:val="21"/>
                      <w:szCs w:val="21"/>
                      <w:highlight w:val="none"/>
                      <w:lang w:val="en-US" w:eastAsia="zh-CN"/>
                    </w:rPr>
                  </w:pPr>
                  <w:r>
                    <w:rPr>
                      <w:rFonts w:hint="eastAsia" w:ascii="Times New Roman" w:hAnsi="Times New Roman" w:eastAsia="宋体" w:cs="Times New Roman"/>
                      <w:b w:val="0"/>
                      <w:bCs w:val="0"/>
                      <w:i w:val="0"/>
                      <w:iCs w:val="0"/>
                      <w:color w:val="auto"/>
                      <w:spacing w:val="0"/>
                      <w:kern w:val="2"/>
                      <w:sz w:val="21"/>
                      <w:szCs w:val="21"/>
                      <w:highlight w:val="none"/>
                      <w:vertAlign w:val="baseline"/>
                      <w:lang w:val="en-US" w:eastAsia="zh-CN" w:bidi="ar-SA"/>
                    </w:rPr>
                    <w:t>二氧化硫</w:t>
                  </w:r>
                </w:p>
              </w:tc>
              <w:tc>
                <w:tcPr>
                  <w:tcW w:w="1441" w:type="dxa"/>
                  <w:tcBorders>
                    <w:tl2br w:val="nil"/>
                    <w:tr2bl w:val="nil"/>
                  </w:tcBorders>
                  <w:noWrap w:val="0"/>
                  <w:vAlign w:val="center"/>
                </w:tcPr>
                <w:p w14:paraId="0573ADBE">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0.21</w:t>
                  </w:r>
                </w:p>
              </w:tc>
              <w:tc>
                <w:tcPr>
                  <w:tcW w:w="1206" w:type="dxa"/>
                  <w:vMerge w:val="continue"/>
                  <w:tcBorders>
                    <w:tl2br w:val="nil"/>
                    <w:tr2bl w:val="nil"/>
                  </w:tcBorders>
                  <w:noWrap w:val="0"/>
                  <w:vAlign w:val="center"/>
                </w:tcPr>
                <w:p w14:paraId="6EEB2540">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highlight w:val="none"/>
                      <w:lang w:val="en-US" w:eastAsia="zh-CN"/>
                    </w:rPr>
                  </w:pPr>
                </w:p>
              </w:tc>
              <w:tc>
                <w:tcPr>
                  <w:tcW w:w="1154" w:type="dxa"/>
                  <w:tcBorders>
                    <w:tl2br w:val="nil"/>
                    <w:tr2bl w:val="nil"/>
                  </w:tcBorders>
                  <w:noWrap w:val="0"/>
                  <w:vAlign w:val="center"/>
                </w:tcPr>
                <w:p w14:paraId="73A68C4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0.21</w:t>
                  </w:r>
                </w:p>
              </w:tc>
              <w:tc>
                <w:tcPr>
                  <w:tcW w:w="1078" w:type="dxa"/>
                  <w:vMerge w:val="continue"/>
                  <w:tcBorders>
                    <w:tl2br w:val="nil"/>
                    <w:tr2bl w:val="nil"/>
                  </w:tcBorders>
                  <w:noWrap w:val="0"/>
                  <w:vAlign w:val="center"/>
                </w:tcPr>
                <w:p w14:paraId="39FC9FF3">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rPr>
                  </w:pPr>
                </w:p>
              </w:tc>
              <w:tc>
                <w:tcPr>
                  <w:tcW w:w="1433" w:type="dxa"/>
                  <w:vMerge w:val="continue"/>
                  <w:tcBorders>
                    <w:tl2br w:val="nil"/>
                    <w:tr2bl w:val="nil"/>
                  </w:tcBorders>
                  <w:noWrap w:val="0"/>
                  <w:vAlign w:val="center"/>
                </w:tcPr>
                <w:p w14:paraId="148BE3A5">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rPr>
                  </w:pPr>
                </w:p>
              </w:tc>
            </w:tr>
            <w:tr w14:paraId="278DA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613" w:type="dxa"/>
                  <w:vMerge w:val="continue"/>
                  <w:tcBorders>
                    <w:tl2br w:val="nil"/>
                    <w:tr2bl w:val="nil"/>
                  </w:tcBorders>
                  <w:noWrap w:val="0"/>
                  <w:vAlign w:val="center"/>
                </w:tcPr>
                <w:p w14:paraId="2614DC8D">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lang w:val="en-US" w:eastAsia="zh-CN"/>
                    </w:rPr>
                  </w:pPr>
                </w:p>
              </w:tc>
              <w:tc>
                <w:tcPr>
                  <w:tcW w:w="1072" w:type="dxa"/>
                  <w:tcBorders>
                    <w:tl2br w:val="nil"/>
                    <w:tr2bl w:val="nil"/>
                  </w:tcBorders>
                  <w:noWrap w:val="0"/>
                  <w:vAlign w:val="center"/>
                </w:tcPr>
                <w:p w14:paraId="2E56A82F">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color w:val="auto"/>
                      <w:sz w:val="21"/>
                      <w:szCs w:val="21"/>
                      <w:highlight w:val="none"/>
                      <w:lang w:val="en-US" w:eastAsia="zh-CN"/>
                    </w:rPr>
                  </w:pPr>
                  <w:r>
                    <w:rPr>
                      <w:rFonts w:hint="eastAsia" w:ascii="Times New Roman" w:hAnsi="Times New Roman" w:eastAsia="宋体" w:cs="Times New Roman"/>
                      <w:b w:val="0"/>
                      <w:bCs w:val="0"/>
                      <w:i w:val="0"/>
                      <w:iCs w:val="0"/>
                      <w:color w:val="auto"/>
                      <w:spacing w:val="0"/>
                      <w:kern w:val="2"/>
                      <w:sz w:val="21"/>
                      <w:szCs w:val="21"/>
                      <w:highlight w:val="none"/>
                      <w:vertAlign w:val="baseline"/>
                      <w:lang w:val="en-US" w:eastAsia="zh-CN" w:bidi="ar-SA"/>
                    </w:rPr>
                    <w:t>氮氧化物</w:t>
                  </w:r>
                </w:p>
              </w:tc>
              <w:tc>
                <w:tcPr>
                  <w:tcW w:w="1441" w:type="dxa"/>
                  <w:tcBorders>
                    <w:tl2br w:val="nil"/>
                    <w:tr2bl w:val="nil"/>
                  </w:tcBorders>
                  <w:noWrap w:val="0"/>
                  <w:vAlign w:val="center"/>
                </w:tcPr>
                <w:p w14:paraId="36978D6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1.5</w:t>
                  </w:r>
                </w:p>
              </w:tc>
              <w:tc>
                <w:tcPr>
                  <w:tcW w:w="1206" w:type="dxa"/>
                  <w:vMerge w:val="continue"/>
                  <w:tcBorders>
                    <w:tl2br w:val="nil"/>
                    <w:tr2bl w:val="nil"/>
                  </w:tcBorders>
                  <w:noWrap w:val="0"/>
                  <w:vAlign w:val="center"/>
                </w:tcPr>
                <w:p w14:paraId="37082142">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highlight w:val="none"/>
                      <w:lang w:val="en-US" w:eastAsia="zh-CN"/>
                    </w:rPr>
                  </w:pPr>
                </w:p>
              </w:tc>
              <w:tc>
                <w:tcPr>
                  <w:tcW w:w="1154" w:type="dxa"/>
                  <w:tcBorders>
                    <w:tl2br w:val="nil"/>
                    <w:tr2bl w:val="nil"/>
                  </w:tcBorders>
                  <w:noWrap w:val="0"/>
                  <w:vAlign w:val="center"/>
                </w:tcPr>
                <w:p w14:paraId="08A31C73">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rPr>
                      <w:rFonts w:hint="default" w:ascii="Times New Roman" w:hAnsi="Times New Roman" w:eastAsia="宋体" w:cs="Times New Roman"/>
                      <w:b w:val="0"/>
                      <w:bCs w:val="0"/>
                      <w:i w:val="0"/>
                      <w:iCs w:val="0"/>
                      <w:color w:val="auto"/>
                      <w:spacing w:val="0"/>
                      <w:kern w:val="0"/>
                      <w:sz w:val="21"/>
                      <w:szCs w:val="21"/>
                      <w:highlight w:val="none"/>
                      <w:lang w:val="en-US" w:eastAsia="zh-CN"/>
                    </w:rPr>
                  </w:pPr>
                  <w:r>
                    <w:rPr>
                      <w:rFonts w:hint="eastAsia" w:cs="Times New Roman"/>
                      <w:b w:val="0"/>
                      <w:bCs w:val="0"/>
                      <w:i w:val="0"/>
                      <w:iCs w:val="0"/>
                      <w:color w:val="auto"/>
                      <w:spacing w:val="0"/>
                      <w:kern w:val="0"/>
                      <w:sz w:val="21"/>
                      <w:szCs w:val="21"/>
                      <w:highlight w:val="none"/>
                      <w:lang w:val="en-US" w:eastAsia="zh-CN" w:bidi="ar-SA"/>
                    </w:rPr>
                    <w:t>1.5</w:t>
                  </w:r>
                </w:p>
              </w:tc>
              <w:tc>
                <w:tcPr>
                  <w:tcW w:w="1078" w:type="dxa"/>
                  <w:vMerge w:val="continue"/>
                  <w:tcBorders>
                    <w:tl2br w:val="nil"/>
                    <w:tr2bl w:val="nil"/>
                  </w:tcBorders>
                  <w:noWrap w:val="0"/>
                  <w:vAlign w:val="center"/>
                </w:tcPr>
                <w:p w14:paraId="2D986946">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rPr>
                  </w:pPr>
                </w:p>
              </w:tc>
              <w:tc>
                <w:tcPr>
                  <w:tcW w:w="1433" w:type="dxa"/>
                  <w:vMerge w:val="continue"/>
                  <w:tcBorders>
                    <w:tl2br w:val="nil"/>
                    <w:tr2bl w:val="nil"/>
                  </w:tcBorders>
                  <w:noWrap w:val="0"/>
                  <w:vAlign w:val="center"/>
                </w:tcPr>
                <w:p w14:paraId="15B9F109">
                  <w:pPr>
                    <w:pStyle w:val="12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color w:val="auto"/>
                      <w:sz w:val="21"/>
                      <w:szCs w:val="21"/>
                      <w:highlight w:val="none"/>
                    </w:rPr>
                  </w:pPr>
                </w:p>
              </w:tc>
            </w:tr>
          </w:tbl>
          <w:p w14:paraId="499F06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hint="eastAsia"/>
                <w:bCs/>
                <w:color w:val="auto"/>
                <w:sz w:val="24"/>
                <w:highlight w:val="none"/>
                <w:lang w:val="en-US" w:eastAsia="zh-CN"/>
              </w:rPr>
              <w:t>6</w:t>
            </w:r>
            <w:r>
              <w:rPr>
                <w:rFonts w:hint="eastAsia"/>
                <w:bCs/>
                <w:color w:val="auto"/>
                <w:sz w:val="24"/>
                <w:highlight w:val="none"/>
              </w:rPr>
              <w:t>、废气排放口基本情况</w:t>
            </w:r>
          </w:p>
          <w:p w14:paraId="7F89F980">
            <w:pPr>
              <w:pStyle w:val="132"/>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b/>
                <w:bCs/>
                <w:color w:val="auto"/>
                <w:kern w:val="0"/>
                <w:sz w:val="24"/>
                <w:highlight w:val="none"/>
              </w:rPr>
            </w:pPr>
            <w:r>
              <w:rPr>
                <w:rFonts w:cs="Times New Roman"/>
                <w:color w:val="auto"/>
                <w:sz w:val="24"/>
              </w:rPr>
              <w:t>现有工程有</w:t>
            </w:r>
            <w:r>
              <w:rPr>
                <w:rFonts w:hint="eastAsia" w:cs="Times New Roman"/>
                <w:color w:val="auto"/>
                <w:sz w:val="24"/>
                <w:lang w:val="en-US" w:eastAsia="zh-CN"/>
              </w:rPr>
              <w:t>2</w:t>
            </w:r>
            <w:r>
              <w:rPr>
                <w:rFonts w:cs="Times New Roman"/>
                <w:color w:val="auto"/>
                <w:sz w:val="24"/>
              </w:rPr>
              <w:t>个排放口，分别为DA001、DA002</w:t>
            </w:r>
            <w:r>
              <w:rPr>
                <w:rFonts w:hint="eastAsia" w:cs="Times New Roman"/>
                <w:color w:val="auto"/>
                <w:sz w:val="24"/>
                <w:lang w:eastAsia="zh-CN"/>
              </w:rPr>
              <w:t>，</w:t>
            </w:r>
            <w:r>
              <w:rPr>
                <w:rFonts w:cs="Times New Roman"/>
                <w:color w:val="auto"/>
                <w:sz w:val="24"/>
              </w:rPr>
              <w:t>本次扩建项目新增</w:t>
            </w:r>
            <w:r>
              <w:rPr>
                <w:rFonts w:hint="eastAsia" w:cs="Times New Roman"/>
                <w:color w:val="auto"/>
                <w:sz w:val="24"/>
                <w:lang w:val="en-US" w:eastAsia="zh-CN"/>
              </w:rPr>
              <w:t>1</w:t>
            </w:r>
            <w:r>
              <w:rPr>
                <w:rFonts w:cs="Times New Roman"/>
                <w:color w:val="auto"/>
                <w:sz w:val="24"/>
              </w:rPr>
              <w:t>个排放口，为DA00</w:t>
            </w:r>
            <w:r>
              <w:rPr>
                <w:rFonts w:hint="eastAsia" w:cs="Times New Roman"/>
                <w:color w:val="auto"/>
                <w:sz w:val="24"/>
                <w:lang w:val="en-US" w:eastAsia="zh-CN"/>
              </w:rPr>
              <w:t>3</w:t>
            </w:r>
            <w:r>
              <w:rPr>
                <w:rFonts w:cs="Times New Roman"/>
                <w:color w:val="auto"/>
                <w:sz w:val="24"/>
              </w:rPr>
              <w:t>，</w:t>
            </w:r>
            <w:r>
              <w:rPr>
                <w:bCs/>
                <w:color w:val="auto"/>
                <w:sz w:val="24"/>
                <w:highlight w:val="none"/>
              </w:rPr>
              <w:t>本项目</w:t>
            </w:r>
            <w:r>
              <w:rPr>
                <w:rFonts w:hint="eastAsia"/>
                <w:bCs/>
                <w:color w:val="auto"/>
                <w:sz w:val="24"/>
                <w:highlight w:val="none"/>
              </w:rPr>
              <w:t>废气排放口基本情况见表4-</w:t>
            </w:r>
            <w:r>
              <w:rPr>
                <w:rFonts w:hint="eastAsia"/>
                <w:bCs/>
                <w:color w:val="auto"/>
                <w:sz w:val="24"/>
                <w:highlight w:val="none"/>
                <w:lang w:val="en-US" w:eastAsia="zh-CN"/>
              </w:rPr>
              <w:t>6</w:t>
            </w:r>
            <w:r>
              <w:rPr>
                <w:rFonts w:hint="eastAsia"/>
                <w:bCs/>
                <w:color w:val="auto"/>
                <w:sz w:val="24"/>
                <w:highlight w:val="none"/>
              </w:rPr>
              <w:t>。</w:t>
            </w:r>
          </w:p>
          <w:p w14:paraId="0DC48BB5">
            <w:pPr>
              <w:pStyle w:val="94"/>
              <w:ind w:firstLine="0" w:firstLineChars="0"/>
              <w:jc w:val="center"/>
              <w:rPr>
                <w:b/>
                <w:bCs/>
                <w:color w:val="auto"/>
                <w:kern w:val="0"/>
                <w:sz w:val="24"/>
                <w:highlight w:val="none"/>
              </w:rPr>
            </w:pPr>
            <w:r>
              <w:rPr>
                <w:rFonts w:hint="eastAsia"/>
                <w:b/>
                <w:bCs/>
                <w:color w:val="auto"/>
                <w:kern w:val="0"/>
                <w:sz w:val="24"/>
                <w:highlight w:val="none"/>
              </w:rPr>
              <w:t>表4-</w:t>
            </w:r>
            <w:r>
              <w:rPr>
                <w:rFonts w:hint="eastAsia"/>
                <w:b/>
                <w:bCs/>
                <w:color w:val="auto"/>
                <w:kern w:val="0"/>
                <w:sz w:val="24"/>
                <w:highlight w:val="none"/>
                <w:lang w:val="en-US" w:eastAsia="zh-CN"/>
              </w:rPr>
              <w:t xml:space="preserve">6 </w:t>
            </w:r>
            <w:r>
              <w:rPr>
                <w:rFonts w:hint="eastAsia"/>
                <w:b/>
                <w:bCs/>
                <w:color w:val="auto"/>
                <w:kern w:val="0"/>
                <w:sz w:val="24"/>
                <w:highlight w:val="none"/>
              </w:rPr>
              <w:t>大气排口基本情况表</w:t>
            </w:r>
          </w:p>
          <w:tbl>
            <w:tblPr>
              <w:tblStyle w:val="31"/>
              <w:tblW w:w="484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94"/>
              <w:gridCol w:w="725"/>
              <w:gridCol w:w="850"/>
              <w:gridCol w:w="1026"/>
              <w:gridCol w:w="1411"/>
              <w:gridCol w:w="1341"/>
              <w:gridCol w:w="888"/>
              <w:gridCol w:w="948"/>
              <w:gridCol w:w="887"/>
            </w:tblGrid>
            <w:tr w14:paraId="50464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88" w:type="pct"/>
                  <w:vMerge w:val="restart"/>
                  <w:tcBorders>
                    <w:tl2br w:val="nil"/>
                    <w:tr2bl w:val="nil"/>
                  </w:tcBorders>
                  <w:noWrap/>
                  <w:vAlign w:val="center"/>
                </w:tcPr>
                <w:p w14:paraId="0B4F12D2">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422" w:type="pct"/>
                  <w:vMerge w:val="restart"/>
                  <w:tcBorders>
                    <w:tl2br w:val="nil"/>
                    <w:tr2bl w:val="nil"/>
                  </w:tcBorders>
                  <w:noWrap/>
                  <w:vAlign w:val="center"/>
                </w:tcPr>
                <w:p w14:paraId="53786D05">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w:t>
                  </w:r>
                </w:p>
              </w:tc>
              <w:tc>
                <w:tcPr>
                  <w:tcW w:w="495" w:type="pct"/>
                  <w:vMerge w:val="restart"/>
                  <w:tcBorders>
                    <w:tl2br w:val="nil"/>
                    <w:tr2bl w:val="nil"/>
                  </w:tcBorders>
                  <w:noWrap/>
                  <w:vAlign w:val="center"/>
                </w:tcPr>
                <w:p w14:paraId="1DE8FC70">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排放口名称</w:t>
                  </w:r>
                </w:p>
              </w:tc>
              <w:tc>
                <w:tcPr>
                  <w:tcW w:w="598" w:type="pct"/>
                  <w:vMerge w:val="restart"/>
                  <w:tcBorders>
                    <w:tl2br w:val="nil"/>
                    <w:tr2bl w:val="nil"/>
                  </w:tcBorders>
                  <w:noWrap/>
                  <w:vAlign w:val="center"/>
                </w:tcPr>
                <w:p w14:paraId="4CE2BEBB">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污染物种类</w:t>
                  </w:r>
                </w:p>
              </w:tc>
              <w:tc>
                <w:tcPr>
                  <w:tcW w:w="1605" w:type="pct"/>
                  <w:gridSpan w:val="2"/>
                  <w:tcBorders>
                    <w:tl2br w:val="nil"/>
                    <w:tr2bl w:val="nil"/>
                  </w:tcBorders>
                  <w:noWrap/>
                  <w:vAlign w:val="center"/>
                </w:tcPr>
                <w:p w14:paraId="3FCD2D94">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排放口地理坐标</w:t>
                  </w:r>
                </w:p>
              </w:tc>
              <w:tc>
                <w:tcPr>
                  <w:tcW w:w="518" w:type="pct"/>
                  <w:vMerge w:val="restart"/>
                  <w:tcBorders>
                    <w:tl2br w:val="nil"/>
                    <w:tr2bl w:val="nil"/>
                  </w:tcBorders>
                  <w:noWrap/>
                  <w:vAlign w:val="center"/>
                </w:tcPr>
                <w:p w14:paraId="3582768B">
                  <w:pPr>
                    <w:pStyle w:val="97"/>
                    <w:spacing w:line="360" w:lineRule="exact"/>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烟囱</w:t>
                  </w:r>
                  <w:r>
                    <w:rPr>
                      <w:rFonts w:hint="default" w:ascii="Times New Roman" w:hAnsi="Times New Roman" w:eastAsia="宋体" w:cs="Times New Roman"/>
                      <w:color w:val="auto"/>
                      <w:sz w:val="21"/>
                      <w:szCs w:val="21"/>
                      <w:highlight w:val="none"/>
                    </w:rPr>
                    <w:t>高度</w:t>
                  </w:r>
                </w:p>
                <w:p w14:paraId="5EE87556">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553" w:type="pct"/>
                  <w:vMerge w:val="restart"/>
                  <w:tcBorders>
                    <w:tl2br w:val="nil"/>
                    <w:tr2bl w:val="nil"/>
                  </w:tcBorders>
                  <w:noWrap/>
                  <w:vAlign w:val="center"/>
                </w:tcPr>
                <w:p w14:paraId="1AF4CA56">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烟囱</w:t>
                  </w:r>
                  <w:r>
                    <w:rPr>
                      <w:rFonts w:hint="default" w:ascii="Times New Roman" w:hAnsi="Times New Roman" w:eastAsia="宋体" w:cs="Times New Roman"/>
                      <w:color w:val="auto"/>
                      <w:sz w:val="21"/>
                      <w:szCs w:val="21"/>
                      <w:highlight w:val="none"/>
                      <w:lang w:eastAsia="zh-CN"/>
                    </w:rPr>
                    <w:t>出口内径（m）</w:t>
                  </w:r>
                </w:p>
              </w:tc>
              <w:tc>
                <w:tcPr>
                  <w:tcW w:w="517" w:type="pct"/>
                  <w:vMerge w:val="restart"/>
                  <w:tcBorders>
                    <w:tl2br w:val="nil"/>
                    <w:tr2bl w:val="nil"/>
                  </w:tcBorders>
                  <w:noWrap/>
                  <w:vAlign w:val="center"/>
                </w:tcPr>
                <w:p w14:paraId="35B4CF80">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排气温度</w:t>
                  </w:r>
                </w:p>
                <w:p w14:paraId="0DD19BE2">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14:paraId="46C95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88" w:type="pct"/>
                  <w:vMerge w:val="continue"/>
                  <w:tcBorders>
                    <w:tl2br w:val="nil"/>
                    <w:tr2bl w:val="nil"/>
                  </w:tcBorders>
                  <w:noWrap/>
                  <w:vAlign w:val="center"/>
                </w:tcPr>
                <w:p w14:paraId="00F412DB">
                  <w:pPr>
                    <w:spacing w:line="360" w:lineRule="exact"/>
                    <w:jc w:val="center"/>
                    <w:rPr>
                      <w:rFonts w:hint="default" w:ascii="Times New Roman" w:hAnsi="Times New Roman" w:eastAsia="宋体" w:cs="Times New Roman"/>
                      <w:color w:val="auto"/>
                      <w:sz w:val="21"/>
                      <w:szCs w:val="21"/>
                      <w:highlight w:val="none"/>
                    </w:rPr>
                  </w:pPr>
                </w:p>
              </w:tc>
              <w:tc>
                <w:tcPr>
                  <w:tcW w:w="422" w:type="pct"/>
                  <w:vMerge w:val="continue"/>
                  <w:tcBorders>
                    <w:tl2br w:val="nil"/>
                    <w:tr2bl w:val="nil"/>
                  </w:tcBorders>
                  <w:noWrap/>
                  <w:vAlign w:val="center"/>
                </w:tcPr>
                <w:p w14:paraId="65124E24">
                  <w:pPr>
                    <w:spacing w:line="360" w:lineRule="exact"/>
                    <w:jc w:val="center"/>
                    <w:rPr>
                      <w:rFonts w:hint="default" w:ascii="Times New Roman" w:hAnsi="Times New Roman" w:eastAsia="宋体" w:cs="Times New Roman"/>
                      <w:color w:val="auto"/>
                      <w:sz w:val="21"/>
                      <w:szCs w:val="21"/>
                      <w:highlight w:val="none"/>
                    </w:rPr>
                  </w:pPr>
                </w:p>
              </w:tc>
              <w:tc>
                <w:tcPr>
                  <w:tcW w:w="495" w:type="pct"/>
                  <w:vMerge w:val="continue"/>
                  <w:tcBorders>
                    <w:tl2br w:val="nil"/>
                    <w:tr2bl w:val="nil"/>
                  </w:tcBorders>
                  <w:noWrap/>
                  <w:vAlign w:val="center"/>
                </w:tcPr>
                <w:p w14:paraId="3344231E">
                  <w:pPr>
                    <w:spacing w:line="360" w:lineRule="exact"/>
                    <w:jc w:val="center"/>
                    <w:rPr>
                      <w:rFonts w:hint="default" w:ascii="Times New Roman" w:hAnsi="Times New Roman" w:eastAsia="宋体" w:cs="Times New Roman"/>
                      <w:color w:val="auto"/>
                      <w:sz w:val="21"/>
                      <w:szCs w:val="21"/>
                      <w:highlight w:val="none"/>
                    </w:rPr>
                  </w:pPr>
                </w:p>
              </w:tc>
              <w:tc>
                <w:tcPr>
                  <w:tcW w:w="598" w:type="pct"/>
                  <w:vMerge w:val="continue"/>
                  <w:tcBorders>
                    <w:tl2br w:val="nil"/>
                    <w:tr2bl w:val="nil"/>
                  </w:tcBorders>
                  <w:noWrap/>
                  <w:vAlign w:val="center"/>
                </w:tcPr>
                <w:p w14:paraId="52B6F31B">
                  <w:pPr>
                    <w:spacing w:line="360" w:lineRule="exact"/>
                    <w:jc w:val="center"/>
                    <w:rPr>
                      <w:rFonts w:hint="default" w:ascii="Times New Roman" w:hAnsi="Times New Roman" w:eastAsia="宋体" w:cs="Times New Roman"/>
                      <w:color w:val="auto"/>
                      <w:sz w:val="21"/>
                      <w:szCs w:val="21"/>
                      <w:highlight w:val="none"/>
                    </w:rPr>
                  </w:pPr>
                </w:p>
              </w:tc>
              <w:tc>
                <w:tcPr>
                  <w:tcW w:w="823" w:type="pct"/>
                  <w:tcBorders>
                    <w:tl2br w:val="nil"/>
                    <w:tr2bl w:val="nil"/>
                  </w:tcBorders>
                  <w:noWrap/>
                  <w:vAlign w:val="center"/>
                </w:tcPr>
                <w:p w14:paraId="12C951EB">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经度</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w:t>
                  </w:r>
                </w:p>
              </w:tc>
              <w:tc>
                <w:tcPr>
                  <w:tcW w:w="782" w:type="pct"/>
                  <w:tcBorders>
                    <w:tl2br w:val="nil"/>
                    <w:tr2bl w:val="nil"/>
                  </w:tcBorders>
                  <w:noWrap/>
                  <w:vAlign w:val="center"/>
                </w:tcPr>
                <w:p w14:paraId="2FE8C45F">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纬度</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cs="Times New Roman"/>
                      <w:color w:val="auto"/>
                      <w:sz w:val="21"/>
                      <w:szCs w:val="21"/>
                      <w:highlight w:val="none"/>
                      <w:lang w:eastAsia="zh-CN"/>
                    </w:rPr>
                    <w:t>）</w:t>
                  </w:r>
                </w:p>
              </w:tc>
              <w:tc>
                <w:tcPr>
                  <w:tcW w:w="518" w:type="pct"/>
                  <w:vMerge w:val="continue"/>
                  <w:tcBorders>
                    <w:tl2br w:val="nil"/>
                    <w:tr2bl w:val="nil"/>
                  </w:tcBorders>
                  <w:noWrap/>
                  <w:vAlign w:val="center"/>
                </w:tcPr>
                <w:p w14:paraId="14B7A5BF">
                  <w:pPr>
                    <w:spacing w:line="360" w:lineRule="exact"/>
                    <w:jc w:val="center"/>
                    <w:rPr>
                      <w:rFonts w:hint="default" w:ascii="Times New Roman" w:hAnsi="Times New Roman" w:eastAsia="宋体" w:cs="Times New Roman"/>
                      <w:color w:val="auto"/>
                      <w:sz w:val="21"/>
                      <w:szCs w:val="21"/>
                      <w:highlight w:val="none"/>
                    </w:rPr>
                  </w:pPr>
                </w:p>
              </w:tc>
              <w:tc>
                <w:tcPr>
                  <w:tcW w:w="553" w:type="pct"/>
                  <w:vMerge w:val="continue"/>
                  <w:tcBorders>
                    <w:tl2br w:val="nil"/>
                    <w:tr2bl w:val="nil"/>
                  </w:tcBorders>
                  <w:noWrap/>
                  <w:vAlign w:val="center"/>
                </w:tcPr>
                <w:p w14:paraId="06C9777D">
                  <w:pPr>
                    <w:spacing w:line="360" w:lineRule="exact"/>
                    <w:jc w:val="center"/>
                    <w:rPr>
                      <w:rFonts w:hint="default" w:ascii="Times New Roman" w:hAnsi="Times New Roman" w:eastAsia="宋体" w:cs="Times New Roman"/>
                      <w:color w:val="auto"/>
                      <w:sz w:val="21"/>
                      <w:szCs w:val="21"/>
                      <w:highlight w:val="none"/>
                    </w:rPr>
                  </w:pPr>
                </w:p>
              </w:tc>
              <w:tc>
                <w:tcPr>
                  <w:tcW w:w="517" w:type="pct"/>
                  <w:vMerge w:val="continue"/>
                  <w:tcBorders>
                    <w:tl2br w:val="nil"/>
                    <w:tr2bl w:val="nil"/>
                  </w:tcBorders>
                  <w:noWrap/>
                  <w:vAlign w:val="center"/>
                </w:tcPr>
                <w:p w14:paraId="47CD5F23">
                  <w:pPr>
                    <w:spacing w:line="360" w:lineRule="exact"/>
                    <w:jc w:val="center"/>
                    <w:rPr>
                      <w:rFonts w:hint="default" w:ascii="Times New Roman" w:hAnsi="Times New Roman" w:eastAsia="宋体" w:cs="Times New Roman"/>
                      <w:color w:val="auto"/>
                      <w:sz w:val="21"/>
                      <w:szCs w:val="21"/>
                      <w:highlight w:val="none"/>
                    </w:rPr>
                  </w:pPr>
                </w:p>
              </w:tc>
            </w:tr>
            <w:tr w14:paraId="768F6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88" w:type="pct"/>
                  <w:tcBorders>
                    <w:tl2br w:val="nil"/>
                    <w:tr2bl w:val="nil"/>
                  </w:tcBorders>
                  <w:noWrap/>
                  <w:vAlign w:val="center"/>
                </w:tcPr>
                <w:p w14:paraId="6E01592C">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w:t>
                  </w:r>
                </w:p>
              </w:tc>
              <w:tc>
                <w:tcPr>
                  <w:tcW w:w="422" w:type="pct"/>
                  <w:tcBorders>
                    <w:tl2br w:val="nil"/>
                    <w:tr2bl w:val="nil"/>
                  </w:tcBorders>
                  <w:noWrap/>
                  <w:vAlign w:val="center"/>
                </w:tcPr>
                <w:p w14:paraId="76A58D0D">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cs="Times New Roman"/>
                      <w:color w:val="auto"/>
                      <w:sz w:val="21"/>
                      <w:szCs w:val="21"/>
                      <w:highlight w:val="none"/>
                      <w:lang w:val="en-US" w:eastAsia="zh-CN"/>
                    </w:rPr>
                    <w:t>1</w:t>
                  </w:r>
                </w:p>
              </w:tc>
              <w:tc>
                <w:tcPr>
                  <w:tcW w:w="495" w:type="pct"/>
                  <w:tcBorders>
                    <w:tl2br w:val="nil"/>
                    <w:tr2bl w:val="nil"/>
                  </w:tcBorders>
                  <w:noWrap/>
                  <w:vAlign w:val="center"/>
                </w:tcPr>
                <w:p w14:paraId="0D358152">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热风炉烟囱</w:t>
                  </w:r>
                </w:p>
              </w:tc>
              <w:tc>
                <w:tcPr>
                  <w:tcW w:w="598" w:type="pct"/>
                  <w:tcBorders>
                    <w:tl2br w:val="nil"/>
                    <w:tr2bl w:val="nil"/>
                  </w:tcBorders>
                  <w:noWrap/>
                  <w:vAlign w:val="center"/>
                </w:tcPr>
                <w:p w14:paraId="2A79CB8D">
                  <w:pPr>
                    <w:pStyle w:val="97"/>
                    <w:spacing w:line="360" w:lineRule="exact"/>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烟尘</w:t>
                  </w:r>
                </w:p>
                <w:p w14:paraId="763EE222">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SO</w:t>
                  </w:r>
                  <w:r>
                    <w:rPr>
                      <w:rFonts w:ascii="Times New Roman" w:hAnsi="Times New Roman"/>
                      <w:color w:val="auto"/>
                      <w:sz w:val="21"/>
                      <w:szCs w:val="21"/>
                      <w:highlight w:val="none"/>
                      <w:vertAlign w:val="subscript"/>
                      <w:lang w:eastAsia="zh-CN"/>
                    </w:rPr>
                    <w:t>2</w:t>
                  </w:r>
                </w:p>
                <w:p w14:paraId="0B24AEBE">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NO</w:t>
                  </w:r>
                  <w:r>
                    <w:rPr>
                      <w:rFonts w:ascii="Times New Roman" w:hAnsi="Times New Roman"/>
                      <w:color w:val="auto"/>
                      <w:sz w:val="21"/>
                      <w:szCs w:val="21"/>
                      <w:highlight w:val="none"/>
                      <w:vertAlign w:val="subscript"/>
                      <w:lang w:eastAsia="zh-CN"/>
                    </w:rPr>
                    <w:t>X</w:t>
                  </w:r>
                </w:p>
                <w:p w14:paraId="5E44DD26">
                  <w:pPr>
                    <w:pStyle w:val="97"/>
                    <w:spacing w:line="360" w:lineRule="exact"/>
                    <w:jc w:val="center"/>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lang w:val="en-US" w:eastAsia="zh-CN"/>
                    </w:rPr>
                    <w:t>烟气黑度</w:t>
                  </w:r>
                </w:p>
              </w:tc>
              <w:tc>
                <w:tcPr>
                  <w:tcW w:w="823" w:type="pct"/>
                  <w:tcBorders>
                    <w:tl2br w:val="nil"/>
                    <w:tr2bl w:val="nil"/>
                  </w:tcBorders>
                  <w:noWrap/>
                  <w:vAlign w:val="center"/>
                </w:tcPr>
                <w:p w14:paraId="5CC72EEE">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132.78731704</w:t>
                  </w:r>
                </w:p>
              </w:tc>
              <w:tc>
                <w:tcPr>
                  <w:tcW w:w="782" w:type="pct"/>
                  <w:tcBorders>
                    <w:tl2br w:val="nil"/>
                    <w:tr2bl w:val="nil"/>
                  </w:tcBorders>
                  <w:noWrap/>
                  <w:vAlign w:val="center"/>
                </w:tcPr>
                <w:p w14:paraId="757CB129">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45.7388738</w:t>
                  </w:r>
                </w:p>
              </w:tc>
              <w:tc>
                <w:tcPr>
                  <w:tcW w:w="518" w:type="pct"/>
                  <w:tcBorders>
                    <w:tl2br w:val="nil"/>
                    <w:tr2bl w:val="nil"/>
                  </w:tcBorders>
                  <w:noWrap/>
                  <w:vAlign w:val="center"/>
                </w:tcPr>
                <w:p w14:paraId="099E6BC2">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15</w:t>
                  </w:r>
                </w:p>
              </w:tc>
              <w:tc>
                <w:tcPr>
                  <w:tcW w:w="553" w:type="pct"/>
                  <w:tcBorders>
                    <w:tl2br w:val="nil"/>
                    <w:tr2bl w:val="nil"/>
                  </w:tcBorders>
                  <w:noWrap/>
                  <w:vAlign w:val="center"/>
                </w:tcPr>
                <w:p w14:paraId="0A8F7200">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0.3</w:t>
                  </w:r>
                </w:p>
              </w:tc>
              <w:tc>
                <w:tcPr>
                  <w:tcW w:w="517" w:type="pct"/>
                  <w:tcBorders>
                    <w:tl2br w:val="nil"/>
                    <w:tr2bl w:val="nil"/>
                  </w:tcBorders>
                  <w:noWrap/>
                  <w:vAlign w:val="center"/>
                </w:tcPr>
                <w:p w14:paraId="7746856D">
                  <w:pPr>
                    <w:pStyle w:val="97"/>
                    <w:spacing w:line="360" w:lineRule="exact"/>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100</w:t>
                  </w:r>
                </w:p>
              </w:tc>
            </w:tr>
            <w:tr w14:paraId="4890C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288" w:type="pct"/>
                  <w:tcBorders>
                    <w:tl2br w:val="nil"/>
                    <w:tr2bl w:val="nil"/>
                  </w:tcBorders>
                  <w:noWrap/>
                  <w:vAlign w:val="center"/>
                </w:tcPr>
                <w:p w14:paraId="64A369C8">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w:t>
                  </w:r>
                </w:p>
              </w:tc>
              <w:tc>
                <w:tcPr>
                  <w:tcW w:w="422" w:type="pct"/>
                  <w:tcBorders>
                    <w:tl2br w:val="nil"/>
                    <w:tr2bl w:val="nil"/>
                  </w:tcBorders>
                  <w:noWrap/>
                  <w:vAlign w:val="center"/>
                </w:tcPr>
                <w:p w14:paraId="680E7A56">
                  <w:pPr>
                    <w:pStyle w:val="97"/>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cs="Times New Roman"/>
                      <w:color w:val="auto"/>
                      <w:sz w:val="21"/>
                      <w:szCs w:val="21"/>
                      <w:highlight w:val="none"/>
                      <w:lang w:val="en-US" w:eastAsia="zh-CN"/>
                    </w:rPr>
                    <w:t>2</w:t>
                  </w:r>
                </w:p>
              </w:tc>
              <w:tc>
                <w:tcPr>
                  <w:tcW w:w="495" w:type="pct"/>
                  <w:tcBorders>
                    <w:tl2br w:val="nil"/>
                    <w:tr2bl w:val="nil"/>
                  </w:tcBorders>
                  <w:noWrap/>
                  <w:vAlign w:val="center"/>
                </w:tcPr>
                <w:p w14:paraId="67AF308C">
                  <w:pPr>
                    <w:pStyle w:val="97"/>
                    <w:spacing w:line="360" w:lineRule="exact"/>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供暖锅炉</w:t>
                  </w:r>
                  <w:r>
                    <w:rPr>
                      <w:rFonts w:hint="default" w:ascii="Times New Roman" w:hAnsi="Times New Roman" w:eastAsia="宋体" w:cs="Times New Roman"/>
                      <w:color w:val="auto"/>
                      <w:sz w:val="21"/>
                      <w:szCs w:val="21"/>
                      <w:highlight w:val="none"/>
                      <w:lang w:val="en-US" w:eastAsia="zh-CN"/>
                    </w:rPr>
                    <w:t>烟囱</w:t>
                  </w:r>
                </w:p>
              </w:tc>
              <w:tc>
                <w:tcPr>
                  <w:tcW w:w="598" w:type="pct"/>
                  <w:tcBorders>
                    <w:tl2br w:val="nil"/>
                    <w:tr2bl w:val="nil"/>
                  </w:tcBorders>
                  <w:noWrap/>
                  <w:vAlign w:val="center"/>
                </w:tcPr>
                <w:p w14:paraId="2AFA6622">
                  <w:pPr>
                    <w:pStyle w:val="97"/>
                    <w:spacing w:line="360" w:lineRule="exact"/>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烟尘</w:t>
                  </w:r>
                </w:p>
                <w:p w14:paraId="5AA4FCF1">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SO</w:t>
                  </w:r>
                  <w:r>
                    <w:rPr>
                      <w:rFonts w:ascii="Times New Roman" w:hAnsi="Times New Roman"/>
                      <w:color w:val="auto"/>
                      <w:sz w:val="21"/>
                      <w:szCs w:val="21"/>
                      <w:highlight w:val="none"/>
                      <w:vertAlign w:val="subscript"/>
                      <w:lang w:eastAsia="zh-CN"/>
                    </w:rPr>
                    <w:t>2</w:t>
                  </w:r>
                </w:p>
                <w:p w14:paraId="2BF9AF44">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NO</w:t>
                  </w:r>
                  <w:r>
                    <w:rPr>
                      <w:rFonts w:ascii="Times New Roman" w:hAnsi="Times New Roman"/>
                      <w:color w:val="auto"/>
                      <w:sz w:val="21"/>
                      <w:szCs w:val="21"/>
                      <w:highlight w:val="none"/>
                      <w:vertAlign w:val="subscript"/>
                      <w:lang w:eastAsia="zh-CN"/>
                    </w:rPr>
                    <w:t>X</w:t>
                  </w:r>
                </w:p>
                <w:p w14:paraId="3E796E2A">
                  <w:pPr>
                    <w:pStyle w:val="97"/>
                    <w:spacing w:line="360" w:lineRule="exact"/>
                    <w:jc w:val="center"/>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lang w:val="en-US" w:eastAsia="zh-CN"/>
                    </w:rPr>
                    <w:t>烟气黑度</w:t>
                  </w:r>
                </w:p>
              </w:tc>
              <w:tc>
                <w:tcPr>
                  <w:tcW w:w="823" w:type="pct"/>
                  <w:tcBorders>
                    <w:tl2br w:val="nil"/>
                    <w:tr2bl w:val="nil"/>
                  </w:tcBorders>
                  <w:noWrap/>
                  <w:vAlign w:val="center"/>
                </w:tcPr>
                <w:p w14:paraId="53DD1EDB">
                  <w:pPr>
                    <w:pStyle w:val="97"/>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132.7859</w:t>
                  </w:r>
                  <w:r>
                    <w:rPr>
                      <w:rFonts w:hint="eastAsia" w:ascii="Times New Roman" w:hAnsi="Times New Roman" w:cs="Times New Roman"/>
                      <w:color w:val="auto"/>
                      <w:sz w:val="21"/>
                      <w:szCs w:val="21"/>
                      <w:highlight w:val="none"/>
                      <w:lang w:val="en-US" w:eastAsia="zh-CN"/>
                    </w:rPr>
                    <w:t>5984</w:t>
                  </w:r>
                </w:p>
              </w:tc>
              <w:tc>
                <w:tcPr>
                  <w:tcW w:w="782" w:type="pct"/>
                  <w:tcBorders>
                    <w:tl2br w:val="nil"/>
                    <w:tr2bl w:val="nil"/>
                  </w:tcBorders>
                  <w:noWrap/>
                  <w:vAlign w:val="center"/>
                </w:tcPr>
                <w:p w14:paraId="05FFEB5B">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45.73949909</w:t>
                  </w:r>
                </w:p>
              </w:tc>
              <w:tc>
                <w:tcPr>
                  <w:tcW w:w="518" w:type="pct"/>
                  <w:tcBorders>
                    <w:tl2br w:val="nil"/>
                    <w:tr2bl w:val="nil"/>
                  </w:tcBorders>
                  <w:noWrap/>
                  <w:vAlign w:val="center"/>
                </w:tcPr>
                <w:p w14:paraId="28BA8156">
                  <w:pPr>
                    <w:pStyle w:val="97"/>
                    <w:spacing w:line="360" w:lineRule="exact"/>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20</w:t>
                  </w:r>
                </w:p>
              </w:tc>
              <w:tc>
                <w:tcPr>
                  <w:tcW w:w="553" w:type="pct"/>
                  <w:tcBorders>
                    <w:tl2br w:val="nil"/>
                    <w:tr2bl w:val="nil"/>
                  </w:tcBorders>
                  <w:noWrap/>
                  <w:vAlign w:val="center"/>
                </w:tcPr>
                <w:p w14:paraId="25CCC912">
                  <w:pPr>
                    <w:pStyle w:val="97"/>
                    <w:spacing w:line="360" w:lineRule="exact"/>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0.5</w:t>
                  </w:r>
                </w:p>
              </w:tc>
              <w:tc>
                <w:tcPr>
                  <w:tcW w:w="517" w:type="pct"/>
                  <w:tcBorders>
                    <w:tl2br w:val="nil"/>
                    <w:tr2bl w:val="nil"/>
                  </w:tcBorders>
                  <w:noWrap/>
                  <w:vAlign w:val="center"/>
                </w:tcPr>
                <w:p w14:paraId="30397720">
                  <w:pPr>
                    <w:pStyle w:val="97"/>
                    <w:spacing w:line="360" w:lineRule="exact"/>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100</w:t>
                  </w:r>
                </w:p>
              </w:tc>
            </w:tr>
            <w:tr w14:paraId="10A0D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98" w:hRule="atLeast"/>
                <w:jc w:val="center"/>
              </w:trPr>
              <w:tc>
                <w:tcPr>
                  <w:tcW w:w="288" w:type="pct"/>
                  <w:tcBorders>
                    <w:tl2br w:val="nil"/>
                    <w:tr2bl w:val="nil"/>
                  </w:tcBorders>
                  <w:noWrap/>
                  <w:vAlign w:val="center"/>
                </w:tcPr>
                <w:p w14:paraId="23D1809F">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422" w:type="pct"/>
                  <w:tcBorders>
                    <w:tl2br w:val="nil"/>
                    <w:tr2bl w:val="nil"/>
                  </w:tcBorders>
                  <w:noWrap/>
                  <w:vAlign w:val="center"/>
                </w:tcPr>
                <w:p w14:paraId="4E5B513B">
                  <w:pPr>
                    <w:pStyle w:val="97"/>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cs="Times New Roman"/>
                      <w:color w:val="auto"/>
                      <w:sz w:val="21"/>
                      <w:szCs w:val="21"/>
                      <w:highlight w:val="none"/>
                      <w:lang w:val="en-US" w:eastAsia="zh-CN"/>
                    </w:rPr>
                    <w:t>3</w:t>
                  </w:r>
                </w:p>
              </w:tc>
              <w:tc>
                <w:tcPr>
                  <w:tcW w:w="495" w:type="pct"/>
                  <w:tcBorders>
                    <w:tl2br w:val="nil"/>
                    <w:tr2bl w:val="nil"/>
                  </w:tcBorders>
                  <w:noWrap/>
                  <w:vAlign w:val="center"/>
                </w:tcPr>
                <w:p w14:paraId="0B552BE6">
                  <w:pPr>
                    <w:pStyle w:val="97"/>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热风炉烟囱</w:t>
                  </w:r>
                </w:p>
              </w:tc>
              <w:tc>
                <w:tcPr>
                  <w:tcW w:w="598" w:type="pct"/>
                  <w:tcBorders>
                    <w:tl2br w:val="nil"/>
                    <w:tr2bl w:val="nil"/>
                  </w:tcBorders>
                  <w:noWrap/>
                  <w:vAlign w:val="center"/>
                </w:tcPr>
                <w:p w14:paraId="7E6AAC6D">
                  <w:pPr>
                    <w:pStyle w:val="97"/>
                    <w:spacing w:line="360" w:lineRule="exact"/>
                    <w:jc w:val="center"/>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烟尘</w:t>
                  </w:r>
                </w:p>
                <w:p w14:paraId="6FF3797D">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SO</w:t>
                  </w:r>
                  <w:r>
                    <w:rPr>
                      <w:rFonts w:ascii="Times New Roman" w:hAnsi="Times New Roman"/>
                      <w:color w:val="auto"/>
                      <w:sz w:val="21"/>
                      <w:szCs w:val="21"/>
                      <w:highlight w:val="none"/>
                      <w:vertAlign w:val="subscript"/>
                      <w:lang w:eastAsia="zh-CN"/>
                    </w:rPr>
                    <w:t>2</w:t>
                  </w:r>
                </w:p>
                <w:p w14:paraId="5D381E7D">
                  <w:pPr>
                    <w:pStyle w:val="97"/>
                    <w:spacing w:line="360" w:lineRule="exact"/>
                    <w:jc w:val="center"/>
                    <w:rPr>
                      <w:rFonts w:hint="default" w:ascii="Times New Roman" w:hAnsi="Times New Roman" w:eastAsia="宋体" w:cs="Times New Roman"/>
                      <w:color w:val="auto"/>
                      <w:sz w:val="21"/>
                      <w:szCs w:val="21"/>
                      <w:highlight w:val="none"/>
                    </w:rPr>
                  </w:pPr>
                  <w:r>
                    <w:rPr>
                      <w:rFonts w:ascii="Times New Roman" w:hAnsi="Times New Roman"/>
                      <w:color w:val="auto"/>
                      <w:sz w:val="21"/>
                      <w:szCs w:val="21"/>
                      <w:highlight w:val="none"/>
                      <w:lang w:eastAsia="zh-CN"/>
                    </w:rPr>
                    <w:t>NO</w:t>
                  </w:r>
                  <w:r>
                    <w:rPr>
                      <w:rFonts w:ascii="Times New Roman" w:hAnsi="Times New Roman"/>
                      <w:color w:val="auto"/>
                      <w:sz w:val="21"/>
                      <w:szCs w:val="21"/>
                      <w:highlight w:val="none"/>
                      <w:vertAlign w:val="subscript"/>
                      <w:lang w:eastAsia="zh-CN"/>
                    </w:rPr>
                    <w:t>X</w:t>
                  </w:r>
                </w:p>
                <w:p w14:paraId="19B9CBD3">
                  <w:pPr>
                    <w:pStyle w:val="97"/>
                    <w:spacing w:line="360" w:lineRule="exact"/>
                    <w:jc w:val="center"/>
                    <w:rPr>
                      <w:rFonts w:hint="default" w:ascii="Times New Roman" w:hAnsi="Times New Roman" w:eastAsia="宋体" w:cs="Times New Roman"/>
                      <w:color w:val="auto"/>
                      <w:sz w:val="21"/>
                      <w:szCs w:val="21"/>
                      <w:highlight w:val="none"/>
                    </w:rPr>
                  </w:pPr>
                  <w:r>
                    <w:rPr>
                      <w:rFonts w:hint="eastAsia" w:ascii="Times New Roman" w:hAnsi="Times New Roman"/>
                      <w:color w:val="auto"/>
                      <w:sz w:val="21"/>
                      <w:szCs w:val="21"/>
                      <w:highlight w:val="none"/>
                      <w:lang w:val="en-US" w:eastAsia="zh-CN"/>
                    </w:rPr>
                    <w:t>烟气黑度</w:t>
                  </w:r>
                </w:p>
              </w:tc>
              <w:tc>
                <w:tcPr>
                  <w:tcW w:w="823" w:type="pct"/>
                  <w:tcBorders>
                    <w:tl2br w:val="nil"/>
                    <w:tr2bl w:val="nil"/>
                  </w:tcBorders>
                  <w:noWrap/>
                  <w:vAlign w:val="center"/>
                </w:tcPr>
                <w:p w14:paraId="4AA5BD95">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132.78781636</w:t>
                  </w:r>
                </w:p>
              </w:tc>
              <w:tc>
                <w:tcPr>
                  <w:tcW w:w="782" w:type="pct"/>
                  <w:tcBorders>
                    <w:tl2br w:val="nil"/>
                    <w:tr2bl w:val="nil"/>
                  </w:tcBorders>
                  <w:noWrap/>
                  <w:vAlign w:val="center"/>
                </w:tcPr>
                <w:p w14:paraId="6CDC76E9">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45.73867812</w:t>
                  </w:r>
                </w:p>
              </w:tc>
              <w:tc>
                <w:tcPr>
                  <w:tcW w:w="518" w:type="pct"/>
                  <w:tcBorders>
                    <w:tl2br w:val="nil"/>
                    <w:tr2bl w:val="nil"/>
                  </w:tcBorders>
                  <w:noWrap/>
                  <w:vAlign w:val="center"/>
                </w:tcPr>
                <w:p w14:paraId="4F506820">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15</w:t>
                  </w:r>
                </w:p>
              </w:tc>
              <w:tc>
                <w:tcPr>
                  <w:tcW w:w="553" w:type="pct"/>
                  <w:tcBorders>
                    <w:tl2br w:val="nil"/>
                    <w:tr2bl w:val="nil"/>
                  </w:tcBorders>
                  <w:noWrap/>
                  <w:vAlign w:val="center"/>
                </w:tcPr>
                <w:p w14:paraId="3CDC7237">
                  <w:pPr>
                    <w:pStyle w:val="97"/>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0.3</w:t>
                  </w:r>
                </w:p>
              </w:tc>
              <w:tc>
                <w:tcPr>
                  <w:tcW w:w="517" w:type="pct"/>
                  <w:tcBorders>
                    <w:tl2br w:val="nil"/>
                    <w:tr2bl w:val="nil"/>
                  </w:tcBorders>
                  <w:noWrap/>
                  <w:vAlign w:val="center"/>
                </w:tcPr>
                <w:p w14:paraId="71630358">
                  <w:pPr>
                    <w:pStyle w:val="97"/>
                    <w:spacing w:line="36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r>
          </w:tbl>
          <w:p w14:paraId="12298567">
            <w:pPr>
              <w:spacing w:line="360" w:lineRule="auto"/>
              <w:ind w:firstLine="480" w:firstLineChars="200"/>
              <w:rPr>
                <w:bCs/>
                <w:color w:val="auto"/>
                <w:sz w:val="24"/>
                <w:highlight w:val="none"/>
              </w:rPr>
            </w:pPr>
            <w:r>
              <w:rPr>
                <w:rFonts w:hint="eastAsia"/>
                <w:bCs/>
                <w:color w:val="auto"/>
                <w:sz w:val="24"/>
                <w:highlight w:val="none"/>
                <w:lang w:val="en-US" w:eastAsia="zh-CN"/>
              </w:rPr>
              <w:t>7</w:t>
            </w:r>
            <w:r>
              <w:rPr>
                <w:rFonts w:hint="eastAsia"/>
                <w:bCs/>
                <w:color w:val="auto"/>
                <w:sz w:val="24"/>
                <w:highlight w:val="none"/>
              </w:rPr>
              <w:t>、废气跟踪监测计划</w:t>
            </w:r>
          </w:p>
          <w:p w14:paraId="0A906FA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rPr>
            </w:pPr>
            <w:r>
              <w:rPr>
                <w:rFonts w:hint="eastAsia" w:eastAsia="宋体"/>
                <w:color w:val="auto"/>
                <w:kern w:val="0"/>
                <w:sz w:val="24"/>
                <w:highlight w:val="none"/>
              </w:rPr>
              <w:t>运营期大气污染源监测要求</w:t>
            </w:r>
            <w:r>
              <w:rPr>
                <w:rFonts w:hint="eastAsia" w:eastAsia="宋体"/>
                <w:color w:val="auto"/>
                <w:kern w:val="0"/>
                <w:sz w:val="24"/>
                <w:highlight w:val="none"/>
                <w:lang w:eastAsia="zh-CN"/>
              </w:rPr>
              <w:t>按照</w:t>
            </w:r>
            <w:r>
              <w:rPr>
                <w:rFonts w:hint="eastAsia" w:eastAsia="宋体"/>
                <w:color w:val="auto"/>
                <w:kern w:val="0"/>
                <w:sz w:val="24"/>
                <w:highlight w:val="none"/>
              </w:rPr>
              <w:t>《排污许可证申请与核发技术规范 工业炉窑》（HJ1121-2020）及《排污单位自行监测技术指南总则》（HJ819-2017）执行。</w:t>
            </w:r>
            <w:r>
              <w:rPr>
                <w:rFonts w:hint="eastAsia" w:ascii="Times New Roman" w:hAnsi="Times New Roman" w:eastAsia="宋体" w:cs="Times New Roman"/>
                <w:color w:val="auto"/>
                <w:sz w:val="24"/>
                <w:highlight w:val="none"/>
              </w:rPr>
              <w:t>跟踪监测计划见表4-</w:t>
            </w:r>
            <w:r>
              <w:rPr>
                <w:rFonts w:hint="eastAsia" w:cs="Times New Roman"/>
                <w:color w:val="auto"/>
                <w:sz w:val="24"/>
                <w:highlight w:val="none"/>
                <w:lang w:val="en-US" w:eastAsia="zh-CN"/>
              </w:rPr>
              <w:t>7</w:t>
            </w:r>
            <w:r>
              <w:rPr>
                <w:rFonts w:hint="eastAsia" w:ascii="Times New Roman" w:hAnsi="Times New Roman" w:eastAsia="宋体" w:cs="Times New Roman"/>
                <w:color w:val="auto"/>
                <w:sz w:val="24"/>
                <w:highlight w:val="none"/>
              </w:rPr>
              <w:t>。</w:t>
            </w:r>
          </w:p>
          <w:p w14:paraId="48CED106">
            <w:pPr>
              <w:pStyle w:val="94"/>
              <w:ind w:firstLine="0" w:firstLineChars="0"/>
              <w:jc w:val="center"/>
              <w:rPr>
                <w:b/>
                <w:bCs/>
                <w:color w:val="auto"/>
                <w:kern w:val="0"/>
                <w:sz w:val="24"/>
                <w:highlight w:val="none"/>
              </w:rPr>
            </w:pPr>
            <w:r>
              <w:rPr>
                <w:rFonts w:hint="eastAsia"/>
                <w:b/>
                <w:bCs/>
                <w:color w:val="auto"/>
                <w:kern w:val="0"/>
                <w:sz w:val="24"/>
                <w:highlight w:val="none"/>
              </w:rPr>
              <w:t>表4-</w:t>
            </w:r>
            <w:r>
              <w:rPr>
                <w:rFonts w:hint="eastAsia"/>
                <w:b/>
                <w:bCs/>
                <w:color w:val="auto"/>
                <w:kern w:val="0"/>
                <w:sz w:val="24"/>
                <w:highlight w:val="none"/>
                <w:lang w:val="en-US" w:eastAsia="zh-CN"/>
              </w:rPr>
              <w:t>7</w:t>
            </w:r>
            <w:r>
              <w:rPr>
                <w:rFonts w:hint="eastAsia"/>
                <w:b/>
                <w:bCs/>
                <w:color w:val="auto"/>
                <w:kern w:val="0"/>
                <w:sz w:val="24"/>
                <w:highlight w:val="none"/>
              </w:rPr>
              <w:t xml:space="preserve"> 环境空气跟踪监测计划</w:t>
            </w:r>
          </w:p>
          <w:tbl>
            <w:tblPr>
              <w:tblStyle w:val="31"/>
              <w:tblW w:w="5066" w:type="pct"/>
              <w:tblInd w:w="0" w:type="dxa"/>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2076"/>
              <w:gridCol w:w="1399"/>
              <w:gridCol w:w="1201"/>
              <w:gridCol w:w="3201"/>
            </w:tblGrid>
            <w:tr w14:paraId="726CB8A4">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01" w:type="pct"/>
                  <w:noWrap/>
                  <w:vAlign w:val="center"/>
                </w:tcPr>
                <w:p w14:paraId="78B7CB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类别</w:t>
                  </w:r>
                </w:p>
              </w:tc>
              <w:tc>
                <w:tcPr>
                  <w:tcW w:w="1159" w:type="pct"/>
                  <w:noWrap/>
                  <w:vAlign w:val="center"/>
                </w:tcPr>
                <w:p w14:paraId="231A0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监测点</w:t>
                  </w:r>
                </w:p>
              </w:tc>
              <w:tc>
                <w:tcPr>
                  <w:tcW w:w="781" w:type="pct"/>
                  <w:noWrap/>
                  <w:vAlign w:val="center"/>
                </w:tcPr>
                <w:p w14:paraId="57CA32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监测频率</w:t>
                  </w:r>
                </w:p>
              </w:tc>
              <w:tc>
                <w:tcPr>
                  <w:tcW w:w="670" w:type="pct"/>
                  <w:noWrap/>
                  <w:vAlign w:val="center"/>
                </w:tcPr>
                <w:p w14:paraId="1125FE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监测方式</w:t>
                  </w:r>
                </w:p>
              </w:tc>
              <w:tc>
                <w:tcPr>
                  <w:tcW w:w="1787" w:type="pct"/>
                  <w:noWrap/>
                  <w:vAlign w:val="center"/>
                </w:tcPr>
                <w:p w14:paraId="3752AF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监测项目</w:t>
                  </w:r>
                </w:p>
              </w:tc>
            </w:tr>
            <w:tr w14:paraId="1F40FF4A">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01" w:type="pct"/>
                  <w:vMerge w:val="restart"/>
                  <w:noWrap/>
                  <w:vAlign w:val="center"/>
                </w:tcPr>
                <w:p w14:paraId="3069C8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废气</w:t>
                  </w:r>
                </w:p>
              </w:tc>
              <w:tc>
                <w:tcPr>
                  <w:tcW w:w="1159" w:type="pct"/>
                  <w:vMerge w:val="restart"/>
                  <w:noWrap/>
                  <w:vAlign w:val="center"/>
                </w:tcPr>
                <w:p w14:paraId="640A44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烟囱</w:t>
                  </w:r>
                  <w:r>
                    <w:rPr>
                      <w:rFonts w:hint="default" w:ascii="Times New Roman" w:hAnsi="Times New Roman" w:eastAsia="宋体" w:cs="Times New Roman"/>
                      <w:color w:val="auto"/>
                      <w:kern w:val="0"/>
                      <w:sz w:val="21"/>
                      <w:szCs w:val="21"/>
                      <w:highlight w:val="none"/>
                      <w:lang w:val="en-US" w:eastAsia="zh-CN" w:bidi="ar-SA"/>
                    </w:rPr>
                    <w:t>DA00</w:t>
                  </w:r>
                  <w:r>
                    <w:rPr>
                      <w:rFonts w:hint="eastAsia" w:cs="Times New Roman"/>
                      <w:color w:val="auto"/>
                      <w:kern w:val="0"/>
                      <w:sz w:val="21"/>
                      <w:szCs w:val="21"/>
                      <w:highlight w:val="none"/>
                      <w:lang w:val="en-US" w:eastAsia="zh-CN" w:bidi="ar-SA"/>
                    </w:rPr>
                    <w:t>3</w:t>
                  </w:r>
                </w:p>
              </w:tc>
              <w:tc>
                <w:tcPr>
                  <w:tcW w:w="781" w:type="pct"/>
                  <w:noWrap/>
                  <w:vAlign w:val="center"/>
                </w:tcPr>
                <w:p w14:paraId="607D3D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1次/年</w:t>
                  </w:r>
                </w:p>
              </w:tc>
              <w:tc>
                <w:tcPr>
                  <w:tcW w:w="670" w:type="pct"/>
                  <w:noWrap/>
                  <w:vAlign w:val="center"/>
                </w:tcPr>
                <w:p w14:paraId="529B20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手工监测</w:t>
                  </w:r>
                </w:p>
              </w:tc>
              <w:tc>
                <w:tcPr>
                  <w:tcW w:w="1787" w:type="pct"/>
                  <w:noWrap/>
                  <w:vAlign w:val="center"/>
                </w:tcPr>
                <w:p w14:paraId="6B2FD4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烟尘、二氧化硫、烟气黑度</w:t>
                  </w:r>
                </w:p>
              </w:tc>
            </w:tr>
            <w:tr w14:paraId="45A50E68">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01" w:type="pct"/>
                  <w:vMerge w:val="continue"/>
                  <w:noWrap/>
                  <w:vAlign w:val="center"/>
                </w:tcPr>
                <w:p w14:paraId="641E54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159" w:type="pct"/>
                  <w:vMerge w:val="continue"/>
                  <w:noWrap/>
                  <w:vAlign w:val="center"/>
                </w:tcPr>
                <w:p w14:paraId="1AEF65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p>
              </w:tc>
              <w:tc>
                <w:tcPr>
                  <w:tcW w:w="781" w:type="pct"/>
                  <w:noWrap/>
                  <w:vAlign w:val="center"/>
                </w:tcPr>
                <w:p w14:paraId="53C6C3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1次/月</w:t>
                  </w:r>
                </w:p>
              </w:tc>
              <w:tc>
                <w:tcPr>
                  <w:tcW w:w="670" w:type="pct"/>
                  <w:noWrap/>
                  <w:vAlign w:val="center"/>
                </w:tcPr>
                <w:p w14:paraId="677BB2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手工监测</w:t>
                  </w:r>
                </w:p>
              </w:tc>
              <w:tc>
                <w:tcPr>
                  <w:tcW w:w="1787" w:type="pct"/>
                  <w:noWrap/>
                  <w:vAlign w:val="center"/>
                </w:tcPr>
                <w:p w14:paraId="2C7A4E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氮氧化物</w:t>
                  </w:r>
                </w:p>
              </w:tc>
            </w:tr>
            <w:tr w14:paraId="08A571BD">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01" w:type="pct"/>
                  <w:vMerge w:val="continue"/>
                  <w:noWrap/>
                  <w:vAlign w:val="center"/>
                </w:tcPr>
                <w:p w14:paraId="49BE8F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159" w:type="pct"/>
                  <w:noWrap/>
                  <w:vAlign w:val="center"/>
                </w:tcPr>
                <w:p w14:paraId="6BD8BA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厂界</w:t>
                  </w:r>
                </w:p>
              </w:tc>
              <w:tc>
                <w:tcPr>
                  <w:tcW w:w="781" w:type="pct"/>
                  <w:noWrap/>
                  <w:vAlign w:val="center"/>
                </w:tcPr>
                <w:p w14:paraId="50CFDB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1次/年</w:t>
                  </w:r>
                </w:p>
              </w:tc>
              <w:tc>
                <w:tcPr>
                  <w:tcW w:w="670" w:type="pct"/>
                  <w:noWrap/>
                  <w:vAlign w:val="center"/>
                </w:tcPr>
                <w:p w14:paraId="6EAF5A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手工监测</w:t>
                  </w:r>
                </w:p>
              </w:tc>
              <w:tc>
                <w:tcPr>
                  <w:tcW w:w="1787" w:type="pct"/>
                  <w:noWrap/>
                  <w:vAlign w:val="center"/>
                </w:tcPr>
                <w:p w14:paraId="1619F1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r>
            <w:tr w14:paraId="5D5168C6">
              <w:tblPrEx>
                <w:tblBorders>
                  <w:top w:val="single" w:color="auto" w:sz="12" w:space="0"/>
                  <w:left w:val="dotted" w:color="auto" w:sz="4" w:space="0"/>
                  <w:bottom w:val="single" w:color="auto" w:sz="12" w:space="0"/>
                  <w:right w:val="dotted"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601" w:type="pct"/>
                  <w:vMerge w:val="continue"/>
                  <w:noWrap/>
                  <w:vAlign w:val="center"/>
                </w:tcPr>
                <w:p w14:paraId="1C83B2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1159" w:type="pct"/>
                  <w:noWrap/>
                  <w:vAlign w:val="center"/>
                </w:tcPr>
                <w:p w14:paraId="791D41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工业炉窑周边</w:t>
                  </w:r>
                </w:p>
              </w:tc>
              <w:tc>
                <w:tcPr>
                  <w:tcW w:w="781" w:type="pct"/>
                  <w:noWrap/>
                  <w:vAlign w:val="center"/>
                </w:tcPr>
                <w:p w14:paraId="3C6963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1次/年</w:t>
                  </w:r>
                </w:p>
              </w:tc>
              <w:tc>
                <w:tcPr>
                  <w:tcW w:w="670" w:type="pct"/>
                  <w:noWrap/>
                  <w:vAlign w:val="center"/>
                </w:tcPr>
                <w:p w14:paraId="736797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手工监测</w:t>
                  </w:r>
                </w:p>
              </w:tc>
              <w:tc>
                <w:tcPr>
                  <w:tcW w:w="1787" w:type="pct"/>
                  <w:noWrap/>
                  <w:vAlign w:val="center"/>
                </w:tcPr>
                <w:p w14:paraId="2AA8E5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颗粒物</w:t>
                  </w:r>
                </w:p>
              </w:tc>
            </w:tr>
          </w:tbl>
          <w:p w14:paraId="29C987AC">
            <w:pPr>
              <w:widowControl/>
              <w:spacing w:line="360" w:lineRule="auto"/>
              <w:ind w:firstLine="482" w:firstLineChars="200"/>
              <w:rPr>
                <w:b/>
                <w:bCs/>
                <w:color w:val="auto"/>
                <w:kern w:val="0"/>
                <w:sz w:val="24"/>
                <w:highlight w:val="none"/>
              </w:rPr>
            </w:pPr>
            <w:r>
              <w:rPr>
                <w:rFonts w:hint="eastAsia"/>
                <w:b/>
                <w:bCs/>
                <w:color w:val="auto"/>
                <w:kern w:val="0"/>
                <w:sz w:val="24"/>
                <w:highlight w:val="none"/>
              </w:rPr>
              <w:t>二</w:t>
            </w:r>
            <w:r>
              <w:rPr>
                <w:b/>
                <w:bCs/>
                <w:color w:val="auto"/>
                <w:kern w:val="0"/>
                <w:sz w:val="24"/>
                <w:highlight w:val="none"/>
              </w:rPr>
              <w:t>、废水</w:t>
            </w:r>
          </w:p>
          <w:p w14:paraId="6072E296">
            <w:pPr>
              <w:widowControl/>
              <w:spacing w:line="360" w:lineRule="auto"/>
              <w:ind w:firstLine="480" w:firstLineChars="200"/>
              <w:rPr>
                <w:b/>
                <w:bCs/>
                <w:color w:val="auto"/>
                <w:sz w:val="24"/>
                <w:highlight w:val="none"/>
              </w:rPr>
            </w:pPr>
            <w:r>
              <w:rPr>
                <w:color w:val="auto"/>
                <w:kern w:val="0"/>
                <w:sz w:val="24"/>
                <w:highlight w:val="none"/>
              </w:rPr>
              <w:t>本项目建成后废水主要是员工生活污水。本项目生活污水按用水量80%计算，</w:t>
            </w:r>
            <w:r>
              <w:rPr>
                <w:rFonts w:hint="eastAsia"/>
                <w:color w:val="auto"/>
                <w:kern w:val="0"/>
                <w:sz w:val="24"/>
                <w:highlight w:val="none"/>
              </w:rPr>
              <w:t>生活</w:t>
            </w:r>
            <w:r>
              <w:rPr>
                <w:color w:val="auto"/>
                <w:kern w:val="0"/>
                <w:sz w:val="24"/>
                <w:highlight w:val="none"/>
              </w:rPr>
              <w:t>污水</w:t>
            </w:r>
            <w:r>
              <w:rPr>
                <w:rFonts w:hint="eastAsia"/>
                <w:color w:val="auto"/>
                <w:kern w:val="0"/>
                <w:sz w:val="24"/>
                <w:highlight w:val="none"/>
              </w:rPr>
              <w:t>排放</w:t>
            </w:r>
            <w:r>
              <w:rPr>
                <w:color w:val="auto"/>
                <w:kern w:val="0"/>
                <w:sz w:val="24"/>
                <w:highlight w:val="none"/>
              </w:rPr>
              <w:t>量为</w:t>
            </w:r>
            <w:r>
              <w:rPr>
                <w:rFonts w:hint="eastAsia"/>
                <w:color w:val="auto"/>
                <w:kern w:val="0"/>
                <w:sz w:val="24"/>
                <w:highlight w:val="none"/>
                <w:lang w:val="en-US" w:eastAsia="zh-CN"/>
              </w:rPr>
              <w:t>0.128</w:t>
            </w:r>
            <w:r>
              <w:rPr>
                <w:color w:val="auto"/>
                <w:kern w:val="0"/>
                <w:sz w:val="24"/>
                <w:highlight w:val="none"/>
              </w:rPr>
              <w:t>t/d，</w:t>
            </w:r>
            <w:r>
              <w:rPr>
                <w:rFonts w:hint="eastAsia"/>
                <w:color w:val="auto"/>
                <w:kern w:val="0"/>
                <w:sz w:val="24"/>
                <w:highlight w:val="none"/>
                <w:lang w:val="en-US" w:eastAsia="zh-CN"/>
              </w:rPr>
              <w:t>6.4</w:t>
            </w:r>
            <w:r>
              <w:rPr>
                <w:color w:val="auto"/>
                <w:kern w:val="0"/>
                <w:sz w:val="24"/>
                <w:highlight w:val="none"/>
              </w:rPr>
              <w:t>t/a。生活污水排入防渗旱厕，定期清掏，外运堆肥，不外排。</w:t>
            </w:r>
          </w:p>
          <w:p w14:paraId="1EF56ACF">
            <w:pPr>
              <w:jc w:val="center"/>
              <w:rPr>
                <w:b/>
                <w:bCs/>
                <w:color w:val="auto"/>
                <w:sz w:val="24"/>
                <w:highlight w:val="none"/>
              </w:rPr>
            </w:pPr>
            <w:r>
              <w:rPr>
                <w:b/>
                <w:bCs/>
                <w:color w:val="auto"/>
                <w:sz w:val="24"/>
                <w:highlight w:val="none"/>
              </w:rPr>
              <w:t>表4-</w:t>
            </w:r>
            <w:r>
              <w:rPr>
                <w:rFonts w:hint="eastAsia"/>
                <w:b/>
                <w:bCs/>
                <w:color w:val="auto"/>
                <w:sz w:val="24"/>
                <w:highlight w:val="none"/>
                <w:lang w:val="en-US" w:eastAsia="zh-CN"/>
              </w:rPr>
              <w:t>8</w:t>
            </w:r>
            <w:r>
              <w:rPr>
                <w:b/>
                <w:bCs/>
                <w:color w:val="auto"/>
                <w:sz w:val="24"/>
                <w:highlight w:val="none"/>
              </w:rPr>
              <w:t xml:space="preserve">  废水污染源源强核算结果及相关参数一览表</w:t>
            </w:r>
          </w:p>
          <w:tbl>
            <w:tblPr>
              <w:tblStyle w:val="31"/>
              <w:tblW w:w="489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555"/>
              <w:gridCol w:w="342"/>
              <w:gridCol w:w="866"/>
              <w:gridCol w:w="452"/>
              <w:gridCol w:w="649"/>
              <w:gridCol w:w="732"/>
              <w:gridCol w:w="758"/>
              <w:gridCol w:w="884"/>
              <w:gridCol w:w="407"/>
              <w:gridCol w:w="465"/>
              <w:gridCol w:w="640"/>
              <w:gridCol w:w="594"/>
              <w:gridCol w:w="644"/>
            </w:tblGrid>
            <w:tr w14:paraId="6FDC2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385" w:type="pct"/>
                  <w:vMerge w:val="restart"/>
                  <w:noWrap w:val="0"/>
                  <w:vAlign w:val="center"/>
                </w:tcPr>
                <w:p w14:paraId="36144709">
                  <w:pPr>
                    <w:contextualSpacing/>
                    <w:jc w:val="center"/>
                    <w:rPr>
                      <w:color w:val="auto"/>
                      <w:szCs w:val="21"/>
                      <w:highlight w:val="none"/>
                    </w:rPr>
                  </w:pPr>
                  <w:r>
                    <w:rPr>
                      <w:rFonts w:hAnsi="宋体"/>
                      <w:color w:val="auto"/>
                      <w:szCs w:val="21"/>
                      <w:highlight w:val="none"/>
                    </w:rPr>
                    <w:t>工序</w:t>
                  </w:r>
                  <w:r>
                    <w:rPr>
                      <w:color w:val="auto"/>
                      <w:szCs w:val="21"/>
                      <w:highlight w:val="none"/>
                    </w:rPr>
                    <w:t>/</w:t>
                  </w:r>
                  <w:r>
                    <w:rPr>
                      <w:rFonts w:hAnsi="宋体"/>
                      <w:color w:val="auto"/>
                      <w:szCs w:val="21"/>
                      <w:highlight w:val="none"/>
                    </w:rPr>
                    <w:t>生产线</w:t>
                  </w:r>
                </w:p>
              </w:tc>
              <w:tc>
                <w:tcPr>
                  <w:tcW w:w="320" w:type="pct"/>
                  <w:vMerge w:val="restart"/>
                  <w:noWrap w:val="0"/>
                  <w:vAlign w:val="center"/>
                </w:tcPr>
                <w:p w14:paraId="6BCCDC42">
                  <w:pPr>
                    <w:contextualSpacing/>
                    <w:jc w:val="center"/>
                    <w:rPr>
                      <w:color w:val="auto"/>
                      <w:szCs w:val="21"/>
                      <w:highlight w:val="none"/>
                    </w:rPr>
                  </w:pPr>
                  <w:r>
                    <w:rPr>
                      <w:rFonts w:hAnsi="宋体"/>
                      <w:color w:val="auto"/>
                      <w:szCs w:val="21"/>
                      <w:highlight w:val="none"/>
                    </w:rPr>
                    <w:t>装置</w:t>
                  </w:r>
                </w:p>
              </w:tc>
              <w:tc>
                <w:tcPr>
                  <w:tcW w:w="197" w:type="pct"/>
                  <w:vMerge w:val="restart"/>
                  <w:noWrap w:val="0"/>
                  <w:vAlign w:val="center"/>
                </w:tcPr>
                <w:p w14:paraId="184742F2">
                  <w:pPr>
                    <w:autoSpaceDE w:val="0"/>
                    <w:autoSpaceDN w:val="0"/>
                    <w:contextualSpacing/>
                    <w:jc w:val="center"/>
                    <w:rPr>
                      <w:color w:val="auto"/>
                      <w:szCs w:val="21"/>
                      <w:highlight w:val="none"/>
                    </w:rPr>
                  </w:pPr>
                  <w:r>
                    <w:rPr>
                      <w:rFonts w:hint="eastAsia"/>
                      <w:color w:val="auto"/>
                      <w:szCs w:val="21"/>
                      <w:highlight w:val="none"/>
                    </w:rPr>
                    <w:t>污染源</w:t>
                  </w:r>
                </w:p>
              </w:tc>
              <w:tc>
                <w:tcPr>
                  <w:tcW w:w="500" w:type="pct"/>
                  <w:vMerge w:val="restart"/>
                  <w:noWrap w:val="0"/>
                  <w:vAlign w:val="center"/>
                </w:tcPr>
                <w:p w14:paraId="78A7D0A9">
                  <w:pPr>
                    <w:autoSpaceDE w:val="0"/>
                    <w:autoSpaceDN w:val="0"/>
                    <w:contextualSpacing/>
                    <w:jc w:val="center"/>
                    <w:rPr>
                      <w:color w:val="auto"/>
                      <w:szCs w:val="21"/>
                      <w:highlight w:val="none"/>
                    </w:rPr>
                  </w:pPr>
                  <w:r>
                    <w:rPr>
                      <w:rFonts w:hint="eastAsia"/>
                      <w:color w:val="auto"/>
                      <w:szCs w:val="21"/>
                      <w:highlight w:val="none"/>
                    </w:rPr>
                    <w:t>污染物</w:t>
                  </w:r>
                </w:p>
              </w:tc>
              <w:tc>
                <w:tcPr>
                  <w:tcW w:w="1496" w:type="pct"/>
                  <w:gridSpan w:val="4"/>
                  <w:noWrap w:val="0"/>
                  <w:vAlign w:val="center"/>
                </w:tcPr>
                <w:p w14:paraId="4D9B9E9D">
                  <w:pPr>
                    <w:autoSpaceDE w:val="0"/>
                    <w:autoSpaceDN w:val="0"/>
                    <w:contextualSpacing/>
                    <w:jc w:val="center"/>
                    <w:rPr>
                      <w:color w:val="auto"/>
                      <w:szCs w:val="21"/>
                      <w:highlight w:val="none"/>
                    </w:rPr>
                  </w:pPr>
                  <w:r>
                    <w:rPr>
                      <w:rFonts w:hint="eastAsia"/>
                      <w:color w:val="auto"/>
                      <w:szCs w:val="21"/>
                      <w:highlight w:val="none"/>
                    </w:rPr>
                    <w:t>污染物产生</w:t>
                  </w:r>
                </w:p>
              </w:tc>
              <w:tc>
                <w:tcPr>
                  <w:tcW w:w="745" w:type="pct"/>
                  <w:gridSpan w:val="2"/>
                  <w:noWrap w:val="0"/>
                  <w:vAlign w:val="center"/>
                </w:tcPr>
                <w:p w14:paraId="50216916">
                  <w:pPr>
                    <w:autoSpaceDE w:val="0"/>
                    <w:autoSpaceDN w:val="0"/>
                    <w:contextualSpacing/>
                    <w:jc w:val="center"/>
                    <w:rPr>
                      <w:color w:val="auto"/>
                      <w:szCs w:val="21"/>
                      <w:highlight w:val="none"/>
                    </w:rPr>
                  </w:pPr>
                  <w:r>
                    <w:rPr>
                      <w:rFonts w:hint="eastAsia"/>
                      <w:color w:val="auto"/>
                      <w:szCs w:val="21"/>
                      <w:highlight w:val="none"/>
                    </w:rPr>
                    <w:t>治理措施</w:t>
                  </w:r>
                </w:p>
              </w:tc>
              <w:tc>
                <w:tcPr>
                  <w:tcW w:w="981" w:type="pct"/>
                  <w:gridSpan w:val="3"/>
                  <w:noWrap w:val="0"/>
                  <w:vAlign w:val="center"/>
                </w:tcPr>
                <w:p w14:paraId="44AC8173">
                  <w:pPr>
                    <w:autoSpaceDE w:val="0"/>
                    <w:autoSpaceDN w:val="0"/>
                    <w:contextualSpacing/>
                    <w:jc w:val="center"/>
                    <w:rPr>
                      <w:color w:val="auto"/>
                      <w:szCs w:val="21"/>
                      <w:highlight w:val="none"/>
                    </w:rPr>
                  </w:pPr>
                  <w:r>
                    <w:rPr>
                      <w:rFonts w:hint="eastAsia"/>
                      <w:color w:val="auto"/>
                      <w:szCs w:val="21"/>
                      <w:highlight w:val="none"/>
                    </w:rPr>
                    <w:t>污染物排放</w:t>
                  </w:r>
                </w:p>
              </w:tc>
              <w:tc>
                <w:tcPr>
                  <w:tcW w:w="372" w:type="pct"/>
                  <w:vMerge w:val="restart"/>
                  <w:noWrap w:val="0"/>
                  <w:vAlign w:val="center"/>
                </w:tcPr>
                <w:p w14:paraId="177C218E">
                  <w:pPr>
                    <w:autoSpaceDE w:val="0"/>
                    <w:autoSpaceDN w:val="0"/>
                    <w:contextualSpacing/>
                    <w:jc w:val="center"/>
                    <w:rPr>
                      <w:color w:val="auto"/>
                      <w:szCs w:val="21"/>
                      <w:highlight w:val="none"/>
                    </w:rPr>
                  </w:pPr>
                  <w:r>
                    <w:rPr>
                      <w:rFonts w:hint="eastAsia"/>
                      <w:color w:val="auto"/>
                      <w:szCs w:val="21"/>
                      <w:highlight w:val="none"/>
                    </w:rPr>
                    <w:t>排放时间/h</w:t>
                  </w:r>
                </w:p>
              </w:tc>
            </w:tr>
            <w:tr w14:paraId="0A82B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5" w:hRule="atLeast"/>
                <w:jc w:val="center"/>
              </w:trPr>
              <w:tc>
                <w:tcPr>
                  <w:tcW w:w="385" w:type="pct"/>
                  <w:vMerge w:val="continue"/>
                  <w:noWrap w:val="0"/>
                  <w:vAlign w:val="center"/>
                </w:tcPr>
                <w:p w14:paraId="375B564C">
                  <w:pPr>
                    <w:autoSpaceDE w:val="0"/>
                    <w:autoSpaceDN w:val="0"/>
                    <w:contextualSpacing/>
                    <w:jc w:val="center"/>
                    <w:rPr>
                      <w:color w:val="auto"/>
                      <w:szCs w:val="21"/>
                      <w:highlight w:val="none"/>
                    </w:rPr>
                  </w:pPr>
                </w:p>
              </w:tc>
              <w:tc>
                <w:tcPr>
                  <w:tcW w:w="320" w:type="pct"/>
                  <w:vMerge w:val="continue"/>
                  <w:noWrap w:val="0"/>
                  <w:vAlign w:val="center"/>
                </w:tcPr>
                <w:p w14:paraId="2A936B6D">
                  <w:pPr>
                    <w:autoSpaceDE w:val="0"/>
                    <w:autoSpaceDN w:val="0"/>
                    <w:contextualSpacing/>
                    <w:jc w:val="center"/>
                    <w:rPr>
                      <w:color w:val="auto"/>
                      <w:szCs w:val="21"/>
                      <w:highlight w:val="none"/>
                    </w:rPr>
                  </w:pPr>
                </w:p>
              </w:tc>
              <w:tc>
                <w:tcPr>
                  <w:tcW w:w="197" w:type="pct"/>
                  <w:vMerge w:val="continue"/>
                  <w:noWrap w:val="0"/>
                  <w:vAlign w:val="center"/>
                </w:tcPr>
                <w:p w14:paraId="49AAE872">
                  <w:pPr>
                    <w:autoSpaceDE w:val="0"/>
                    <w:autoSpaceDN w:val="0"/>
                    <w:contextualSpacing/>
                    <w:jc w:val="center"/>
                    <w:rPr>
                      <w:color w:val="auto"/>
                      <w:szCs w:val="21"/>
                      <w:highlight w:val="none"/>
                    </w:rPr>
                  </w:pPr>
                </w:p>
              </w:tc>
              <w:tc>
                <w:tcPr>
                  <w:tcW w:w="500" w:type="pct"/>
                  <w:vMerge w:val="continue"/>
                  <w:noWrap w:val="0"/>
                  <w:vAlign w:val="center"/>
                </w:tcPr>
                <w:p w14:paraId="2E4D09FE">
                  <w:pPr>
                    <w:autoSpaceDE w:val="0"/>
                    <w:autoSpaceDN w:val="0"/>
                    <w:contextualSpacing/>
                    <w:jc w:val="center"/>
                    <w:rPr>
                      <w:color w:val="auto"/>
                      <w:szCs w:val="21"/>
                      <w:highlight w:val="none"/>
                    </w:rPr>
                  </w:pPr>
                </w:p>
              </w:tc>
              <w:tc>
                <w:tcPr>
                  <w:tcW w:w="261" w:type="pct"/>
                  <w:noWrap w:val="0"/>
                  <w:vAlign w:val="center"/>
                </w:tcPr>
                <w:p w14:paraId="38F62065">
                  <w:pPr>
                    <w:autoSpaceDE w:val="0"/>
                    <w:autoSpaceDN w:val="0"/>
                    <w:contextualSpacing/>
                    <w:jc w:val="center"/>
                    <w:rPr>
                      <w:color w:val="auto"/>
                      <w:szCs w:val="21"/>
                      <w:highlight w:val="none"/>
                    </w:rPr>
                  </w:pPr>
                  <w:r>
                    <w:rPr>
                      <w:rFonts w:hint="eastAsia"/>
                      <w:color w:val="auto"/>
                      <w:szCs w:val="21"/>
                      <w:highlight w:val="none"/>
                    </w:rPr>
                    <w:t>核算方法</w:t>
                  </w:r>
                </w:p>
              </w:tc>
              <w:tc>
                <w:tcPr>
                  <w:tcW w:w="374" w:type="pct"/>
                  <w:noWrap w:val="0"/>
                  <w:vAlign w:val="center"/>
                </w:tcPr>
                <w:p w14:paraId="064DF010">
                  <w:pPr>
                    <w:pStyle w:val="91"/>
                    <w:spacing w:line="240" w:lineRule="auto"/>
                    <w:contextualSpacing/>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废水产生量</w:t>
                  </w:r>
                  <w:r>
                    <w:rPr>
                      <w:rFonts w:hint="eastAsia" w:ascii="Times New Roman" w:hAnsi="Times New Roman" w:eastAsia="宋体"/>
                      <w:color w:val="auto"/>
                      <w:sz w:val="21"/>
                      <w:szCs w:val="21"/>
                      <w:highlight w:val="none"/>
                    </w:rPr>
                    <w:t>t/a</w:t>
                  </w:r>
                </w:p>
              </w:tc>
              <w:tc>
                <w:tcPr>
                  <w:tcW w:w="422" w:type="pct"/>
                  <w:noWrap w:val="0"/>
                  <w:vAlign w:val="center"/>
                </w:tcPr>
                <w:p w14:paraId="6AF4AC9F">
                  <w:pPr>
                    <w:pStyle w:val="91"/>
                    <w:spacing w:line="240" w:lineRule="auto"/>
                    <w:contextualSpacing/>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产生浓度mg/</w:t>
                  </w:r>
                  <w:r>
                    <w:rPr>
                      <w:rFonts w:hint="eastAsia" w:ascii="Times New Roman" w:hAnsi="Times New Roman" w:eastAsia="宋体"/>
                      <w:color w:val="auto"/>
                      <w:sz w:val="21"/>
                      <w:szCs w:val="21"/>
                      <w:highlight w:val="none"/>
                    </w:rPr>
                    <w:t>L</w:t>
                  </w:r>
                </w:p>
              </w:tc>
              <w:tc>
                <w:tcPr>
                  <w:tcW w:w="437" w:type="pct"/>
                  <w:noWrap w:val="0"/>
                  <w:vAlign w:val="center"/>
                </w:tcPr>
                <w:p w14:paraId="7EBAE7B2">
                  <w:pPr>
                    <w:pStyle w:val="91"/>
                    <w:spacing w:line="240" w:lineRule="auto"/>
                    <w:contextualSpacing/>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产生量</w:t>
                  </w:r>
                </w:p>
                <w:p w14:paraId="6EBA4E28">
                  <w:pPr>
                    <w:pStyle w:val="91"/>
                    <w:spacing w:line="240" w:lineRule="auto"/>
                    <w:contextualSpacing/>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t/a</w:t>
                  </w:r>
                </w:p>
              </w:tc>
              <w:tc>
                <w:tcPr>
                  <w:tcW w:w="510" w:type="pct"/>
                  <w:noWrap w:val="0"/>
                  <w:vAlign w:val="center"/>
                </w:tcPr>
                <w:p w14:paraId="5EE3A988">
                  <w:pPr>
                    <w:autoSpaceDE w:val="0"/>
                    <w:autoSpaceDN w:val="0"/>
                    <w:contextualSpacing/>
                    <w:jc w:val="center"/>
                    <w:rPr>
                      <w:color w:val="auto"/>
                      <w:szCs w:val="21"/>
                      <w:highlight w:val="none"/>
                    </w:rPr>
                  </w:pPr>
                  <w:r>
                    <w:rPr>
                      <w:rFonts w:hint="eastAsia"/>
                      <w:color w:val="auto"/>
                      <w:szCs w:val="21"/>
                      <w:highlight w:val="none"/>
                    </w:rPr>
                    <w:t>工艺</w:t>
                  </w:r>
                </w:p>
              </w:tc>
              <w:tc>
                <w:tcPr>
                  <w:tcW w:w="235" w:type="pct"/>
                  <w:noWrap w:val="0"/>
                  <w:vAlign w:val="center"/>
                </w:tcPr>
                <w:p w14:paraId="4E3BF523">
                  <w:pPr>
                    <w:autoSpaceDE w:val="0"/>
                    <w:autoSpaceDN w:val="0"/>
                    <w:contextualSpacing/>
                    <w:jc w:val="center"/>
                    <w:rPr>
                      <w:color w:val="auto"/>
                      <w:szCs w:val="21"/>
                      <w:highlight w:val="none"/>
                    </w:rPr>
                  </w:pPr>
                  <w:r>
                    <w:rPr>
                      <w:rFonts w:hint="eastAsia"/>
                      <w:color w:val="auto"/>
                      <w:szCs w:val="21"/>
                      <w:highlight w:val="none"/>
                    </w:rPr>
                    <w:t>效率</w:t>
                  </w:r>
                </w:p>
              </w:tc>
              <w:tc>
                <w:tcPr>
                  <w:tcW w:w="268" w:type="pct"/>
                  <w:noWrap w:val="0"/>
                  <w:vAlign w:val="center"/>
                </w:tcPr>
                <w:p w14:paraId="57546C32">
                  <w:pPr>
                    <w:autoSpaceDE w:val="0"/>
                    <w:autoSpaceDN w:val="0"/>
                    <w:contextualSpacing/>
                    <w:jc w:val="center"/>
                    <w:rPr>
                      <w:color w:val="auto"/>
                      <w:szCs w:val="21"/>
                      <w:highlight w:val="none"/>
                    </w:rPr>
                  </w:pPr>
                  <w:r>
                    <w:rPr>
                      <w:rFonts w:hint="eastAsia"/>
                      <w:color w:val="auto"/>
                      <w:szCs w:val="21"/>
                      <w:highlight w:val="none"/>
                    </w:rPr>
                    <w:t>核算方法</w:t>
                  </w:r>
                </w:p>
              </w:tc>
              <w:tc>
                <w:tcPr>
                  <w:tcW w:w="369" w:type="pct"/>
                  <w:noWrap w:val="0"/>
                  <w:vAlign w:val="center"/>
                </w:tcPr>
                <w:p w14:paraId="68B35C81">
                  <w:pPr>
                    <w:pStyle w:val="91"/>
                    <w:spacing w:line="240" w:lineRule="auto"/>
                    <w:contextualSpacing/>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排放</w:t>
                  </w:r>
                  <w:r>
                    <w:rPr>
                      <w:rFonts w:ascii="Times New Roman" w:hAnsi="Times New Roman" w:eastAsia="宋体"/>
                      <w:color w:val="auto"/>
                      <w:sz w:val="21"/>
                      <w:szCs w:val="21"/>
                      <w:highlight w:val="none"/>
                    </w:rPr>
                    <w:t>浓度mg/</w:t>
                  </w:r>
                  <w:r>
                    <w:rPr>
                      <w:rFonts w:hint="eastAsia" w:ascii="Times New Roman" w:hAnsi="Times New Roman" w:eastAsia="宋体"/>
                      <w:color w:val="auto"/>
                      <w:sz w:val="21"/>
                      <w:szCs w:val="21"/>
                      <w:highlight w:val="none"/>
                    </w:rPr>
                    <w:t>L</w:t>
                  </w:r>
                </w:p>
              </w:tc>
              <w:tc>
                <w:tcPr>
                  <w:tcW w:w="343" w:type="pct"/>
                  <w:noWrap w:val="0"/>
                  <w:vAlign w:val="center"/>
                </w:tcPr>
                <w:p w14:paraId="55D5B6EE">
                  <w:pPr>
                    <w:pStyle w:val="91"/>
                    <w:spacing w:line="240" w:lineRule="auto"/>
                    <w:contextualSpacing/>
                    <w:rPr>
                      <w:rFonts w:ascii="Times New Roman" w:hAnsi="Times New Roman" w:eastAsia="宋体"/>
                      <w:color w:val="auto"/>
                      <w:sz w:val="21"/>
                      <w:szCs w:val="21"/>
                      <w:highlight w:val="none"/>
                    </w:rPr>
                  </w:pPr>
                  <w:r>
                    <w:rPr>
                      <w:rFonts w:hint="eastAsia" w:ascii="Times New Roman" w:hAnsi="Times New Roman" w:eastAsia="宋体"/>
                      <w:color w:val="auto"/>
                      <w:sz w:val="21"/>
                      <w:szCs w:val="21"/>
                      <w:highlight w:val="none"/>
                    </w:rPr>
                    <w:t>排放量t/a</w:t>
                  </w:r>
                </w:p>
              </w:tc>
              <w:tc>
                <w:tcPr>
                  <w:tcW w:w="372" w:type="pct"/>
                  <w:vMerge w:val="continue"/>
                  <w:noWrap w:val="0"/>
                  <w:vAlign w:val="center"/>
                </w:tcPr>
                <w:p w14:paraId="69705EA7">
                  <w:pPr>
                    <w:pStyle w:val="91"/>
                    <w:spacing w:line="240" w:lineRule="auto"/>
                    <w:contextualSpacing/>
                    <w:rPr>
                      <w:rFonts w:ascii="Times New Roman" w:hAnsi="Times New Roman" w:eastAsia="宋体"/>
                      <w:color w:val="auto"/>
                      <w:sz w:val="21"/>
                      <w:szCs w:val="21"/>
                      <w:highlight w:val="none"/>
                    </w:rPr>
                  </w:pPr>
                </w:p>
              </w:tc>
            </w:tr>
            <w:tr w14:paraId="33A51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385" w:type="pct"/>
                  <w:vMerge w:val="restart"/>
                  <w:noWrap w:val="0"/>
                  <w:vAlign w:val="center"/>
                </w:tcPr>
                <w:p w14:paraId="10464D5B">
                  <w:pPr>
                    <w:autoSpaceDE w:val="0"/>
                    <w:autoSpaceDN w:val="0"/>
                    <w:contextualSpacing/>
                    <w:jc w:val="center"/>
                    <w:rPr>
                      <w:color w:val="auto"/>
                      <w:szCs w:val="21"/>
                      <w:highlight w:val="none"/>
                    </w:rPr>
                  </w:pPr>
                  <w:r>
                    <w:rPr>
                      <w:rFonts w:hint="eastAsia"/>
                      <w:color w:val="auto"/>
                      <w:szCs w:val="21"/>
                      <w:highlight w:val="none"/>
                    </w:rPr>
                    <w:t>职工生活</w:t>
                  </w:r>
                </w:p>
              </w:tc>
              <w:tc>
                <w:tcPr>
                  <w:tcW w:w="320" w:type="pct"/>
                  <w:vMerge w:val="restart"/>
                  <w:noWrap w:val="0"/>
                  <w:vAlign w:val="center"/>
                </w:tcPr>
                <w:p w14:paraId="5F1F5638">
                  <w:pPr>
                    <w:autoSpaceDE w:val="0"/>
                    <w:autoSpaceDN w:val="0"/>
                    <w:contextualSpacing/>
                    <w:jc w:val="center"/>
                    <w:rPr>
                      <w:color w:val="auto"/>
                      <w:szCs w:val="21"/>
                      <w:highlight w:val="none"/>
                    </w:rPr>
                  </w:pPr>
                  <w:r>
                    <w:rPr>
                      <w:rFonts w:hint="eastAsia"/>
                      <w:color w:val="auto"/>
                      <w:szCs w:val="21"/>
                      <w:highlight w:val="none"/>
                    </w:rPr>
                    <w:t>职工</w:t>
                  </w:r>
                </w:p>
              </w:tc>
              <w:tc>
                <w:tcPr>
                  <w:tcW w:w="197" w:type="pct"/>
                  <w:vMerge w:val="restart"/>
                  <w:noWrap w:val="0"/>
                  <w:vAlign w:val="center"/>
                </w:tcPr>
                <w:p w14:paraId="0DF2E8AD">
                  <w:pPr>
                    <w:autoSpaceDE w:val="0"/>
                    <w:autoSpaceDN w:val="0"/>
                    <w:contextualSpacing/>
                    <w:jc w:val="center"/>
                    <w:rPr>
                      <w:color w:val="auto"/>
                      <w:szCs w:val="21"/>
                      <w:highlight w:val="none"/>
                    </w:rPr>
                  </w:pPr>
                  <w:r>
                    <w:rPr>
                      <w:rFonts w:hint="eastAsia"/>
                      <w:color w:val="auto"/>
                      <w:szCs w:val="21"/>
                      <w:highlight w:val="none"/>
                    </w:rPr>
                    <w:t>生活污水</w:t>
                  </w:r>
                </w:p>
              </w:tc>
              <w:tc>
                <w:tcPr>
                  <w:tcW w:w="500" w:type="pct"/>
                  <w:noWrap w:val="0"/>
                  <w:vAlign w:val="center"/>
                </w:tcPr>
                <w:p w14:paraId="3B0D643A">
                  <w:pPr>
                    <w:contextualSpacing/>
                    <w:jc w:val="center"/>
                    <w:rPr>
                      <w:color w:val="auto"/>
                      <w:szCs w:val="21"/>
                      <w:highlight w:val="none"/>
                    </w:rPr>
                  </w:pPr>
                  <w:r>
                    <w:rPr>
                      <w:color w:val="auto"/>
                      <w:szCs w:val="21"/>
                      <w:highlight w:val="none"/>
                    </w:rPr>
                    <w:t>COD</w:t>
                  </w:r>
                </w:p>
              </w:tc>
              <w:tc>
                <w:tcPr>
                  <w:tcW w:w="261" w:type="pct"/>
                  <w:vMerge w:val="restart"/>
                  <w:noWrap w:val="0"/>
                  <w:vAlign w:val="center"/>
                </w:tcPr>
                <w:p w14:paraId="18C7B570">
                  <w:pPr>
                    <w:autoSpaceDE w:val="0"/>
                    <w:autoSpaceDN w:val="0"/>
                    <w:contextualSpacing/>
                    <w:jc w:val="center"/>
                    <w:rPr>
                      <w:color w:val="auto"/>
                      <w:szCs w:val="21"/>
                      <w:highlight w:val="none"/>
                    </w:rPr>
                  </w:pPr>
                  <w:r>
                    <w:rPr>
                      <w:rFonts w:hint="eastAsia"/>
                      <w:color w:val="auto"/>
                      <w:szCs w:val="21"/>
                      <w:highlight w:val="none"/>
                    </w:rPr>
                    <w:t>类比</w:t>
                  </w:r>
                </w:p>
              </w:tc>
              <w:tc>
                <w:tcPr>
                  <w:tcW w:w="374" w:type="pct"/>
                  <w:vMerge w:val="restart"/>
                  <w:noWrap w:val="0"/>
                  <w:vAlign w:val="center"/>
                </w:tcPr>
                <w:p w14:paraId="4FD3ED5B">
                  <w:pPr>
                    <w:autoSpaceDE w:val="0"/>
                    <w:autoSpaceDN w:val="0"/>
                    <w:contextualSpacing/>
                    <w:jc w:val="center"/>
                    <w:rPr>
                      <w:rFonts w:hint="default" w:eastAsia="宋体"/>
                      <w:color w:val="auto"/>
                      <w:szCs w:val="21"/>
                      <w:highlight w:val="none"/>
                      <w:lang w:val="en-US" w:eastAsia="zh-CN"/>
                    </w:rPr>
                  </w:pPr>
                  <w:r>
                    <w:rPr>
                      <w:rFonts w:hint="eastAsia"/>
                      <w:color w:val="auto"/>
                      <w:szCs w:val="21"/>
                      <w:highlight w:val="none"/>
                      <w:lang w:val="en-US" w:eastAsia="zh-CN"/>
                    </w:rPr>
                    <w:t>6.4</w:t>
                  </w:r>
                </w:p>
              </w:tc>
              <w:tc>
                <w:tcPr>
                  <w:tcW w:w="422" w:type="pct"/>
                  <w:noWrap w:val="0"/>
                  <w:vAlign w:val="center"/>
                </w:tcPr>
                <w:p w14:paraId="3ABAA9C0">
                  <w:pPr>
                    <w:pStyle w:val="136"/>
                    <w:rPr>
                      <w:color w:val="auto"/>
                      <w:kern w:val="2"/>
                      <w:sz w:val="21"/>
                      <w:szCs w:val="21"/>
                      <w:highlight w:val="none"/>
                    </w:rPr>
                  </w:pPr>
                  <w:r>
                    <w:rPr>
                      <w:rFonts w:hint="eastAsia"/>
                      <w:color w:val="auto"/>
                      <w:kern w:val="2"/>
                      <w:sz w:val="21"/>
                      <w:szCs w:val="21"/>
                      <w:highlight w:val="none"/>
                    </w:rPr>
                    <w:t>350</w:t>
                  </w:r>
                </w:p>
              </w:tc>
              <w:tc>
                <w:tcPr>
                  <w:tcW w:w="437" w:type="pct"/>
                  <w:noWrap w:val="0"/>
                  <w:vAlign w:val="center"/>
                </w:tcPr>
                <w:p w14:paraId="1C36FF71">
                  <w:pPr>
                    <w:autoSpaceDE w:val="0"/>
                    <w:autoSpaceDN w:val="0"/>
                    <w:contextualSpacing/>
                    <w:jc w:val="center"/>
                    <w:rPr>
                      <w:rFonts w:hint="default" w:eastAsia="宋体"/>
                      <w:color w:val="auto"/>
                      <w:szCs w:val="21"/>
                      <w:highlight w:val="none"/>
                      <w:lang w:val="en-US" w:eastAsia="zh-CN"/>
                    </w:rPr>
                  </w:pPr>
                  <w:r>
                    <w:rPr>
                      <w:rFonts w:hint="eastAsia" w:eastAsia="宋体"/>
                      <w:color w:val="auto"/>
                      <w:szCs w:val="21"/>
                      <w:highlight w:val="none"/>
                      <w:lang w:val="en-US" w:eastAsia="zh-CN"/>
                    </w:rPr>
                    <w:t>0.00</w:t>
                  </w:r>
                  <w:r>
                    <w:rPr>
                      <w:rFonts w:hint="eastAsia"/>
                      <w:color w:val="auto"/>
                      <w:szCs w:val="21"/>
                      <w:highlight w:val="none"/>
                      <w:lang w:val="en-US" w:eastAsia="zh-CN"/>
                    </w:rPr>
                    <w:t>224</w:t>
                  </w:r>
                </w:p>
              </w:tc>
              <w:tc>
                <w:tcPr>
                  <w:tcW w:w="510" w:type="pct"/>
                  <w:vMerge w:val="restart"/>
                  <w:noWrap w:val="0"/>
                  <w:vAlign w:val="center"/>
                </w:tcPr>
                <w:p w14:paraId="6F827D49">
                  <w:pPr>
                    <w:autoSpaceDE w:val="0"/>
                    <w:autoSpaceDN w:val="0"/>
                    <w:contextualSpacing/>
                    <w:jc w:val="center"/>
                    <w:rPr>
                      <w:color w:val="auto"/>
                      <w:szCs w:val="21"/>
                      <w:highlight w:val="none"/>
                    </w:rPr>
                  </w:pPr>
                  <w:r>
                    <w:rPr>
                      <w:rFonts w:hint="eastAsia"/>
                      <w:color w:val="auto"/>
                      <w:szCs w:val="21"/>
                      <w:highlight w:val="none"/>
                    </w:rPr>
                    <w:t>排入防渗旱厕，定期清掏外运堆肥，不外排</w:t>
                  </w:r>
                </w:p>
              </w:tc>
              <w:tc>
                <w:tcPr>
                  <w:tcW w:w="235" w:type="pct"/>
                  <w:vMerge w:val="restart"/>
                  <w:noWrap w:val="0"/>
                  <w:vAlign w:val="center"/>
                </w:tcPr>
                <w:p w14:paraId="5B6B8237">
                  <w:pPr>
                    <w:pStyle w:val="137"/>
                    <w:adjustRightInd/>
                    <w:snapToGrid/>
                    <w:spacing w:line="240" w:lineRule="auto"/>
                    <w:ind w:firstLine="0" w:firstLineChars="0"/>
                    <w:contextualSpacing/>
                    <w:jc w:val="center"/>
                    <w:rPr>
                      <w:bCs/>
                      <w:color w:val="auto"/>
                      <w:sz w:val="21"/>
                      <w:szCs w:val="21"/>
                      <w:highlight w:val="none"/>
                    </w:rPr>
                  </w:pPr>
                  <w:r>
                    <w:rPr>
                      <w:rFonts w:hint="eastAsia"/>
                      <w:bCs/>
                      <w:color w:val="auto"/>
                      <w:sz w:val="21"/>
                      <w:szCs w:val="21"/>
                      <w:highlight w:val="none"/>
                    </w:rPr>
                    <w:t>0</w:t>
                  </w:r>
                </w:p>
              </w:tc>
              <w:tc>
                <w:tcPr>
                  <w:tcW w:w="268" w:type="pct"/>
                  <w:vMerge w:val="restart"/>
                  <w:noWrap w:val="0"/>
                  <w:vAlign w:val="center"/>
                </w:tcPr>
                <w:p w14:paraId="409B50E0">
                  <w:pPr>
                    <w:autoSpaceDE w:val="0"/>
                    <w:autoSpaceDN w:val="0"/>
                    <w:contextualSpacing/>
                    <w:jc w:val="center"/>
                    <w:rPr>
                      <w:color w:val="auto"/>
                      <w:szCs w:val="21"/>
                      <w:highlight w:val="none"/>
                    </w:rPr>
                  </w:pPr>
                  <w:r>
                    <w:rPr>
                      <w:rFonts w:hint="eastAsia"/>
                      <w:color w:val="auto"/>
                      <w:szCs w:val="21"/>
                      <w:highlight w:val="none"/>
                    </w:rPr>
                    <w:t>/</w:t>
                  </w:r>
                </w:p>
              </w:tc>
              <w:tc>
                <w:tcPr>
                  <w:tcW w:w="369" w:type="pct"/>
                  <w:vMerge w:val="restart"/>
                  <w:noWrap w:val="0"/>
                  <w:vAlign w:val="center"/>
                </w:tcPr>
                <w:p w14:paraId="41FCFEB0">
                  <w:pPr>
                    <w:autoSpaceDE w:val="0"/>
                    <w:autoSpaceDN w:val="0"/>
                    <w:contextualSpacing/>
                    <w:jc w:val="center"/>
                    <w:rPr>
                      <w:color w:val="auto"/>
                      <w:szCs w:val="21"/>
                      <w:highlight w:val="none"/>
                    </w:rPr>
                  </w:pPr>
                  <w:r>
                    <w:rPr>
                      <w:rFonts w:hint="eastAsia"/>
                      <w:color w:val="auto"/>
                      <w:szCs w:val="21"/>
                      <w:highlight w:val="none"/>
                    </w:rPr>
                    <w:t>0</w:t>
                  </w:r>
                </w:p>
              </w:tc>
              <w:tc>
                <w:tcPr>
                  <w:tcW w:w="343" w:type="pct"/>
                  <w:noWrap w:val="0"/>
                  <w:vAlign w:val="center"/>
                </w:tcPr>
                <w:p w14:paraId="443420C0">
                  <w:pPr>
                    <w:autoSpaceDE w:val="0"/>
                    <w:autoSpaceDN w:val="0"/>
                    <w:contextualSpacing/>
                    <w:jc w:val="center"/>
                    <w:rPr>
                      <w:color w:val="auto"/>
                      <w:szCs w:val="21"/>
                      <w:highlight w:val="none"/>
                    </w:rPr>
                  </w:pPr>
                  <w:r>
                    <w:rPr>
                      <w:rFonts w:hint="eastAsia"/>
                      <w:color w:val="auto"/>
                      <w:szCs w:val="21"/>
                      <w:highlight w:val="none"/>
                    </w:rPr>
                    <w:t>0</w:t>
                  </w:r>
                </w:p>
              </w:tc>
              <w:tc>
                <w:tcPr>
                  <w:tcW w:w="372" w:type="pct"/>
                  <w:vMerge w:val="restart"/>
                  <w:noWrap w:val="0"/>
                  <w:vAlign w:val="center"/>
                </w:tcPr>
                <w:p w14:paraId="6B3FB196">
                  <w:pPr>
                    <w:autoSpaceDE w:val="0"/>
                    <w:autoSpaceDN w:val="0"/>
                    <w:contextualSpacing/>
                    <w:jc w:val="center"/>
                    <w:rPr>
                      <w:color w:val="auto"/>
                      <w:szCs w:val="21"/>
                      <w:highlight w:val="none"/>
                    </w:rPr>
                  </w:pPr>
                  <w:r>
                    <w:rPr>
                      <w:rFonts w:hint="eastAsia"/>
                      <w:color w:val="auto"/>
                      <w:szCs w:val="21"/>
                      <w:highlight w:val="none"/>
                    </w:rPr>
                    <w:t>/</w:t>
                  </w:r>
                </w:p>
              </w:tc>
            </w:tr>
            <w:tr w14:paraId="21D25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385" w:type="pct"/>
                  <w:vMerge w:val="continue"/>
                  <w:noWrap w:val="0"/>
                  <w:vAlign w:val="center"/>
                </w:tcPr>
                <w:p w14:paraId="2F06EDCE">
                  <w:pPr>
                    <w:autoSpaceDE w:val="0"/>
                    <w:autoSpaceDN w:val="0"/>
                    <w:contextualSpacing/>
                    <w:jc w:val="center"/>
                    <w:rPr>
                      <w:color w:val="auto"/>
                      <w:szCs w:val="21"/>
                      <w:highlight w:val="none"/>
                    </w:rPr>
                  </w:pPr>
                </w:p>
              </w:tc>
              <w:tc>
                <w:tcPr>
                  <w:tcW w:w="320" w:type="pct"/>
                  <w:vMerge w:val="continue"/>
                  <w:noWrap w:val="0"/>
                  <w:vAlign w:val="center"/>
                </w:tcPr>
                <w:p w14:paraId="01BD449C">
                  <w:pPr>
                    <w:autoSpaceDE w:val="0"/>
                    <w:autoSpaceDN w:val="0"/>
                    <w:contextualSpacing/>
                    <w:jc w:val="center"/>
                    <w:rPr>
                      <w:color w:val="auto"/>
                      <w:szCs w:val="21"/>
                      <w:highlight w:val="none"/>
                    </w:rPr>
                  </w:pPr>
                </w:p>
              </w:tc>
              <w:tc>
                <w:tcPr>
                  <w:tcW w:w="197" w:type="pct"/>
                  <w:vMerge w:val="continue"/>
                  <w:noWrap w:val="0"/>
                  <w:vAlign w:val="center"/>
                </w:tcPr>
                <w:p w14:paraId="66CCB158">
                  <w:pPr>
                    <w:autoSpaceDE w:val="0"/>
                    <w:autoSpaceDN w:val="0"/>
                    <w:contextualSpacing/>
                    <w:jc w:val="center"/>
                    <w:rPr>
                      <w:color w:val="auto"/>
                      <w:szCs w:val="21"/>
                      <w:highlight w:val="none"/>
                    </w:rPr>
                  </w:pPr>
                </w:p>
              </w:tc>
              <w:tc>
                <w:tcPr>
                  <w:tcW w:w="500" w:type="pct"/>
                  <w:noWrap w:val="0"/>
                  <w:vAlign w:val="center"/>
                </w:tcPr>
                <w:p w14:paraId="042EB628">
                  <w:pPr>
                    <w:contextualSpacing/>
                    <w:jc w:val="center"/>
                    <w:rPr>
                      <w:color w:val="auto"/>
                      <w:szCs w:val="21"/>
                      <w:highlight w:val="none"/>
                    </w:rPr>
                  </w:pPr>
                  <w:r>
                    <w:rPr>
                      <w:rFonts w:hint="eastAsia"/>
                      <w:color w:val="auto"/>
                      <w:szCs w:val="21"/>
                      <w:highlight w:val="none"/>
                    </w:rPr>
                    <w:t>SS</w:t>
                  </w:r>
                </w:p>
              </w:tc>
              <w:tc>
                <w:tcPr>
                  <w:tcW w:w="261" w:type="pct"/>
                  <w:vMerge w:val="continue"/>
                  <w:noWrap w:val="0"/>
                  <w:vAlign w:val="center"/>
                </w:tcPr>
                <w:p w14:paraId="6A0B96DA">
                  <w:pPr>
                    <w:autoSpaceDE w:val="0"/>
                    <w:autoSpaceDN w:val="0"/>
                    <w:contextualSpacing/>
                    <w:jc w:val="center"/>
                    <w:rPr>
                      <w:color w:val="auto"/>
                      <w:szCs w:val="21"/>
                      <w:highlight w:val="none"/>
                    </w:rPr>
                  </w:pPr>
                </w:p>
              </w:tc>
              <w:tc>
                <w:tcPr>
                  <w:tcW w:w="374" w:type="pct"/>
                  <w:vMerge w:val="continue"/>
                  <w:noWrap w:val="0"/>
                  <w:vAlign w:val="center"/>
                </w:tcPr>
                <w:p w14:paraId="4416F6FD">
                  <w:pPr>
                    <w:autoSpaceDE w:val="0"/>
                    <w:autoSpaceDN w:val="0"/>
                    <w:contextualSpacing/>
                    <w:jc w:val="center"/>
                    <w:rPr>
                      <w:color w:val="auto"/>
                      <w:szCs w:val="21"/>
                      <w:highlight w:val="none"/>
                    </w:rPr>
                  </w:pPr>
                </w:p>
              </w:tc>
              <w:tc>
                <w:tcPr>
                  <w:tcW w:w="422" w:type="pct"/>
                  <w:noWrap w:val="0"/>
                  <w:vAlign w:val="center"/>
                </w:tcPr>
                <w:p w14:paraId="7B2A6718">
                  <w:pPr>
                    <w:pStyle w:val="136"/>
                    <w:rPr>
                      <w:color w:val="auto"/>
                      <w:kern w:val="2"/>
                      <w:sz w:val="21"/>
                      <w:szCs w:val="21"/>
                      <w:highlight w:val="none"/>
                    </w:rPr>
                  </w:pPr>
                  <w:r>
                    <w:rPr>
                      <w:rFonts w:hint="eastAsia"/>
                      <w:color w:val="auto"/>
                      <w:kern w:val="2"/>
                      <w:sz w:val="21"/>
                      <w:szCs w:val="21"/>
                      <w:highlight w:val="none"/>
                    </w:rPr>
                    <w:t>200</w:t>
                  </w:r>
                </w:p>
              </w:tc>
              <w:tc>
                <w:tcPr>
                  <w:tcW w:w="437" w:type="pct"/>
                  <w:noWrap w:val="0"/>
                  <w:vAlign w:val="center"/>
                </w:tcPr>
                <w:p w14:paraId="23F35150">
                  <w:pPr>
                    <w:autoSpaceDE w:val="0"/>
                    <w:autoSpaceDN w:val="0"/>
                    <w:contextualSpacing/>
                    <w:jc w:val="center"/>
                    <w:rPr>
                      <w:rFonts w:hint="default" w:eastAsia="宋体"/>
                      <w:color w:val="auto"/>
                      <w:szCs w:val="21"/>
                      <w:highlight w:val="none"/>
                      <w:lang w:val="en-US" w:eastAsia="zh-CN"/>
                    </w:rPr>
                  </w:pPr>
                  <w:r>
                    <w:rPr>
                      <w:rFonts w:hint="eastAsia"/>
                      <w:color w:val="auto"/>
                      <w:szCs w:val="21"/>
                      <w:highlight w:val="none"/>
                      <w:lang w:val="en-US" w:eastAsia="zh-CN"/>
                    </w:rPr>
                    <w:t>0.00128</w:t>
                  </w:r>
                </w:p>
              </w:tc>
              <w:tc>
                <w:tcPr>
                  <w:tcW w:w="510" w:type="pct"/>
                  <w:vMerge w:val="continue"/>
                  <w:noWrap w:val="0"/>
                  <w:vAlign w:val="center"/>
                </w:tcPr>
                <w:p w14:paraId="555523FE">
                  <w:pPr>
                    <w:autoSpaceDE w:val="0"/>
                    <w:autoSpaceDN w:val="0"/>
                    <w:contextualSpacing/>
                    <w:jc w:val="center"/>
                    <w:rPr>
                      <w:color w:val="auto"/>
                      <w:szCs w:val="21"/>
                      <w:highlight w:val="none"/>
                    </w:rPr>
                  </w:pPr>
                </w:p>
              </w:tc>
              <w:tc>
                <w:tcPr>
                  <w:tcW w:w="235" w:type="pct"/>
                  <w:vMerge w:val="continue"/>
                  <w:noWrap w:val="0"/>
                  <w:vAlign w:val="center"/>
                </w:tcPr>
                <w:p w14:paraId="42C85EF8">
                  <w:pPr>
                    <w:pStyle w:val="137"/>
                    <w:adjustRightInd/>
                    <w:snapToGrid/>
                    <w:spacing w:line="240" w:lineRule="auto"/>
                    <w:ind w:firstLine="0" w:firstLineChars="0"/>
                    <w:contextualSpacing/>
                    <w:jc w:val="center"/>
                    <w:rPr>
                      <w:bCs/>
                      <w:color w:val="auto"/>
                      <w:sz w:val="21"/>
                      <w:szCs w:val="21"/>
                      <w:highlight w:val="none"/>
                    </w:rPr>
                  </w:pPr>
                </w:p>
              </w:tc>
              <w:tc>
                <w:tcPr>
                  <w:tcW w:w="268" w:type="pct"/>
                  <w:vMerge w:val="continue"/>
                  <w:noWrap w:val="0"/>
                  <w:vAlign w:val="center"/>
                </w:tcPr>
                <w:p w14:paraId="213DAE0D">
                  <w:pPr>
                    <w:autoSpaceDE w:val="0"/>
                    <w:autoSpaceDN w:val="0"/>
                    <w:contextualSpacing/>
                    <w:jc w:val="center"/>
                    <w:rPr>
                      <w:color w:val="auto"/>
                      <w:szCs w:val="21"/>
                      <w:highlight w:val="none"/>
                    </w:rPr>
                  </w:pPr>
                </w:p>
              </w:tc>
              <w:tc>
                <w:tcPr>
                  <w:tcW w:w="369" w:type="pct"/>
                  <w:vMerge w:val="continue"/>
                  <w:noWrap w:val="0"/>
                  <w:vAlign w:val="center"/>
                </w:tcPr>
                <w:p w14:paraId="283BB273">
                  <w:pPr>
                    <w:autoSpaceDE w:val="0"/>
                    <w:autoSpaceDN w:val="0"/>
                    <w:contextualSpacing/>
                    <w:jc w:val="center"/>
                    <w:rPr>
                      <w:color w:val="auto"/>
                      <w:szCs w:val="21"/>
                      <w:highlight w:val="none"/>
                    </w:rPr>
                  </w:pPr>
                </w:p>
              </w:tc>
              <w:tc>
                <w:tcPr>
                  <w:tcW w:w="343" w:type="pct"/>
                  <w:noWrap w:val="0"/>
                  <w:vAlign w:val="center"/>
                </w:tcPr>
                <w:p w14:paraId="6A724D56">
                  <w:pPr>
                    <w:autoSpaceDE w:val="0"/>
                    <w:autoSpaceDN w:val="0"/>
                    <w:contextualSpacing/>
                    <w:jc w:val="center"/>
                    <w:rPr>
                      <w:color w:val="auto"/>
                      <w:szCs w:val="21"/>
                      <w:highlight w:val="none"/>
                    </w:rPr>
                  </w:pPr>
                  <w:r>
                    <w:rPr>
                      <w:rFonts w:hint="eastAsia"/>
                      <w:color w:val="auto"/>
                      <w:szCs w:val="21"/>
                      <w:highlight w:val="none"/>
                    </w:rPr>
                    <w:t>0</w:t>
                  </w:r>
                </w:p>
              </w:tc>
              <w:tc>
                <w:tcPr>
                  <w:tcW w:w="372" w:type="pct"/>
                  <w:vMerge w:val="continue"/>
                  <w:noWrap w:val="0"/>
                  <w:vAlign w:val="center"/>
                </w:tcPr>
                <w:p w14:paraId="16D2D63A">
                  <w:pPr>
                    <w:autoSpaceDE w:val="0"/>
                    <w:autoSpaceDN w:val="0"/>
                    <w:contextualSpacing/>
                    <w:jc w:val="center"/>
                    <w:rPr>
                      <w:color w:val="auto"/>
                      <w:szCs w:val="21"/>
                      <w:highlight w:val="none"/>
                    </w:rPr>
                  </w:pPr>
                </w:p>
              </w:tc>
            </w:tr>
            <w:tr w14:paraId="0A697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385" w:type="pct"/>
                  <w:vMerge w:val="continue"/>
                  <w:noWrap w:val="0"/>
                  <w:vAlign w:val="center"/>
                </w:tcPr>
                <w:p w14:paraId="223393E7">
                  <w:pPr>
                    <w:autoSpaceDE w:val="0"/>
                    <w:autoSpaceDN w:val="0"/>
                    <w:contextualSpacing/>
                    <w:jc w:val="center"/>
                    <w:rPr>
                      <w:color w:val="auto"/>
                      <w:szCs w:val="21"/>
                      <w:highlight w:val="none"/>
                    </w:rPr>
                  </w:pPr>
                </w:p>
              </w:tc>
              <w:tc>
                <w:tcPr>
                  <w:tcW w:w="320" w:type="pct"/>
                  <w:vMerge w:val="continue"/>
                  <w:noWrap w:val="0"/>
                  <w:vAlign w:val="center"/>
                </w:tcPr>
                <w:p w14:paraId="26AAC66A">
                  <w:pPr>
                    <w:autoSpaceDE w:val="0"/>
                    <w:autoSpaceDN w:val="0"/>
                    <w:contextualSpacing/>
                    <w:jc w:val="center"/>
                    <w:rPr>
                      <w:color w:val="auto"/>
                      <w:szCs w:val="21"/>
                      <w:highlight w:val="none"/>
                    </w:rPr>
                  </w:pPr>
                </w:p>
              </w:tc>
              <w:tc>
                <w:tcPr>
                  <w:tcW w:w="197" w:type="pct"/>
                  <w:vMerge w:val="continue"/>
                  <w:noWrap w:val="0"/>
                  <w:vAlign w:val="center"/>
                </w:tcPr>
                <w:p w14:paraId="6AFF6CC8">
                  <w:pPr>
                    <w:autoSpaceDE w:val="0"/>
                    <w:autoSpaceDN w:val="0"/>
                    <w:contextualSpacing/>
                    <w:jc w:val="center"/>
                    <w:rPr>
                      <w:color w:val="auto"/>
                      <w:szCs w:val="21"/>
                      <w:highlight w:val="none"/>
                    </w:rPr>
                  </w:pPr>
                </w:p>
              </w:tc>
              <w:tc>
                <w:tcPr>
                  <w:tcW w:w="500" w:type="pct"/>
                  <w:noWrap w:val="0"/>
                  <w:vAlign w:val="center"/>
                </w:tcPr>
                <w:p w14:paraId="2D596C48">
                  <w:pPr>
                    <w:contextualSpacing/>
                    <w:jc w:val="center"/>
                    <w:rPr>
                      <w:color w:val="auto"/>
                      <w:szCs w:val="21"/>
                      <w:highlight w:val="none"/>
                    </w:rPr>
                  </w:pPr>
                  <w:r>
                    <w:rPr>
                      <w:rFonts w:hint="eastAsia"/>
                      <w:color w:val="auto"/>
                      <w:szCs w:val="21"/>
                      <w:highlight w:val="none"/>
                    </w:rPr>
                    <w:t>BOD</w:t>
                  </w:r>
                  <w:r>
                    <w:rPr>
                      <w:rFonts w:hint="eastAsia"/>
                      <w:color w:val="auto"/>
                      <w:szCs w:val="21"/>
                      <w:highlight w:val="none"/>
                      <w:vertAlign w:val="subscript"/>
                    </w:rPr>
                    <w:t>5</w:t>
                  </w:r>
                </w:p>
              </w:tc>
              <w:tc>
                <w:tcPr>
                  <w:tcW w:w="261" w:type="pct"/>
                  <w:vMerge w:val="continue"/>
                  <w:noWrap w:val="0"/>
                  <w:vAlign w:val="center"/>
                </w:tcPr>
                <w:p w14:paraId="70D6DD5C">
                  <w:pPr>
                    <w:autoSpaceDE w:val="0"/>
                    <w:autoSpaceDN w:val="0"/>
                    <w:contextualSpacing/>
                    <w:jc w:val="center"/>
                    <w:rPr>
                      <w:color w:val="auto"/>
                      <w:szCs w:val="21"/>
                      <w:highlight w:val="none"/>
                    </w:rPr>
                  </w:pPr>
                </w:p>
              </w:tc>
              <w:tc>
                <w:tcPr>
                  <w:tcW w:w="374" w:type="pct"/>
                  <w:vMerge w:val="continue"/>
                  <w:noWrap w:val="0"/>
                  <w:vAlign w:val="center"/>
                </w:tcPr>
                <w:p w14:paraId="0B63C2C6">
                  <w:pPr>
                    <w:autoSpaceDE w:val="0"/>
                    <w:autoSpaceDN w:val="0"/>
                    <w:contextualSpacing/>
                    <w:jc w:val="center"/>
                    <w:rPr>
                      <w:color w:val="auto"/>
                      <w:szCs w:val="21"/>
                      <w:highlight w:val="none"/>
                    </w:rPr>
                  </w:pPr>
                </w:p>
              </w:tc>
              <w:tc>
                <w:tcPr>
                  <w:tcW w:w="422" w:type="pct"/>
                  <w:noWrap w:val="0"/>
                  <w:vAlign w:val="center"/>
                </w:tcPr>
                <w:p w14:paraId="7D1E28DA">
                  <w:pPr>
                    <w:pStyle w:val="136"/>
                    <w:rPr>
                      <w:color w:val="auto"/>
                      <w:kern w:val="2"/>
                      <w:sz w:val="21"/>
                      <w:szCs w:val="21"/>
                      <w:highlight w:val="none"/>
                    </w:rPr>
                  </w:pPr>
                  <w:r>
                    <w:rPr>
                      <w:rFonts w:hint="eastAsia"/>
                      <w:color w:val="auto"/>
                      <w:kern w:val="2"/>
                      <w:sz w:val="21"/>
                      <w:szCs w:val="21"/>
                      <w:highlight w:val="none"/>
                    </w:rPr>
                    <w:t>200</w:t>
                  </w:r>
                </w:p>
              </w:tc>
              <w:tc>
                <w:tcPr>
                  <w:tcW w:w="437" w:type="pct"/>
                  <w:noWrap w:val="0"/>
                  <w:vAlign w:val="center"/>
                </w:tcPr>
                <w:p w14:paraId="19E886BC">
                  <w:pPr>
                    <w:autoSpaceDE w:val="0"/>
                    <w:autoSpaceDN w:val="0"/>
                    <w:contextualSpacing/>
                    <w:jc w:val="center"/>
                    <w:rPr>
                      <w:rFonts w:hint="default" w:eastAsia="宋体"/>
                      <w:color w:val="auto"/>
                      <w:szCs w:val="21"/>
                      <w:highlight w:val="none"/>
                      <w:lang w:val="en-US" w:eastAsia="zh-CN"/>
                    </w:rPr>
                  </w:pPr>
                  <w:r>
                    <w:rPr>
                      <w:rFonts w:hint="eastAsia"/>
                      <w:color w:val="auto"/>
                      <w:szCs w:val="21"/>
                      <w:highlight w:val="none"/>
                      <w:lang w:val="en-US" w:eastAsia="zh-CN"/>
                    </w:rPr>
                    <w:t>0.00128</w:t>
                  </w:r>
                </w:p>
              </w:tc>
              <w:tc>
                <w:tcPr>
                  <w:tcW w:w="510" w:type="pct"/>
                  <w:vMerge w:val="continue"/>
                  <w:noWrap w:val="0"/>
                  <w:vAlign w:val="center"/>
                </w:tcPr>
                <w:p w14:paraId="3BD0A270">
                  <w:pPr>
                    <w:autoSpaceDE w:val="0"/>
                    <w:autoSpaceDN w:val="0"/>
                    <w:contextualSpacing/>
                    <w:jc w:val="center"/>
                    <w:rPr>
                      <w:color w:val="auto"/>
                      <w:szCs w:val="21"/>
                      <w:highlight w:val="none"/>
                    </w:rPr>
                  </w:pPr>
                </w:p>
              </w:tc>
              <w:tc>
                <w:tcPr>
                  <w:tcW w:w="235" w:type="pct"/>
                  <w:vMerge w:val="continue"/>
                  <w:noWrap w:val="0"/>
                  <w:vAlign w:val="center"/>
                </w:tcPr>
                <w:p w14:paraId="141E172E">
                  <w:pPr>
                    <w:pStyle w:val="137"/>
                    <w:adjustRightInd/>
                    <w:snapToGrid/>
                    <w:spacing w:line="240" w:lineRule="auto"/>
                    <w:ind w:firstLine="0" w:firstLineChars="0"/>
                    <w:contextualSpacing/>
                    <w:jc w:val="center"/>
                    <w:rPr>
                      <w:bCs/>
                      <w:color w:val="auto"/>
                      <w:sz w:val="21"/>
                      <w:szCs w:val="21"/>
                      <w:highlight w:val="none"/>
                    </w:rPr>
                  </w:pPr>
                </w:p>
              </w:tc>
              <w:tc>
                <w:tcPr>
                  <w:tcW w:w="268" w:type="pct"/>
                  <w:vMerge w:val="continue"/>
                  <w:noWrap w:val="0"/>
                  <w:vAlign w:val="center"/>
                </w:tcPr>
                <w:p w14:paraId="58E2038C">
                  <w:pPr>
                    <w:autoSpaceDE w:val="0"/>
                    <w:autoSpaceDN w:val="0"/>
                    <w:contextualSpacing/>
                    <w:jc w:val="center"/>
                    <w:rPr>
                      <w:color w:val="auto"/>
                      <w:szCs w:val="21"/>
                      <w:highlight w:val="none"/>
                    </w:rPr>
                  </w:pPr>
                </w:p>
              </w:tc>
              <w:tc>
                <w:tcPr>
                  <w:tcW w:w="369" w:type="pct"/>
                  <w:vMerge w:val="continue"/>
                  <w:noWrap w:val="0"/>
                  <w:vAlign w:val="center"/>
                </w:tcPr>
                <w:p w14:paraId="050B6227">
                  <w:pPr>
                    <w:autoSpaceDE w:val="0"/>
                    <w:autoSpaceDN w:val="0"/>
                    <w:contextualSpacing/>
                    <w:jc w:val="center"/>
                    <w:rPr>
                      <w:color w:val="auto"/>
                      <w:szCs w:val="21"/>
                      <w:highlight w:val="none"/>
                    </w:rPr>
                  </w:pPr>
                </w:p>
              </w:tc>
              <w:tc>
                <w:tcPr>
                  <w:tcW w:w="343" w:type="pct"/>
                  <w:noWrap w:val="0"/>
                  <w:vAlign w:val="center"/>
                </w:tcPr>
                <w:p w14:paraId="30970037">
                  <w:pPr>
                    <w:autoSpaceDE w:val="0"/>
                    <w:autoSpaceDN w:val="0"/>
                    <w:contextualSpacing/>
                    <w:jc w:val="center"/>
                    <w:rPr>
                      <w:color w:val="auto"/>
                      <w:szCs w:val="21"/>
                      <w:highlight w:val="none"/>
                    </w:rPr>
                  </w:pPr>
                  <w:r>
                    <w:rPr>
                      <w:rFonts w:hint="eastAsia"/>
                      <w:color w:val="auto"/>
                      <w:szCs w:val="21"/>
                      <w:highlight w:val="none"/>
                    </w:rPr>
                    <w:t>0</w:t>
                  </w:r>
                </w:p>
              </w:tc>
              <w:tc>
                <w:tcPr>
                  <w:tcW w:w="372" w:type="pct"/>
                  <w:vMerge w:val="continue"/>
                  <w:noWrap w:val="0"/>
                  <w:vAlign w:val="center"/>
                </w:tcPr>
                <w:p w14:paraId="70FF42BC">
                  <w:pPr>
                    <w:autoSpaceDE w:val="0"/>
                    <w:autoSpaceDN w:val="0"/>
                    <w:contextualSpacing/>
                    <w:jc w:val="center"/>
                    <w:rPr>
                      <w:color w:val="auto"/>
                      <w:szCs w:val="21"/>
                      <w:highlight w:val="none"/>
                    </w:rPr>
                  </w:pPr>
                </w:p>
              </w:tc>
            </w:tr>
            <w:tr w14:paraId="17611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385" w:type="pct"/>
                  <w:vMerge w:val="continue"/>
                  <w:noWrap w:val="0"/>
                  <w:vAlign w:val="center"/>
                </w:tcPr>
                <w:p w14:paraId="2B025770">
                  <w:pPr>
                    <w:autoSpaceDE w:val="0"/>
                    <w:autoSpaceDN w:val="0"/>
                    <w:contextualSpacing/>
                    <w:jc w:val="center"/>
                    <w:rPr>
                      <w:color w:val="auto"/>
                      <w:szCs w:val="21"/>
                      <w:highlight w:val="none"/>
                    </w:rPr>
                  </w:pPr>
                </w:p>
              </w:tc>
              <w:tc>
                <w:tcPr>
                  <w:tcW w:w="320" w:type="pct"/>
                  <w:vMerge w:val="continue"/>
                  <w:noWrap w:val="0"/>
                  <w:vAlign w:val="center"/>
                </w:tcPr>
                <w:p w14:paraId="6E281407">
                  <w:pPr>
                    <w:autoSpaceDE w:val="0"/>
                    <w:autoSpaceDN w:val="0"/>
                    <w:contextualSpacing/>
                    <w:jc w:val="center"/>
                    <w:rPr>
                      <w:color w:val="auto"/>
                      <w:szCs w:val="21"/>
                      <w:highlight w:val="none"/>
                    </w:rPr>
                  </w:pPr>
                </w:p>
              </w:tc>
              <w:tc>
                <w:tcPr>
                  <w:tcW w:w="197" w:type="pct"/>
                  <w:vMerge w:val="continue"/>
                  <w:noWrap w:val="0"/>
                  <w:vAlign w:val="center"/>
                </w:tcPr>
                <w:p w14:paraId="56AB3C34">
                  <w:pPr>
                    <w:autoSpaceDE w:val="0"/>
                    <w:autoSpaceDN w:val="0"/>
                    <w:contextualSpacing/>
                    <w:jc w:val="center"/>
                    <w:rPr>
                      <w:color w:val="auto"/>
                      <w:szCs w:val="21"/>
                      <w:highlight w:val="none"/>
                    </w:rPr>
                  </w:pPr>
                </w:p>
              </w:tc>
              <w:tc>
                <w:tcPr>
                  <w:tcW w:w="500" w:type="pct"/>
                  <w:noWrap w:val="0"/>
                  <w:vAlign w:val="center"/>
                </w:tcPr>
                <w:p w14:paraId="5F772CDE">
                  <w:pPr>
                    <w:contextualSpacing/>
                    <w:jc w:val="center"/>
                    <w:rPr>
                      <w:color w:val="auto"/>
                      <w:szCs w:val="21"/>
                      <w:highlight w:val="none"/>
                    </w:rPr>
                  </w:pPr>
                  <w:r>
                    <w:rPr>
                      <w:rFonts w:hint="eastAsia"/>
                      <w:color w:val="auto"/>
                      <w:szCs w:val="21"/>
                      <w:highlight w:val="none"/>
                    </w:rPr>
                    <w:t>氨氮</w:t>
                  </w:r>
                </w:p>
              </w:tc>
              <w:tc>
                <w:tcPr>
                  <w:tcW w:w="261" w:type="pct"/>
                  <w:vMerge w:val="continue"/>
                  <w:noWrap w:val="0"/>
                  <w:vAlign w:val="center"/>
                </w:tcPr>
                <w:p w14:paraId="01CD6192">
                  <w:pPr>
                    <w:autoSpaceDE w:val="0"/>
                    <w:autoSpaceDN w:val="0"/>
                    <w:contextualSpacing/>
                    <w:jc w:val="center"/>
                    <w:rPr>
                      <w:color w:val="auto"/>
                      <w:szCs w:val="21"/>
                      <w:highlight w:val="none"/>
                    </w:rPr>
                  </w:pPr>
                </w:p>
              </w:tc>
              <w:tc>
                <w:tcPr>
                  <w:tcW w:w="374" w:type="pct"/>
                  <w:vMerge w:val="continue"/>
                  <w:noWrap w:val="0"/>
                  <w:vAlign w:val="center"/>
                </w:tcPr>
                <w:p w14:paraId="5836E326">
                  <w:pPr>
                    <w:autoSpaceDE w:val="0"/>
                    <w:autoSpaceDN w:val="0"/>
                    <w:contextualSpacing/>
                    <w:jc w:val="center"/>
                    <w:rPr>
                      <w:color w:val="auto"/>
                      <w:szCs w:val="21"/>
                      <w:highlight w:val="none"/>
                    </w:rPr>
                  </w:pPr>
                </w:p>
              </w:tc>
              <w:tc>
                <w:tcPr>
                  <w:tcW w:w="422" w:type="pct"/>
                  <w:noWrap w:val="0"/>
                  <w:vAlign w:val="center"/>
                </w:tcPr>
                <w:p w14:paraId="0226E658">
                  <w:pPr>
                    <w:pStyle w:val="136"/>
                    <w:rPr>
                      <w:color w:val="auto"/>
                      <w:kern w:val="2"/>
                      <w:sz w:val="21"/>
                      <w:szCs w:val="21"/>
                      <w:highlight w:val="none"/>
                    </w:rPr>
                  </w:pPr>
                  <w:r>
                    <w:rPr>
                      <w:rFonts w:hint="eastAsia"/>
                      <w:color w:val="auto"/>
                      <w:kern w:val="2"/>
                      <w:sz w:val="21"/>
                      <w:szCs w:val="21"/>
                      <w:highlight w:val="none"/>
                    </w:rPr>
                    <w:t>25</w:t>
                  </w:r>
                </w:p>
              </w:tc>
              <w:tc>
                <w:tcPr>
                  <w:tcW w:w="437" w:type="pct"/>
                  <w:noWrap w:val="0"/>
                  <w:vAlign w:val="center"/>
                </w:tcPr>
                <w:p w14:paraId="554BCABF">
                  <w:pPr>
                    <w:autoSpaceDE w:val="0"/>
                    <w:autoSpaceDN w:val="0"/>
                    <w:contextualSpacing/>
                    <w:jc w:val="center"/>
                    <w:rPr>
                      <w:rFonts w:hint="default" w:eastAsia="宋体"/>
                      <w:color w:val="auto"/>
                      <w:szCs w:val="21"/>
                      <w:highlight w:val="none"/>
                      <w:lang w:val="en-US" w:eastAsia="zh-CN"/>
                    </w:rPr>
                  </w:pPr>
                  <w:r>
                    <w:rPr>
                      <w:rFonts w:hint="eastAsia"/>
                      <w:color w:val="auto"/>
                      <w:szCs w:val="21"/>
                      <w:highlight w:val="none"/>
                    </w:rPr>
                    <w:t>0.00</w:t>
                  </w:r>
                  <w:r>
                    <w:rPr>
                      <w:rFonts w:hint="eastAsia"/>
                      <w:color w:val="auto"/>
                      <w:szCs w:val="21"/>
                      <w:highlight w:val="none"/>
                      <w:lang w:val="en-US" w:eastAsia="zh-CN"/>
                    </w:rPr>
                    <w:t>016</w:t>
                  </w:r>
                </w:p>
              </w:tc>
              <w:tc>
                <w:tcPr>
                  <w:tcW w:w="510" w:type="pct"/>
                  <w:vMerge w:val="continue"/>
                  <w:noWrap w:val="0"/>
                  <w:vAlign w:val="center"/>
                </w:tcPr>
                <w:p w14:paraId="5BF21C2B">
                  <w:pPr>
                    <w:autoSpaceDE w:val="0"/>
                    <w:autoSpaceDN w:val="0"/>
                    <w:contextualSpacing/>
                    <w:jc w:val="center"/>
                    <w:rPr>
                      <w:color w:val="auto"/>
                      <w:szCs w:val="21"/>
                      <w:highlight w:val="none"/>
                    </w:rPr>
                  </w:pPr>
                </w:p>
              </w:tc>
              <w:tc>
                <w:tcPr>
                  <w:tcW w:w="235" w:type="pct"/>
                  <w:vMerge w:val="continue"/>
                  <w:noWrap w:val="0"/>
                  <w:vAlign w:val="center"/>
                </w:tcPr>
                <w:p w14:paraId="429A8854">
                  <w:pPr>
                    <w:pStyle w:val="137"/>
                    <w:adjustRightInd/>
                    <w:snapToGrid/>
                    <w:spacing w:line="240" w:lineRule="auto"/>
                    <w:ind w:firstLine="0" w:firstLineChars="0"/>
                    <w:contextualSpacing/>
                    <w:jc w:val="center"/>
                    <w:rPr>
                      <w:bCs/>
                      <w:color w:val="auto"/>
                      <w:sz w:val="21"/>
                      <w:szCs w:val="21"/>
                      <w:highlight w:val="none"/>
                    </w:rPr>
                  </w:pPr>
                </w:p>
              </w:tc>
              <w:tc>
                <w:tcPr>
                  <w:tcW w:w="268" w:type="pct"/>
                  <w:vMerge w:val="continue"/>
                  <w:noWrap w:val="0"/>
                  <w:vAlign w:val="center"/>
                </w:tcPr>
                <w:p w14:paraId="3D9F4A18">
                  <w:pPr>
                    <w:autoSpaceDE w:val="0"/>
                    <w:autoSpaceDN w:val="0"/>
                    <w:contextualSpacing/>
                    <w:jc w:val="center"/>
                    <w:rPr>
                      <w:color w:val="auto"/>
                      <w:szCs w:val="21"/>
                      <w:highlight w:val="none"/>
                    </w:rPr>
                  </w:pPr>
                </w:p>
              </w:tc>
              <w:tc>
                <w:tcPr>
                  <w:tcW w:w="369" w:type="pct"/>
                  <w:vMerge w:val="continue"/>
                  <w:noWrap w:val="0"/>
                  <w:vAlign w:val="center"/>
                </w:tcPr>
                <w:p w14:paraId="2F61672F">
                  <w:pPr>
                    <w:autoSpaceDE w:val="0"/>
                    <w:autoSpaceDN w:val="0"/>
                    <w:contextualSpacing/>
                    <w:jc w:val="center"/>
                    <w:rPr>
                      <w:color w:val="auto"/>
                      <w:szCs w:val="21"/>
                      <w:highlight w:val="none"/>
                    </w:rPr>
                  </w:pPr>
                </w:p>
              </w:tc>
              <w:tc>
                <w:tcPr>
                  <w:tcW w:w="343" w:type="pct"/>
                  <w:noWrap w:val="0"/>
                  <w:vAlign w:val="center"/>
                </w:tcPr>
                <w:p w14:paraId="727948F1">
                  <w:pPr>
                    <w:autoSpaceDE w:val="0"/>
                    <w:autoSpaceDN w:val="0"/>
                    <w:contextualSpacing/>
                    <w:jc w:val="center"/>
                    <w:rPr>
                      <w:color w:val="auto"/>
                      <w:szCs w:val="21"/>
                      <w:highlight w:val="none"/>
                    </w:rPr>
                  </w:pPr>
                  <w:r>
                    <w:rPr>
                      <w:rFonts w:hint="eastAsia"/>
                      <w:color w:val="auto"/>
                      <w:szCs w:val="21"/>
                      <w:highlight w:val="none"/>
                    </w:rPr>
                    <w:t>0</w:t>
                  </w:r>
                </w:p>
              </w:tc>
              <w:tc>
                <w:tcPr>
                  <w:tcW w:w="372" w:type="pct"/>
                  <w:vMerge w:val="continue"/>
                  <w:noWrap w:val="0"/>
                  <w:vAlign w:val="center"/>
                </w:tcPr>
                <w:p w14:paraId="7E475E20">
                  <w:pPr>
                    <w:autoSpaceDE w:val="0"/>
                    <w:autoSpaceDN w:val="0"/>
                    <w:contextualSpacing/>
                    <w:jc w:val="center"/>
                    <w:rPr>
                      <w:color w:val="auto"/>
                      <w:szCs w:val="21"/>
                      <w:highlight w:val="none"/>
                    </w:rPr>
                  </w:pPr>
                </w:p>
              </w:tc>
            </w:tr>
          </w:tbl>
          <w:p w14:paraId="6CE2D51F">
            <w:pPr>
              <w:adjustRightInd w:val="0"/>
              <w:snapToGrid w:val="0"/>
              <w:spacing w:line="360" w:lineRule="auto"/>
              <w:ind w:firstLine="482" w:firstLineChars="200"/>
              <w:rPr>
                <w:b/>
                <w:bCs/>
                <w:color w:val="auto"/>
                <w:sz w:val="24"/>
              </w:rPr>
            </w:pPr>
            <w:r>
              <w:rPr>
                <w:rFonts w:hint="eastAsia"/>
                <w:b/>
                <w:bCs/>
                <w:color w:val="auto"/>
                <w:sz w:val="24"/>
              </w:rPr>
              <w:t>三、</w:t>
            </w:r>
            <w:r>
              <w:rPr>
                <w:b/>
                <w:bCs/>
                <w:color w:val="auto"/>
                <w:sz w:val="24"/>
              </w:rPr>
              <w:t>噪声</w:t>
            </w:r>
          </w:p>
          <w:p w14:paraId="71CC33C0">
            <w:pPr>
              <w:adjustRightInd w:val="0"/>
              <w:snapToGrid w:val="0"/>
              <w:spacing w:line="360" w:lineRule="auto"/>
              <w:ind w:firstLine="480" w:firstLineChars="200"/>
              <w:rPr>
                <w:color w:val="auto"/>
                <w:sz w:val="24"/>
              </w:rPr>
            </w:pPr>
            <w:r>
              <w:rPr>
                <w:rFonts w:hint="eastAsia"/>
                <w:color w:val="auto"/>
                <w:sz w:val="24"/>
              </w:rPr>
              <w:t>1、</w:t>
            </w:r>
            <w:r>
              <w:rPr>
                <w:color w:val="auto"/>
                <w:sz w:val="24"/>
              </w:rPr>
              <w:t>主要噪声源及源强</w:t>
            </w:r>
          </w:p>
          <w:p w14:paraId="04702981">
            <w:pPr>
              <w:adjustRightInd w:val="0"/>
              <w:snapToGrid w:val="0"/>
              <w:spacing w:line="360" w:lineRule="auto"/>
              <w:ind w:firstLine="480" w:firstLineChars="200"/>
              <w:rPr>
                <w:color w:val="auto"/>
                <w:szCs w:val="21"/>
              </w:rPr>
            </w:pPr>
            <w:r>
              <w:rPr>
                <w:color w:val="auto"/>
                <w:sz w:val="24"/>
              </w:rPr>
              <w:t>项目投入运营后，噪声主要来源于车间设备运行时产生的噪声。单台噪声值约为</w:t>
            </w:r>
            <w:r>
              <w:rPr>
                <w:rFonts w:hint="eastAsia"/>
                <w:color w:val="auto"/>
                <w:sz w:val="24"/>
                <w:lang w:val="en-US" w:eastAsia="zh-CN"/>
              </w:rPr>
              <w:t>70</w:t>
            </w:r>
            <w:r>
              <w:rPr>
                <w:rFonts w:hint="eastAsia"/>
                <w:color w:val="auto"/>
                <w:sz w:val="24"/>
              </w:rPr>
              <w:t>-85</w:t>
            </w:r>
            <w:r>
              <w:rPr>
                <w:rFonts w:hint="eastAsia"/>
                <w:color w:val="auto"/>
                <w:sz w:val="24"/>
                <w:lang w:val="en-US" w:eastAsia="zh-CN"/>
              </w:rPr>
              <w:t>d</w:t>
            </w:r>
            <w:r>
              <w:rPr>
                <w:color w:val="auto"/>
                <w:sz w:val="24"/>
              </w:rPr>
              <w:t>B（A），噪声源强见表4-</w:t>
            </w:r>
            <w:r>
              <w:rPr>
                <w:rFonts w:hint="eastAsia"/>
                <w:color w:val="auto"/>
                <w:sz w:val="24"/>
                <w:lang w:val="en-US" w:eastAsia="zh-CN"/>
              </w:rPr>
              <w:t>9</w:t>
            </w:r>
            <w:r>
              <w:rPr>
                <w:rFonts w:hint="eastAsia"/>
                <w:color w:val="auto"/>
                <w:sz w:val="24"/>
                <w:lang w:eastAsia="zh-CN"/>
              </w:rPr>
              <w:t>、</w:t>
            </w:r>
            <w:r>
              <w:rPr>
                <w:rFonts w:hint="eastAsia"/>
                <w:color w:val="auto"/>
                <w:sz w:val="24"/>
                <w:lang w:val="en-US" w:eastAsia="zh-CN"/>
              </w:rPr>
              <w:t>4-10</w:t>
            </w:r>
            <w:r>
              <w:rPr>
                <w:color w:val="auto"/>
                <w:sz w:val="24"/>
              </w:rPr>
              <w:t>。</w:t>
            </w:r>
          </w:p>
          <w:p w14:paraId="44AD3747">
            <w:pPr>
              <w:pStyle w:val="94"/>
              <w:ind w:firstLine="0" w:firstLineChars="0"/>
              <w:jc w:val="center"/>
              <w:rPr>
                <w:b/>
                <w:bCs/>
                <w:color w:val="auto"/>
                <w:kern w:val="0"/>
                <w:sz w:val="24"/>
              </w:rPr>
            </w:pPr>
            <w:r>
              <w:rPr>
                <w:rFonts w:hint="eastAsia"/>
                <w:b/>
                <w:bCs/>
                <w:color w:val="auto"/>
                <w:kern w:val="0"/>
                <w:sz w:val="24"/>
              </w:rPr>
              <w:t>表4-</w:t>
            </w:r>
            <w:r>
              <w:rPr>
                <w:rFonts w:hint="eastAsia"/>
                <w:b/>
                <w:bCs/>
                <w:color w:val="auto"/>
                <w:kern w:val="0"/>
                <w:sz w:val="24"/>
                <w:lang w:val="en-US" w:eastAsia="zh-CN"/>
              </w:rPr>
              <w:t>9</w:t>
            </w:r>
            <w:r>
              <w:rPr>
                <w:rFonts w:hint="eastAsia"/>
                <w:b/>
                <w:bCs/>
                <w:color w:val="auto"/>
                <w:kern w:val="0"/>
                <w:sz w:val="24"/>
              </w:rPr>
              <w:t xml:space="preserve"> 主要设备噪声源一览表</w:t>
            </w:r>
            <w:r>
              <w:rPr>
                <w:rFonts w:hint="eastAsia"/>
                <w:b/>
                <w:bCs/>
                <w:color w:val="auto"/>
                <w:kern w:val="0"/>
                <w:sz w:val="24"/>
                <w:highlight w:val="none"/>
                <w:lang w:eastAsia="zh-CN"/>
              </w:rPr>
              <w:t>（</w:t>
            </w:r>
            <w:r>
              <w:rPr>
                <w:rFonts w:hint="eastAsia"/>
                <w:b/>
                <w:bCs/>
                <w:color w:val="auto"/>
                <w:kern w:val="0"/>
                <w:sz w:val="24"/>
                <w:highlight w:val="none"/>
                <w:lang w:val="en-US" w:eastAsia="zh-CN"/>
              </w:rPr>
              <w:t>室内声源）</w:t>
            </w:r>
            <w:r>
              <w:rPr>
                <w:rFonts w:hint="eastAsia"/>
                <w:b/>
                <w:bCs/>
                <w:color w:val="auto"/>
                <w:kern w:val="0"/>
                <w:sz w:val="24"/>
              </w:rPr>
              <w:t>（单位：dB(A)）</w:t>
            </w:r>
          </w:p>
          <w:tbl>
            <w:tblPr>
              <w:tblStyle w:val="32"/>
              <w:tblW w:w="875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81"/>
              <w:gridCol w:w="723"/>
              <w:gridCol w:w="825"/>
              <w:gridCol w:w="837"/>
              <w:gridCol w:w="913"/>
              <w:gridCol w:w="887"/>
              <w:gridCol w:w="950"/>
              <w:gridCol w:w="788"/>
              <w:gridCol w:w="787"/>
              <w:gridCol w:w="713"/>
            </w:tblGrid>
            <w:tr w14:paraId="062C1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371" w:type="pct"/>
                  <w:vMerge w:val="restart"/>
                  <w:tcBorders>
                    <w:tl2br w:val="nil"/>
                    <w:tr2bl w:val="nil"/>
                  </w:tcBorders>
                  <w:noWrap w:val="0"/>
                  <w:vAlign w:val="center"/>
                </w:tcPr>
                <w:p w14:paraId="77EF2F35">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建筑物名称</w:t>
                  </w:r>
                </w:p>
              </w:tc>
              <w:tc>
                <w:tcPr>
                  <w:tcW w:w="388" w:type="pct"/>
                  <w:vMerge w:val="restart"/>
                  <w:tcBorders>
                    <w:tl2br w:val="nil"/>
                    <w:tr2bl w:val="nil"/>
                  </w:tcBorders>
                  <w:noWrap w:val="0"/>
                  <w:vAlign w:val="center"/>
                </w:tcPr>
                <w:p w14:paraId="333A7A6C">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声源名称</w:t>
                  </w:r>
                </w:p>
              </w:tc>
              <w:tc>
                <w:tcPr>
                  <w:tcW w:w="412" w:type="pct"/>
                  <w:vMerge w:val="restart"/>
                  <w:tcBorders>
                    <w:tl2br w:val="nil"/>
                    <w:tr2bl w:val="nil"/>
                  </w:tcBorders>
                  <w:noWrap w:val="0"/>
                  <w:vAlign w:val="center"/>
                </w:tcPr>
                <w:p w14:paraId="5CAE1651">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声源源强</w:t>
                  </w:r>
                  <w:r>
                    <w:rPr>
                      <w:rFonts w:ascii="Times New Roman" w:hAnsi="Times New Roman" w:eastAsia="宋体" w:cs="Times New Roman"/>
                      <w:color w:val="auto"/>
                      <w:szCs w:val="21"/>
                      <w:highlight w:val="none"/>
                    </w:rPr>
                    <w:t>dB(A)</w:t>
                  </w:r>
                </w:p>
              </w:tc>
              <w:tc>
                <w:tcPr>
                  <w:tcW w:w="471" w:type="pct"/>
                  <w:vMerge w:val="restart"/>
                  <w:tcBorders>
                    <w:tl2br w:val="nil"/>
                    <w:tr2bl w:val="nil"/>
                  </w:tcBorders>
                  <w:noWrap w:val="0"/>
                  <w:vAlign w:val="center"/>
                </w:tcPr>
                <w:p w14:paraId="551AE8F6">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声源控制措施</w:t>
                  </w:r>
                </w:p>
              </w:tc>
              <w:tc>
                <w:tcPr>
                  <w:tcW w:w="478" w:type="pct"/>
                  <w:vMerge w:val="restart"/>
                  <w:tcBorders>
                    <w:tl2br w:val="nil"/>
                    <w:tr2bl w:val="nil"/>
                  </w:tcBorders>
                  <w:noWrap w:val="0"/>
                  <w:vAlign w:val="center"/>
                </w:tcPr>
                <w:p w14:paraId="0F6AE1C4">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距室内边界距离</w:t>
                  </w:r>
                </w:p>
              </w:tc>
              <w:tc>
                <w:tcPr>
                  <w:tcW w:w="521" w:type="pct"/>
                  <w:vMerge w:val="restart"/>
                  <w:tcBorders>
                    <w:tl2br w:val="nil"/>
                    <w:tr2bl w:val="nil"/>
                  </w:tcBorders>
                  <w:noWrap w:val="0"/>
                  <w:vAlign w:val="center"/>
                </w:tcPr>
                <w:p w14:paraId="7485312B">
                  <w:pPr>
                    <w:spacing w:line="320" w:lineRule="exact"/>
                    <w:jc w:val="center"/>
                    <w:rPr>
                      <w:rFonts w:hint="eastAsia" w:ascii="Times New Roman" w:hAnsi="Times New Roman" w:eastAsia="宋体" w:cs="Times New Roman"/>
                      <w:color w:val="auto"/>
                      <w:szCs w:val="21"/>
                      <w:highlight w:val="none"/>
                      <w:lang w:eastAsia="zh-CN"/>
                    </w:rPr>
                  </w:pPr>
                  <w:r>
                    <w:rPr>
                      <w:rFonts w:ascii="Times New Roman" w:hAnsi="Times New Roman" w:eastAsia="宋体" w:cs="Times New Roman"/>
                      <w:color w:val="auto"/>
                      <w:szCs w:val="21"/>
                      <w:highlight w:val="none"/>
                    </w:rPr>
                    <w:t>室内边界声级/dB(A)</w:t>
                  </w:r>
                </w:p>
              </w:tc>
              <w:tc>
                <w:tcPr>
                  <w:tcW w:w="506" w:type="pct"/>
                  <w:vMerge w:val="restart"/>
                  <w:tcBorders>
                    <w:tl2br w:val="nil"/>
                    <w:tr2bl w:val="nil"/>
                  </w:tcBorders>
                  <w:noWrap w:val="0"/>
                  <w:vAlign w:val="center"/>
                </w:tcPr>
                <w:p w14:paraId="70B43EAB">
                  <w:pPr>
                    <w:spacing w:line="320" w:lineRule="exact"/>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运行时段</w:t>
                  </w:r>
                </w:p>
              </w:tc>
              <w:tc>
                <w:tcPr>
                  <w:tcW w:w="542" w:type="pct"/>
                  <w:vMerge w:val="restart"/>
                  <w:tcBorders>
                    <w:tl2br w:val="nil"/>
                    <w:tr2bl w:val="nil"/>
                  </w:tcBorders>
                  <w:noWrap w:val="0"/>
                  <w:vAlign w:val="center"/>
                </w:tcPr>
                <w:p w14:paraId="1FAC8148">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建筑物插入失</w:t>
                  </w:r>
                  <w:r>
                    <w:rPr>
                      <w:rFonts w:hint="default" w:ascii="Times New Roman" w:hAnsi="Times New Roman" w:eastAsia="宋体" w:cs="Times New Roman"/>
                      <w:color w:val="auto"/>
                      <w:szCs w:val="21"/>
                      <w:highlight w:val="none"/>
                      <w:lang w:val="en-US" w:eastAsia="zh-CN"/>
                    </w:rPr>
                    <w:t xml:space="preserve">/ </w:t>
                  </w:r>
                </w:p>
                <w:p w14:paraId="0F785120">
                  <w:pPr>
                    <w:spacing w:line="320" w:lineRule="exact"/>
                    <w:jc w:val="center"/>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 xml:space="preserve">dB(A) </w:t>
                  </w:r>
                </w:p>
              </w:tc>
              <w:tc>
                <w:tcPr>
                  <w:tcW w:w="899" w:type="pct"/>
                  <w:gridSpan w:val="2"/>
                  <w:tcBorders>
                    <w:tl2br w:val="nil"/>
                    <w:tr2bl w:val="nil"/>
                  </w:tcBorders>
                  <w:noWrap w:val="0"/>
                  <w:vAlign w:val="center"/>
                </w:tcPr>
                <w:p w14:paraId="1F38810D">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eastAsia="zh-CN"/>
                    </w:rPr>
                    <w:t>建筑物外噪声</w:t>
                  </w:r>
                </w:p>
              </w:tc>
              <w:tc>
                <w:tcPr>
                  <w:tcW w:w="407" w:type="pct"/>
                  <w:vMerge w:val="restart"/>
                  <w:tcBorders>
                    <w:tl2br w:val="nil"/>
                    <w:tr2bl w:val="nil"/>
                  </w:tcBorders>
                  <w:noWrap w:val="0"/>
                  <w:vAlign w:val="center"/>
                </w:tcPr>
                <w:p w14:paraId="753BF20B">
                  <w:pPr>
                    <w:spacing w:line="320" w:lineRule="exact"/>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备注</w:t>
                  </w:r>
                </w:p>
              </w:tc>
            </w:tr>
            <w:tr w14:paraId="3047C3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371" w:type="pct"/>
                  <w:vMerge w:val="continue"/>
                  <w:tcBorders>
                    <w:tl2br w:val="nil"/>
                    <w:tr2bl w:val="nil"/>
                  </w:tcBorders>
                  <w:noWrap w:val="0"/>
                  <w:vAlign w:val="center"/>
                </w:tcPr>
                <w:p w14:paraId="71B9AC28">
                  <w:pPr>
                    <w:spacing w:line="320" w:lineRule="exact"/>
                    <w:jc w:val="center"/>
                    <w:rPr>
                      <w:rFonts w:ascii="Times New Roman" w:hAnsi="Times New Roman" w:eastAsia="宋体" w:cs="Times New Roman"/>
                      <w:color w:val="auto"/>
                      <w:szCs w:val="21"/>
                      <w:highlight w:val="none"/>
                    </w:rPr>
                  </w:pPr>
                </w:p>
              </w:tc>
              <w:tc>
                <w:tcPr>
                  <w:tcW w:w="388" w:type="pct"/>
                  <w:vMerge w:val="continue"/>
                  <w:tcBorders>
                    <w:tl2br w:val="nil"/>
                    <w:tr2bl w:val="nil"/>
                  </w:tcBorders>
                  <w:noWrap w:val="0"/>
                  <w:vAlign w:val="center"/>
                </w:tcPr>
                <w:p w14:paraId="0877A2F0">
                  <w:pPr>
                    <w:spacing w:line="320" w:lineRule="exact"/>
                    <w:jc w:val="center"/>
                    <w:rPr>
                      <w:rFonts w:ascii="Times New Roman" w:hAnsi="Times New Roman" w:eastAsia="宋体" w:cs="Times New Roman"/>
                      <w:color w:val="auto"/>
                      <w:szCs w:val="21"/>
                      <w:highlight w:val="none"/>
                    </w:rPr>
                  </w:pPr>
                </w:p>
              </w:tc>
              <w:tc>
                <w:tcPr>
                  <w:tcW w:w="412" w:type="pct"/>
                  <w:vMerge w:val="continue"/>
                  <w:tcBorders>
                    <w:tl2br w:val="nil"/>
                    <w:tr2bl w:val="nil"/>
                  </w:tcBorders>
                  <w:noWrap w:val="0"/>
                  <w:vAlign w:val="center"/>
                </w:tcPr>
                <w:p w14:paraId="04494513">
                  <w:pPr>
                    <w:spacing w:line="320" w:lineRule="exact"/>
                    <w:jc w:val="center"/>
                    <w:rPr>
                      <w:rFonts w:ascii="Times New Roman" w:hAnsi="Times New Roman" w:eastAsia="宋体" w:cs="Times New Roman"/>
                      <w:color w:val="auto"/>
                      <w:szCs w:val="21"/>
                      <w:highlight w:val="none"/>
                    </w:rPr>
                  </w:pPr>
                </w:p>
              </w:tc>
              <w:tc>
                <w:tcPr>
                  <w:tcW w:w="471" w:type="pct"/>
                  <w:vMerge w:val="continue"/>
                  <w:tcBorders>
                    <w:tl2br w:val="nil"/>
                    <w:tr2bl w:val="nil"/>
                  </w:tcBorders>
                  <w:noWrap w:val="0"/>
                  <w:vAlign w:val="center"/>
                </w:tcPr>
                <w:p w14:paraId="39E09C3D">
                  <w:pPr>
                    <w:spacing w:line="320" w:lineRule="exact"/>
                    <w:jc w:val="center"/>
                    <w:rPr>
                      <w:rFonts w:ascii="Times New Roman" w:hAnsi="Times New Roman" w:eastAsia="宋体" w:cs="Times New Roman"/>
                      <w:color w:val="auto"/>
                      <w:szCs w:val="21"/>
                      <w:highlight w:val="none"/>
                    </w:rPr>
                  </w:pPr>
                </w:p>
              </w:tc>
              <w:tc>
                <w:tcPr>
                  <w:tcW w:w="478" w:type="pct"/>
                  <w:vMerge w:val="continue"/>
                  <w:tcBorders>
                    <w:tl2br w:val="nil"/>
                    <w:tr2bl w:val="nil"/>
                  </w:tcBorders>
                  <w:noWrap w:val="0"/>
                  <w:vAlign w:val="center"/>
                </w:tcPr>
                <w:p w14:paraId="02C78864">
                  <w:pPr>
                    <w:spacing w:line="320" w:lineRule="exact"/>
                    <w:jc w:val="center"/>
                    <w:rPr>
                      <w:rFonts w:ascii="Times New Roman" w:hAnsi="Times New Roman" w:eastAsia="宋体" w:cs="Times New Roman"/>
                      <w:color w:val="auto"/>
                      <w:szCs w:val="21"/>
                      <w:highlight w:val="none"/>
                    </w:rPr>
                  </w:pPr>
                </w:p>
              </w:tc>
              <w:tc>
                <w:tcPr>
                  <w:tcW w:w="521" w:type="pct"/>
                  <w:vMerge w:val="continue"/>
                  <w:tcBorders>
                    <w:tl2br w:val="nil"/>
                    <w:tr2bl w:val="nil"/>
                  </w:tcBorders>
                  <w:noWrap w:val="0"/>
                  <w:vAlign w:val="center"/>
                </w:tcPr>
                <w:p w14:paraId="435E021F">
                  <w:pPr>
                    <w:spacing w:line="320" w:lineRule="exact"/>
                    <w:jc w:val="center"/>
                    <w:rPr>
                      <w:rFonts w:ascii="Times New Roman" w:hAnsi="Times New Roman" w:eastAsia="宋体" w:cs="Times New Roman"/>
                      <w:color w:val="auto"/>
                      <w:szCs w:val="21"/>
                      <w:highlight w:val="none"/>
                    </w:rPr>
                  </w:pPr>
                </w:p>
              </w:tc>
              <w:tc>
                <w:tcPr>
                  <w:tcW w:w="506" w:type="pct"/>
                  <w:vMerge w:val="continue"/>
                  <w:tcBorders>
                    <w:tl2br w:val="nil"/>
                    <w:tr2bl w:val="nil"/>
                  </w:tcBorders>
                  <w:noWrap w:val="0"/>
                  <w:vAlign w:val="center"/>
                </w:tcPr>
                <w:p w14:paraId="293FF294">
                  <w:pPr>
                    <w:spacing w:line="320" w:lineRule="exact"/>
                    <w:jc w:val="center"/>
                    <w:rPr>
                      <w:rFonts w:ascii="Times New Roman" w:hAnsi="Times New Roman" w:eastAsia="宋体" w:cs="Times New Roman"/>
                      <w:color w:val="auto"/>
                      <w:szCs w:val="21"/>
                      <w:highlight w:val="none"/>
                    </w:rPr>
                  </w:pPr>
                </w:p>
              </w:tc>
              <w:tc>
                <w:tcPr>
                  <w:tcW w:w="542" w:type="pct"/>
                  <w:vMerge w:val="continue"/>
                  <w:tcBorders>
                    <w:tl2br w:val="nil"/>
                    <w:tr2bl w:val="nil"/>
                  </w:tcBorders>
                  <w:noWrap w:val="0"/>
                  <w:vAlign w:val="center"/>
                </w:tcPr>
                <w:p w14:paraId="7F41A48F">
                  <w:pPr>
                    <w:spacing w:line="320" w:lineRule="exact"/>
                    <w:jc w:val="center"/>
                    <w:rPr>
                      <w:rFonts w:hint="eastAsia" w:ascii="Times New Roman" w:hAnsi="Times New Roman" w:eastAsia="宋体" w:cs="Times New Roman"/>
                      <w:color w:val="auto"/>
                      <w:szCs w:val="21"/>
                      <w:highlight w:val="none"/>
                      <w:lang w:eastAsia="zh-CN"/>
                    </w:rPr>
                  </w:pPr>
                </w:p>
              </w:tc>
              <w:tc>
                <w:tcPr>
                  <w:tcW w:w="450" w:type="pct"/>
                  <w:tcBorders>
                    <w:tl2br w:val="nil"/>
                    <w:tr2bl w:val="nil"/>
                  </w:tcBorders>
                  <w:noWrap w:val="0"/>
                  <w:vAlign w:val="center"/>
                </w:tcPr>
                <w:p w14:paraId="3AB21343">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声压级</w:t>
                  </w:r>
                  <w:r>
                    <w:rPr>
                      <w:rFonts w:ascii="Times New Roman" w:hAnsi="Times New Roman" w:eastAsia="宋体" w:cs="Times New Roman"/>
                      <w:color w:val="auto"/>
                      <w:szCs w:val="21"/>
                      <w:highlight w:val="none"/>
                    </w:rPr>
                    <w:t>dB(A)</w:t>
                  </w:r>
                </w:p>
              </w:tc>
              <w:tc>
                <w:tcPr>
                  <w:tcW w:w="449" w:type="pct"/>
                  <w:tcBorders>
                    <w:tl2br w:val="nil"/>
                    <w:tr2bl w:val="nil"/>
                  </w:tcBorders>
                  <w:noWrap w:val="0"/>
                  <w:vAlign w:val="center"/>
                </w:tcPr>
                <w:p w14:paraId="5F365F32">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建筑物外距离</w:t>
                  </w:r>
                </w:p>
              </w:tc>
              <w:tc>
                <w:tcPr>
                  <w:tcW w:w="407" w:type="pct"/>
                  <w:vMerge w:val="continue"/>
                  <w:tcBorders>
                    <w:tl2br w:val="nil"/>
                    <w:tr2bl w:val="nil"/>
                  </w:tcBorders>
                  <w:noWrap w:val="0"/>
                  <w:vAlign w:val="center"/>
                </w:tcPr>
                <w:p w14:paraId="4A4BA378">
                  <w:pPr>
                    <w:spacing w:line="320" w:lineRule="exact"/>
                    <w:jc w:val="center"/>
                    <w:rPr>
                      <w:rFonts w:hint="eastAsia" w:ascii="Times New Roman" w:hAnsi="Times New Roman" w:eastAsia="宋体" w:cs="Times New Roman"/>
                      <w:color w:val="auto"/>
                      <w:szCs w:val="21"/>
                      <w:highlight w:val="none"/>
                      <w:lang w:eastAsia="zh-CN"/>
                    </w:rPr>
                  </w:pPr>
                </w:p>
              </w:tc>
            </w:tr>
            <w:tr w14:paraId="06D0C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1" w:type="pct"/>
                  <w:vMerge w:val="restart"/>
                  <w:tcBorders>
                    <w:tl2br w:val="nil"/>
                    <w:tr2bl w:val="nil"/>
                  </w:tcBorders>
                  <w:noWrap w:val="0"/>
                  <w:vAlign w:val="center"/>
                </w:tcPr>
                <w:p w14:paraId="59ED892F">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bCs/>
                      <w:color w:val="auto"/>
                      <w:kern w:val="2"/>
                      <w:sz w:val="21"/>
                      <w:szCs w:val="21"/>
                      <w:highlight w:val="none"/>
                      <w:lang w:val="en-US" w:eastAsia="zh-CN" w:bidi="ar-SA"/>
                    </w:rPr>
                    <w:t>2#</w:t>
                  </w:r>
                  <w:r>
                    <w:rPr>
                      <w:rFonts w:hint="eastAsia" w:ascii="Times New Roman" w:hAnsi="Times New Roman" w:eastAsia="宋体" w:cs="Times New Roman"/>
                      <w:bCs/>
                      <w:color w:val="auto"/>
                      <w:kern w:val="2"/>
                      <w:sz w:val="21"/>
                      <w:szCs w:val="21"/>
                      <w:highlight w:val="none"/>
                      <w:lang w:val="en-US" w:eastAsia="zh-CN" w:bidi="ar-SA"/>
                    </w:rPr>
                    <w:t>热风炉房</w:t>
                  </w:r>
                </w:p>
              </w:tc>
              <w:tc>
                <w:tcPr>
                  <w:tcW w:w="388" w:type="pct"/>
                  <w:tcBorders>
                    <w:tl2br w:val="nil"/>
                    <w:tr2bl w:val="nil"/>
                  </w:tcBorders>
                  <w:noWrap w:val="0"/>
                  <w:vAlign w:val="center"/>
                </w:tcPr>
                <w:p w14:paraId="7542F7AF">
                  <w:pPr>
                    <w:spacing w:line="0" w:lineRule="atLeast"/>
                    <w:jc w:val="center"/>
                    <w:rPr>
                      <w:rFonts w:ascii="Times New Roman" w:hAnsi="Times New Roman" w:eastAsia="宋体" w:cs="Times New Roman"/>
                      <w:color w:val="auto"/>
                      <w:szCs w:val="21"/>
                      <w:highlight w:val="none"/>
                    </w:rPr>
                  </w:pPr>
                  <w:r>
                    <w:rPr>
                      <w:rFonts w:hint="eastAsia" w:cs="Times New Roman"/>
                      <w:color w:val="auto"/>
                      <w:sz w:val="21"/>
                      <w:szCs w:val="21"/>
                      <w:highlight w:val="none"/>
                      <w:lang w:eastAsia="zh-CN"/>
                    </w:rPr>
                    <w:t>热风炉</w:t>
                  </w:r>
                </w:p>
              </w:tc>
              <w:tc>
                <w:tcPr>
                  <w:tcW w:w="412" w:type="pct"/>
                  <w:tcBorders>
                    <w:tl2br w:val="nil"/>
                    <w:tr2bl w:val="nil"/>
                  </w:tcBorders>
                  <w:noWrap w:val="0"/>
                  <w:vAlign w:val="center"/>
                </w:tcPr>
                <w:p w14:paraId="15A02DE9">
                  <w:pPr>
                    <w:spacing w:line="0" w:lineRule="atLeast"/>
                    <w:jc w:val="center"/>
                    <w:rPr>
                      <w:rFonts w:hint="default" w:ascii="Times New Roman" w:hAnsi="Times New Roman" w:eastAsia="宋体" w:cs="Times New Roman"/>
                      <w:color w:val="auto"/>
                      <w:szCs w:val="21"/>
                      <w:highlight w:val="none"/>
                      <w:lang w:val="en-US"/>
                    </w:rPr>
                  </w:pPr>
                  <w:r>
                    <w:rPr>
                      <w:rFonts w:hint="eastAsia" w:cs="Times New Roman"/>
                      <w:color w:val="auto"/>
                      <w:sz w:val="21"/>
                      <w:szCs w:val="21"/>
                      <w:highlight w:val="none"/>
                      <w:lang w:val="en-US" w:eastAsia="zh-CN"/>
                    </w:rPr>
                    <w:t>75</w:t>
                  </w:r>
                </w:p>
              </w:tc>
              <w:tc>
                <w:tcPr>
                  <w:tcW w:w="471" w:type="pct"/>
                  <w:vMerge w:val="restart"/>
                  <w:tcBorders>
                    <w:tl2br w:val="nil"/>
                    <w:tr2bl w:val="nil"/>
                  </w:tcBorders>
                  <w:noWrap w:val="0"/>
                  <w:vAlign w:val="center"/>
                </w:tcPr>
                <w:p w14:paraId="76F456CE">
                  <w:pPr>
                    <w:spacing w:line="320" w:lineRule="exact"/>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选取低噪声设备，采取减振、</w:t>
                  </w:r>
                  <w:r>
                    <w:rPr>
                      <w:rFonts w:hint="eastAsia" w:ascii="Times New Roman" w:hAnsi="Times New Roman" w:eastAsia="宋体" w:cs="Times New Roman"/>
                      <w:color w:val="auto"/>
                      <w:szCs w:val="21"/>
                      <w:highlight w:val="none"/>
                      <w:lang w:eastAsia="zh-CN"/>
                    </w:rPr>
                    <w:t>厂房</w:t>
                  </w:r>
                  <w:r>
                    <w:rPr>
                      <w:rFonts w:ascii="Times New Roman" w:hAnsi="Times New Roman" w:eastAsia="宋体" w:cs="Times New Roman"/>
                      <w:color w:val="auto"/>
                      <w:szCs w:val="21"/>
                      <w:highlight w:val="none"/>
                    </w:rPr>
                    <w:t>隔声等措施</w:t>
                  </w:r>
                </w:p>
              </w:tc>
              <w:tc>
                <w:tcPr>
                  <w:tcW w:w="478" w:type="pct"/>
                  <w:tcBorders>
                    <w:tl2br w:val="nil"/>
                    <w:tr2bl w:val="nil"/>
                  </w:tcBorders>
                  <w:noWrap w:val="0"/>
                  <w:vAlign w:val="center"/>
                </w:tcPr>
                <w:p w14:paraId="6CF9FDF0">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2.5</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2CAB9EBC">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67</w:t>
                  </w:r>
                </w:p>
              </w:tc>
              <w:tc>
                <w:tcPr>
                  <w:tcW w:w="506" w:type="pct"/>
                  <w:vMerge w:val="restart"/>
                  <w:tcBorders>
                    <w:tl2br w:val="nil"/>
                    <w:tr2bl w:val="nil"/>
                  </w:tcBorders>
                  <w:noWrap w:val="0"/>
                  <w:vAlign w:val="center"/>
                </w:tcPr>
                <w:p w14:paraId="2E6B2FEB">
                  <w:pPr>
                    <w:spacing w:line="320" w:lineRule="exact"/>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连续</w:t>
                  </w:r>
                </w:p>
              </w:tc>
              <w:tc>
                <w:tcPr>
                  <w:tcW w:w="542" w:type="pct"/>
                  <w:tcBorders>
                    <w:tl2br w:val="nil"/>
                    <w:tr2bl w:val="nil"/>
                  </w:tcBorders>
                  <w:noWrap w:val="0"/>
                  <w:vAlign w:val="center"/>
                </w:tcPr>
                <w:p w14:paraId="3E150BE6">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7C46CE68">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47</w:t>
                  </w:r>
                </w:p>
              </w:tc>
              <w:tc>
                <w:tcPr>
                  <w:tcW w:w="449" w:type="pct"/>
                  <w:tcBorders>
                    <w:tl2br w:val="nil"/>
                    <w:tr2bl w:val="nil"/>
                  </w:tcBorders>
                  <w:noWrap w:val="0"/>
                  <w:vAlign w:val="center"/>
                </w:tcPr>
                <w:p w14:paraId="6BFD6629">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restart"/>
                  <w:tcBorders>
                    <w:tl2br w:val="nil"/>
                    <w:tr2bl w:val="nil"/>
                  </w:tcBorders>
                  <w:noWrap w:val="0"/>
                  <w:vAlign w:val="center"/>
                </w:tcPr>
                <w:p w14:paraId="6ABE7563">
                  <w:pPr>
                    <w:spacing w:line="320" w:lineRule="exac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本项目噪声源</w:t>
                  </w:r>
                </w:p>
              </w:tc>
            </w:tr>
            <w:tr w14:paraId="4AA00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continue"/>
                  <w:tcBorders>
                    <w:tl2br w:val="nil"/>
                    <w:tr2bl w:val="nil"/>
                  </w:tcBorders>
                  <w:noWrap w:val="0"/>
                  <w:vAlign w:val="center"/>
                </w:tcPr>
                <w:p w14:paraId="0DBF6E5C">
                  <w:pPr>
                    <w:spacing w:line="320" w:lineRule="exact"/>
                    <w:jc w:val="center"/>
                    <w:rPr>
                      <w:rFonts w:hint="eastAsia" w:ascii="Times New Roman" w:hAnsi="Times New Roman" w:eastAsia="宋体" w:cs="Times New Roman"/>
                      <w:bCs/>
                      <w:color w:val="auto"/>
                      <w:kern w:val="2"/>
                      <w:sz w:val="21"/>
                      <w:szCs w:val="21"/>
                      <w:highlight w:val="none"/>
                      <w:lang w:val="en-US" w:eastAsia="zh-CN" w:bidi="ar-SA"/>
                    </w:rPr>
                  </w:pPr>
                </w:p>
              </w:tc>
              <w:tc>
                <w:tcPr>
                  <w:tcW w:w="388" w:type="pct"/>
                  <w:tcBorders>
                    <w:tl2br w:val="nil"/>
                    <w:tr2bl w:val="nil"/>
                  </w:tcBorders>
                  <w:noWrap w:val="0"/>
                  <w:vAlign w:val="center"/>
                </w:tcPr>
                <w:p w14:paraId="72ED2F1F">
                  <w:pPr>
                    <w:spacing w:line="0" w:lineRule="atLeast"/>
                    <w:jc w:val="center"/>
                    <w:rPr>
                      <w:rFonts w:hint="eastAsia" w:cs="Times New Roman"/>
                      <w:color w:val="auto"/>
                      <w:szCs w:val="21"/>
                      <w:highlight w:val="none"/>
                      <w:lang w:eastAsia="zh-CN"/>
                    </w:rPr>
                  </w:pPr>
                  <w:r>
                    <w:rPr>
                      <w:color w:val="auto"/>
                      <w:szCs w:val="21"/>
                    </w:rPr>
                    <w:t>风机</w:t>
                  </w:r>
                </w:p>
              </w:tc>
              <w:tc>
                <w:tcPr>
                  <w:tcW w:w="412" w:type="pct"/>
                  <w:tcBorders>
                    <w:tl2br w:val="nil"/>
                    <w:tr2bl w:val="nil"/>
                  </w:tcBorders>
                  <w:noWrap w:val="0"/>
                  <w:vAlign w:val="center"/>
                </w:tcPr>
                <w:p w14:paraId="2E3CE383">
                  <w:pPr>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 w:val="21"/>
                      <w:szCs w:val="21"/>
                      <w:highlight w:val="none"/>
                      <w:lang w:val="en-US" w:eastAsia="zh-CN"/>
                    </w:rPr>
                    <w:t>85</w:t>
                  </w:r>
                </w:p>
              </w:tc>
              <w:tc>
                <w:tcPr>
                  <w:tcW w:w="471" w:type="pct"/>
                  <w:vMerge w:val="continue"/>
                  <w:tcBorders>
                    <w:tl2br w:val="nil"/>
                    <w:tr2bl w:val="nil"/>
                  </w:tcBorders>
                  <w:noWrap w:val="0"/>
                  <w:vAlign w:val="center"/>
                </w:tcPr>
                <w:p w14:paraId="0BAB72F9">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5764214F">
                  <w:pPr>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2.5</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7423AE02">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77</w:t>
                  </w:r>
                </w:p>
              </w:tc>
              <w:tc>
                <w:tcPr>
                  <w:tcW w:w="506" w:type="pct"/>
                  <w:vMerge w:val="continue"/>
                  <w:tcBorders>
                    <w:tl2br w:val="nil"/>
                    <w:tr2bl w:val="nil"/>
                  </w:tcBorders>
                  <w:noWrap w:val="0"/>
                  <w:vAlign w:val="center"/>
                </w:tcPr>
                <w:p w14:paraId="16653E1E">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561EEEB8">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53B65D12">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57</w:t>
                  </w:r>
                </w:p>
              </w:tc>
              <w:tc>
                <w:tcPr>
                  <w:tcW w:w="449" w:type="pct"/>
                  <w:tcBorders>
                    <w:tl2br w:val="nil"/>
                    <w:tr2bl w:val="nil"/>
                  </w:tcBorders>
                  <w:noWrap w:val="0"/>
                  <w:vAlign w:val="center"/>
                </w:tcPr>
                <w:p w14:paraId="771FBD09">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continue"/>
                  <w:tcBorders>
                    <w:tl2br w:val="nil"/>
                    <w:tr2bl w:val="nil"/>
                  </w:tcBorders>
                  <w:noWrap w:val="0"/>
                  <w:vAlign w:val="center"/>
                </w:tcPr>
                <w:p w14:paraId="258014C9">
                  <w:pPr>
                    <w:spacing w:line="320" w:lineRule="exact"/>
                    <w:jc w:val="center"/>
                    <w:rPr>
                      <w:rFonts w:hint="eastAsia" w:ascii="Times New Roman" w:hAnsi="Times New Roman" w:eastAsia="宋体" w:cs="Times New Roman"/>
                      <w:color w:val="auto"/>
                      <w:szCs w:val="21"/>
                      <w:highlight w:val="none"/>
                      <w:lang w:val="en-US" w:eastAsia="zh-CN"/>
                    </w:rPr>
                  </w:pPr>
                </w:p>
              </w:tc>
            </w:tr>
            <w:tr w14:paraId="6EF65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restart"/>
                  <w:tcBorders>
                    <w:tl2br w:val="nil"/>
                    <w:tr2bl w:val="nil"/>
                  </w:tcBorders>
                  <w:noWrap w:val="0"/>
                  <w:vAlign w:val="center"/>
                </w:tcPr>
                <w:p w14:paraId="608CF80F">
                  <w:pPr>
                    <w:spacing w:line="32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1#</w:t>
                  </w:r>
                  <w:r>
                    <w:rPr>
                      <w:rFonts w:hint="eastAsia" w:ascii="Times New Roman" w:hAnsi="Times New Roman" w:eastAsia="宋体" w:cs="Times New Roman"/>
                      <w:bCs/>
                      <w:color w:val="auto"/>
                      <w:kern w:val="2"/>
                      <w:sz w:val="21"/>
                      <w:szCs w:val="21"/>
                      <w:highlight w:val="none"/>
                      <w:lang w:val="en-US" w:eastAsia="zh-CN" w:bidi="ar-SA"/>
                    </w:rPr>
                    <w:t>热风炉房</w:t>
                  </w:r>
                </w:p>
              </w:tc>
              <w:tc>
                <w:tcPr>
                  <w:tcW w:w="388" w:type="pct"/>
                  <w:tcBorders>
                    <w:tl2br w:val="nil"/>
                    <w:tr2bl w:val="nil"/>
                  </w:tcBorders>
                  <w:noWrap w:val="0"/>
                  <w:vAlign w:val="center"/>
                </w:tcPr>
                <w:p w14:paraId="7AC2A8DF">
                  <w:pPr>
                    <w:spacing w:line="0" w:lineRule="atLeast"/>
                    <w:jc w:val="center"/>
                    <w:rPr>
                      <w:color w:val="auto"/>
                      <w:szCs w:val="21"/>
                    </w:rPr>
                  </w:pPr>
                  <w:r>
                    <w:rPr>
                      <w:rFonts w:hint="eastAsia" w:cs="Times New Roman"/>
                      <w:color w:val="auto"/>
                      <w:sz w:val="21"/>
                      <w:szCs w:val="21"/>
                      <w:highlight w:val="none"/>
                      <w:lang w:eastAsia="zh-CN"/>
                    </w:rPr>
                    <w:t>热风炉</w:t>
                  </w:r>
                </w:p>
              </w:tc>
              <w:tc>
                <w:tcPr>
                  <w:tcW w:w="412" w:type="pct"/>
                  <w:tcBorders>
                    <w:tl2br w:val="nil"/>
                    <w:tr2bl w:val="nil"/>
                  </w:tcBorders>
                  <w:noWrap w:val="0"/>
                  <w:vAlign w:val="center"/>
                </w:tcPr>
                <w:p w14:paraId="266BF1E5">
                  <w:pPr>
                    <w:spacing w:line="0" w:lineRule="atLeas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471" w:type="pct"/>
                  <w:vMerge w:val="continue"/>
                  <w:tcBorders>
                    <w:tl2br w:val="nil"/>
                    <w:tr2bl w:val="nil"/>
                  </w:tcBorders>
                  <w:noWrap w:val="0"/>
                  <w:vAlign w:val="center"/>
                </w:tcPr>
                <w:p w14:paraId="110C6726">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1FA4BD61">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1B928DDE">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65.5</w:t>
                  </w:r>
                </w:p>
              </w:tc>
              <w:tc>
                <w:tcPr>
                  <w:tcW w:w="506" w:type="pct"/>
                  <w:vMerge w:val="continue"/>
                  <w:tcBorders>
                    <w:tl2br w:val="nil"/>
                    <w:tr2bl w:val="nil"/>
                  </w:tcBorders>
                  <w:noWrap w:val="0"/>
                  <w:vAlign w:val="center"/>
                </w:tcPr>
                <w:p w14:paraId="51EBE4C3">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45C7FFF2">
                  <w:pPr>
                    <w:spacing w:line="32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273C6C9A">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45.5</w:t>
                  </w:r>
                </w:p>
              </w:tc>
              <w:tc>
                <w:tcPr>
                  <w:tcW w:w="449" w:type="pct"/>
                  <w:tcBorders>
                    <w:tl2br w:val="nil"/>
                    <w:tr2bl w:val="nil"/>
                  </w:tcBorders>
                  <w:noWrap w:val="0"/>
                  <w:vAlign w:val="center"/>
                </w:tcPr>
                <w:p w14:paraId="70157672">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restart"/>
                  <w:tcBorders>
                    <w:tl2br w:val="nil"/>
                    <w:tr2bl w:val="nil"/>
                  </w:tcBorders>
                  <w:noWrap w:val="0"/>
                  <w:vAlign w:val="center"/>
                </w:tcPr>
                <w:p w14:paraId="02142923">
                  <w:pPr>
                    <w:spacing w:line="320" w:lineRule="exac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现有工程噪声源</w:t>
                  </w:r>
                </w:p>
              </w:tc>
            </w:tr>
            <w:tr w14:paraId="01771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continue"/>
                  <w:tcBorders>
                    <w:tl2br w:val="nil"/>
                    <w:tr2bl w:val="nil"/>
                  </w:tcBorders>
                  <w:noWrap w:val="0"/>
                  <w:vAlign w:val="center"/>
                </w:tcPr>
                <w:p w14:paraId="149733AE">
                  <w:pPr>
                    <w:spacing w:line="320" w:lineRule="exact"/>
                    <w:jc w:val="center"/>
                    <w:rPr>
                      <w:rFonts w:hint="eastAsia" w:ascii="Times New Roman" w:hAnsi="Times New Roman" w:eastAsia="宋体" w:cs="Times New Roman"/>
                      <w:bCs/>
                      <w:color w:val="auto"/>
                      <w:kern w:val="2"/>
                      <w:sz w:val="21"/>
                      <w:szCs w:val="21"/>
                      <w:highlight w:val="none"/>
                      <w:lang w:val="en-US" w:eastAsia="zh-CN" w:bidi="ar-SA"/>
                    </w:rPr>
                  </w:pPr>
                </w:p>
              </w:tc>
              <w:tc>
                <w:tcPr>
                  <w:tcW w:w="388" w:type="pct"/>
                  <w:tcBorders>
                    <w:tl2br w:val="nil"/>
                    <w:tr2bl w:val="nil"/>
                  </w:tcBorders>
                  <w:noWrap w:val="0"/>
                  <w:vAlign w:val="center"/>
                </w:tcPr>
                <w:p w14:paraId="14041308">
                  <w:pPr>
                    <w:spacing w:line="0" w:lineRule="atLeast"/>
                    <w:jc w:val="center"/>
                    <w:rPr>
                      <w:color w:val="auto"/>
                      <w:szCs w:val="21"/>
                    </w:rPr>
                  </w:pPr>
                  <w:r>
                    <w:rPr>
                      <w:color w:val="auto"/>
                      <w:szCs w:val="21"/>
                    </w:rPr>
                    <w:t>风机</w:t>
                  </w:r>
                </w:p>
              </w:tc>
              <w:tc>
                <w:tcPr>
                  <w:tcW w:w="412" w:type="pct"/>
                  <w:tcBorders>
                    <w:tl2br w:val="nil"/>
                    <w:tr2bl w:val="nil"/>
                  </w:tcBorders>
                  <w:noWrap w:val="0"/>
                  <w:vAlign w:val="center"/>
                </w:tcPr>
                <w:p w14:paraId="21F1E39A">
                  <w:pPr>
                    <w:spacing w:line="0" w:lineRule="atLeas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85</w:t>
                  </w:r>
                </w:p>
              </w:tc>
              <w:tc>
                <w:tcPr>
                  <w:tcW w:w="471" w:type="pct"/>
                  <w:vMerge w:val="continue"/>
                  <w:tcBorders>
                    <w:tl2br w:val="nil"/>
                    <w:tr2bl w:val="nil"/>
                  </w:tcBorders>
                  <w:noWrap w:val="0"/>
                  <w:vAlign w:val="center"/>
                </w:tcPr>
                <w:p w14:paraId="20BB3021">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00D1E177">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3325FCEC">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75.5</w:t>
                  </w:r>
                </w:p>
              </w:tc>
              <w:tc>
                <w:tcPr>
                  <w:tcW w:w="506" w:type="pct"/>
                  <w:vMerge w:val="continue"/>
                  <w:tcBorders>
                    <w:tl2br w:val="nil"/>
                    <w:tr2bl w:val="nil"/>
                  </w:tcBorders>
                  <w:noWrap w:val="0"/>
                  <w:vAlign w:val="center"/>
                </w:tcPr>
                <w:p w14:paraId="3CECDAB0">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5D2ACCB6">
                  <w:pPr>
                    <w:spacing w:line="32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579F2660">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55.5</w:t>
                  </w:r>
                </w:p>
              </w:tc>
              <w:tc>
                <w:tcPr>
                  <w:tcW w:w="449" w:type="pct"/>
                  <w:tcBorders>
                    <w:tl2br w:val="nil"/>
                    <w:tr2bl w:val="nil"/>
                  </w:tcBorders>
                  <w:noWrap w:val="0"/>
                  <w:vAlign w:val="center"/>
                </w:tcPr>
                <w:p w14:paraId="534CB4F8">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continue"/>
                  <w:tcBorders>
                    <w:tl2br w:val="nil"/>
                    <w:tr2bl w:val="nil"/>
                  </w:tcBorders>
                  <w:noWrap w:val="0"/>
                  <w:vAlign w:val="center"/>
                </w:tcPr>
                <w:p w14:paraId="04E9D1E2">
                  <w:pPr>
                    <w:spacing w:line="320" w:lineRule="exact"/>
                    <w:jc w:val="center"/>
                    <w:rPr>
                      <w:rFonts w:hint="eastAsia" w:ascii="Times New Roman" w:hAnsi="Times New Roman" w:eastAsia="宋体" w:cs="Times New Roman"/>
                      <w:color w:val="auto"/>
                      <w:szCs w:val="21"/>
                      <w:highlight w:val="none"/>
                      <w:lang w:val="en-US" w:eastAsia="zh-CN"/>
                    </w:rPr>
                  </w:pPr>
                </w:p>
              </w:tc>
            </w:tr>
            <w:tr w14:paraId="6AC2B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restart"/>
                  <w:tcBorders>
                    <w:tl2br w:val="nil"/>
                    <w:tr2bl w:val="nil"/>
                  </w:tcBorders>
                  <w:noWrap w:val="0"/>
                  <w:vAlign w:val="center"/>
                </w:tcPr>
                <w:p w14:paraId="44587D07">
                  <w:pPr>
                    <w:spacing w:line="320" w:lineRule="exact"/>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锅炉房</w:t>
                  </w:r>
                </w:p>
              </w:tc>
              <w:tc>
                <w:tcPr>
                  <w:tcW w:w="388" w:type="pct"/>
                  <w:tcBorders>
                    <w:tl2br w:val="nil"/>
                    <w:tr2bl w:val="nil"/>
                  </w:tcBorders>
                  <w:noWrap w:val="0"/>
                  <w:vAlign w:val="center"/>
                </w:tcPr>
                <w:p w14:paraId="19C2085A">
                  <w:pPr>
                    <w:spacing w:line="0" w:lineRule="atLeast"/>
                    <w:jc w:val="center"/>
                    <w:rPr>
                      <w:rFonts w:hint="eastAsia" w:eastAsia="宋体"/>
                      <w:color w:val="auto"/>
                      <w:szCs w:val="21"/>
                      <w:lang w:eastAsia="zh-CN"/>
                    </w:rPr>
                  </w:pPr>
                  <w:r>
                    <w:rPr>
                      <w:rFonts w:hint="eastAsia"/>
                      <w:color w:val="auto"/>
                      <w:szCs w:val="21"/>
                      <w:lang w:eastAsia="zh-CN"/>
                    </w:rPr>
                    <w:t>锅炉</w:t>
                  </w:r>
                </w:p>
              </w:tc>
              <w:tc>
                <w:tcPr>
                  <w:tcW w:w="412" w:type="pct"/>
                  <w:tcBorders>
                    <w:tl2br w:val="nil"/>
                    <w:tr2bl w:val="nil"/>
                  </w:tcBorders>
                  <w:noWrap w:val="0"/>
                  <w:vAlign w:val="center"/>
                </w:tcPr>
                <w:p w14:paraId="241F660B">
                  <w:pPr>
                    <w:spacing w:line="0" w:lineRule="atLeas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471" w:type="pct"/>
                  <w:vMerge w:val="continue"/>
                  <w:tcBorders>
                    <w:tl2br w:val="nil"/>
                    <w:tr2bl w:val="nil"/>
                  </w:tcBorders>
                  <w:noWrap w:val="0"/>
                  <w:vAlign w:val="center"/>
                </w:tcPr>
                <w:p w14:paraId="4B4BCF0B">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1FD0BCF6">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4369F27E">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60.5</w:t>
                  </w:r>
                </w:p>
              </w:tc>
              <w:tc>
                <w:tcPr>
                  <w:tcW w:w="506" w:type="pct"/>
                  <w:vMerge w:val="continue"/>
                  <w:tcBorders>
                    <w:tl2br w:val="nil"/>
                    <w:tr2bl w:val="nil"/>
                  </w:tcBorders>
                  <w:noWrap w:val="0"/>
                  <w:vAlign w:val="center"/>
                </w:tcPr>
                <w:p w14:paraId="7CF7FE17">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36335411">
                  <w:pPr>
                    <w:spacing w:line="32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4E645157">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40.5</w:t>
                  </w:r>
                </w:p>
              </w:tc>
              <w:tc>
                <w:tcPr>
                  <w:tcW w:w="449" w:type="pct"/>
                  <w:tcBorders>
                    <w:tl2br w:val="nil"/>
                    <w:tr2bl w:val="nil"/>
                  </w:tcBorders>
                  <w:noWrap w:val="0"/>
                  <w:vAlign w:val="center"/>
                </w:tcPr>
                <w:p w14:paraId="423BA92B">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continue"/>
                  <w:tcBorders>
                    <w:tl2br w:val="nil"/>
                    <w:tr2bl w:val="nil"/>
                  </w:tcBorders>
                  <w:noWrap w:val="0"/>
                  <w:vAlign w:val="center"/>
                </w:tcPr>
                <w:p w14:paraId="7A6D392B">
                  <w:pPr>
                    <w:spacing w:line="320" w:lineRule="exact"/>
                    <w:jc w:val="center"/>
                    <w:rPr>
                      <w:rFonts w:hint="eastAsia" w:ascii="Times New Roman" w:hAnsi="Times New Roman" w:eastAsia="宋体" w:cs="Times New Roman"/>
                      <w:color w:val="auto"/>
                      <w:szCs w:val="21"/>
                      <w:highlight w:val="none"/>
                      <w:lang w:val="en-US" w:eastAsia="zh-CN"/>
                    </w:rPr>
                  </w:pPr>
                </w:p>
              </w:tc>
            </w:tr>
            <w:tr w14:paraId="482BF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continue"/>
                  <w:tcBorders>
                    <w:tl2br w:val="nil"/>
                    <w:tr2bl w:val="nil"/>
                  </w:tcBorders>
                  <w:noWrap w:val="0"/>
                  <w:vAlign w:val="center"/>
                </w:tcPr>
                <w:p w14:paraId="5159A192">
                  <w:pPr>
                    <w:spacing w:line="320" w:lineRule="exact"/>
                    <w:jc w:val="center"/>
                    <w:rPr>
                      <w:rFonts w:hint="eastAsia" w:ascii="Times New Roman" w:hAnsi="Times New Roman" w:eastAsia="宋体" w:cs="Times New Roman"/>
                      <w:bCs/>
                      <w:color w:val="auto"/>
                      <w:kern w:val="2"/>
                      <w:sz w:val="21"/>
                      <w:szCs w:val="21"/>
                      <w:highlight w:val="none"/>
                      <w:lang w:val="en-US" w:eastAsia="zh-CN" w:bidi="ar-SA"/>
                    </w:rPr>
                  </w:pPr>
                </w:p>
              </w:tc>
              <w:tc>
                <w:tcPr>
                  <w:tcW w:w="388" w:type="pct"/>
                  <w:tcBorders>
                    <w:tl2br w:val="nil"/>
                    <w:tr2bl w:val="nil"/>
                  </w:tcBorders>
                  <w:noWrap w:val="0"/>
                  <w:vAlign w:val="center"/>
                </w:tcPr>
                <w:p w14:paraId="548497CC">
                  <w:pPr>
                    <w:spacing w:line="0" w:lineRule="atLeast"/>
                    <w:jc w:val="center"/>
                    <w:rPr>
                      <w:rFonts w:hint="eastAsia" w:eastAsia="宋体"/>
                      <w:color w:val="auto"/>
                      <w:szCs w:val="21"/>
                      <w:lang w:eastAsia="zh-CN"/>
                    </w:rPr>
                  </w:pPr>
                  <w:r>
                    <w:rPr>
                      <w:rFonts w:hint="eastAsia"/>
                      <w:color w:val="auto"/>
                      <w:szCs w:val="21"/>
                      <w:lang w:eastAsia="zh-CN"/>
                    </w:rPr>
                    <w:t>风机</w:t>
                  </w:r>
                </w:p>
              </w:tc>
              <w:tc>
                <w:tcPr>
                  <w:tcW w:w="412" w:type="pct"/>
                  <w:tcBorders>
                    <w:tl2br w:val="nil"/>
                    <w:tr2bl w:val="nil"/>
                  </w:tcBorders>
                  <w:noWrap w:val="0"/>
                  <w:vAlign w:val="center"/>
                </w:tcPr>
                <w:p w14:paraId="6538CE09">
                  <w:pPr>
                    <w:spacing w:line="0" w:lineRule="atLeas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85</w:t>
                  </w:r>
                </w:p>
              </w:tc>
              <w:tc>
                <w:tcPr>
                  <w:tcW w:w="471" w:type="pct"/>
                  <w:vMerge w:val="continue"/>
                  <w:tcBorders>
                    <w:tl2br w:val="nil"/>
                    <w:tr2bl w:val="nil"/>
                  </w:tcBorders>
                  <w:noWrap w:val="0"/>
                  <w:vAlign w:val="center"/>
                </w:tcPr>
                <w:p w14:paraId="779E9965">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3D10D581">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4AADB970">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75.5</w:t>
                  </w:r>
                </w:p>
              </w:tc>
              <w:tc>
                <w:tcPr>
                  <w:tcW w:w="506" w:type="pct"/>
                  <w:vMerge w:val="continue"/>
                  <w:tcBorders>
                    <w:tl2br w:val="nil"/>
                    <w:tr2bl w:val="nil"/>
                  </w:tcBorders>
                  <w:noWrap w:val="0"/>
                  <w:vAlign w:val="center"/>
                </w:tcPr>
                <w:p w14:paraId="4248E18C">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62298E13">
                  <w:pPr>
                    <w:spacing w:line="32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6B1404F4">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55.5</w:t>
                  </w:r>
                </w:p>
              </w:tc>
              <w:tc>
                <w:tcPr>
                  <w:tcW w:w="449" w:type="pct"/>
                  <w:tcBorders>
                    <w:tl2br w:val="nil"/>
                    <w:tr2bl w:val="nil"/>
                  </w:tcBorders>
                  <w:noWrap w:val="0"/>
                  <w:vAlign w:val="center"/>
                </w:tcPr>
                <w:p w14:paraId="2B08C741">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continue"/>
                  <w:tcBorders>
                    <w:tl2br w:val="nil"/>
                    <w:tr2bl w:val="nil"/>
                  </w:tcBorders>
                  <w:noWrap w:val="0"/>
                  <w:vAlign w:val="center"/>
                </w:tcPr>
                <w:p w14:paraId="66174D11">
                  <w:pPr>
                    <w:spacing w:line="320" w:lineRule="exact"/>
                    <w:jc w:val="center"/>
                    <w:rPr>
                      <w:rFonts w:hint="eastAsia" w:ascii="Times New Roman" w:hAnsi="Times New Roman" w:eastAsia="宋体" w:cs="Times New Roman"/>
                      <w:color w:val="auto"/>
                      <w:szCs w:val="21"/>
                      <w:highlight w:val="none"/>
                      <w:lang w:val="en-US" w:eastAsia="zh-CN"/>
                    </w:rPr>
                  </w:pPr>
                </w:p>
              </w:tc>
            </w:tr>
            <w:tr w14:paraId="394A4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71" w:type="pct"/>
                  <w:vMerge w:val="continue"/>
                  <w:tcBorders>
                    <w:tl2br w:val="nil"/>
                    <w:tr2bl w:val="nil"/>
                  </w:tcBorders>
                  <w:noWrap w:val="0"/>
                  <w:vAlign w:val="center"/>
                </w:tcPr>
                <w:p w14:paraId="32AD0FD5">
                  <w:pPr>
                    <w:spacing w:line="320" w:lineRule="exact"/>
                    <w:jc w:val="center"/>
                    <w:rPr>
                      <w:rFonts w:hint="eastAsia" w:ascii="Times New Roman" w:hAnsi="Times New Roman" w:eastAsia="宋体" w:cs="Times New Roman"/>
                      <w:bCs/>
                      <w:color w:val="auto"/>
                      <w:kern w:val="2"/>
                      <w:sz w:val="21"/>
                      <w:szCs w:val="21"/>
                      <w:highlight w:val="none"/>
                      <w:lang w:val="en-US" w:eastAsia="zh-CN" w:bidi="ar-SA"/>
                    </w:rPr>
                  </w:pPr>
                </w:p>
              </w:tc>
              <w:tc>
                <w:tcPr>
                  <w:tcW w:w="388" w:type="pct"/>
                  <w:tcBorders>
                    <w:tl2br w:val="nil"/>
                    <w:tr2bl w:val="nil"/>
                  </w:tcBorders>
                  <w:noWrap w:val="0"/>
                  <w:vAlign w:val="center"/>
                </w:tcPr>
                <w:p w14:paraId="51F29FF8">
                  <w:pPr>
                    <w:spacing w:line="0" w:lineRule="atLeast"/>
                    <w:jc w:val="center"/>
                    <w:rPr>
                      <w:rFonts w:hint="eastAsia"/>
                      <w:color w:val="auto"/>
                      <w:szCs w:val="21"/>
                      <w:lang w:eastAsia="zh-CN"/>
                    </w:rPr>
                  </w:pPr>
                  <w:r>
                    <w:rPr>
                      <w:rFonts w:hint="eastAsia"/>
                      <w:color w:val="auto"/>
                      <w:szCs w:val="21"/>
                      <w:lang w:eastAsia="zh-CN"/>
                    </w:rPr>
                    <w:t>水泵</w:t>
                  </w:r>
                </w:p>
              </w:tc>
              <w:tc>
                <w:tcPr>
                  <w:tcW w:w="412" w:type="pct"/>
                  <w:tcBorders>
                    <w:tl2br w:val="nil"/>
                    <w:tr2bl w:val="nil"/>
                  </w:tcBorders>
                  <w:noWrap w:val="0"/>
                  <w:vAlign w:val="center"/>
                </w:tcPr>
                <w:p w14:paraId="2C22DA42">
                  <w:pPr>
                    <w:spacing w:line="0" w:lineRule="atLeast"/>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471" w:type="pct"/>
                  <w:vMerge w:val="continue"/>
                  <w:tcBorders>
                    <w:tl2br w:val="nil"/>
                    <w:tr2bl w:val="nil"/>
                  </w:tcBorders>
                  <w:noWrap w:val="0"/>
                  <w:vAlign w:val="center"/>
                </w:tcPr>
                <w:p w14:paraId="54F5E128">
                  <w:pPr>
                    <w:spacing w:line="320" w:lineRule="exact"/>
                    <w:jc w:val="center"/>
                    <w:rPr>
                      <w:rFonts w:ascii="Times New Roman" w:hAnsi="Times New Roman" w:eastAsia="宋体" w:cs="Times New Roman"/>
                      <w:color w:val="auto"/>
                      <w:szCs w:val="21"/>
                      <w:highlight w:val="none"/>
                    </w:rPr>
                  </w:pPr>
                </w:p>
              </w:tc>
              <w:tc>
                <w:tcPr>
                  <w:tcW w:w="478" w:type="pct"/>
                  <w:tcBorders>
                    <w:tl2br w:val="nil"/>
                    <w:tr2bl w:val="nil"/>
                  </w:tcBorders>
                  <w:noWrap w:val="0"/>
                  <w:vAlign w:val="center"/>
                </w:tcPr>
                <w:p w14:paraId="62A9A5AE">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m</w:t>
                  </w:r>
                </w:p>
              </w:tc>
              <w:tc>
                <w:tcPr>
                  <w:tcW w:w="521" w:type="pct"/>
                  <w:tcBorders>
                    <w:tl2br w:val="nil"/>
                    <w:tr2bl w:val="nil"/>
                  </w:tcBorders>
                  <w:noWrap w:val="0"/>
                  <w:vAlign w:val="center"/>
                </w:tcPr>
                <w:p w14:paraId="2908D476">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70.5</w:t>
                  </w:r>
                </w:p>
              </w:tc>
              <w:tc>
                <w:tcPr>
                  <w:tcW w:w="506" w:type="pct"/>
                  <w:vMerge w:val="continue"/>
                  <w:tcBorders>
                    <w:tl2br w:val="nil"/>
                    <w:tr2bl w:val="nil"/>
                  </w:tcBorders>
                  <w:noWrap w:val="0"/>
                  <w:vAlign w:val="center"/>
                </w:tcPr>
                <w:p w14:paraId="53DF4D2C">
                  <w:pPr>
                    <w:spacing w:line="320" w:lineRule="exact"/>
                    <w:jc w:val="center"/>
                    <w:rPr>
                      <w:rFonts w:hint="eastAsia" w:ascii="Times New Roman" w:hAnsi="Times New Roman" w:eastAsia="宋体" w:cs="Times New Roman"/>
                      <w:color w:val="auto"/>
                      <w:szCs w:val="21"/>
                      <w:highlight w:val="none"/>
                      <w:lang w:eastAsia="zh-CN"/>
                    </w:rPr>
                  </w:pPr>
                </w:p>
              </w:tc>
              <w:tc>
                <w:tcPr>
                  <w:tcW w:w="542" w:type="pct"/>
                  <w:tcBorders>
                    <w:tl2br w:val="nil"/>
                    <w:tr2bl w:val="nil"/>
                  </w:tcBorders>
                  <w:noWrap w:val="0"/>
                  <w:vAlign w:val="center"/>
                </w:tcPr>
                <w:p w14:paraId="6526B119">
                  <w:pPr>
                    <w:spacing w:line="320" w:lineRule="exac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20</w:t>
                  </w:r>
                </w:p>
              </w:tc>
              <w:tc>
                <w:tcPr>
                  <w:tcW w:w="450" w:type="pct"/>
                  <w:tcBorders>
                    <w:tl2br w:val="nil"/>
                    <w:tr2bl w:val="nil"/>
                  </w:tcBorders>
                  <w:noWrap w:val="0"/>
                  <w:vAlign w:val="center"/>
                </w:tcPr>
                <w:p w14:paraId="1BAEBB55">
                  <w:pPr>
                    <w:spacing w:line="320" w:lineRule="exact"/>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50.5</w:t>
                  </w:r>
                </w:p>
              </w:tc>
              <w:tc>
                <w:tcPr>
                  <w:tcW w:w="449" w:type="pct"/>
                  <w:tcBorders>
                    <w:tl2br w:val="nil"/>
                    <w:tr2bl w:val="nil"/>
                  </w:tcBorders>
                  <w:noWrap w:val="0"/>
                  <w:vAlign w:val="center"/>
                </w:tcPr>
                <w:p w14:paraId="3CC92424">
                  <w:pPr>
                    <w:spacing w:line="320" w:lineRule="exact"/>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1m</w:t>
                  </w:r>
                </w:p>
              </w:tc>
              <w:tc>
                <w:tcPr>
                  <w:tcW w:w="407" w:type="pct"/>
                  <w:vMerge w:val="continue"/>
                  <w:tcBorders>
                    <w:tl2br w:val="nil"/>
                    <w:tr2bl w:val="nil"/>
                  </w:tcBorders>
                  <w:noWrap w:val="0"/>
                  <w:vAlign w:val="center"/>
                </w:tcPr>
                <w:p w14:paraId="155886C1">
                  <w:pPr>
                    <w:spacing w:line="320" w:lineRule="exact"/>
                    <w:jc w:val="center"/>
                    <w:rPr>
                      <w:rFonts w:hint="eastAsia" w:ascii="Times New Roman" w:hAnsi="Times New Roman" w:eastAsia="宋体" w:cs="Times New Roman"/>
                      <w:color w:val="auto"/>
                      <w:szCs w:val="21"/>
                      <w:highlight w:val="none"/>
                      <w:lang w:val="en-US" w:eastAsia="zh-CN"/>
                    </w:rPr>
                  </w:pPr>
                </w:p>
              </w:tc>
            </w:tr>
          </w:tbl>
          <w:p w14:paraId="660A8C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4"/>
                <w:szCs w:val="22"/>
                <w:highlight w:val="none"/>
                <w:lang w:val="en-US" w:eastAsia="zh-CN" w:bidi="ar-SA"/>
              </w:rPr>
            </w:pPr>
            <w:r>
              <w:rPr>
                <w:rFonts w:hint="eastAsia"/>
                <w:b/>
                <w:bCs/>
                <w:color w:val="auto"/>
                <w:kern w:val="0"/>
                <w:sz w:val="24"/>
                <w:highlight w:val="none"/>
              </w:rPr>
              <w:t>表4-</w:t>
            </w:r>
            <w:r>
              <w:rPr>
                <w:rFonts w:hint="eastAsia"/>
                <w:b/>
                <w:bCs/>
                <w:color w:val="auto"/>
                <w:kern w:val="0"/>
                <w:sz w:val="24"/>
                <w:highlight w:val="none"/>
                <w:lang w:val="en-US" w:eastAsia="zh-CN"/>
              </w:rPr>
              <w:t>10</w:t>
            </w:r>
            <w:r>
              <w:rPr>
                <w:rFonts w:hint="eastAsia"/>
                <w:b/>
                <w:bCs/>
                <w:color w:val="auto"/>
                <w:kern w:val="0"/>
                <w:sz w:val="24"/>
                <w:highlight w:val="none"/>
              </w:rPr>
              <w:t xml:space="preserve"> 主要设备噪声源一览表</w:t>
            </w:r>
            <w:r>
              <w:rPr>
                <w:rFonts w:hint="eastAsia"/>
                <w:b/>
                <w:bCs/>
                <w:color w:val="auto"/>
                <w:kern w:val="0"/>
                <w:sz w:val="24"/>
                <w:highlight w:val="none"/>
                <w:lang w:eastAsia="zh-CN"/>
              </w:rPr>
              <w:t>（</w:t>
            </w:r>
            <w:r>
              <w:rPr>
                <w:rFonts w:hint="eastAsia"/>
                <w:b/>
                <w:bCs/>
                <w:color w:val="auto"/>
                <w:kern w:val="0"/>
                <w:sz w:val="24"/>
                <w:highlight w:val="none"/>
                <w:lang w:val="en-US" w:eastAsia="zh-CN"/>
              </w:rPr>
              <w:t>室外声源）</w:t>
            </w:r>
            <w:r>
              <w:rPr>
                <w:rFonts w:hint="eastAsia"/>
                <w:b/>
                <w:bCs/>
                <w:color w:val="auto"/>
                <w:kern w:val="0"/>
                <w:sz w:val="24"/>
                <w:highlight w:val="none"/>
              </w:rPr>
              <w:t>（单位：dB(A)）</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804"/>
              <w:gridCol w:w="1606"/>
            </w:tblGrid>
            <w:tr w14:paraId="5A6E4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487B0DFA">
                  <w:pPr>
                    <w:jc w:val="center"/>
                    <w:rPr>
                      <w:rFonts w:hint="eastAsia" w:eastAsiaTheme="minorEastAsia"/>
                      <w:color w:val="auto"/>
                      <w:vertAlign w:val="baseline"/>
                      <w:lang w:eastAsia="zh-CN"/>
                    </w:rPr>
                  </w:pPr>
                  <w:r>
                    <w:rPr>
                      <w:rFonts w:hint="eastAsia"/>
                      <w:color w:val="auto"/>
                      <w:vertAlign w:val="baseline"/>
                      <w:lang w:eastAsia="zh-CN"/>
                    </w:rPr>
                    <w:t>序号</w:t>
                  </w:r>
                </w:p>
              </w:tc>
              <w:tc>
                <w:tcPr>
                  <w:tcW w:w="1704" w:type="dxa"/>
                  <w:tcBorders>
                    <w:tl2br w:val="nil"/>
                    <w:tr2bl w:val="nil"/>
                  </w:tcBorders>
                  <w:vAlign w:val="center"/>
                </w:tcPr>
                <w:p w14:paraId="1A0E6030">
                  <w:pPr>
                    <w:jc w:val="center"/>
                    <w:rPr>
                      <w:rFonts w:hint="eastAsia" w:eastAsiaTheme="minorEastAsia"/>
                      <w:color w:val="auto"/>
                      <w:vertAlign w:val="baseline"/>
                      <w:lang w:eastAsia="zh-CN"/>
                    </w:rPr>
                  </w:pPr>
                  <w:r>
                    <w:rPr>
                      <w:rFonts w:hint="eastAsia"/>
                      <w:color w:val="auto"/>
                      <w:vertAlign w:val="baseline"/>
                      <w:lang w:eastAsia="zh-CN"/>
                    </w:rPr>
                    <w:t>声源名称</w:t>
                  </w:r>
                </w:p>
              </w:tc>
              <w:tc>
                <w:tcPr>
                  <w:tcW w:w="1704" w:type="dxa"/>
                  <w:tcBorders>
                    <w:tl2br w:val="nil"/>
                    <w:tr2bl w:val="nil"/>
                  </w:tcBorders>
                  <w:vAlign w:val="center"/>
                </w:tcPr>
                <w:p w14:paraId="0074E2C0">
                  <w:pPr>
                    <w:jc w:val="center"/>
                    <w:rPr>
                      <w:rFonts w:hint="eastAsia" w:eastAsiaTheme="minorEastAsia"/>
                      <w:color w:val="auto"/>
                      <w:vertAlign w:val="baseline"/>
                      <w:lang w:eastAsia="zh-CN"/>
                    </w:rPr>
                  </w:pPr>
                  <w:r>
                    <w:rPr>
                      <w:rFonts w:hint="eastAsia"/>
                      <w:color w:val="auto"/>
                      <w:vertAlign w:val="baseline"/>
                      <w:lang w:eastAsia="zh-CN"/>
                    </w:rPr>
                    <w:t>声源源强</w:t>
                  </w:r>
                </w:p>
              </w:tc>
              <w:tc>
                <w:tcPr>
                  <w:tcW w:w="1804" w:type="dxa"/>
                  <w:tcBorders>
                    <w:tl2br w:val="nil"/>
                    <w:tr2bl w:val="nil"/>
                  </w:tcBorders>
                  <w:vAlign w:val="center"/>
                </w:tcPr>
                <w:p w14:paraId="1243EC4A">
                  <w:pPr>
                    <w:jc w:val="center"/>
                    <w:rPr>
                      <w:rFonts w:hint="eastAsia" w:eastAsiaTheme="minorEastAsia"/>
                      <w:color w:val="auto"/>
                      <w:vertAlign w:val="baseline"/>
                      <w:lang w:eastAsia="zh-CN"/>
                    </w:rPr>
                  </w:pPr>
                  <w:r>
                    <w:rPr>
                      <w:rFonts w:hint="eastAsia"/>
                      <w:color w:val="auto"/>
                      <w:vertAlign w:val="baseline"/>
                      <w:lang w:eastAsia="zh-CN"/>
                    </w:rPr>
                    <w:t>声源控制措施</w:t>
                  </w:r>
                </w:p>
              </w:tc>
              <w:tc>
                <w:tcPr>
                  <w:tcW w:w="1606" w:type="dxa"/>
                  <w:tcBorders>
                    <w:tl2br w:val="nil"/>
                    <w:tr2bl w:val="nil"/>
                  </w:tcBorders>
                  <w:vAlign w:val="center"/>
                </w:tcPr>
                <w:p w14:paraId="706A11A9">
                  <w:pPr>
                    <w:jc w:val="center"/>
                    <w:rPr>
                      <w:rFonts w:hint="eastAsia" w:eastAsiaTheme="minorEastAsia"/>
                      <w:color w:val="auto"/>
                      <w:vertAlign w:val="baseline"/>
                      <w:lang w:eastAsia="zh-CN"/>
                    </w:rPr>
                  </w:pPr>
                  <w:r>
                    <w:rPr>
                      <w:rFonts w:hint="eastAsia"/>
                      <w:color w:val="auto"/>
                      <w:vertAlign w:val="baseline"/>
                      <w:lang w:eastAsia="zh-CN"/>
                    </w:rPr>
                    <w:t>运行时段</w:t>
                  </w:r>
                </w:p>
              </w:tc>
            </w:tr>
            <w:tr w14:paraId="156C5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79ECD801">
                  <w:pPr>
                    <w:jc w:val="center"/>
                    <w:rPr>
                      <w:rFonts w:hint="eastAsia" w:eastAsiaTheme="minorEastAsia"/>
                      <w:color w:val="auto"/>
                      <w:vertAlign w:val="baseline"/>
                      <w:lang w:val="en-US" w:eastAsia="zh-CN"/>
                    </w:rPr>
                  </w:pPr>
                  <w:r>
                    <w:rPr>
                      <w:rFonts w:hint="eastAsia"/>
                      <w:color w:val="auto"/>
                      <w:vertAlign w:val="baseline"/>
                      <w:lang w:val="en-US" w:eastAsia="zh-CN"/>
                    </w:rPr>
                    <w:t>1</w:t>
                  </w:r>
                </w:p>
              </w:tc>
              <w:tc>
                <w:tcPr>
                  <w:tcW w:w="1704" w:type="dxa"/>
                  <w:tcBorders>
                    <w:tl2br w:val="nil"/>
                    <w:tr2bl w:val="nil"/>
                  </w:tcBorders>
                  <w:vAlign w:val="center"/>
                </w:tcPr>
                <w:p w14:paraId="040A08F1">
                  <w:pPr>
                    <w:jc w:val="center"/>
                    <w:rPr>
                      <w:rFonts w:hint="eastAsia" w:eastAsiaTheme="minorEastAsia"/>
                      <w:color w:val="auto"/>
                      <w:vertAlign w:val="baseline"/>
                      <w:lang w:eastAsia="zh-CN"/>
                    </w:rPr>
                  </w:pPr>
                  <w:r>
                    <w:rPr>
                      <w:rFonts w:hint="eastAsia"/>
                      <w:color w:val="auto"/>
                      <w:vertAlign w:val="baseline"/>
                      <w:lang w:eastAsia="zh-CN"/>
                    </w:rPr>
                    <w:t>风机</w:t>
                  </w:r>
                </w:p>
              </w:tc>
              <w:tc>
                <w:tcPr>
                  <w:tcW w:w="1704" w:type="dxa"/>
                  <w:tcBorders>
                    <w:tl2br w:val="nil"/>
                    <w:tr2bl w:val="nil"/>
                  </w:tcBorders>
                  <w:vAlign w:val="center"/>
                </w:tcPr>
                <w:p w14:paraId="71B80F4A">
                  <w:pPr>
                    <w:jc w:val="center"/>
                    <w:rPr>
                      <w:rFonts w:hint="default" w:eastAsiaTheme="minorEastAsia"/>
                      <w:color w:val="auto"/>
                      <w:vertAlign w:val="baseline"/>
                      <w:lang w:val="en-US" w:eastAsia="zh-CN"/>
                    </w:rPr>
                  </w:pPr>
                  <w:r>
                    <w:rPr>
                      <w:rFonts w:hint="eastAsia"/>
                      <w:color w:val="auto"/>
                      <w:vertAlign w:val="baseline"/>
                      <w:lang w:val="en-US" w:eastAsia="zh-CN"/>
                    </w:rPr>
                    <w:t>85</w:t>
                  </w:r>
                </w:p>
              </w:tc>
              <w:tc>
                <w:tcPr>
                  <w:tcW w:w="1804" w:type="dxa"/>
                  <w:tcBorders>
                    <w:tl2br w:val="nil"/>
                    <w:tr2bl w:val="nil"/>
                  </w:tcBorders>
                  <w:vAlign w:val="center"/>
                </w:tcPr>
                <w:p w14:paraId="2E5D81F7">
                  <w:pPr>
                    <w:jc w:val="center"/>
                    <w:rPr>
                      <w:rFonts w:hint="eastAsia" w:eastAsia="宋体"/>
                      <w:color w:val="auto"/>
                      <w:vertAlign w:val="baseline"/>
                      <w:lang w:eastAsia="zh-CN"/>
                    </w:rPr>
                  </w:pPr>
                  <w:r>
                    <w:rPr>
                      <w:rFonts w:ascii="Times New Roman" w:hAnsi="Times New Roman" w:eastAsia="宋体" w:cs="Times New Roman"/>
                      <w:color w:val="auto"/>
                      <w:szCs w:val="21"/>
                    </w:rPr>
                    <w:t>选取低噪声设备，采取减振</w:t>
                  </w:r>
                  <w:r>
                    <w:rPr>
                      <w:rFonts w:hint="eastAsia" w:ascii="Times New Roman" w:hAnsi="Times New Roman" w:eastAsia="宋体" w:cs="Times New Roman"/>
                      <w:color w:val="auto"/>
                      <w:szCs w:val="21"/>
                      <w:lang w:eastAsia="zh-CN"/>
                    </w:rPr>
                    <w:t>措施</w:t>
                  </w:r>
                </w:p>
              </w:tc>
              <w:tc>
                <w:tcPr>
                  <w:tcW w:w="1606" w:type="dxa"/>
                  <w:tcBorders>
                    <w:tl2br w:val="nil"/>
                    <w:tr2bl w:val="nil"/>
                  </w:tcBorders>
                  <w:vAlign w:val="center"/>
                </w:tcPr>
                <w:p w14:paraId="2DDE47C2">
                  <w:pPr>
                    <w:jc w:val="center"/>
                    <w:rPr>
                      <w:rFonts w:hint="eastAsia" w:eastAsiaTheme="minorEastAsia"/>
                      <w:color w:val="auto"/>
                      <w:vertAlign w:val="baseline"/>
                      <w:lang w:eastAsia="zh-CN"/>
                    </w:rPr>
                  </w:pPr>
                  <w:r>
                    <w:rPr>
                      <w:rFonts w:hint="eastAsia"/>
                      <w:color w:val="auto"/>
                      <w:vertAlign w:val="baseline"/>
                      <w:lang w:eastAsia="zh-CN"/>
                    </w:rPr>
                    <w:t>连续</w:t>
                  </w:r>
                </w:p>
              </w:tc>
            </w:tr>
            <w:tr w14:paraId="5345C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tcBorders>
                    <w:tl2br w:val="nil"/>
                    <w:tr2bl w:val="nil"/>
                  </w:tcBorders>
                  <w:vAlign w:val="center"/>
                </w:tcPr>
                <w:p w14:paraId="65DAF56A">
                  <w:pPr>
                    <w:jc w:val="center"/>
                    <w:rPr>
                      <w:rFonts w:hint="default"/>
                      <w:color w:val="auto"/>
                      <w:vertAlign w:val="baseline"/>
                      <w:lang w:val="en-US" w:eastAsia="zh-CN"/>
                    </w:rPr>
                  </w:pPr>
                  <w:r>
                    <w:rPr>
                      <w:rFonts w:hint="eastAsia"/>
                      <w:color w:val="auto"/>
                      <w:vertAlign w:val="baseline"/>
                      <w:lang w:val="en-US" w:eastAsia="zh-CN"/>
                    </w:rPr>
                    <w:t>2</w:t>
                  </w:r>
                </w:p>
              </w:tc>
              <w:tc>
                <w:tcPr>
                  <w:tcW w:w="1704" w:type="dxa"/>
                  <w:tcBorders>
                    <w:tl2br w:val="nil"/>
                    <w:tr2bl w:val="nil"/>
                  </w:tcBorders>
                  <w:vAlign w:val="center"/>
                </w:tcPr>
                <w:p w14:paraId="081BD6B6">
                  <w:pPr>
                    <w:jc w:val="center"/>
                    <w:rPr>
                      <w:rFonts w:hint="eastAsia"/>
                      <w:color w:val="auto"/>
                      <w:vertAlign w:val="baseline"/>
                      <w:lang w:eastAsia="zh-CN"/>
                    </w:rPr>
                  </w:pPr>
                  <w:r>
                    <w:rPr>
                      <w:color w:val="auto"/>
                      <w:szCs w:val="21"/>
                    </w:rPr>
                    <w:t>烘干塔</w:t>
                  </w:r>
                </w:p>
              </w:tc>
              <w:tc>
                <w:tcPr>
                  <w:tcW w:w="1704" w:type="dxa"/>
                  <w:tcBorders>
                    <w:tl2br w:val="nil"/>
                    <w:tr2bl w:val="nil"/>
                  </w:tcBorders>
                  <w:vAlign w:val="center"/>
                </w:tcPr>
                <w:p w14:paraId="28F6CA4A">
                  <w:pPr>
                    <w:jc w:val="center"/>
                    <w:rPr>
                      <w:rFonts w:hint="default"/>
                      <w:color w:val="auto"/>
                      <w:vertAlign w:val="baseline"/>
                      <w:lang w:val="en-US" w:eastAsia="zh-CN"/>
                    </w:rPr>
                  </w:pPr>
                  <w:r>
                    <w:rPr>
                      <w:rFonts w:hint="eastAsia"/>
                      <w:color w:val="auto"/>
                      <w:vertAlign w:val="baseline"/>
                      <w:lang w:val="en-US" w:eastAsia="zh-CN"/>
                    </w:rPr>
                    <w:t>70</w:t>
                  </w:r>
                </w:p>
              </w:tc>
              <w:tc>
                <w:tcPr>
                  <w:tcW w:w="1804" w:type="dxa"/>
                  <w:vMerge w:val="restart"/>
                  <w:tcBorders>
                    <w:tl2br w:val="nil"/>
                    <w:tr2bl w:val="nil"/>
                  </w:tcBorders>
                  <w:vAlign w:val="center"/>
                </w:tcPr>
                <w:p w14:paraId="56AF89AA">
                  <w:pPr>
                    <w:jc w:val="center"/>
                    <w:rPr>
                      <w:rFonts w:hint="eastAsia" w:eastAsia="宋体"/>
                      <w:color w:val="auto"/>
                      <w:vertAlign w:val="baseline"/>
                      <w:lang w:eastAsia="zh-CN"/>
                    </w:rPr>
                  </w:pPr>
                  <w:r>
                    <w:rPr>
                      <w:color w:val="auto"/>
                      <w:szCs w:val="21"/>
                    </w:rPr>
                    <w:t>选取低噪声设备</w:t>
                  </w:r>
                </w:p>
              </w:tc>
              <w:tc>
                <w:tcPr>
                  <w:tcW w:w="1606" w:type="dxa"/>
                  <w:tcBorders>
                    <w:tl2br w:val="nil"/>
                    <w:tr2bl w:val="nil"/>
                  </w:tcBorders>
                  <w:vAlign w:val="center"/>
                </w:tcPr>
                <w:p w14:paraId="6093D7EA">
                  <w:pPr>
                    <w:jc w:val="center"/>
                    <w:rPr>
                      <w:rFonts w:hint="eastAsia"/>
                      <w:color w:val="auto"/>
                      <w:vertAlign w:val="baseline"/>
                      <w:lang w:eastAsia="zh-CN"/>
                    </w:rPr>
                  </w:pPr>
                  <w:r>
                    <w:rPr>
                      <w:rFonts w:hint="eastAsia"/>
                      <w:color w:val="auto"/>
                      <w:vertAlign w:val="baseline"/>
                      <w:lang w:eastAsia="zh-CN"/>
                    </w:rPr>
                    <w:t>连续</w:t>
                  </w:r>
                </w:p>
              </w:tc>
            </w:tr>
            <w:tr w14:paraId="0D529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tcBorders>
                    <w:tl2br w:val="nil"/>
                    <w:tr2bl w:val="nil"/>
                  </w:tcBorders>
                  <w:vAlign w:val="center"/>
                </w:tcPr>
                <w:p w14:paraId="6D1303B4">
                  <w:pPr>
                    <w:jc w:val="center"/>
                    <w:rPr>
                      <w:rFonts w:hint="default"/>
                      <w:color w:val="auto"/>
                      <w:vertAlign w:val="baseline"/>
                      <w:lang w:val="en-US" w:eastAsia="zh-CN"/>
                    </w:rPr>
                  </w:pPr>
                  <w:r>
                    <w:rPr>
                      <w:rFonts w:hint="eastAsia"/>
                      <w:color w:val="auto"/>
                      <w:vertAlign w:val="baseline"/>
                      <w:lang w:val="en-US" w:eastAsia="zh-CN"/>
                    </w:rPr>
                    <w:t>3</w:t>
                  </w:r>
                </w:p>
              </w:tc>
              <w:tc>
                <w:tcPr>
                  <w:tcW w:w="1704" w:type="dxa"/>
                  <w:tcBorders>
                    <w:tl2br w:val="nil"/>
                    <w:tr2bl w:val="nil"/>
                  </w:tcBorders>
                  <w:vAlign w:val="center"/>
                </w:tcPr>
                <w:p w14:paraId="15C1B6ED">
                  <w:pPr>
                    <w:jc w:val="center"/>
                    <w:rPr>
                      <w:rFonts w:hint="eastAsia"/>
                      <w:color w:val="auto"/>
                      <w:vertAlign w:val="baseline"/>
                      <w:lang w:eastAsia="zh-CN"/>
                    </w:rPr>
                  </w:pPr>
                  <w:r>
                    <w:rPr>
                      <w:rFonts w:hint="eastAsia"/>
                      <w:color w:val="auto"/>
                      <w:vertAlign w:val="baseline"/>
                      <w:lang w:eastAsia="zh-CN"/>
                    </w:rPr>
                    <w:t>清理筛分机</w:t>
                  </w:r>
                </w:p>
              </w:tc>
              <w:tc>
                <w:tcPr>
                  <w:tcW w:w="1704" w:type="dxa"/>
                  <w:tcBorders>
                    <w:tl2br w:val="nil"/>
                    <w:tr2bl w:val="nil"/>
                  </w:tcBorders>
                  <w:vAlign w:val="center"/>
                </w:tcPr>
                <w:p w14:paraId="339C936F">
                  <w:pPr>
                    <w:jc w:val="center"/>
                    <w:rPr>
                      <w:rFonts w:hint="default"/>
                      <w:color w:val="auto"/>
                      <w:vertAlign w:val="baseline"/>
                      <w:lang w:val="en-US" w:eastAsia="zh-CN"/>
                    </w:rPr>
                  </w:pPr>
                  <w:r>
                    <w:rPr>
                      <w:rFonts w:hint="eastAsia"/>
                      <w:color w:val="auto"/>
                      <w:vertAlign w:val="baseline"/>
                      <w:lang w:val="en-US" w:eastAsia="zh-CN"/>
                    </w:rPr>
                    <w:t>80</w:t>
                  </w:r>
                </w:p>
              </w:tc>
              <w:tc>
                <w:tcPr>
                  <w:tcW w:w="1804" w:type="dxa"/>
                  <w:vMerge w:val="continue"/>
                  <w:tcBorders>
                    <w:tl2br w:val="nil"/>
                    <w:tr2bl w:val="nil"/>
                  </w:tcBorders>
                  <w:vAlign w:val="center"/>
                </w:tcPr>
                <w:p w14:paraId="56BF188C">
                  <w:pPr>
                    <w:jc w:val="center"/>
                    <w:rPr>
                      <w:rFonts w:hint="eastAsia" w:eastAsia="宋体"/>
                      <w:color w:val="auto"/>
                      <w:vertAlign w:val="baseline"/>
                      <w:lang w:eastAsia="zh-CN"/>
                    </w:rPr>
                  </w:pPr>
                </w:p>
              </w:tc>
              <w:tc>
                <w:tcPr>
                  <w:tcW w:w="1606" w:type="dxa"/>
                  <w:tcBorders>
                    <w:tl2br w:val="nil"/>
                    <w:tr2bl w:val="nil"/>
                  </w:tcBorders>
                  <w:vAlign w:val="center"/>
                </w:tcPr>
                <w:p w14:paraId="60C67C10">
                  <w:pPr>
                    <w:jc w:val="center"/>
                    <w:rPr>
                      <w:color w:val="auto"/>
                      <w:vertAlign w:val="baseline"/>
                    </w:rPr>
                  </w:pPr>
                  <w:r>
                    <w:rPr>
                      <w:rFonts w:hint="eastAsia"/>
                      <w:color w:val="auto"/>
                      <w:vertAlign w:val="baseline"/>
                      <w:lang w:eastAsia="zh-CN"/>
                    </w:rPr>
                    <w:t>连续</w:t>
                  </w:r>
                </w:p>
              </w:tc>
            </w:tr>
            <w:tr w14:paraId="58041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tcBorders>
                    <w:tl2br w:val="nil"/>
                    <w:tr2bl w:val="nil"/>
                  </w:tcBorders>
                  <w:vAlign w:val="center"/>
                </w:tcPr>
                <w:p w14:paraId="39E5B85C">
                  <w:pPr>
                    <w:jc w:val="center"/>
                    <w:rPr>
                      <w:rFonts w:hint="eastAsia" w:eastAsiaTheme="minorEastAsia"/>
                      <w:color w:val="auto"/>
                      <w:vertAlign w:val="baseline"/>
                      <w:lang w:val="en-US" w:eastAsia="zh-CN"/>
                    </w:rPr>
                  </w:pPr>
                  <w:r>
                    <w:rPr>
                      <w:rFonts w:hint="eastAsia"/>
                      <w:color w:val="auto"/>
                      <w:vertAlign w:val="baseline"/>
                      <w:lang w:val="en-US" w:eastAsia="zh-CN"/>
                    </w:rPr>
                    <w:t>4</w:t>
                  </w:r>
                </w:p>
              </w:tc>
              <w:tc>
                <w:tcPr>
                  <w:tcW w:w="1704" w:type="dxa"/>
                  <w:tcBorders>
                    <w:tl2br w:val="nil"/>
                    <w:tr2bl w:val="nil"/>
                  </w:tcBorders>
                  <w:vAlign w:val="center"/>
                </w:tcPr>
                <w:p w14:paraId="778B00F7">
                  <w:pPr>
                    <w:jc w:val="center"/>
                    <w:rPr>
                      <w:rFonts w:hint="eastAsia" w:eastAsiaTheme="minorEastAsia"/>
                      <w:color w:val="auto"/>
                      <w:vertAlign w:val="baseline"/>
                      <w:lang w:eastAsia="zh-CN"/>
                    </w:rPr>
                  </w:pPr>
                  <w:r>
                    <w:rPr>
                      <w:rFonts w:hint="eastAsia"/>
                      <w:color w:val="auto"/>
                      <w:vertAlign w:val="baseline"/>
                      <w:lang w:eastAsia="zh-CN"/>
                    </w:rPr>
                    <w:t>提升机</w:t>
                  </w:r>
                </w:p>
              </w:tc>
              <w:tc>
                <w:tcPr>
                  <w:tcW w:w="1704" w:type="dxa"/>
                  <w:tcBorders>
                    <w:tl2br w:val="nil"/>
                    <w:tr2bl w:val="nil"/>
                  </w:tcBorders>
                  <w:vAlign w:val="center"/>
                </w:tcPr>
                <w:p w14:paraId="769B9539">
                  <w:pPr>
                    <w:jc w:val="center"/>
                    <w:rPr>
                      <w:rFonts w:hint="default" w:eastAsiaTheme="minorEastAsia"/>
                      <w:color w:val="auto"/>
                      <w:vertAlign w:val="baseline"/>
                      <w:lang w:val="en-US" w:eastAsia="zh-CN"/>
                    </w:rPr>
                  </w:pPr>
                  <w:r>
                    <w:rPr>
                      <w:rFonts w:hint="eastAsia"/>
                      <w:color w:val="auto"/>
                      <w:vertAlign w:val="baseline"/>
                      <w:lang w:val="en-US" w:eastAsia="zh-CN"/>
                    </w:rPr>
                    <w:t>70</w:t>
                  </w:r>
                </w:p>
              </w:tc>
              <w:tc>
                <w:tcPr>
                  <w:tcW w:w="1804" w:type="dxa"/>
                  <w:vMerge w:val="continue"/>
                  <w:tcBorders>
                    <w:tl2br w:val="nil"/>
                    <w:tr2bl w:val="nil"/>
                  </w:tcBorders>
                  <w:vAlign w:val="center"/>
                </w:tcPr>
                <w:p w14:paraId="38F957AA">
                  <w:pPr>
                    <w:jc w:val="center"/>
                    <w:rPr>
                      <w:rFonts w:hint="eastAsia" w:eastAsia="宋体"/>
                      <w:color w:val="auto"/>
                      <w:vertAlign w:val="baseline"/>
                      <w:lang w:eastAsia="zh-CN"/>
                    </w:rPr>
                  </w:pPr>
                </w:p>
              </w:tc>
              <w:tc>
                <w:tcPr>
                  <w:tcW w:w="1606" w:type="dxa"/>
                  <w:tcBorders>
                    <w:tl2br w:val="nil"/>
                    <w:tr2bl w:val="nil"/>
                  </w:tcBorders>
                  <w:vAlign w:val="center"/>
                </w:tcPr>
                <w:p w14:paraId="2FA40072">
                  <w:pPr>
                    <w:jc w:val="center"/>
                    <w:rPr>
                      <w:rFonts w:hint="eastAsia" w:eastAsiaTheme="minorEastAsia"/>
                      <w:color w:val="auto"/>
                      <w:vertAlign w:val="baseline"/>
                      <w:lang w:eastAsia="zh-CN"/>
                    </w:rPr>
                  </w:pPr>
                  <w:r>
                    <w:rPr>
                      <w:rFonts w:hint="eastAsia"/>
                      <w:color w:val="auto"/>
                      <w:vertAlign w:val="baseline"/>
                      <w:lang w:eastAsia="zh-CN"/>
                    </w:rPr>
                    <w:t>连续</w:t>
                  </w:r>
                </w:p>
              </w:tc>
            </w:tr>
            <w:tr w14:paraId="407F2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704" w:type="dxa"/>
                  <w:tcBorders>
                    <w:tl2br w:val="nil"/>
                    <w:tr2bl w:val="nil"/>
                  </w:tcBorders>
                  <w:vAlign w:val="center"/>
                </w:tcPr>
                <w:p w14:paraId="7AA969D1">
                  <w:pPr>
                    <w:jc w:val="center"/>
                    <w:rPr>
                      <w:rFonts w:hint="default"/>
                      <w:color w:val="auto"/>
                      <w:vertAlign w:val="baseline"/>
                      <w:lang w:val="en-US" w:eastAsia="zh-CN"/>
                    </w:rPr>
                  </w:pPr>
                  <w:r>
                    <w:rPr>
                      <w:rFonts w:hint="eastAsia"/>
                      <w:color w:val="auto"/>
                      <w:vertAlign w:val="baseline"/>
                      <w:lang w:val="en-US" w:eastAsia="zh-CN"/>
                    </w:rPr>
                    <w:t>5</w:t>
                  </w:r>
                </w:p>
              </w:tc>
              <w:tc>
                <w:tcPr>
                  <w:tcW w:w="1704" w:type="dxa"/>
                  <w:tcBorders>
                    <w:tl2br w:val="nil"/>
                    <w:tr2bl w:val="nil"/>
                  </w:tcBorders>
                  <w:vAlign w:val="center"/>
                </w:tcPr>
                <w:p w14:paraId="0C41D7C6">
                  <w:pPr>
                    <w:jc w:val="center"/>
                    <w:rPr>
                      <w:rFonts w:hint="eastAsia"/>
                      <w:color w:val="auto"/>
                      <w:vertAlign w:val="baseline"/>
                      <w:lang w:eastAsia="zh-CN"/>
                    </w:rPr>
                  </w:pPr>
                  <w:r>
                    <w:rPr>
                      <w:rFonts w:hint="eastAsia"/>
                      <w:color w:val="auto"/>
                      <w:vertAlign w:val="baseline"/>
                      <w:lang w:eastAsia="zh-CN"/>
                    </w:rPr>
                    <w:t>传送带</w:t>
                  </w:r>
                </w:p>
              </w:tc>
              <w:tc>
                <w:tcPr>
                  <w:tcW w:w="1704" w:type="dxa"/>
                  <w:tcBorders>
                    <w:tl2br w:val="nil"/>
                    <w:tr2bl w:val="nil"/>
                  </w:tcBorders>
                  <w:vAlign w:val="center"/>
                </w:tcPr>
                <w:p w14:paraId="49194370">
                  <w:pPr>
                    <w:jc w:val="center"/>
                    <w:rPr>
                      <w:rFonts w:hint="default"/>
                      <w:color w:val="auto"/>
                      <w:vertAlign w:val="baseline"/>
                      <w:lang w:val="en-US" w:eastAsia="zh-CN"/>
                    </w:rPr>
                  </w:pPr>
                  <w:r>
                    <w:rPr>
                      <w:rFonts w:hint="eastAsia"/>
                      <w:color w:val="auto"/>
                      <w:vertAlign w:val="baseline"/>
                      <w:lang w:val="en-US" w:eastAsia="zh-CN"/>
                    </w:rPr>
                    <w:t>75</w:t>
                  </w:r>
                </w:p>
              </w:tc>
              <w:tc>
                <w:tcPr>
                  <w:tcW w:w="1804" w:type="dxa"/>
                  <w:vMerge w:val="continue"/>
                  <w:tcBorders>
                    <w:tl2br w:val="nil"/>
                    <w:tr2bl w:val="nil"/>
                  </w:tcBorders>
                  <w:vAlign w:val="center"/>
                </w:tcPr>
                <w:p w14:paraId="53227FCC">
                  <w:pPr>
                    <w:jc w:val="center"/>
                    <w:rPr>
                      <w:rFonts w:hint="eastAsia" w:eastAsia="宋体"/>
                      <w:color w:val="auto"/>
                      <w:vertAlign w:val="baseline"/>
                      <w:lang w:eastAsia="zh-CN"/>
                    </w:rPr>
                  </w:pPr>
                </w:p>
              </w:tc>
              <w:tc>
                <w:tcPr>
                  <w:tcW w:w="1606" w:type="dxa"/>
                  <w:tcBorders>
                    <w:tl2br w:val="nil"/>
                    <w:tr2bl w:val="nil"/>
                  </w:tcBorders>
                  <w:vAlign w:val="center"/>
                </w:tcPr>
                <w:p w14:paraId="5CFDB5B9">
                  <w:pPr>
                    <w:jc w:val="center"/>
                    <w:rPr>
                      <w:rFonts w:hint="eastAsia"/>
                      <w:color w:val="auto"/>
                      <w:vertAlign w:val="baseline"/>
                      <w:lang w:eastAsia="zh-CN"/>
                    </w:rPr>
                  </w:pPr>
                  <w:r>
                    <w:rPr>
                      <w:rFonts w:hint="eastAsia"/>
                      <w:color w:val="auto"/>
                      <w:vertAlign w:val="baseline"/>
                      <w:lang w:eastAsia="zh-CN"/>
                    </w:rPr>
                    <w:t>连续</w:t>
                  </w:r>
                </w:p>
              </w:tc>
            </w:tr>
          </w:tbl>
          <w:p w14:paraId="71BCE301">
            <w:pPr>
              <w:adjustRightInd w:val="0"/>
              <w:snapToGrid w:val="0"/>
              <w:spacing w:line="360" w:lineRule="auto"/>
              <w:ind w:firstLine="480" w:firstLineChars="200"/>
              <w:rPr>
                <w:color w:val="auto"/>
                <w:sz w:val="24"/>
              </w:rPr>
            </w:pPr>
            <w:r>
              <w:rPr>
                <w:rFonts w:hint="eastAsia"/>
                <w:color w:val="auto"/>
                <w:sz w:val="24"/>
              </w:rPr>
              <w:t>2、噪声影响预测</w:t>
            </w:r>
          </w:p>
          <w:p w14:paraId="72655563">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根据《环境影响评价技术导则声环境》（HJ2.4-2021）的技术要求，本次评价采取导则上推荐模式。</w:t>
            </w:r>
          </w:p>
          <w:p w14:paraId="70F6CEA9">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lang w:eastAsia="zh-CN"/>
              </w:rPr>
              <w:t>（</w:t>
            </w:r>
            <w:r>
              <w:rPr>
                <w:rFonts w:hint="eastAsia"/>
                <w:color w:val="auto"/>
                <w:kern w:val="0"/>
                <w:sz w:val="24"/>
                <w:highlight w:val="none"/>
                <w:lang w:val="en-US" w:eastAsia="zh-CN"/>
              </w:rPr>
              <w:t>1</w:t>
            </w:r>
            <w:r>
              <w:rPr>
                <w:rFonts w:hint="eastAsia"/>
                <w:color w:val="auto"/>
                <w:kern w:val="0"/>
                <w:sz w:val="24"/>
                <w:highlight w:val="none"/>
                <w:lang w:eastAsia="zh-CN"/>
              </w:rPr>
              <w:t>）</w:t>
            </w:r>
            <w:r>
              <w:rPr>
                <w:rFonts w:hint="eastAsia"/>
                <w:color w:val="auto"/>
                <w:kern w:val="0"/>
                <w:sz w:val="24"/>
                <w:highlight w:val="none"/>
              </w:rPr>
              <w:t>室内点声源</w:t>
            </w:r>
          </w:p>
          <w:p w14:paraId="2EA1DE5F">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室内声源采用等效室外声源声功率级法进行计算。先计算出某个室内靠近围护结构处产生的倍频带声压级：</w:t>
            </w:r>
          </w:p>
          <w:p w14:paraId="33AF046A">
            <w:pPr>
              <w:adjustRightInd w:val="0"/>
              <w:snapToGrid w:val="0"/>
              <w:spacing w:line="360" w:lineRule="auto"/>
              <w:jc w:val="center"/>
              <w:rPr>
                <w:rFonts w:hint="eastAsia"/>
                <w:color w:val="auto"/>
                <w:kern w:val="0"/>
                <w:sz w:val="24"/>
                <w:highlight w:val="none"/>
              </w:rPr>
            </w:pPr>
            <w:r>
              <w:rPr>
                <w:rFonts w:hint="eastAsia"/>
                <w:color w:val="auto"/>
                <w:kern w:val="0"/>
                <w:sz w:val="24"/>
                <w:highlight w:val="none"/>
              </w:rPr>
              <w:drawing>
                <wp:inline distT="0" distB="0" distL="114300" distR="114300">
                  <wp:extent cx="1750060" cy="444500"/>
                  <wp:effectExtent l="0" t="0" r="2540" b="1333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34"/>
                          <a:stretch>
                            <a:fillRect/>
                          </a:stretch>
                        </pic:blipFill>
                        <pic:spPr>
                          <a:xfrm>
                            <a:off x="0" y="0"/>
                            <a:ext cx="1750060" cy="444500"/>
                          </a:xfrm>
                          <a:prstGeom prst="rect">
                            <a:avLst/>
                          </a:prstGeom>
                          <a:noFill/>
                          <a:ln>
                            <a:noFill/>
                          </a:ln>
                        </pic:spPr>
                      </pic:pic>
                    </a:graphicData>
                  </a:graphic>
                </wp:inline>
              </w:drawing>
            </w:r>
          </w:p>
          <w:p w14:paraId="36754E62">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然后计算出所有室内声源在围护结构处产生的i倍频带叠加声压级：</w:t>
            </w:r>
          </w:p>
          <w:p w14:paraId="56A99B19">
            <w:pPr>
              <w:adjustRightInd w:val="0"/>
              <w:snapToGrid w:val="0"/>
              <w:spacing w:line="360" w:lineRule="auto"/>
              <w:jc w:val="center"/>
              <w:rPr>
                <w:rFonts w:hint="eastAsia"/>
                <w:color w:val="auto"/>
                <w:kern w:val="0"/>
                <w:sz w:val="24"/>
                <w:highlight w:val="none"/>
              </w:rPr>
            </w:pPr>
            <w:r>
              <w:rPr>
                <w:rFonts w:hint="eastAsia"/>
                <w:color w:val="auto"/>
                <w:kern w:val="0"/>
                <w:sz w:val="24"/>
                <w:highlight w:val="none"/>
              </w:rPr>
              <w:drawing>
                <wp:inline distT="0" distB="0" distL="114300" distR="114300">
                  <wp:extent cx="1687195" cy="523875"/>
                  <wp:effectExtent l="0" t="0" r="8255" b="8890"/>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35"/>
                          <a:stretch>
                            <a:fillRect/>
                          </a:stretch>
                        </pic:blipFill>
                        <pic:spPr>
                          <a:xfrm>
                            <a:off x="0" y="0"/>
                            <a:ext cx="1687195" cy="523875"/>
                          </a:xfrm>
                          <a:prstGeom prst="rect">
                            <a:avLst/>
                          </a:prstGeom>
                          <a:noFill/>
                          <a:ln>
                            <a:noFill/>
                          </a:ln>
                        </pic:spPr>
                      </pic:pic>
                    </a:graphicData>
                  </a:graphic>
                </wp:inline>
              </w:drawing>
            </w:r>
          </w:p>
          <w:p w14:paraId="5CFA81D1">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在室内近似为扩散声场时，按下式计算出靠近室外围护结构处的声压级：</w:t>
            </w:r>
          </w:p>
          <w:p w14:paraId="4014B272">
            <w:pPr>
              <w:adjustRightInd w:val="0"/>
              <w:snapToGrid w:val="0"/>
              <w:spacing w:line="360" w:lineRule="auto"/>
              <w:jc w:val="center"/>
              <w:rPr>
                <w:rFonts w:hint="eastAsia"/>
                <w:color w:val="auto"/>
                <w:kern w:val="0"/>
                <w:sz w:val="24"/>
                <w:highlight w:val="none"/>
              </w:rPr>
            </w:pPr>
            <w:r>
              <w:rPr>
                <w:rFonts w:hint="eastAsia"/>
                <w:color w:val="auto"/>
                <w:kern w:val="0"/>
                <w:sz w:val="24"/>
                <w:highlight w:val="none"/>
              </w:rPr>
              <w:drawing>
                <wp:inline distT="0" distB="0" distL="114300" distR="114300">
                  <wp:extent cx="1750060" cy="222250"/>
                  <wp:effectExtent l="0" t="0" r="0" b="5080"/>
                  <wp:docPr id="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pic:cNvPicPr>
                            <a:picLocks noChangeAspect="1"/>
                          </pic:cNvPicPr>
                        </pic:nvPicPr>
                        <pic:blipFill>
                          <a:blip r:embed="rId36"/>
                          <a:stretch>
                            <a:fillRect/>
                          </a:stretch>
                        </pic:blipFill>
                        <pic:spPr>
                          <a:xfrm>
                            <a:off x="0" y="0"/>
                            <a:ext cx="1750060" cy="222250"/>
                          </a:xfrm>
                          <a:prstGeom prst="rect">
                            <a:avLst/>
                          </a:prstGeom>
                          <a:noFill/>
                          <a:ln>
                            <a:noFill/>
                          </a:ln>
                        </pic:spPr>
                      </pic:pic>
                    </a:graphicData>
                  </a:graphic>
                </wp:inline>
              </w:drawing>
            </w:r>
          </w:p>
          <w:p w14:paraId="36C35653">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将室外声源的声压级和透过面积换算成等效的室外声源，计算出中心位置位于透声面积处的等效声源的倍频带声功率级：</w:t>
            </w:r>
          </w:p>
          <w:p w14:paraId="0431B384">
            <w:pPr>
              <w:adjustRightInd w:val="0"/>
              <w:snapToGrid w:val="0"/>
              <w:spacing w:line="360" w:lineRule="auto"/>
              <w:jc w:val="center"/>
              <w:rPr>
                <w:rFonts w:hint="eastAsia"/>
                <w:color w:val="auto"/>
                <w:kern w:val="0"/>
                <w:sz w:val="24"/>
                <w:highlight w:val="none"/>
              </w:rPr>
            </w:pPr>
            <w:r>
              <w:rPr>
                <w:rFonts w:hint="eastAsia"/>
                <w:color w:val="auto"/>
                <w:kern w:val="0"/>
                <w:sz w:val="24"/>
                <w:highlight w:val="none"/>
              </w:rPr>
              <w:drawing>
                <wp:inline distT="0" distB="0" distL="114300" distR="114300">
                  <wp:extent cx="1327785" cy="222250"/>
                  <wp:effectExtent l="0" t="0" r="0" b="508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37"/>
                          <a:stretch>
                            <a:fillRect/>
                          </a:stretch>
                        </pic:blipFill>
                        <pic:spPr>
                          <a:xfrm>
                            <a:off x="0" y="0"/>
                            <a:ext cx="1327785" cy="222250"/>
                          </a:xfrm>
                          <a:prstGeom prst="rect">
                            <a:avLst/>
                          </a:prstGeom>
                          <a:noFill/>
                          <a:ln>
                            <a:noFill/>
                          </a:ln>
                        </pic:spPr>
                      </pic:pic>
                    </a:graphicData>
                  </a:graphic>
                </wp:inline>
              </w:drawing>
            </w:r>
          </w:p>
          <w:p w14:paraId="7589BA9B">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然后按室外声源预测方法计算预测点处的A声级。</w:t>
            </w:r>
          </w:p>
          <w:p w14:paraId="00F40564">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lang w:eastAsia="zh-CN"/>
              </w:rPr>
              <w:t>（</w:t>
            </w:r>
            <w:r>
              <w:rPr>
                <w:rFonts w:hint="eastAsia"/>
                <w:color w:val="auto"/>
                <w:kern w:val="0"/>
                <w:sz w:val="24"/>
                <w:highlight w:val="none"/>
                <w:lang w:val="en-US" w:eastAsia="zh-CN"/>
              </w:rPr>
              <w:t>2</w:t>
            </w:r>
            <w:r>
              <w:rPr>
                <w:rFonts w:hint="eastAsia"/>
                <w:color w:val="auto"/>
                <w:kern w:val="0"/>
                <w:sz w:val="24"/>
                <w:highlight w:val="none"/>
                <w:lang w:eastAsia="zh-CN"/>
              </w:rPr>
              <w:t>）</w:t>
            </w:r>
            <w:r>
              <w:rPr>
                <w:rFonts w:hint="eastAsia"/>
                <w:color w:val="auto"/>
                <w:kern w:val="0"/>
                <w:sz w:val="24"/>
                <w:highlight w:val="none"/>
              </w:rPr>
              <w:t>噪声贡献值计算</w:t>
            </w:r>
          </w:p>
          <w:p w14:paraId="4276CEC3">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设第i个室外声源在预测点产生的A声级为LAi，在T时间内该声源工作时间为ti；第j个等效室外声源在预测点产生的A声级为LAj，在T时间内该声源工作时间为tj，则拟建工程声源对预测点产生的贡献值为：</w:t>
            </w:r>
          </w:p>
          <w:p w14:paraId="56112CAA">
            <w:pPr>
              <w:adjustRightInd w:val="0"/>
              <w:snapToGrid w:val="0"/>
              <w:spacing w:line="360" w:lineRule="auto"/>
              <w:jc w:val="center"/>
              <w:rPr>
                <w:rFonts w:hint="eastAsia"/>
                <w:color w:val="auto"/>
                <w:kern w:val="0"/>
                <w:sz w:val="24"/>
                <w:highlight w:val="none"/>
              </w:rPr>
            </w:pPr>
            <w:r>
              <w:rPr>
                <w:rFonts w:hint="eastAsia"/>
                <w:color w:val="auto"/>
                <w:kern w:val="0"/>
                <w:sz w:val="24"/>
                <w:highlight w:val="none"/>
              </w:rPr>
              <w:drawing>
                <wp:inline distT="0" distB="0" distL="114300" distR="114300">
                  <wp:extent cx="2608580" cy="523875"/>
                  <wp:effectExtent l="0" t="0" r="1270" b="8890"/>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38"/>
                          <a:stretch>
                            <a:fillRect/>
                          </a:stretch>
                        </pic:blipFill>
                        <pic:spPr>
                          <a:xfrm>
                            <a:off x="0" y="0"/>
                            <a:ext cx="2608580" cy="523875"/>
                          </a:xfrm>
                          <a:prstGeom prst="rect">
                            <a:avLst/>
                          </a:prstGeom>
                          <a:noFill/>
                          <a:ln>
                            <a:noFill/>
                          </a:ln>
                        </pic:spPr>
                      </pic:pic>
                    </a:graphicData>
                  </a:graphic>
                </wp:inline>
              </w:drawing>
            </w:r>
          </w:p>
          <w:p w14:paraId="3CB91BAB">
            <w:pPr>
              <w:adjustRightInd w:val="0"/>
              <w:snapToGrid w:val="0"/>
              <w:spacing w:line="360" w:lineRule="auto"/>
              <w:ind w:firstLine="480" w:firstLineChars="200"/>
              <w:rPr>
                <w:rFonts w:hint="eastAsia"/>
                <w:color w:val="auto"/>
                <w:kern w:val="0"/>
                <w:sz w:val="24"/>
                <w:highlight w:val="none"/>
              </w:rPr>
            </w:pPr>
            <w:r>
              <w:rPr>
                <w:rFonts w:hint="eastAsia"/>
                <w:color w:val="auto"/>
                <w:kern w:val="0"/>
                <w:sz w:val="24"/>
                <w:highlight w:val="none"/>
              </w:rPr>
              <w:t>上式中各符号的意义和单位见HJ2.4-2021。</w:t>
            </w:r>
          </w:p>
          <w:p w14:paraId="5B1C72DE">
            <w:pPr>
              <w:adjustRightInd w:val="0"/>
              <w:snapToGrid w:val="0"/>
              <w:spacing w:line="360" w:lineRule="auto"/>
              <w:ind w:firstLine="480" w:firstLineChars="200"/>
              <w:rPr>
                <w:rFonts w:hint="eastAsia"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（3）</w:t>
            </w:r>
            <w:r>
              <w:rPr>
                <w:rFonts w:hint="eastAsia" w:ascii="Times New Roman" w:hAnsi="Times New Roman" w:eastAsia="宋体" w:cs="Times New Roman"/>
                <w:color w:val="auto"/>
                <w:kern w:val="0"/>
                <w:sz w:val="24"/>
                <w:highlight w:val="none"/>
              </w:rPr>
              <w:t>预测内容</w:t>
            </w:r>
          </w:p>
          <w:p w14:paraId="0D288314">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kern w:val="0"/>
                <w:sz w:val="24"/>
                <w:highlight w:val="none"/>
              </w:rPr>
              <w:t>预测噪声源对厂界外1m处的影响程度。</w:t>
            </w:r>
          </w:p>
          <w:p w14:paraId="0FD95EE9">
            <w:pPr>
              <w:pStyle w:val="121"/>
              <w:spacing w:line="360" w:lineRule="auto"/>
              <w:ind w:left="0" w:leftChars="0" w:right="0" w:rightChars="0" w:firstLineChars="200"/>
              <w:rPr>
                <w:bCs/>
                <w:color w:val="auto"/>
                <w:kern w:val="2"/>
                <w:sz w:val="24"/>
                <w:highlight w:val="none"/>
              </w:rPr>
            </w:pPr>
            <w:r>
              <w:rPr>
                <w:color w:val="auto"/>
                <w:kern w:val="2"/>
                <w:sz w:val="24"/>
                <w:highlight w:val="none"/>
              </w:rPr>
              <w:t>（4）预测结果</w:t>
            </w:r>
          </w:p>
          <w:p w14:paraId="2D344D1C">
            <w:pPr>
              <w:pStyle w:val="70"/>
              <w:rPr>
                <w:color w:val="auto"/>
                <w:highlight w:val="none"/>
              </w:rPr>
            </w:pPr>
            <w:r>
              <w:rPr>
                <w:rFonts w:hint="eastAsia"/>
                <w:bCs/>
                <w:color w:val="auto"/>
                <w:highlight w:val="none"/>
              </w:rPr>
              <w:t>本项目采用了噪声治理措施，</w:t>
            </w:r>
            <w:r>
              <w:rPr>
                <w:color w:val="auto"/>
                <w:highlight w:val="none"/>
              </w:rPr>
              <w:t>根据项目的机械设备声级、所在位置，利用噪声预测模式和方法，对厂界噪声进行预测计算，得到项目建成后各预测点的昼间和夜间噪声级，噪声影响预测结果见下表。</w:t>
            </w:r>
          </w:p>
          <w:p w14:paraId="54B07BF7">
            <w:pPr>
              <w:jc w:val="center"/>
              <w:rPr>
                <w:b/>
                <w:color w:val="auto"/>
                <w:sz w:val="24"/>
                <w:highlight w:val="none"/>
              </w:rPr>
            </w:pPr>
            <w:r>
              <w:rPr>
                <w:b/>
                <w:color w:val="auto"/>
                <w:sz w:val="24"/>
                <w:highlight w:val="none"/>
              </w:rPr>
              <w:t>表</w:t>
            </w:r>
            <w:r>
              <w:rPr>
                <w:rFonts w:hint="eastAsia"/>
                <w:b/>
                <w:color w:val="auto"/>
                <w:sz w:val="24"/>
                <w:highlight w:val="none"/>
              </w:rPr>
              <w:t>4-</w:t>
            </w:r>
            <w:r>
              <w:rPr>
                <w:rFonts w:hint="eastAsia"/>
                <w:b/>
                <w:color w:val="auto"/>
                <w:sz w:val="24"/>
                <w:highlight w:val="none"/>
                <w:lang w:val="en-US" w:eastAsia="zh-CN"/>
              </w:rPr>
              <w:t>4</w:t>
            </w:r>
            <w:r>
              <w:rPr>
                <w:b/>
                <w:color w:val="auto"/>
                <w:sz w:val="24"/>
                <w:highlight w:val="none"/>
              </w:rPr>
              <w:t xml:space="preserve"> 噪声贡献值预测结果  </w:t>
            </w:r>
            <w:r>
              <w:rPr>
                <w:b/>
                <w:bCs/>
                <w:color w:val="auto"/>
                <w:sz w:val="24"/>
                <w:highlight w:val="none"/>
              </w:rPr>
              <w:t>单位：dB（A）</w:t>
            </w:r>
          </w:p>
          <w:tbl>
            <w:tblPr>
              <w:tblStyle w:val="31"/>
              <w:tblW w:w="86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1762"/>
              <w:gridCol w:w="1750"/>
              <w:gridCol w:w="3164"/>
            </w:tblGrid>
            <w:tr w14:paraId="28616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dxa"/>
                  <w:tcBorders>
                    <w:top w:val="single" w:color="auto" w:sz="12" w:space="0"/>
                  </w:tcBorders>
                  <w:noWrap/>
                  <w:vAlign w:val="center"/>
                </w:tcPr>
                <w:p w14:paraId="7815DA5F">
                  <w:pPr>
                    <w:jc w:val="center"/>
                    <w:rPr>
                      <w:color w:val="auto"/>
                      <w:szCs w:val="21"/>
                      <w:highlight w:val="none"/>
                    </w:rPr>
                  </w:pPr>
                  <w:r>
                    <w:rPr>
                      <w:color w:val="auto"/>
                      <w:szCs w:val="21"/>
                      <w:highlight w:val="none"/>
                    </w:rPr>
                    <w:t>预测点位</w:t>
                  </w:r>
                </w:p>
              </w:tc>
              <w:tc>
                <w:tcPr>
                  <w:tcW w:w="1762" w:type="dxa"/>
                  <w:tcBorders>
                    <w:top w:val="single" w:color="auto" w:sz="12" w:space="0"/>
                  </w:tcBorders>
                  <w:noWrap/>
                  <w:vAlign w:val="center"/>
                </w:tcPr>
                <w:p w14:paraId="279B03AF">
                  <w:pPr>
                    <w:jc w:val="center"/>
                    <w:rPr>
                      <w:color w:val="auto"/>
                      <w:szCs w:val="21"/>
                      <w:highlight w:val="none"/>
                    </w:rPr>
                  </w:pPr>
                  <w:r>
                    <w:rPr>
                      <w:color w:val="auto"/>
                      <w:szCs w:val="21"/>
                      <w:highlight w:val="none"/>
                    </w:rPr>
                    <w:t>预测时段</w:t>
                  </w:r>
                </w:p>
              </w:tc>
              <w:tc>
                <w:tcPr>
                  <w:tcW w:w="1750" w:type="dxa"/>
                  <w:tcBorders>
                    <w:top w:val="single" w:color="auto" w:sz="12" w:space="0"/>
                  </w:tcBorders>
                  <w:noWrap/>
                  <w:vAlign w:val="center"/>
                </w:tcPr>
                <w:p w14:paraId="01A7198B">
                  <w:pPr>
                    <w:jc w:val="center"/>
                    <w:rPr>
                      <w:color w:val="auto"/>
                      <w:szCs w:val="21"/>
                      <w:highlight w:val="none"/>
                    </w:rPr>
                  </w:pPr>
                  <w:r>
                    <w:rPr>
                      <w:rFonts w:hint="eastAsia"/>
                      <w:color w:val="auto"/>
                      <w:szCs w:val="21"/>
                      <w:highlight w:val="none"/>
                    </w:rPr>
                    <w:t>贡献值</w:t>
                  </w:r>
                </w:p>
              </w:tc>
              <w:tc>
                <w:tcPr>
                  <w:tcW w:w="3164" w:type="dxa"/>
                  <w:tcBorders>
                    <w:top w:val="single" w:color="auto" w:sz="12" w:space="0"/>
                    <w:bottom w:val="single" w:color="auto" w:sz="4" w:space="0"/>
                  </w:tcBorders>
                  <w:noWrap/>
                  <w:vAlign w:val="center"/>
                </w:tcPr>
                <w:p w14:paraId="1355F5D6">
                  <w:pPr>
                    <w:jc w:val="center"/>
                    <w:rPr>
                      <w:color w:val="auto"/>
                      <w:szCs w:val="21"/>
                      <w:highlight w:val="none"/>
                    </w:rPr>
                  </w:pPr>
                  <w:r>
                    <w:rPr>
                      <w:color w:val="auto"/>
                      <w:szCs w:val="21"/>
                      <w:highlight w:val="none"/>
                    </w:rPr>
                    <w:t>标准限值</w:t>
                  </w:r>
                </w:p>
              </w:tc>
            </w:tr>
            <w:tr w14:paraId="7AE47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dxa"/>
                  <w:noWrap/>
                  <w:vAlign w:val="center"/>
                </w:tcPr>
                <w:p w14:paraId="777D5A01">
                  <w:pPr>
                    <w:jc w:val="center"/>
                    <w:rPr>
                      <w:rFonts w:hint="eastAsia" w:eastAsia="宋体"/>
                      <w:color w:val="auto"/>
                      <w:szCs w:val="21"/>
                      <w:highlight w:val="none"/>
                      <w:lang w:eastAsia="zh-CN"/>
                    </w:rPr>
                  </w:pPr>
                  <w:r>
                    <w:rPr>
                      <w:color w:val="auto"/>
                      <w:szCs w:val="21"/>
                      <w:highlight w:val="none"/>
                    </w:rPr>
                    <w:t>东</w:t>
                  </w:r>
                  <w:r>
                    <w:rPr>
                      <w:rFonts w:hint="eastAsia"/>
                      <w:color w:val="auto"/>
                      <w:szCs w:val="21"/>
                      <w:highlight w:val="none"/>
                      <w:lang w:eastAsia="zh-CN"/>
                    </w:rPr>
                    <w:t>侧厂界</w:t>
                  </w:r>
                </w:p>
              </w:tc>
              <w:tc>
                <w:tcPr>
                  <w:tcW w:w="1762" w:type="dxa"/>
                  <w:noWrap/>
                  <w:vAlign w:val="center"/>
                </w:tcPr>
                <w:p w14:paraId="732898D3">
                  <w:pPr>
                    <w:jc w:val="center"/>
                    <w:rPr>
                      <w:color w:val="auto"/>
                      <w:szCs w:val="21"/>
                      <w:highlight w:val="none"/>
                    </w:rPr>
                  </w:pPr>
                  <w:r>
                    <w:rPr>
                      <w:color w:val="auto"/>
                      <w:szCs w:val="21"/>
                      <w:highlight w:val="none"/>
                    </w:rPr>
                    <w:t>昼</w:t>
                  </w:r>
                  <w:r>
                    <w:rPr>
                      <w:rFonts w:hint="eastAsia"/>
                      <w:color w:val="auto"/>
                      <w:szCs w:val="21"/>
                      <w:highlight w:val="none"/>
                    </w:rPr>
                    <w:t>夜</w:t>
                  </w:r>
                </w:p>
              </w:tc>
              <w:tc>
                <w:tcPr>
                  <w:tcW w:w="1750" w:type="dxa"/>
                  <w:noWrap/>
                  <w:vAlign w:val="center"/>
                </w:tcPr>
                <w:p w14:paraId="35B58113">
                  <w:pPr>
                    <w:jc w:val="center"/>
                    <w:rPr>
                      <w:rFonts w:hint="default" w:eastAsia="宋体"/>
                      <w:color w:val="auto"/>
                      <w:szCs w:val="21"/>
                      <w:highlight w:val="none"/>
                      <w:lang w:val="en-US" w:eastAsia="zh-CN"/>
                    </w:rPr>
                  </w:pPr>
                  <w:r>
                    <w:rPr>
                      <w:rFonts w:hint="eastAsia"/>
                      <w:color w:val="auto"/>
                      <w:szCs w:val="21"/>
                      <w:highlight w:val="none"/>
                      <w:lang w:val="en-US" w:eastAsia="zh-CN"/>
                    </w:rPr>
                    <w:t>26.9</w:t>
                  </w:r>
                </w:p>
              </w:tc>
              <w:tc>
                <w:tcPr>
                  <w:tcW w:w="3164" w:type="dxa"/>
                  <w:vMerge w:val="restart"/>
                  <w:tcBorders>
                    <w:top w:val="single" w:color="auto" w:sz="4" w:space="0"/>
                  </w:tcBorders>
                  <w:noWrap/>
                  <w:vAlign w:val="center"/>
                </w:tcPr>
                <w:p w14:paraId="6F9CD3E2">
                  <w:pPr>
                    <w:jc w:val="center"/>
                    <w:rPr>
                      <w:color w:val="auto"/>
                      <w:szCs w:val="21"/>
                      <w:highlight w:val="none"/>
                    </w:rPr>
                  </w:pPr>
                  <w:r>
                    <w:rPr>
                      <w:bCs/>
                      <w:color w:val="auto"/>
                      <w:szCs w:val="21"/>
                      <w:highlight w:val="none"/>
                    </w:rPr>
                    <w:t>满足《工业企业厂界环境噪声排放标准》（GB12348—2008）</w:t>
                  </w:r>
                  <w:r>
                    <w:rPr>
                      <w:color w:val="auto"/>
                      <w:szCs w:val="21"/>
                      <w:highlight w:val="none"/>
                    </w:rPr>
                    <w:t>中</w:t>
                  </w:r>
                  <w:r>
                    <w:rPr>
                      <w:rFonts w:hint="eastAsia"/>
                      <w:color w:val="auto"/>
                      <w:szCs w:val="21"/>
                      <w:highlight w:val="none"/>
                      <w:lang w:val="en-US" w:eastAsia="zh-CN"/>
                    </w:rPr>
                    <w:t>1</w:t>
                  </w:r>
                  <w:r>
                    <w:rPr>
                      <w:rFonts w:hint="eastAsia"/>
                      <w:color w:val="auto"/>
                      <w:szCs w:val="21"/>
                      <w:highlight w:val="none"/>
                    </w:rPr>
                    <w:t>类标准</w:t>
                  </w:r>
                </w:p>
              </w:tc>
            </w:tr>
            <w:tr w14:paraId="40FF0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951" w:type="dxa"/>
                  <w:noWrap/>
                  <w:vAlign w:val="center"/>
                </w:tcPr>
                <w:p w14:paraId="4924B40A">
                  <w:pPr>
                    <w:jc w:val="center"/>
                    <w:rPr>
                      <w:color w:val="auto"/>
                      <w:szCs w:val="21"/>
                      <w:highlight w:val="none"/>
                    </w:rPr>
                  </w:pPr>
                  <w:r>
                    <w:rPr>
                      <w:color w:val="auto"/>
                      <w:szCs w:val="21"/>
                      <w:highlight w:val="none"/>
                    </w:rPr>
                    <w:t>南</w:t>
                  </w:r>
                  <w:r>
                    <w:rPr>
                      <w:rFonts w:hint="eastAsia"/>
                      <w:color w:val="auto"/>
                      <w:szCs w:val="21"/>
                      <w:highlight w:val="none"/>
                      <w:lang w:eastAsia="zh-CN"/>
                    </w:rPr>
                    <w:t>侧厂界</w:t>
                  </w:r>
                </w:p>
              </w:tc>
              <w:tc>
                <w:tcPr>
                  <w:tcW w:w="1762" w:type="dxa"/>
                  <w:noWrap/>
                  <w:vAlign w:val="center"/>
                </w:tcPr>
                <w:p w14:paraId="73FA6825">
                  <w:pPr>
                    <w:jc w:val="center"/>
                    <w:rPr>
                      <w:color w:val="auto"/>
                      <w:szCs w:val="21"/>
                      <w:highlight w:val="none"/>
                    </w:rPr>
                  </w:pPr>
                  <w:r>
                    <w:rPr>
                      <w:color w:val="auto"/>
                      <w:szCs w:val="21"/>
                      <w:highlight w:val="none"/>
                    </w:rPr>
                    <w:t>昼</w:t>
                  </w:r>
                  <w:r>
                    <w:rPr>
                      <w:rFonts w:hint="eastAsia"/>
                      <w:color w:val="auto"/>
                      <w:szCs w:val="21"/>
                      <w:highlight w:val="none"/>
                    </w:rPr>
                    <w:t>夜</w:t>
                  </w:r>
                </w:p>
              </w:tc>
              <w:tc>
                <w:tcPr>
                  <w:tcW w:w="1750" w:type="dxa"/>
                  <w:noWrap/>
                  <w:vAlign w:val="center"/>
                </w:tcPr>
                <w:p w14:paraId="7F204989">
                  <w:pPr>
                    <w:jc w:val="center"/>
                    <w:rPr>
                      <w:rFonts w:hint="default" w:eastAsia="宋体"/>
                      <w:color w:val="auto"/>
                      <w:szCs w:val="21"/>
                      <w:highlight w:val="none"/>
                      <w:lang w:val="en-US" w:eastAsia="zh-CN"/>
                    </w:rPr>
                  </w:pPr>
                  <w:r>
                    <w:rPr>
                      <w:rFonts w:hint="eastAsia"/>
                      <w:color w:val="auto"/>
                      <w:szCs w:val="21"/>
                      <w:highlight w:val="none"/>
                      <w:lang w:val="en-US" w:eastAsia="zh-CN"/>
                    </w:rPr>
                    <w:t>28.7</w:t>
                  </w:r>
                </w:p>
              </w:tc>
              <w:tc>
                <w:tcPr>
                  <w:tcW w:w="3164" w:type="dxa"/>
                  <w:vMerge w:val="continue"/>
                  <w:noWrap/>
                  <w:vAlign w:val="center"/>
                </w:tcPr>
                <w:p w14:paraId="4F6994E9">
                  <w:pPr>
                    <w:jc w:val="center"/>
                    <w:rPr>
                      <w:color w:val="auto"/>
                      <w:szCs w:val="21"/>
                      <w:highlight w:val="none"/>
                    </w:rPr>
                  </w:pPr>
                </w:p>
              </w:tc>
            </w:tr>
            <w:tr w14:paraId="6F7A00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dxa"/>
                  <w:noWrap/>
                  <w:vAlign w:val="center"/>
                </w:tcPr>
                <w:p w14:paraId="76D3C930">
                  <w:pPr>
                    <w:jc w:val="center"/>
                    <w:rPr>
                      <w:rFonts w:hint="eastAsia" w:eastAsia="宋体"/>
                      <w:color w:val="auto"/>
                      <w:szCs w:val="21"/>
                      <w:highlight w:val="none"/>
                      <w:lang w:eastAsia="zh-CN"/>
                    </w:rPr>
                  </w:pPr>
                  <w:r>
                    <w:rPr>
                      <w:rFonts w:hint="eastAsia"/>
                      <w:color w:val="auto"/>
                      <w:szCs w:val="21"/>
                      <w:highlight w:val="none"/>
                      <w:lang w:eastAsia="zh-CN"/>
                    </w:rPr>
                    <w:t>西侧厂界</w:t>
                  </w:r>
                </w:p>
              </w:tc>
              <w:tc>
                <w:tcPr>
                  <w:tcW w:w="1762" w:type="dxa"/>
                  <w:noWrap/>
                  <w:vAlign w:val="center"/>
                </w:tcPr>
                <w:p w14:paraId="4058237E">
                  <w:pPr>
                    <w:jc w:val="center"/>
                    <w:rPr>
                      <w:color w:val="auto"/>
                      <w:szCs w:val="21"/>
                      <w:highlight w:val="none"/>
                    </w:rPr>
                  </w:pPr>
                  <w:r>
                    <w:rPr>
                      <w:color w:val="auto"/>
                      <w:szCs w:val="21"/>
                      <w:highlight w:val="none"/>
                    </w:rPr>
                    <w:t>昼</w:t>
                  </w:r>
                  <w:r>
                    <w:rPr>
                      <w:rFonts w:hint="eastAsia"/>
                      <w:color w:val="auto"/>
                      <w:szCs w:val="21"/>
                      <w:highlight w:val="none"/>
                    </w:rPr>
                    <w:t>夜</w:t>
                  </w:r>
                </w:p>
              </w:tc>
              <w:tc>
                <w:tcPr>
                  <w:tcW w:w="1750" w:type="dxa"/>
                  <w:noWrap/>
                  <w:vAlign w:val="center"/>
                </w:tcPr>
                <w:p w14:paraId="12B99AEB">
                  <w:pPr>
                    <w:jc w:val="center"/>
                    <w:rPr>
                      <w:rFonts w:hint="default" w:eastAsia="宋体"/>
                      <w:color w:val="auto"/>
                      <w:szCs w:val="21"/>
                      <w:highlight w:val="none"/>
                      <w:lang w:val="en-US" w:eastAsia="zh-CN"/>
                    </w:rPr>
                  </w:pPr>
                  <w:r>
                    <w:rPr>
                      <w:rFonts w:hint="eastAsia"/>
                      <w:color w:val="auto"/>
                      <w:szCs w:val="21"/>
                      <w:highlight w:val="none"/>
                      <w:lang w:val="en-US" w:eastAsia="zh-CN"/>
                    </w:rPr>
                    <w:t>31.6</w:t>
                  </w:r>
                </w:p>
              </w:tc>
              <w:tc>
                <w:tcPr>
                  <w:tcW w:w="3164" w:type="dxa"/>
                  <w:vMerge w:val="continue"/>
                  <w:noWrap/>
                  <w:vAlign w:val="center"/>
                </w:tcPr>
                <w:p w14:paraId="1580207C">
                  <w:pPr>
                    <w:jc w:val="center"/>
                    <w:rPr>
                      <w:color w:val="auto"/>
                      <w:szCs w:val="21"/>
                      <w:highlight w:val="none"/>
                    </w:rPr>
                  </w:pPr>
                </w:p>
              </w:tc>
            </w:tr>
            <w:tr w14:paraId="65FD3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dxa"/>
                  <w:noWrap/>
                  <w:vAlign w:val="center"/>
                </w:tcPr>
                <w:p w14:paraId="4F8D268C">
                  <w:pPr>
                    <w:jc w:val="center"/>
                    <w:rPr>
                      <w:rFonts w:hint="eastAsia" w:eastAsia="宋体"/>
                      <w:color w:val="auto"/>
                      <w:szCs w:val="21"/>
                      <w:highlight w:val="none"/>
                      <w:lang w:eastAsia="zh-CN"/>
                    </w:rPr>
                  </w:pPr>
                  <w:r>
                    <w:rPr>
                      <w:rFonts w:hint="eastAsia"/>
                      <w:color w:val="auto"/>
                      <w:szCs w:val="21"/>
                      <w:highlight w:val="none"/>
                      <w:lang w:eastAsia="zh-CN"/>
                    </w:rPr>
                    <w:t>北侧厂界</w:t>
                  </w:r>
                </w:p>
              </w:tc>
              <w:tc>
                <w:tcPr>
                  <w:tcW w:w="1762" w:type="dxa"/>
                  <w:noWrap/>
                  <w:vAlign w:val="center"/>
                </w:tcPr>
                <w:p w14:paraId="339C84AB">
                  <w:pPr>
                    <w:jc w:val="center"/>
                    <w:rPr>
                      <w:color w:val="auto"/>
                      <w:szCs w:val="21"/>
                      <w:highlight w:val="none"/>
                    </w:rPr>
                  </w:pPr>
                  <w:r>
                    <w:rPr>
                      <w:color w:val="auto"/>
                      <w:szCs w:val="21"/>
                      <w:highlight w:val="none"/>
                    </w:rPr>
                    <w:t>昼</w:t>
                  </w:r>
                  <w:r>
                    <w:rPr>
                      <w:rFonts w:hint="eastAsia"/>
                      <w:color w:val="auto"/>
                      <w:szCs w:val="21"/>
                      <w:highlight w:val="none"/>
                    </w:rPr>
                    <w:t>夜</w:t>
                  </w:r>
                </w:p>
              </w:tc>
              <w:tc>
                <w:tcPr>
                  <w:tcW w:w="1750" w:type="dxa"/>
                  <w:noWrap/>
                  <w:vAlign w:val="center"/>
                </w:tcPr>
                <w:p w14:paraId="54E19E6B">
                  <w:pPr>
                    <w:jc w:val="center"/>
                    <w:rPr>
                      <w:rFonts w:hint="default" w:eastAsia="宋体"/>
                      <w:color w:val="auto"/>
                      <w:szCs w:val="21"/>
                      <w:highlight w:val="none"/>
                      <w:lang w:val="en-US" w:eastAsia="zh-CN"/>
                    </w:rPr>
                  </w:pPr>
                  <w:r>
                    <w:rPr>
                      <w:rFonts w:hint="eastAsia"/>
                      <w:color w:val="auto"/>
                      <w:szCs w:val="21"/>
                      <w:highlight w:val="none"/>
                      <w:lang w:val="en-US" w:eastAsia="zh-CN"/>
                    </w:rPr>
                    <w:t>31.2</w:t>
                  </w:r>
                </w:p>
              </w:tc>
              <w:tc>
                <w:tcPr>
                  <w:tcW w:w="3164" w:type="dxa"/>
                  <w:noWrap/>
                  <w:vAlign w:val="center"/>
                </w:tcPr>
                <w:p w14:paraId="68056DD4">
                  <w:pPr>
                    <w:jc w:val="center"/>
                    <w:rPr>
                      <w:color w:val="auto"/>
                      <w:szCs w:val="21"/>
                      <w:highlight w:val="none"/>
                    </w:rPr>
                  </w:pPr>
                  <w:r>
                    <w:rPr>
                      <w:bCs/>
                      <w:color w:val="auto"/>
                      <w:szCs w:val="21"/>
                      <w:highlight w:val="none"/>
                    </w:rPr>
                    <w:t>满足《工业企业厂界环境噪声排放标准》（GB12348—2008）</w:t>
                  </w:r>
                  <w:r>
                    <w:rPr>
                      <w:color w:val="auto"/>
                      <w:szCs w:val="21"/>
                      <w:highlight w:val="none"/>
                    </w:rPr>
                    <w:t>中</w:t>
                  </w:r>
                  <w:r>
                    <w:rPr>
                      <w:rFonts w:hint="eastAsia"/>
                      <w:color w:val="auto"/>
                      <w:szCs w:val="21"/>
                      <w:highlight w:val="none"/>
                      <w:lang w:val="en-US" w:eastAsia="zh-CN"/>
                    </w:rPr>
                    <w:t>4</w:t>
                  </w:r>
                  <w:r>
                    <w:rPr>
                      <w:rFonts w:hint="eastAsia"/>
                      <w:color w:val="auto"/>
                      <w:szCs w:val="21"/>
                      <w:highlight w:val="none"/>
                    </w:rPr>
                    <w:t>类标准</w:t>
                  </w:r>
                </w:p>
              </w:tc>
            </w:tr>
          </w:tbl>
          <w:p w14:paraId="17F24F16">
            <w:pPr>
              <w:spacing w:line="360" w:lineRule="auto"/>
              <w:ind w:firstLine="480" w:firstLineChars="200"/>
              <w:rPr>
                <w:color w:val="auto"/>
                <w:sz w:val="24"/>
              </w:rPr>
            </w:pPr>
            <w:r>
              <w:rPr>
                <w:rFonts w:hint="eastAsia"/>
                <w:color w:val="auto"/>
                <w:sz w:val="24"/>
              </w:rPr>
              <w:t>3、项目采取降噪措施</w:t>
            </w:r>
          </w:p>
          <w:p w14:paraId="0D91F7F3">
            <w:pPr>
              <w:adjustRightInd w:val="0"/>
              <w:snapToGrid w:val="0"/>
              <w:spacing w:line="360" w:lineRule="auto"/>
              <w:ind w:firstLine="480" w:firstLineChars="200"/>
              <w:rPr>
                <w:color w:val="auto"/>
                <w:sz w:val="24"/>
              </w:rPr>
            </w:pPr>
            <w:r>
              <w:rPr>
                <w:bCs/>
                <w:color w:val="auto"/>
                <w:sz w:val="24"/>
              </w:rPr>
              <w:t xml:space="preserve">为减轻对周围声环境的影响，项目从隔声降噪等方面考虑噪声的防治措施。具体采取的治理措施如下： </w:t>
            </w:r>
          </w:p>
          <w:p w14:paraId="7D076A00">
            <w:pPr>
              <w:adjustRightInd w:val="0"/>
              <w:snapToGrid w:val="0"/>
              <w:spacing w:line="360" w:lineRule="auto"/>
              <w:ind w:firstLine="480" w:firstLineChars="200"/>
              <w:rPr>
                <w:bCs/>
                <w:color w:val="auto"/>
                <w:sz w:val="24"/>
              </w:rPr>
            </w:pPr>
            <w:r>
              <w:rPr>
                <w:bCs/>
                <w:color w:val="auto"/>
                <w:sz w:val="24"/>
              </w:rPr>
              <w:t>①</w:t>
            </w:r>
            <w:r>
              <w:rPr>
                <w:rFonts w:hint="eastAsia"/>
                <w:bCs/>
                <w:color w:val="auto"/>
                <w:sz w:val="24"/>
              </w:rPr>
              <w:t>选用低噪声设备，并在</w:t>
            </w:r>
            <w:r>
              <w:rPr>
                <w:bCs/>
                <w:color w:val="auto"/>
                <w:sz w:val="24"/>
              </w:rPr>
              <w:t>设备安装过程中设备安放稳固，与地面保持良好接触，并且使用减</w:t>
            </w:r>
            <w:r>
              <w:rPr>
                <w:rFonts w:hint="eastAsia"/>
                <w:bCs/>
                <w:color w:val="auto"/>
                <w:sz w:val="24"/>
              </w:rPr>
              <w:t>振</w:t>
            </w:r>
            <w:r>
              <w:rPr>
                <w:bCs/>
                <w:color w:val="auto"/>
                <w:sz w:val="24"/>
              </w:rPr>
              <w:t>机座，使用减振机座是简单有效的减</w:t>
            </w:r>
            <w:r>
              <w:rPr>
                <w:rFonts w:hint="eastAsia"/>
                <w:bCs/>
                <w:color w:val="auto"/>
                <w:sz w:val="24"/>
              </w:rPr>
              <w:t>振</w:t>
            </w:r>
            <w:r>
              <w:rPr>
                <w:bCs/>
                <w:color w:val="auto"/>
                <w:sz w:val="24"/>
              </w:rPr>
              <w:t>方法；</w:t>
            </w:r>
          </w:p>
          <w:p w14:paraId="35CA3837">
            <w:pPr>
              <w:adjustRightInd w:val="0"/>
              <w:snapToGrid w:val="0"/>
              <w:spacing w:line="360" w:lineRule="auto"/>
              <w:ind w:firstLine="480" w:firstLineChars="200"/>
              <w:rPr>
                <w:rFonts w:hint="eastAsia" w:eastAsia="宋体"/>
                <w:bCs/>
                <w:color w:val="auto"/>
                <w:sz w:val="24"/>
                <w:lang w:eastAsia="zh-CN"/>
              </w:rPr>
            </w:pPr>
            <w:r>
              <w:rPr>
                <w:bCs/>
                <w:color w:val="auto"/>
                <w:sz w:val="24"/>
              </w:rPr>
              <w:t>②生产过程中，</w:t>
            </w:r>
            <w:r>
              <w:rPr>
                <w:color w:val="auto"/>
                <w:sz w:val="24"/>
              </w:rPr>
              <w:t>设备运行时关闭门窗</w:t>
            </w:r>
            <w:r>
              <w:rPr>
                <w:rFonts w:hint="eastAsia"/>
                <w:color w:val="auto"/>
                <w:sz w:val="24"/>
              </w:rPr>
              <w:t>，利用墙体结构降噪，</w:t>
            </w:r>
            <w:r>
              <w:rPr>
                <w:bCs/>
                <w:color w:val="auto"/>
                <w:sz w:val="24"/>
              </w:rPr>
              <w:t>加强检查、维护和保养机械设备，保持润滑，紧固各部件，减少运行</w:t>
            </w:r>
            <w:r>
              <w:rPr>
                <w:rFonts w:hint="eastAsia"/>
                <w:bCs/>
                <w:color w:val="auto"/>
                <w:sz w:val="24"/>
              </w:rPr>
              <w:t>振</w:t>
            </w:r>
            <w:r>
              <w:rPr>
                <w:bCs/>
                <w:color w:val="auto"/>
                <w:sz w:val="24"/>
              </w:rPr>
              <w:t>动噪声</w:t>
            </w:r>
            <w:r>
              <w:rPr>
                <w:rFonts w:hint="eastAsia"/>
                <w:bCs/>
                <w:color w:val="auto"/>
                <w:sz w:val="24"/>
                <w:lang w:eastAsia="zh-CN"/>
              </w:rPr>
              <w:t>；</w:t>
            </w:r>
          </w:p>
          <w:p w14:paraId="4730C4D4">
            <w:p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③定期对设备进行检查、维修，保持设备最佳运行状态，减少噪声产生量；</w:t>
            </w:r>
          </w:p>
          <w:p w14:paraId="3BF9E190">
            <w:pPr>
              <w:adjustRightInd w:val="0"/>
              <w:snapToGrid w:val="0"/>
              <w:spacing w:line="360" w:lineRule="auto"/>
              <w:ind w:firstLine="480" w:firstLineChars="200"/>
              <w:rPr>
                <w:rFonts w:hint="eastAsia" w:ascii="Times New Roman" w:hAnsi="Times New Roman" w:eastAsia="宋体"/>
                <w:color w:val="auto"/>
                <w:sz w:val="24"/>
                <w:lang w:eastAsia="zh-CN"/>
              </w:rPr>
            </w:pPr>
            <w:r>
              <w:rPr>
                <w:rFonts w:ascii="Times New Roman" w:hAnsi="Times New Roman"/>
                <w:color w:val="auto"/>
                <w:sz w:val="24"/>
              </w:rPr>
              <w:t>④风机设置软连接减振措施</w:t>
            </w:r>
            <w:r>
              <w:rPr>
                <w:rFonts w:hint="eastAsia" w:ascii="Times New Roman" w:hAnsi="Times New Roman"/>
                <w:color w:val="auto"/>
                <w:sz w:val="24"/>
                <w:lang w:eastAsia="zh-CN"/>
              </w:rPr>
              <w:t>。</w:t>
            </w:r>
          </w:p>
          <w:p w14:paraId="3087E016">
            <w:pPr>
              <w:spacing w:line="360" w:lineRule="auto"/>
              <w:ind w:firstLine="480" w:firstLineChars="200"/>
              <w:rPr>
                <w:color w:val="auto"/>
                <w:sz w:val="24"/>
              </w:rPr>
            </w:pPr>
            <w:r>
              <w:rPr>
                <w:color w:val="auto"/>
                <w:sz w:val="24"/>
              </w:rPr>
              <w:t>本项目采</w:t>
            </w:r>
            <w:r>
              <w:rPr>
                <w:rFonts w:hint="eastAsia"/>
                <w:color w:val="auto"/>
                <w:sz w:val="24"/>
              </w:rPr>
              <w:t>用</w:t>
            </w:r>
            <w:r>
              <w:rPr>
                <w:color w:val="auto"/>
                <w:sz w:val="24"/>
              </w:rPr>
              <w:t>低噪声设备，</w:t>
            </w:r>
            <w:r>
              <w:rPr>
                <w:rFonts w:hint="eastAsia"/>
                <w:color w:val="auto"/>
                <w:sz w:val="24"/>
              </w:rPr>
              <w:t>设备间</w:t>
            </w:r>
            <w:r>
              <w:rPr>
                <w:color w:val="auto"/>
                <w:sz w:val="24"/>
              </w:rPr>
              <w:t>进行密闭，</w:t>
            </w:r>
            <w:r>
              <w:rPr>
                <w:rFonts w:hint="eastAsia"/>
                <w:color w:val="auto"/>
                <w:sz w:val="24"/>
              </w:rPr>
              <w:t>设备加装减振垫</w:t>
            </w:r>
            <w:r>
              <w:rPr>
                <w:color w:val="auto"/>
                <w:sz w:val="24"/>
              </w:rPr>
              <w:t>。采取这些减噪措施后，</w:t>
            </w:r>
            <w:r>
              <w:rPr>
                <w:rFonts w:hint="eastAsia"/>
                <w:color w:val="auto"/>
                <w:sz w:val="24"/>
                <w:lang w:eastAsia="zh-CN"/>
              </w:rPr>
              <w:t>东侧、西侧、南侧</w:t>
            </w:r>
            <w:r>
              <w:rPr>
                <w:color w:val="auto"/>
                <w:sz w:val="24"/>
              </w:rPr>
              <w:t>厂界外1m处能够达到《工业企业厂界环境噪声排放标准》（GB12348-2008）</w:t>
            </w:r>
            <w:r>
              <w:rPr>
                <w:rFonts w:hint="eastAsia"/>
                <w:color w:val="auto"/>
                <w:sz w:val="24"/>
              </w:rPr>
              <w:t>表1中</w:t>
            </w:r>
            <w:r>
              <w:rPr>
                <w:rFonts w:hint="eastAsia"/>
                <w:color w:val="auto"/>
                <w:sz w:val="24"/>
                <w:lang w:val="en-US" w:eastAsia="zh-CN"/>
              </w:rPr>
              <w:t>1</w:t>
            </w:r>
            <w:r>
              <w:rPr>
                <w:color w:val="auto"/>
                <w:sz w:val="24"/>
              </w:rPr>
              <w:t>类标准</w:t>
            </w:r>
            <w:r>
              <w:rPr>
                <w:rFonts w:hint="eastAsia"/>
                <w:color w:val="auto"/>
                <w:sz w:val="24"/>
                <w:lang w:eastAsia="zh-CN"/>
              </w:rPr>
              <w:t>，北侧厂界外</w:t>
            </w:r>
            <w:r>
              <w:rPr>
                <w:rFonts w:hint="eastAsia"/>
                <w:color w:val="auto"/>
                <w:sz w:val="24"/>
                <w:lang w:val="en-US" w:eastAsia="zh-CN"/>
              </w:rPr>
              <w:t>1m</w:t>
            </w:r>
            <w:r>
              <w:rPr>
                <w:color w:val="auto"/>
                <w:sz w:val="24"/>
              </w:rPr>
              <w:t>处能够达到《工业企业厂界环境噪声排放标准》（GB12348-2008）</w:t>
            </w:r>
            <w:r>
              <w:rPr>
                <w:rFonts w:hint="eastAsia"/>
                <w:color w:val="auto"/>
                <w:sz w:val="24"/>
              </w:rPr>
              <w:t>表1中</w:t>
            </w:r>
            <w:r>
              <w:rPr>
                <w:rFonts w:hint="eastAsia"/>
                <w:color w:val="auto"/>
                <w:sz w:val="24"/>
                <w:lang w:val="en-US" w:eastAsia="zh-CN"/>
              </w:rPr>
              <w:t>4</w:t>
            </w:r>
            <w:r>
              <w:rPr>
                <w:color w:val="auto"/>
                <w:sz w:val="24"/>
              </w:rPr>
              <w:t>类标准</w:t>
            </w:r>
            <w:r>
              <w:rPr>
                <w:rFonts w:hint="eastAsia"/>
                <w:color w:val="auto"/>
                <w:sz w:val="24"/>
              </w:rPr>
              <w:t>。</w:t>
            </w:r>
            <w:r>
              <w:rPr>
                <w:color w:val="auto"/>
                <w:sz w:val="24"/>
              </w:rPr>
              <w:t>对周围的环境影响较小</w:t>
            </w:r>
            <w:r>
              <w:rPr>
                <w:rFonts w:hint="eastAsia"/>
                <w:color w:val="auto"/>
                <w:sz w:val="24"/>
              </w:rPr>
              <w:t>。</w:t>
            </w:r>
          </w:p>
          <w:p w14:paraId="09C10E93">
            <w:pPr>
              <w:spacing w:line="360" w:lineRule="auto"/>
              <w:ind w:firstLine="480" w:firstLineChars="200"/>
              <w:rPr>
                <w:color w:val="auto"/>
                <w:sz w:val="24"/>
                <w:highlight w:val="none"/>
              </w:rPr>
            </w:pPr>
            <w:r>
              <w:rPr>
                <w:rFonts w:hint="eastAsia"/>
                <w:color w:val="auto"/>
                <w:sz w:val="24"/>
                <w:highlight w:val="none"/>
              </w:rPr>
              <w:t>4、噪声环境影响分析</w:t>
            </w:r>
          </w:p>
          <w:p w14:paraId="4510570B">
            <w:pPr>
              <w:pStyle w:val="75"/>
              <w:keepNext w:val="0"/>
              <w:keepLines w:val="0"/>
              <w:pageBreakBefore w:val="0"/>
              <w:widowControl w:val="0"/>
              <w:kinsoku/>
              <w:wordWrap/>
              <w:overflowPunct/>
              <w:topLinePunct w:val="0"/>
              <w:autoSpaceDE/>
              <w:autoSpaceDN/>
              <w:bidi w:val="0"/>
              <w:adjustRightInd/>
              <w:snapToGrid/>
              <w:ind w:firstLine="480"/>
              <w:textAlignment w:val="auto"/>
              <w:rPr>
                <w:color w:val="auto"/>
                <w:highlight w:val="none"/>
              </w:rPr>
            </w:pPr>
            <w:r>
              <w:rPr>
                <w:color w:val="auto"/>
                <w:highlight w:val="none"/>
              </w:rPr>
              <w:t>项目运行期产生的噪声主要来源于车间设备运行时产生的噪声。</w:t>
            </w:r>
            <w:r>
              <w:rPr>
                <w:color w:val="auto"/>
                <w:kern w:val="0"/>
                <w:highlight w:val="none"/>
              </w:rPr>
              <w:t>本项目采取</w:t>
            </w:r>
            <w:r>
              <w:rPr>
                <w:color w:val="auto"/>
                <w:highlight w:val="none"/>
              </w:rPr>
              <w:t>选购低噪声设备，在安装时采取减振、软连接、隔声措施</w:t>
            </w:r>
            <w:r>
              <w:rPr>
                <w:rFonts w:hint="eastAsia"/>
                <w:color w:val="auto"/>
                <w:highlight w:val="none"/>
              </w:rPr>
              <w:t>，噪声经过</w:t>
            </w:r>
            <w:r>
              <w:rPr>
                <w:color w:val="auto"/>
                <w:highlight w:val="none"/>
              </w:rPr>
              <w:t>厂区距离衰减后对外环境影响较小，</w:t>
            </w:r>
            <w:r>
              <w:rPr>
                <w:rFonts w:hint="eastAsia"/>
                <w:color w:val="auto"/>
                <w:highlight w:val="none"/>
                <w:lang w:eastAsia="zh-CN"/>
              </w:rPr>
              <w:t>东侧、西侧、南侧</w:t>
            </w:r>
            <w:r>
              <w:rPr>
                <w:snapToGrid w:val="0"/>
                <w:color w:val="auto"/>
                <w:kern w:val="0"/>
                <w:szCs w:val="22"/>
                <w:highlight w:val="none"/>
              </w:rPr>
              <w:t>厂界</w:t>
            </w:r>
            <w:r>
              <w:rPr>
                <w:snapToGrid w:val="0"/>
                <w:color w:val="auto"/>
                <w:kern w:val="0"/>
                <w:szCs w:val="21"/>
                <w:highlight w:val="none"/>
              </w:rPr>
              <w:t>外1m处能够达到《工业企业厂界环境噪声排放标准》（GB12348-2008）</w:t>
            </w:r>
            <w:r>
              <w:rPr>
                <w:rFonts w:hint="eastAsia"/>
                <w:snapToGrid w:val="0"/>
                <w:color w:val="auto"/>
                <w:kern w:val="0"/>
                <w:szCs w:val="21"/>
                <w:highlight w:val="none"/>
              </w:rPr>
              <w:t>表1中</w:t>
            </w:r>
            <w:r>
              <w:rPr>
                <w:rFonts w:hint="eastAsia"/>
                <w:snapToGrid w:val="0"/>
                <w:color w:val="auto"/>
                <w:kern w:val="0"/>
                <w:szCs w:val="21"/>
                <w:highlight w:val="none"/>
                <w:lang w:val="en-US" w:eastAsia="zh-CN"/>
              </w:rPr>
              <w:t>1</w:t>
            </w:r>
            <w:r>
              <w:rPr>
                <w:snapToGrid w:val="0"/>
                <w:color w:val="auto"/>
                <w:kern w:val="0"/>
                <w:szCs w:val="21"/>
                <w:highlight w:val="none"/>
              </w:rPr>
              <w:t>类标准</w:t>
            </w:r>
            <w:r>
              <w:rPr>
                <w:rFonts w:hint="eastAsia"/>
                <w:snapToGrid w:val="0"/>
                <w:color w:val="auto"/>
                <w:kern w:val="0"/>
                <w:szCs w:val="21"/>
                <w:highlight w:val="none"/>
                <w:lang w:eastAsia="zh-CN"/>
              </w:rPr>
              <w:t>，北侧厂界外</w:t>
            </w:r>
            <w:r>
              <w:rPr>
                <w:rFonts w:hint="eastAsia"/>
                <w:snapToGrid w:val="0"/>
                <w:color w:val="auto"/>
                <w:kern w:val="0"/>
                <w:szCs w:val="21"/>
                <w:highlight w:val="none"/>
                <w:lang w:val="en-US" w:eastAsia="zh-CN"/>
              </w:rPr>
              <w:t>1m</w:t>
            </w:r>
            <w:r>
              <w:rPr>
                <w:snapToGrid w:val="0"/>
                <w:color w:val="auto"/>
                <w:kern w:val="0"/>
                <w:szCs w:val="21"/>
                <w:highlight w:val="none"/>
              </w:rPr>
              <w:t>处能够达到《工业企业厂界环境噪声排放标准》（GB12348-2008）</w:t>
            </w:r>
            <w:r>
              <w:rPr>
                <w:rFonts w:hint="eastAsia"/>
                <w:snapToGrid w:val="0"/>
                <w:color w:val="auto"/>
                <w:kern w:val="0"/>
                <w:szCs w:val="21"/>
                <w:highlight w:val="none"/>
              </w:rPr>
              <w:t>表1中</w:t>
            </w:r>
            <w:r>
              <w:rPr>
                <w:rFonts w:hint="eastAsia"/>
                <w:snapToGrid w:val="0"/>
                <w:color w:val="auto"/>
                <w:kern w:val="0"/>
                <w:szCs w:val="21"/>
                <w:highlight w:val="none"/>
                <w:lang w:val="en-US" w:eastAsia="zh-CN"/>
              </w:rPr>
              <w:t>4</w:t>
            </w:r>
            <w:r>
              <w:rPr>
                <w:snapToGrid w:val="0"/>
                <w:color w:val="auto"/>
                <w:kern w:val="0"/>
                <w:szCs w:val="21"/>
                <w:highlight w:val="none"/>
              </w:rPr>
              <w:t>类标准</w:t>
            </w:r>
            <w:r>
              <w:rPr>
                <w:rFonts w:hint="eastAsia"/>
                <w:color w:val="auto"/>
                <w:highlight w:val="none"/>
              </w:rPr>
              <w:t>。</w:t>
            </w:r>
            <w:r>
              <w:rPr>
                <w:color w:val="auto"/>
                <w:highlight w:val="none"/>
              </w:rPr>
              <w:t>项目产生的噪声可以被周围环境接受。</w:t>
            </w:r>
          </w:p>
          <w:p w14:paraId="73F04B1A">
            <w:pPr>
              <w:spacing w:line="360" w:lineRule="auto"/>
              <w:ind w:firstLine="480" w:firstLineChars="200"/>
              <w:rPr>
                <w:color w:val="auto"/>
                <w:sz w:val="24"/>
              </w:rPr>
            </w:pPr>
            <w:r>
              <w:rPr>
                <w:rFonts w:hint="eastAsia"/>
                <w:color w:val="auto"/>
                <w:sz w:val="24"/>
              </w:rPr>
              <w:t>5、</w:t>
            </w:r>
            <w:r>
              <w:rPr>
                <w:color w:val="auto"/>
                <w:sz w:val="24"/>
              </w:rPr>
              <w:t>监测要求</w:t>
            </w:r>
          </w:p>
          <w:p w14:paraId="1E414F88">
            <w:pPr>
              <w:spacing w:line="360" w:lineRule="auto"/>
              <w:ind w:firstLine="480" w:firstLineChars="200"/>
              <w:rPr>
                <w:b/>
                <w:bCs/>
                <w:color w:val="auto"/>
                <w:kern w:val="0"/>
                <w:sz w:val="24"/>
              </w:rPr>
            </w:pPr>
            <w:r>
              <w:rPr>
                <w:color w:val="auto"/>
                <w:sz w:val="24"/>
              </w:rPr>
              <w:t>根据《排污</w:t>
            </w:r>
            <w:r>
              <w:rPr>
                <w:rFonts w:hint="eastAsia"/>
                <w:color w:val="auto"/>
                <w:sz w:val="24"/>
              </w:rPr>
              <w:t>单位自行监测技术指南 总则</w:t>
            </w:r>
            <w:r>
              <w:rPr>
                <w:color w:val="auto"/>
                <w:sz w:val="24"/>
              </w:rPr>
              <w:t>》（HJ</w:t>
            </w:r>
            <w:r>
              <w:rPr>
                <w:rFonts w:hint="eastAsia"/>
                <w:color w:val="auto"/>
                <w:sz w:val="24"/>
              </w:rPr>
              <w:t>819-2017</w:t>
            </w:r>
            <w:r>
              <w:rPr>
                <w:color w:val="auto"/>
                <w:sz w:val="24"/>
              </w:rPr>
              <w:t>）</w:t>
            </w:r>
            <w:r>
              <w:rPr>
                <w:rFonts w:hint="eastAsia"/>
                <w:color w:val="auto"/>
                <w:sz w:val="24"/>
              </w:rPr>
              <w:t>，本项目噪声监测计划如下：</w:t>
            </w:r>
          </w:p>
          <w:p w14:paraId="789CD883">
            <w:pPr>
              <w:pStyle w:val="94"/>
              <w:ind w:firstLine="0" w:firstLineChars="0"/>
              <w:jc w:val="center"/>
              <w:rPr>
                <w:b/>
                <w:bCs/>
                <w:color w:val="auto"/>
                <w:kern w:val="0"/>
                <w:sz w:val="24"/>
              </w:rPr>
            </w:pPr>
            <w:r>
              <w:rPr>
                <w:b/>
                <w:bCs/>
                <w:color w:val="auto"/>
                <w:kern w:val="0"/>
                <w:sz w:val="24"/>
              </w:rPr>
              <w:t>表4-</w:t>
            </w:r>
            <w:r>
              <w:rPr>
                <w:rFonts w:hint="eastAsia"/>
                <w:b/>
                <w:bCs/>
                <w:color w:val="auto"/>
                <w:kern w:val="0"/>
                <w:sz w:val="24"/>
                <w:lang w:val="en-US" w:eastAsia="zh-CN"/>
              </w:rPr>
              <w:t>12</w:t>
            </w:r>
            <w:r>
              <w:rPr>
                <w:rFonts w:hint="eastAsia"/>
                <w:b/>
                <w:bCs/>
                <w:color w:val="auto"/>
                <w:kern w:val="0"/>
                <w:sz w:val="24"/>
              </w:rPr>
              <w:t xml:space="preserve"> </w:t>
            </w:r>
            <w:r>
              <w:rPr>
                <w:b/>
                <w:bCs/>
                <w:color w:val="auto"/>
                <w:kern w:val="0"/>
                <w:sz w:val="24"/>
              </w:rPr>
              <w:t xml:space="preserve"> 监测要求</w:t>
            </w:r>
          </w:p>
          <w:tbl>
            <w:tblPr>
              <w:tblStyle w:val="31"/>
              <w:tblW w:w="4617"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49"/>
              <w:gridCol w:w="1800"/>
              <w:gridCol w:w="1078"/>
              <w:gridCol w:w="1178"/>
              <w:gridCol w:w="3164"/>
            </w:tblGrid>
            <w:tr w14:paraId="4BF7F6C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81" w:type="pct"/>
                  <w:noWrap/>
                  <w:vAlign w:val="center"/>
                </w:tcPr>
                <w:p w14:paraId="26D5268A">
                  <w:pPr>
                    <w:jc w:val="center"/>
                    <w:rPr>
                      <w:iCs/>
                      <w:color w:val="auto"/>
                      <w:szCs w:val="18"/>
                    </w:rPr>
                  </w:pPr>
                  <w:r>
                    <w:rPr>
                      <w:iCs/>
                      <w:color w:val="auto"/>
                      <w:szCs w:val="18"/>
                    </w:rPr>
                    <w:t>类别</w:t>
                  </w:r>
                </w:p>
              </w:tc>
              <w:tc>
                <w:tcPr>
                  <w:tcW w:w="1101" w:type="pct"/>
                  <w:noWrap/>
                  <w:vAlign w:val="center"/>
                </w:tcPr>
                <w:p w14:paraId="108E49C8">
                  <w:pPr>
                    <w:jc w:val="center"/>
                    <w:rPr>
                      <w:iCs/>
                      <w:color w:val="auto"/>
                      <w:szCs w:val="18"/>
                    </w:rPr>
                  </w:pPr>
                  <w:r>
                    <w:rPr>
                      <w:iCs/>
                      <w:color w:val="auto"/>
                      <w:szCs w:val="18"/>
                    </w:rPr>
                    <w:t>监测点位</w:t>
                  </w:r>
                </w:p>
              </w:tc>
              <w:tc>
                <w:tcPr>
                  <w:tcW w:w="659" w:type="pct"/>
                  <w:noWrap/>
                  <w:vAlign w:val="center"/>
                </w:tcPr>
                <w:p w14:paraId="3349B901">
                  <w:pPr>
                    <w:jc w:val="center"/>
                    <w:rPr>
                      <w:rFonts w:hint="eastAsia" w:eastAsia="宋体"/>
                      <w:iCs/>
                      <w:color w:val="auto"/>
                      <w:szCs w:val="18"/>
                      <w:lang w:eastAsia="zh-CN"/>
                    </w:rPr>
                  </w:pPr>
                  <w:r>
                    <w:rPr>
                      <w:iCs/>
                      <w:color w:val="auto"/>
                      <w:szCs w:val="18"/>
                    </w:rPr>
                    <w:t>监测</w:t>
                  </w:r>
                  <w:r>
                    <w:rPr>
                      <w:rFonts w:hint="eastAsia"/>
                      <w:iCs/>
                      <w:color w:val="auto"/>
                      <w:szCs w:val="18"/>
                      <w:lang w:eastAsia="zh-CN"/>
                    </w:rPr>
                    <w:t>因子</w:t>
                  </w:r>
                </w:p>
              </w:tc>
              <w:tc>
                <w:tcPr>
                  <w:tcW w:w="720" w:type="pct"/>
                  <w:noWrap/>
                  <w:vAlign w:val="center"/>
                </w:tcPr>
                <w:p w14:paraId="2F7B0E60">
                  <w:pPr>
                    <w:jc w:val="center"/>
                    <w:rPr>
                      <w:iCs/>
                      <w:color w:val="auto"/>
                      <w:szCs w:val="18"/>
                    </w:rPr>
                  </w:pPr>
                  <w:r>
                    <w:rPr>
                      <w:iCs/>
                      <w:color w:val="auto"/>
                      <w:szCs w:val="18"/>
                    </w:rPr>
                    <w:t>监测频次</w:t>
                  </w:r>
                </w:p>
              </w:tc>
              <w:tc>
                <w:tcPr>
                  <w:tcW w:w="1936" w:type="pct"/>
                  <w:tcBorders>
                    <w:right w:val="single" w:color="auto" w:sz="4" w:space="0"/>
                  </w:tcBorders>
                  <w:noWrap/>
                  <w:vAlign w:val="center"/>
                </w:tcPr>
                <w:p w14:paraId="7A87CFD7">
                  <w:pPr>
                    <w:jc w:val="center"/>
                    <w:rPr>
                      <w:iCs/>
                      <w:color w:val="auto"/>
                      <w:szCs w:val="18"/>
                    </w:rPr>
                  </w:pPr>
                  <w:r>
                    <w:rPr>
                      <w:iCs/>
                      <w:color w:val="auto"/>
                      <w:szCs w:val="18"/>
                    </w:rPr>
                    <w:t>执行排放标准</w:t>
                  </w:r>
                </w:p>
              </w:tc>
            </w:tr>
            <w:tr w14:paraId="4D6D821A">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581" w:type="pct"/>
                  <w:noWrap/>
                  <w:vAlign w:val="center"/>
                </w:tcPr>
                <w:p w14:paraId="72E3F89B">
                  <w:pPr>
                    <w:jc w:val="center"/>
                    <w:rPr>
                      <w:iCs/>
                      <w:color w:val="auto"/>
                      <w:szCs w:val="18"/>
                    </w:rPr>
                  </w:pPr>
                  <w:r>
                    <w:rPr>
                      <w:iCs/>
                      <w:color w:val="auto"/>
                      <w:szCs w:val="18"/>
                    </w:rPr>
                    <w:t>噪声</w:t>
                  </w:r>
                </w:p>
              </w:tc>
              <w:tc>
                <w:tcPr>
                  <w:tcW w:w="1101" w:type="pct"/>
                  <w:noWrap/>
                  <w:vAlign w:val="center"/>
                </w:tcPr>
                <w:p w14:paraId="1A8A046F">
                  <w:pPr>
                    <w:jc w:val="center"/>
                    <w:rPr>
                      <w:rFonts w:hint="default" w:eastAsia="宋体"/>
                      <w:iCs/>
                      <w:color w:val="auto"/>
                      <w:szCs w:val="18"/>
                      <w:lang w:val="en-US" w:eastAsia="zh-CN"/>
                    </w:rPr>
                  </w:pPr>
                  <w:r>
                    <w:rPr>
                      <w:rFonts w:hint="eastAsia"/>
                      <w:iCs/>
                      <w:color w:val="auto"/>
                      <w:szCs w:val="18"/>
                      <w:lang w:eastAsia="zh-CN"/>
                    </w:rPr>
                    <w:t>四周</w:t>
                  </w:r>
                  <w:r>
                    <w:rPr>
                      <w:iCs/>
                      <w:color w:val="auto"/>
                      <w:szCs w:val="18"/>
                    </w:rPr>
                    <w:t>厂界</w:t>
                  </w:r>
                  <w:r>
                    <w:rPr>
                      <w:rFonts w:hint="eastAsia"/>
                      <w:iCs/>
                      <w:color w:val="auto"/>
                      <w:szCs w:val="18"/>
                      <w:lang w:eastAsia="zh-CN"/>
                    </w:rPr>
                    <w:t>各设</w:t>
                  </w:r>
                  <w:r>
                    <w:rPr>
                      <w:rFonts w:hint="eastAsia"/>
                      <w:iCs/>
                      <w:color w:val="auto"/>
                      <w:szCs w:val="18"/>
                      <w:lang w:val="en-US" w:eastAsia="zh-CN"/>
                    </w:rPr>
                    <w:t>1个监测点</w:t>
                  </w:r>
                </w:p>
              </w:tc>
              <w:tc>
                <w:tcPr>
                  <w:tcW w:w="659" w:type="pct"/>
                  <w:noWrap/>
                  <w:vAlign w:val="center"/>
                </w:tcPr>
                <w:p w14:paraId="3DC04A78">
                  <w:pPr>
                    <w:jc w:val="center"/>
                    <w:rPr>
                      <w:iCs/>
                      <w:color w:val="auto"/>
                      <w:szCs w:val="18"/>
                    </w:rPr>
                  </w:pPr>
                  <w:r>
                    <w:rPr>
                      <w:iCs/>
                      <w:color w:val="auto"/>
                      <w:szCs w:val="18"/>
                    </w:rPr>
                    <w:t>Leq（A）</w:t>
                  </w:r>
                </w:p>
              </w:tc>
              <w:tc>
                <w:tcPr>
                  <w:tcW w:w="720" w:type="pct"/>
                  <w:noWrap/>
                  <w:vAlign w:val="center"/>
                </w:tcPr>
                <w:p w14:paraId="53C972A7">
                  <w:pPr>
                    <w:jc w:val="center"/>
                    <w:rPr>
                      <w:iCs/>
                      <w:color w:val="auto"/>
                      <w:szCs w:val="18"/>
                    </w:rPr>
                  </w:pPr>
                  <w:r>
                    <w:rPr>
                      <w:iCs/>
                      <w:color w:val="auto"/>
                      <w:szCs w:val="18"/>
                    </w:rPr>
                    <w:t>1次/</w:t>
                  </w:r>
                  <w:r>
                    <w:rPr>
                      <w:rFonts w:hint="eastAsia"/>
                      <w:iCs/>
                      <w:color w:val="auto"/>
                      <w:szCs w:val="18"/>
                    </w:rPr>
                    <w:t>季</w:t>
                  </w:r>
                </w:p>
              </w:tc>
              <w:tc>
                <w:tcPr>
                  <w:tcW w:w="1936" w:type="pct"/>
                  <w:tcBorders>
                    <w:right w:val="single" w:color="auto" w:sz="4" w:space="0"/>
                  </w:tcBorders>
                  <w:noWrap/>
                  <w:vAlign w:val="center"/>
                </w:tcPr>
                <w:p w14:paraId="4C0C70ED">
                  <w:pPr>
                    <w:jc w:val="center"/>
                    <w:rPr>
                      <w:iCs/>
                      <w:color w:val="auto"/>
                      <w:szCs w:val="18"/>
                    </w:rPr>
                  </w:pPr>
                  <w:r>
                    <w:rPr>
                      <w:iCs/>
                      <w:color w:val="auto"/>
                      <w:szCs w:val="18"/>
                    </w:rPr>
                    <w:t>《工业企业厂界环境噪声排放标准</w:t>
                  </w:r>
                  <w:r>
                    <w:rPr>
                      <w:rFonts w:hint="eastAsia"/>
                      <w:iCs/>
                      <w:color w:val="auto"/>
                      <w:szCs w:val="18"/>
                      <w:lang w:eastAsia="zh-CN"/>
                    </w:rPr>
                    <w:t>》</w:t>
                  </w:r>
                  <w:r>
                    <w:rPr>
                      <w:iCs/>
                      <w:color w:val="auto"/>
                      <w:szCs w:val="18"/>
                    </w:rPr>
                    <w:t>（GB12348-2008）</w:t>
                  </w:r>
                </w:p>
                <w:p w14:paraId="7DA9B7B0">
                  <w:pPr>
                    <w:jc w:val="center"/>
                    <w:rPr>
                      <w:iCs/>
                      <w:color w:val="auto"/>
                      <w:szCs w:val="18"/>
                    </w:rPr>
                  </w:pPr>
                  <w:r>
                    <w:rPr>
                      <w:rFonts w:hint="eastAsia"/>
                      <w:iCs/>
                      <w:color w:val="auto"/>
                      <w:szCs w:val="18"/>
                      <w:lang w:val="en-US" w:eastAsia="zh-CN"/>
                    </w:rPr>
                    <w:t>1</w:t>
                  </w:r>
                  <w:r>
                    <w:rPr>
                      <w:iCs/>
                      <w:color w:val="auto"/>
                      <w:szCs w:val="18"/>
                    </w:rPr>
                    <w:t>类</w:t>
                  </w:r>
                  <w:r>
                    <w:rPr>
                      <w:rFonts w:hint="eastAsia"/>
                      <w:iCs/>
                      <w:color w:val="auto"/>
                      <w:szCs w:val="18"/>
                      <w:lang w:eastAsia="zh-CN"/>
                    </w:rPr>
                    <w:t>、</w:t>
                  </w:r>
                  <w:r>
                    <w:rPr>
                      <w:rFonts w:hint="eastAsia"/>
                      <w:iCs/>
                      <w:color w:val="auto"/>
                      <w:szCs w:val="18"/>
                      <w:lang w:val="en-US" w:eastAsia="zh-CN"/>
                    </w:rPr>
                    <w:t>4类</w:t>
                  </w:r>
                  <w:r>
                    <w:rPr>
                      <w:iCs/>
                      <w:color w:val="auto"/>
                      <w:szCs w:val="18"/>
                    </w:rPr>
                    <w:t>标准</w:t>
                  </w:r>
                </w:p>
              </w:tc>
            </w:tr>
          </w:tbl>
          <w:p w14:paraId="35EAD2E9">
            <w:pPr>
              <w:spacing w:beforeLines="50" w:line="360" w:lineRule="auto"/>
              <w:ind w:firstLine="482" w:firstLineChars="200"/>
              <w:rPr>
                <w:bCs/>
                <w:color w:val="auto"/>
                <w:sz w:val="24"/>
              </w:rPr>
            </w:pPr>
            <w:r>
              <w:rPr>
                <w:rFonts w:hint="eastAsia"/>
                <w:b/>
                <w:color w:val="auto"/>
                <w:sz w:val="24"/>
              </w:rPr>
              <w:t>四、</w:t>
            </w:r>
            <w:r>
              <w:rPr>
                <w:b/>
                <w:color w:val="auto"/>
                <w:sz w:val="24"/>
              </w:rPr>
              <w:t>固体废物</w:t>
            </w:r>
          </w:p>
          <w:p w14:paraId="30ADFEDF">
            <w:pPr>
              <w:spacing w:line="360" w:lineRule="auto"/>
              <w:ind w:firstLine="480" w:firstLineChars="200"/>
              <w:rPr>
                <w:color w:val="auto"/>
                <w:sz w:val="24"/>
              </w:rPr>
            </w:pPr>
            <w:r>
              <w:rPr>
                <w:color w:val="auto"/>
                <w:sz w:val="24"/>
              </w:rPr>
              <w:t>本项目营运期产生的固体废弃物主要包括生活垃圾；烘干热风炉产生的灰渣和除尘器收集的灰尘；烘干塔</w:t>
            </w:r>
            <w:r>
              <w:rPr>
                <w:rFonts w:hint="eastAsia"/>
                <w:color w:val="auto"/>
                <w:sz w:val="24"/>
                <w:szCs w:val="22"/>
                <w:lang w:eastAsia="zh-CN"/>
              </w:rPr>
              <w:t>围挡</w:t>
            </w:r>
            <w:r>
              <w:rPr>
                <w:color w:val="auto"/>
                <w:sz w:val="24"/>
              </w:rPr>
              <w:t>收集的粉尘</w:t>
            </w:r>
            <w:r>
              <w:rPr>
                <w:rFonts w:hint="eastAsia"/>
                <w:color w:val="auto"/>
                <w:sz w:val="24"/>
              </w:rPr>
              <w:t>、清选杂质</w:t>
            </w:r>
            <w:r>
              <w:rPr>
                <w:rFonts w:hint="eastAsia"/>
                <w:color w:val="auto"/>
                <w:sz w:val="24"/>
                <w:lang w:eastAsia="zh-CN"/>
              </w:rPr>
              <w:t>、废布袋及废矿物油、废矿物油桶</w:t>
            </w:r>
            <w:r>
              <w:rPr>
                <w:color w:val="auto"/>
                <w:sz w:val="24"/>
              </w:rPr>
              <w:t>。</w:t>
            </w:r>
          </w:p>
          <w:p w14:paraId="42234AEF">
            <w:pPr>
              <w:numPr>
                <w:ilvl w:val="0"/>
                <w:numId w:val="5"/>
              </w:numPr>
              <w:spacing w:line="360" w:lineRule="auto"/>
              <w:ind w:firstLine="480" w:firstLineChars="200"/>
              <w:rPr>
                <w:color w:val="auto"/>
                <w:sz w:val="24"/>
              </w:rPr>
            </w:pPr>
            <w:r>
              <w:rPr>
                <w:rFonts w:hint="eastAsia"/>
                <w:color w:val="auto"/>
                <w:sz w:val="24"/>
                <w:lang w:val="en-US" w:eastAsia="zh-CN"/>
              </w:rPr>
              <w:t>固体废物产生情况</w:t>
            </w:r>
          </w:p>
          <w:p w14:paraId="3E4178FD">
            <w:pPr>
              <w:spacing w:line="360" w:lineRule="auto"/>
              <w:ind w:firstLine="480" w:firstLineChars="200"/>
              <w:rPr>
                <w:color w:val="auto"/>
                <w:sz w:val="24"/>
              </w:rPr>
            </w:pPr>
            <w:r>
              <w:rPr>
                <w:color w:val="auto"/>
                <w:sz w:val="24"/>
              </w:rPr>
              <w:t>（1）生活垃圾</w:t>
            </w:r>
          </w:p>
          <w:p w14:paraId="18DCB364">
            <w:pPr>
              <w:spacing w:line="360" w:lineRule="auto"/>
              <w:ind w:firstLine="480" w:firstLineChars="200"/>
              <w:rPr>
                <w:color w:val="auto"/>
                <w:sz w:val="24"/>
              </w:rPr>
            </w:pPr>
            <w:r>
              <w:rPr>
                <w:color w:val="auto"/>
                <w:sz w:val="24"/>
              </w:rPr>
              <w:t>本项目</w:t>
            </w:r>
            <w:r>
              <w:rPr>
                <w:rFonts w:hint="eastAsia"/>
                <w:color w:val="auto"/>
                <w:sz w:val="24"/>
                <w:lang w:eastAsia="zh-CN"/>
              </w:rPr>
              <w:t>新增</w:t>
            </w:r>
            <w:r>
              <w:rPr>
                <w:color w:val="auto"/>
                <w:sz w:val="24"/>
              </w:rPr>
              <w:t>职工</w:t>
            </w:r>
            <w:r>
              <w:rPr>
                <w:rFonts w:hint="eastAsia"/>
                <w:color w:val="auto"/>
                <w:sz w:val="24"/>
                <w:lang w:val="en-US" w:eastAsia="zh-CN"/>
              </w:rPr>
              <w:t>2</w:t>
            </w:r>
            <w:r>
              <w:rPr>
                <w:color w:val="auto"/>
                <w:sz w:val="24"/>
              </w:rPr>
              <w:t>人，生活垃圾产生量按0.5kg/d</w:t>
            </w:r>
            <w:r>
              <w:rPr>
                <w:rFonts w:hint="default" w:ascii="Times New Roman" w:hAnsi="Times New Roman" w:cs="Times New Roman"/>
                <w:color w:val="auto"/>
                <w:sz w:val="24"/>
              </w:rPr>
              <w:t>∙</w:t>
            </w:r>
            <w:r>
              <w:rPr>
                <w:rFonts w:hint="eastAsia"/>
                <w:color w:val="auto"/>
                <w:sz w:val="24"/>
                <w:lang w:eastAsia="zh-CN"/>
              </w:rPr>
              <w:t>人</w:t>
            </w:r>
            <w:r>
              <w:rPr>
                <w:color w:val="auto"/>
                <w:sz w:val="24"/>
              </w:rPr>
              <w:t>计，则生活垃圾产生量为</w:t>
            </w:r>
            <w:r>
              <w:rPr>
                <w:rFonts w:hint="eastAsia"/>
                <w:color w:val="auto"/>
                <w:sz w:val="24"/>
                <w:lang w:eastAsia="zh-CN"/>
              </w:rPr>
              <w:t>0.</w:t>
            </w:r>
            <w:r>
              <w:rPr>
                <w:rFonts w:hint="eastAsia"/>
                <w:color w:val="auto"/>
                <w:sz w:val="24"/>
                <w:lang w:val="en-US" w:eastAsia="zh-CN"/>
              </w:rPr>
              <w:t>05</w:t>
            </w:r>
            <w:r>
              <w:rPr>
                <w:color w:val="auto"/>
                <w:sz w:val="24"/>
              </w:rPr>
              <w:t>t/a，</w:t>
            </w:r>
            <w:r>
              <w:rPr>
                <w:rFonts w:hint="eastAsia"/>
                <w:color w:val="auto"/>
                <w:sz w:val="24"/>
                <w:lang w:eastAsia="zh-CN"/>
              </w:rPr>
              <w:t>生活垃圾</w:t>
            </w:r>
            <w:r>
              <w:rPr>
                <w:color w:val="auto"/>
                <w:sz w:val="24"/>
              </w:rPr>
              <w:t>由市政部门统一处理。</w:t>
            </w:r>
          </w:p>
          <w:p w14:paraId="301096DA">
            <w:pPr>
              <w:spacing w:line="360" w:lineRule="auto"/>
              <w:ind w:firstLine="480" w:firstLineChars="200"/>
              <w:rPr>
                <w:color w:val="auto"/>
                <w:sz w:val="24"/>
                <w:szCs w:val="22"/>
                <w:highlight w:val="none"/>
              </w:rPr>
            </w:pPr>
            <w:r>
              <w:rPr>
                <w:color w:val="auto"/>
                <w:sz w:val="24"/>
                <w:szCs w:val="22"/>
                <w:highlight w:val="none"/>
              </w:rPr>
              <w:t>（</w:t>
            </w:r>
            <w:r>
              <w:rPr>
                <w:rFonts w:hint="eastAsia"/>
                <w:color w:val="auto"/>
                <w:sz w:val="24"/>
                <w:szCs w:val="22"/>
                <w:highlight w:val="none"/>
              </w:rPr>
              <w:t>2</w:t>
            </w:r>
            <w:r>
              <w:rPr>
                <w:color w:val="auto"/>
                <w:sz w:val="24"/>
                <w:szCs w:val="22"/>
                <w:highlight w:val="none"/>
              </w:rPr>
              <w:t>）布袋除尘器收尘</w:t>
            </w:r>
          </w:p>
          <w:p w14:paraId="58DEAFE0">
            <w:pPr>
              <w:spacing w:line="360" w:lineRule="auto"/>
              <w:ind w:firstLine="480" w:firstLineChars="200"/>
              <w:rPr>
                <w:color w:val="auto"/>
                <w:sz w:val="24"/>
                <w:highlight w:val="none"/>
              </w:rPr>
            </w:pPr>
            <w:r>
              <w:rPr>
                <w:color w:val="auto"/>
                <w:sz w:val="24"/>
                <w:highlight w:val="none"/>
              </w:rPr>
              <w:t>本项目</w:t>
            </w:r>
            <w:r>
              <w:rPr>
                <w:rFonts w:hint="eastAsia"/>
                <w:color w:val="auto"/>
                <w:sz w:val="24"/>
                <w:highlight w:val="none"/>
              </w:rPr>
              <w:t>热风炉</w:t>
            </w:r>
            <w:r>
              <w:rPr>
                <w:color w:val="auto"/>
                <w:sz w:val="24"/>
                <w:highlight w:val="none"/>
              </w:rPr>
              <w:t>布袋除尘器收尘量为</w:t>
            </w:r>
            <w:r>
              <w:rPr>
                <w:rFonts w:hint="eastAsia"/>
                <w:color w:val="auto"/>
                <w:sz w:val="24"/>
                <w:highlight w:val="none"/>
                <w:lang w:val="en-US" w:eastAsia="zh-CN"/>
              </w:rPr>
              <w:t>66.864</w:t>
            </w:r>
            <w:r>
              <w:rPr>
                <w:color w:val="auto"/>
                <w:sz w:val="24"/>
                <w:highlight w:val="none"/>
              </w:rPr>
              <w:t>t/a，收集后</w:t>
            </w:r>
            <w:r>
              <w:rPr>
                <w:rFonts w:hint="eastAsia"/>
                <w:color w:val="auto"/>
                <w:sz w:val="24"/>
                <w:highlight w:val="none"/>
                <w:lang w:eastAsia="zh-CN"/>
              </w:rPr>
              <w:t>袋装，暂存于全封闭灰渣储藏间，定期</w:t>
            </w:r>
            <w:r>
              <w:rPr>
                <w:rFonts w:hint="eastAsia"/>
                <w:color w:val="auto"/>
                <w:sz w:val="24"/>
                <w:highlight w:val="none"/>
              </w:rPr>
              <w:t>外售综合利用</w:t>
            </w:r>
            <w:r>
              <w:rPr>
                <w:color w:val="auto"/>
                <w:sz w:val="24"/>
                <w:highlight w:val="none"/>
              </w:rPr>
              <w:t>。</w:t>
            </w:r>
          </w:p>
          <w:p w14:paraId="57E25C2C">
            <w:pPr>
              <w:spacing w:line="360" w:lineRule="auto"/>
              <w:ind w:firstLine="480" w:firstLineChars="200"/>
              <w:rPr>
                <w:color w:val="auto"/>
                <w:sz w:val="24"/>
                <w:szCs w:val="22"/>
                <w:highlight w:val="none"/>
              </w:rPr>
            </w:pPr>
            <w:r>
              <w:rPr>
                <w:color w:val="auto"/>
                <w:sz w:val="24"/>
                <w:szCs w:val="22"/>
                <w:highlight w:val="none"/>
              </w:rPr>
              <w:t>（</w:t>
            </w:r>
            <w:r>
              <w:rPr>
                <w:rFonts w:hint="eastAsia"/>
                <w:color w:val="auto"/>
                <w:sz w:val="24"/>
                <w:szCs w:val="22"/>
                <w:highlight w:val="none"/>
              </w:rPr>
              <w:t>3</w:t>
            </w:r>
            <w:r>
              <w:rPr>
                <w:color w:val="auto"/>
                <w:sz w:val="24"/>
                <w:szCs w:val="22"/>
                <w:highlight w:val="none"/>
              </w:rPr>
              <w:t>）热风炉</w:t>
            </w:r>
            <w:r>
              <w:rPr>
                <w:rFonts w:hint="eastAsia"/>
                <w:color w:val="auto"/>
                <w:sz w:val="24"/>
                <w:szCs w:val="22"/>
                <w:highlight w:val="none"/>
              </w:rPr>
              <w:t>炉</w:t>
            </w:r>
            <w:r>
              <w:rPr>
                <w:color w:val="auto"/>
                <w:sz w:val="24"/>
                <w:szCs w:val="22"/>
                <w:highlight w:val="none"/>
              </w:rPr>
              <w:t>渣</w:t>
            </w:r>
          </w:p>
          <w:p w14:paraId="07E3D9C2">
            <w:pPr>
              <w:spacing w:line="360" w:lineRule="auto"/>
              <w:ind w:firstLine="480" w:firstLineChars="200"/>
              <w:rPr>
                <w:color w:val="auto"/>
                <w:sz w:val="24"/>
                <w:highlight w:val="none"/>
              </w:rPr>
            </w:pPr>
            <w:r>
              <w:rPr>
                <w:color w:val="auto"/>
                <w:sz w:val="24"/>
                <w:highlight w:val="none"/>
              </w:rPr>
              <w:t>本项目采用的</w:t>
            </w:r>
            <w:r>
              <w:rPr>
                <w:rFonts w:hint="eastAsia"/>
                <w:color w:val="auto"/>
                <w:sz w:val="24"/>
                <w:highlight w:val="none"/>
                <w:lang w:eastAsia="zh-CN"/>
              </w:rPr>
              <w:t>燃生物质</w:t>
            </w:r>
            <w:r>
              <w:rPr>
                <w:color w:val="auto"/>
                <w:sz w:val="24"/>
                <w:highlight w:val="none"/>
              </w:rPr>
              <w:t>热风炉燃烧过程中产生的固体废为灰渣。项目</w:t>
            </w:r>
            <w:r>
              <w:rPr>
                <w:rFonts w:hint="eastAsia"/>
                <w:color w:val="auto"/>
                <w:sz w:val="24"/>
                <w:highlight w:val="none"/>
              </w:rPr>
              <w:t>热风炉</w:t>
            </w:r>
            <w:r>
              <w:rPr>
                <w:color w:val="auto"/>
                <w:sz w:val="24"/>
                <w:highlight w:val="none"/>
              </w:rPr>
              <w:t>产生的</w:t>
            </w:r>
            <w:r>
              <w:rPr>
                <w:rFonts w:hint="eastAsia"/>
                <w:color w:val="auto"/>
                <w:sz w:val="24"/>
                <w:highlight w:val="none"/>
              </w:rPr>
              <w:t>灰渣</w:t>
            </w:r>
            <w:r>
              <w:rPr>
                <w:color w:val="auto"/>
                <w:sz w:val="24"/>
                <w:highlight w:val="none"/>
              </w:rPr>
              <w:t>量</w:t>
            </w:r>
            <w:r>
              <w:rPr>
                <w:rFonts w:hint="eastAsia"/>
                <w:color w:val="auto"/>
                <w:sz w:val="24"/>
                <w:highlight w:val="none"/>
              </w:rPr>
              <w:t>参照</w:t>
            </w:r>
            <w:r>
              <w:rPr>
                <w:color w:val="auto"/>
                <w:sz w:val="24"/>
                <w:highlight w:val="none"/>
              </w:rPr>
              <w:t>《污染源源强核算技术指南 锅炉》（HJ 991—2018）中</w:t>
            </w:r>
            <w:r>
              <w:rPr>
                <w:rFonts w:hint="eastAsia"/>
                <w:color w:val="auto"/>
                <w:sz w:val="24"/>
                <w:highlight w:val="none"/>
              </w:rPr>
              <w:t>“</w:t>
            </w:r>
            <w:r>
              <w:rPr>
                <w:color w:val="auto"/>
                <w:sz w:val="24"/>
                <w:highlight w:val="none"/>
              </w:rPr>
              <w:t>8.1.1 物料衡算法</w:t>
            </w:r>
            <w:r>
              <w:rPr>
                <w:rFonts w:hint="eastAsia"/>
                <w:color w:val="auto"/>
                <w:sz w:val="24"/>
                <w:highlight w:val="none"/>
              </w:rPr>
              <w:t>”</w:t>
            </w:r>
            <w:r>
              <w:rPr>
                <w:color w:val="auto"/>
                <w:sz w:val="24"/>
                <w:highlight w:val="none"/>
              </w:rPr>
              <w:t>进行计算确定，计算公式如下：</w:t>
            </w:r>
          </w:p>
          <w:p w14:paraId="5570A1A7">
            <w:pPr>
              <w:pStyle w:val="121"/>
              <w:ind w:left="0" w:leftChars="0" w:firstLine="0"/>
              <w:jc w:val="center"/>
              <w:rPr>
                <w:color w:val="auto"/>
                <w:sz w:val="24"/>
                <w:highlight w:val="none"/>
                <w:lang w:eastAsia="en-US"/>
              </w:rPr>
            </w:pPr>
            <w:r>
              <w:rPr>
                <w:color w:val="auto"/>
                <w:position w:val="-28"/>
                <w:sz w:val="24"/>
                <w:highlight w:val="none"/>
              </w:rPr>
              <w:object>
                <v:shape id="_x0000_i1030" o:spt="75" type="#_x0000_t75" style="height:33.75pt;width:146.25pt;" o:ole="t" filled="f" o:preferrelative="t" stroked="f" coordsize="21600,21600">
                  <v:path/>
                  <v:fill on="f" focussize="0,0"/>
                  <v:stroke on="f" joinstyle="miter"/>
                  <v:imagedata r:id="rId40" o:title=""/>
                  <o:lock v:ext="edit" aspectratio="t"/>
                  <w10:wrap type="none"/>
                  <w10:anchorlock/>
                </v:shape>
                <o:OLEObject Type="Embed" ProgID="Equations" ShapeID="_x0000_i1030" DrawAspect="Content" ObjectID="_1468075730" r:id="rId39">
                  <o:LockedField>false</o:LockedField>
                </o:OLEObject>
              </w:object>
            </w:r>
          </w:p>
          <w:p w14:paraId="52F51F78">
            <w:pPr>
              <w:adjustRightInd w:val="0"/>
              <w:snapToGrid w:val="0"/>
              <w:spacing w:line="360" w:lineRule="auto"/>
              <w:ind w:firstLine="480" w:firstLineChars="200"/>
              <w:rPr>
                <w:bCs/>
                <w:color w:val="auto"/>
                <w:sz w:val="24"/>
                <w:highlight w:val="none"/>
              </w:rPr>
            </w:pPr>
            <w:r>
              <w:rPr>
                <w:bCs/>
                <w:color w:val="auto"/>
                <w:sz w:val="24"/>
                <w:highlight w:val="none"/>
              </w:rPr>
              <w:t>式中：E</w:t>
            </w:r>
            <w:r>
              <w:rPr>
                <w:bCs/>
                <w:color w:val="auto"/>
                <w:sz w:val="24"/>
                <w:highlight w:val="none"/>
                <w:vertAlign w:val="subscript"/>
              </w:rPr>
              <w:t>hz</w:t>
            </w:r>
            <w:r>
              <w:rPr>
                <w:bCs/>
                <w:color w:val="auto"/>
                <w:sz w:val="24"/>
                <w:highlight w:val="none"/>
              </w:rPr>
              <w:t>—核算时段内灰渣产生量，t</w:t>
            </w:r>
          </w:p>
          <w:p w14:paraId="6FF07B9F">
            <w:pPr>
              <w:adjustRightInd w:val="0"/>
              <w:snapToGrid w:val="0"/>
              <w:spacing w:line="360" w:lineRule="auto"/>
              <w:ind w:firstLine="1200" w:firstLineChars="500"/>
              <w:rPr>
                <w:bCs/>
                <w:color w:val="auto"/>
                <w:sz w:val="24"/>
                <w:highlight w:val="none"/>
              </w:rPr>
            </w:pPr>
            <w:r>
              <w:rPr>
                <w:bCs/>
                <w:color w:val="auto"/>
                <w:sz w:val="24"/>
                <w:highlight w:val="none"/>
              </w:rPr>
              <w:t>R—核算时段内锅炉燃料耗量，</w:t>
            </w:r>
            <w:r>
              <w:rPr>
                <w:rFonts w:hint="eastAsia"/>
                <w:bCs/>
                <w:color w:val="auto"/>
                <w:sz w:val="24"/>
                <w:highlight w:val="none"/>
                <w:lang w:val="en-US" w:eastAsia="zh-CN"/>
              </w:rPr>
              <w:t>1762</w:t>
            </w:r>
            <w:r>
              <w:rPr>
                <w:bCs/>
                <w:color w:val="auto"/>
                <w:sz w:val="24"/>
                <w:highlight w:val="none"/>
              </w:rPr>
              <w:t>t；</w:t>
            </w:r>
          </w:p>
          <w:p w14:paraId="3C3D56A4">
            <w:pPr>
              <w:adjustRightInd w:val="0"/>
              <w:snapToGrid w:val="0"/>
              <w:spacing w:line="360" w:lineRule="auto"/>
              <w:ind w:firstLine="1200" w:firstLineChars="500"/>
              <w:rPr>
                <w:bCs/>
                <w:color w:val="auto"/>
                <w:sz w:val="24"/>
                <w:highlight w:val="none"/>
              </w:rPr>
            </w:pPr>
            <w:r>
              <w:rPr>
                <w:bCs/>
                <w:color w:val="auto"/>
                <w:sz w:val="24"/>
                <w:highlight w:val="none"/>
              </w:rPr>
              <w:t>A</w:t>
            </w:r>
            <w:r>
              <w:rPr>
                <w:bCs/>
                <w:color w:val="auto"/>
                <w:sz w:val="24"/>
                <w:highlight w:val="none"/>
                <w:vertAlign w:val="subscript"/>
              </w:rPr>
              <w:t>ar</w:t>
            </w:r>
            <w:r>
              <w:rPr>
                <w:bCs/>
                <w:color w:val="auto"/>
                <w:sz w:val="24"/>
                <w:highlight w:val="none"/>
              </w:rPr>
              <w:t>—收到基灰分的质量分数，</w:t>
            </w:r>
            <w:r>
              <w:rPr>
                <w:rFonts w:hint="eastAsia"/>
                <w:bCs/>
                <w:color w:val="auto"/>
                <w:sz w:val="24"/>
                <w:highlight w:val="none"/>
                <w:lang w:val="en-US" w:eastAsia="zh-CN"/>
              </w:rPr>
              <w:t>6.56</w:t>
            </w:r>
            <w:r>
              <w:rPr>
                <w:bCs/>
                <w:color w:val="auto"/>
                <w:sz w:val="24"/>
                <w:highlight w:val="none"/>
              </w:rPr>
              <w:t>%</w:t>
            </w:r>
          </w:p>
          <w:p w14:paraId="39C51396">
            <w:pPr>
              <w:adjustRightInd w:val="0"/>
              <w:snapToGrid w:val="0"/>
              <w:spacing w:line="360" w:lineRule="auto"/>
              <w:ind w:firstLine="1200" w:firstLineChars="500"/>
              <w:rPr>
                <w:bCs/>
                <w:color w:val="auto"/>
                <w:sz w:val="24"/>
                <w:highlight w:val="none"/>
              </w:rPr>
            </w:pPr>
            <w:r>
              <w:rPr>
                <w:bCs/>
                <w:color w:val="auto"/>
                <w:sz w:val="24"/>
                <w:highlight w:val="none"/>
              </w:rPr>
              <w:t>Q</w:t>
            </w:r>
            <w:r>
              <w:rPr>
                <w:bCs/>
                <w:color w:val="auto"/>
                <w:sz w:val="24"/>
                <w:highlight w:val="none"/>
                <w:vertAlign w:val="subscript"/>
              </w:rPr>
              <w:t>net，ar</w:t>
            </w:r>
            <w:r>
              <w:rPr>
                <w:bCs/>
                <w:color w:val="auto"/>
                <w:sz w:val="24"/>
                <w:highlight w:val="none"/>
              </w:rPr>
              <w:t>—燃料收到基低位发热量，</w:t>
            </w:r>
            <w:r>
              <w:rPr>
                <w:rFonts w:hint="eastAsia"/>
                <w:bCs/>
                <w:color w:val="auto"/>
                <w:sz w:val="24"/>
                <w:highlight w:val="none"/>
                <w:lang w:val="en-US" w:eastAsia="zh-CN"/>
              </w:rPr>
              <w:t>16670</w:t>
            </w:r>
            <w:r>
              <w:rPr>
                <w:bCs/>
                <w:color w:val="auto"/>
                <w:sz w:val="24"/>
                <w:highlight w:val="none"/>
              </w:rPr>
              <w:t>kJ/kg</w:t>
            </w:r>
          </w:p>
          <w:p w14:paraId="434519AB">
            <w:pPr>
              <w:adjustRightInd w:val="0"/>
              <w:snapToGrid w:val="0"/>
              <w:spacing w:line="360" w:lineRule="auto"/>
              <w:ind w:firstLine="1200" w:firstLineChars="500"/>
              <w:rPr>
                <w:bCs/>
                <w:color w:val="auto"/>
                <w:sz w:val="24"/>
                <w:highlight w:val="none"/>
              </w:rPr>
            </w:pPr>
            <w:r>
              <w:rPr>
                <w:bCs/>
                <w:color w:val="auto"/>
                <w:sz w:val="24"/>
                <w:highlight w:val="none"/>
              </w:rPr>
              <w:t>q</w:t>
            </w:r>
            <w:r>
              <w:rPr>
                <w:bCs/>
                <w:color w:val="auto"/>
                <w:sz w:val="24"/>
                <w:highlight w:val="none"/>
                <w:vertAlign w:val="subscript"/>
              </w:rPr>
              <w:t>4</w:t>
            </w:r>
            <w:r>
              <w:rPr>
                <w:bCs/>
                <w:color w:val="auto"/>
                <w:sz w:val="24"/>
                <w:highlight w:val="none"/>
              </w:rPr>
              <w:t>—锅炉机械不完全燃烧热损失，</w:t>
            </w:r>
            <w:r>
              <w:rPr>
                <w:rFonts w:hint="eastAsia"/>
                <w:bCs/>
                <w:color w:val="auto"/>
                <w:sz w:val="24"/>
                <w:highlight w:val="none"/>
              </w:rPr>
              <w:t>10</w:t>
            </w:r>
            <w:r>
              <w:rPr>
                <w:bCs/>
                <w:color w:val="auto"/>
                <w:sz w:val="24"/>
                <w:highlight w:val="none"/>
              </w:rPr>
              <w:t>%</w:t>
            </w:r>
          </w:p>
          <w:p w14:paraId="2B261FAF">
            <w:pPr>
              <w:spacing w:line="360" w:lineRule="auto"/>
              <w:ind w:firstLine="480" w:firstLineChars="200"/>
              <w:rPr>
                <w:bCs/>
                <w:color w:val="auto"/>
                <w:sz w:val="24"/>
                <w:highlight w:val="none"/>
              </w:rPr>
            </w:pPr>
            <w:r>
              <w:rPr>
                <w:bCs/>
                <w:color w:val="auto"/>
                <w:sz w:val="24"/>
                <w:highlight w:val="none"/>
              </w:rPr>
              <w:t>经计算得出年热风炉灰渣量E</w:t>
            </w:r>
            <w:r>
              <w:rPr>
                <w:bCs/>
                <w:color w:val="auto"/>
                <w:sz w:val="24"/>
                <w:highlight w:val="none"/>
                <w:vertAlign w:val="subscript"/>
              </w:rPr>
              <w:t>hz</w:t>
            </w:r>
            <w:r>
              <w:rPr>
                <w:bCs/>
                <w:color w:val="auto"/>
                <w:sz w:val="24"/>
                <w:highlight w:val="none"/>
              </w:rPr>
              <w:t>=</w:t>
            </w:r>
            <w:r>
              <w:rPr>
                <w:rFonts w:hint="eastAsia"/>
                <w:bCs/>
                <w:color w:val="auto"/>
                <w:sz w:val="24"/>
                <w:highlight w:val="none"/>
                <w:lang w:val="en-US" w:eastAsia="zh-CN"/>
              </w:rPr>
              <w:t>202.83</w:t>
            </w:r>
            <w:r>
              <w:rPr>
                <w:bCs/>
                <w:color w:val="auto"/>
                <w:sz w:val="24"/>
                <w:highlight w:val="none"/>
              </w:rPr>
              <w:t>t/a</w:t>
            </w:r>
          </w:p>
          <w:p w14:paraId="1092D260">
            <w:pPr>
              <w:spacing w:line="360" w:lineRule="auto"/>
              <w:ind w:firstLine="480" w:firstLineChars="200"/>
              <w:rPr>
                <w:color w:val="auto"/>
                <w:sz w:val="24"/>
                <w:highlight w:val="none"/>
              </w:rPr>
            </w:pPr>
            <w:r>
              <w:rPr>
                <w:color w:val="auto"/>
                <w:sz w:val="24"/>
                <w:highlight w:val="none"/>
              </w:rPr>
              <w:t>热风炉燃烧产生的灰渣量为</w:t>
            </w:r>
            <w:r>
              <w:rPr>
                <w:rFonts w:hint="eastAsia"/>
                <w:color w:val="auto"/>
                <w:sz w:val="24"/>
                <w:highlight w:val="none"/>
                <w:lang w:val="en-US" w:eastAsia="zh-CN"/>
              </w:rPr>
              <w:t>202.83</w:t>
            </w:r>
            <w:r>
              <w:rPr>
                <w:color w:val="auto"/>
                <w:sz w:val="24"/>
                <w:highlight w:val="none"/>
              </w:rPr>
              <w:t>t/a，</w:t>
            </w:r>
            <w:r>
              <w:rPr>
                <w:bCs/>
                <w:color w:val="auto"/>
                <w:sz w:val="24"/>
                <w:highlight w:val="none"/>
              </w:rPr>
              <w:t>灰渣中随烟气排放的飞灰（即</w:t>
            </w:r>
            <w:r>
              <w:rPr>
                <w:rFonts w:hint="eastAsia"/>
                <w:bCs/>
                <w:color w:val="auto"/>
                <w:sz w:val="24"/>
                <w:highlight w:val="none"/>
              </w:rPr>
              <w:t>烟尘</w:t>
            </w:r>
            <w:r>
              <w:rPr>
                <w:bCs/>
                <w:color w:val="auto"/>
                <w:sz w:val="24"/>
                <w:highlight w:val="none"/>
              </w:rPr>
              <w:t>）为</w:t>
            </w:r>
            <w:r>
              <w:rPr>
                <w:rFonts w:hint="eastAsia"/>
                <w:bCs/>
                <w:color w:val="auto"/>
                <w:sz w:val="24"/>
                <w:highlight w:val="none"/>
                <w:lang w:val="en-US" w:eastAsia="zh-CN"/>
              </w:rPr>
              <w:t>0.336</w:t>
            </w:r>
            <w:r>
              <w:rPr>
                <w:bCs/>
                <w:color w:val="auto"/>
                <w:sz w:val="24"/>
                <w:highlight w:val="none"/>
              </w:rPr>
              <w:t>t/a，由布袋除尘器收集的飞灰为</w:t>
            </w:r>
            <w:r>
              <w:rPr>
                <w:rFonts w:hint="eastAsia"/>
                <w:bCs/>
                <w:color w:val="auto"/>
                <w:sz w:val="24"/>
                <w:highlight w:val="none"/>
                <w:lang w:val="en-US" w:eastAsia="zh-CN"/>
              </w:rPr>
              <w:t>66.864</w:t>
            </w:r>
            <w:r>
              <w:rPr>
                <w:bCs/>
                <w:color w:val="auto"/>
                <w:sz w:val="24"/>
                <w:highlight w:val="none"/>
              </w:rPr>
              <w:t>t/a，则剩余热风炉炉</w:t>
            </w:r>
            <w:r>
              <w:rPr>
                <w:rFonts w:hint="eastAsia"/>
                <w:bCs/>
                <w:color w:val="auto"/>
                <w:sz w:val="24"/>
                <w:highlight w:val="none"/>
              </w:rPr>
              <w:t>渣</w:t>
            </w:r>
            <w:r>
              <w:rPr>
                <w:bCs/>
                <w:color w:val="auto"/>
                <w:sz w:val="24"/>
                <w:highlight w:val="none"/>
              </w:rPr>
              <w:t>量为</w:t>
            </w:r>
            <w:r>
              <w:rPr>
                <w:rFonts w:hint="eastAsia"/>
                <w:bCs/>
                <w:color w:val="auto"/>
                <w:sz w:val="24"/>
                <w:highlight w:val="none"/>
                <w:lang w:val="en-US" w:eastAsia="zh-CN"/>
              </w:rPr>
              <w:t>135.63</w:t>
            </w:r>
            <w:r>
              <w:rPr>
                <w:bCs/>
                <w:color w:val="auto"/>
                <w:sz w:val="24"/>
                <w:highlight w:val="none"/>
              </w:rPr>
              <w:t>t/a。</w:t>
            </w:r>
            <w:r>
              <w:rPr>
                <w:color w:val="auto"/>
                <w:sz w:val="24"/>
                <w:highlight w:val="none"/>
              </w:rPr>
              <w:t>炉渣集中收集后</w:t>
            </w:r>
            <w:r>
              <w:rPr>
                <w:rFonts w:hint="eastAsia"/>
                <w:color w:val="auto"/>
                <w:sz w:val="24"/>
                <w:highlight w:val="none"/>
                <w:lang w:eastAsia="zh-CN"/>
              </w:rPr>
              <w:t>暂存于全封闭灰渣储藏间，定期</w:t>
            </w:r>
            <w:r>
              <w:rPr>
                <w:rFonts w:hint="eastAsia"/>
                <w:color w:val="auto"/>
                <w:sz w:val="24"/>
                <w:highlight w:val="none"/>
              </w:rPr>
              <w:t>外售综合利用</w:t>
            </w:r>
            <w:r>
              <w:rPr>
                <w:color w:val="auto"/>
                <w:sz w:val="24"/>
                <w:highlight w:val="none"/>
              </w:rPr>
              <w:t>。</w:t>
            </w:r>
          </w:p>
          <w:p w14:paraId="35EFE9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szCs w:val="22"/>
                <w:lang w:val="en-US" w:eastAsia="zh-CN"/>
              </w:rPr>
            </w:pPr>
            <w:r>
              <w:rPr>
                <w:rFonts w:hint="eastAsia" w:ascii="Times New Roman" w:hAnsi="Times New Roman" w:eastAsia="宋体" w:cs="Times New Roman"/>
                <w:color w:val="auto"/>
                <w:sz w:val="24"/>
                <w:szCs w:val="24"/>
              </w:rPr>
              <w:t>根据《生物质灰渣化肥配施对土壞性质及油菜生长的影响》（华中农业大学学报期刊论文，2011年06期），《生物质灰渣的资源化利用研究》（易珊，浙江大学2014年硕士学位论文），《生物质燃烧电厂灰渣特性及其利用的研究生物质灰渣》（韩宗娜，东南大学2012年硕士学位论文），以上试验研究成果表明，灰渣中Si、K、Ca、P、Mg等含量较高，在农业方面的应用主要为直接作为K肥或用来生产K肥、改善酸性土壤的活性或修复土壤结构，按照合理的比例进行灰渣与化肥的配施，能促进土壤-植物系统中营养元素的转化迁移。根据国家综合利用政策及设计规程要求，为促进灰渣的综合利用</w:t>
            </w:r>
            <w:r>
              <w:rPr>
                <w:rFonts w:hint="eastAsia" w:cs="Times New Roman"/>
                <w:color w:val="auto"/>
                <w:sz w:val="24"/>
                <w:szCs w:val="24"/>
                <w:lang w:eastAsia="zh-CN"/>
              </w:rPr>
              <w:t>，本项目产生的热风炉灰渣作为肥料外售综合利用。</w:t>
            </w:r>
          </w:p>
          <w:p w14:paraId="4715928C">
            <w:pPr>
              <w:spacing w:line="360" w:lineRule="auto"/>
              <w:ind w:firstLine="480" w:firstLineChars="200"/>
              <w:rPr>
                <w:color w:val="auto"/>
                <w:sz w:val="24"/>
                <w:szCs w:val="22"/>
              </w:rPr>
            </w:pPr>
            <w:r>
              <w:rPr>
                <w:color w:val="auto"/>
                <w:sz w:val="24"/>
                <w:szCs w:val="22"/>
              </w:rPr>
              <w:t>（</w:t>
            </w:r>
            <w:r>
              <w:rPr>
                <w:rFonts w:hint="eastAsia"/>
                <w:color w:val="auto"/>
                <w:sz w:val="24"/>
                <w:szCs w:val="22"/>
              </w:rPr>
              <w:t>4</w:t>
            </w:r>
            <w:r>
              <w:rPr>
                <w:color w:val="auto"/>
                <w:sz w:val="24"/>
                <w:szCs w:val="22"/>
              </w:rPr>
              <w:t xml:space="preserve">）清选杂质 </w:t>
            </w:r>
          </w:p>
          <w:p w14:paraId="50ADC20D">
            <w:pPr>
              <w:pStyle w:val="94"/>
              <w:spacing w:line="360" w:lineRule="auto"/>
              <w:ind w:firstLine="480"/>
              <w:rPr>
                <w:color w:val="auto"/>
                <w:sz w:val="24"/>
              </w:rPr>
            </w:pPr>
            <w:r>
              <w:rPr>
                <w:color w:val="auto"/>
                <w:sz w:val="24"/>
                <w:szCs w:val="22"/>
              </w:rPr>
              <w:t>本项目清选过程产生的杂质约为</w:t>
            </w:r>
            <w:r>
              <w:rPr>
                <w:rFonts w:hint="eastAsia"/>
                <w:color w:val="auto"/>
                <w:sz w:val="24"/>
                <w:szCs w:val="22"/>
                <w:lang w:val="en-US" w:eastAsia="zh-CN"/>
              </w:rPr>
              <w:t>25</w:t>
            </w:r>
            <w:r>
              <w:rPr>
                <w:color w:val="auto"/>
                <w:sz w:val="24"/>
                <w:szCs w:val="22"/>
              </w:rPr>
              <w:t>t/a。</w:t>
            </w:r>
            <w:r>
              <w:rPr>
                <w:color w:val="auto"/>
                <w:sz w:val="24"/>
                <w:szCs w:val="22"/>
                <w:highlight w:val="none"/>
              </w:rPr>
              <w:t>清选杂质</w:t>
            </w:r>
            <w:r>
              <w:rPr>
                <w:rFonts w:hint="eastAsia"/>
                <w:color w:val="auto"/>
                <w:sz w:val="24"/>
                <w:szCs w:val="22"/>
                <w:highlight w:val="none"/>
                <w:lang w:eastAsia="zh-CN"/>
              </w:rPr>
              <w:t>定期外售综合利用</w:t>
            </w:r>
            <w:r>
              <w:rPr>
                <w:color w:val="auto"/>
                <w:sz w:val="24"/>
                <w:highlight w:val="none"/>
              </w:rPr>
              <w:t>。</w:t>
            </w:r>
          </w:p>
          <w:p w14:paraId="10603AD7">
            <w:pPr>
              <w:spacing w:line="360" w:lineRule="auto"/>
              <w:ind w:firstLine="480" w:firstLineChars="200"/>
              <w:rPr>
                <w:color w:val="auto"/>
                <w:sz w:val="24"/>
                <w:szCs w:val="22"/>
                <w:highlight w:val="none"/>
              </w:rPr>
            </w:pPr>
            <w:r>
              <w:rPr>
                <w:rFonts w:hint="eastAsia"/>
                <w:color w:val="auto"/>
                <w:sz w:val="24"/>
                <w:szCs w:val="22"/>
                <w:highlight w:val="none"/>
              </w:rPr>
              <w:t>（</w:t>
            </w:r>
            <w:r>
              <w:rPr>
                <w:rFonts w:hint="eastAsia"/>
                <w:color w:val="auto"/>
                <w:sz w:val="24"/>
                <w:szCs w:val="22"/>
                <w:highlight w:val="none"/>
                <w:lang w:val="en-US" w:eastAsia="zh-CN"/>
              </w:rPr>
              <w:t>5</w:t>
            </w:r>
            <w:r>
              <w:rPr>
                <w:rFonts w:hint="eastAsia"/>
                <w:color w:val="auto"/>
                <w:sz w:val="24"/>
                <w:szCs w:val="22"/>
                <w:highlight w:val="none"/>
              </w:rPr>
              <w:t>）</w:t>
            </w:r>
            <w:r>
              <w:rPr>
                <w:rFonts w:hint="eastAsia"/>
                <w:color w:val="auto"/>
                <w:sz w:val="24"/>
                <w:szCs w:val="22"/>
                <w:highlight w:val="none"/>
                <w:lang w:eastAsia="zh-CN"/>
              </w:rPr>
              <w:t>围挡</w:t>
            </w:r>
            <w:r>
              <w:rPr>
                <w:rFonts w:hint="eastAsia"/>
                <w:color w:val="auto"/>
                <w:sz w:val="24"/>
                <w:szCs w:val="22"/>
                <w:highlight w:val="none"/>
              </w:rPr>
              <w:t>收尘</w:t>
            </w:r>
          </w:p>
          <w:p w14:paraId="62C490F4">
            <w:pPr>
              <w:spacing w:line="360" w:lineRule="auto"/>
              <w:ind w:firstLine="480" w:firstLineChars="200"/>
              <w:rPr>
                <w:rFonts w:hint="eastAsia"/>
                <w:color w:val="auto"/>
                <w:sz w:val="24"/>
                <w:szCs w:val="22"/>
                <w:highlight w:val="none"/>
              </w:rPr>
            </w:pPr>
            <w:r>
              <w:rPr>
                <w:rFonts w:hint="eastAsia"/>
                <w:color w:val="auto"/>
                <w:sz w:val="24"/>
                <w:szCs w:val="22"/>
                <w:highlight w:val="none"/>
              </w:rPr>
              <w:t>本项目定期清理烘干塔</w:t>
            </w:r>
            <w:r>
              <w:rPr>
                <w:rFonts w:hint="eastAsia"/>
                <w:color w:val="auto"/>
                <w:sz w:val="24"/>
                <w:szCs w:val="22"/>
                <w:highlight w:val="none"/>
                <w:lang w:eastAsia="zh-CN"/>
              </w:rPr>
              <w:t>围挡</w:t>
            </w:r>
            <w:r>
              <w:rPr>
                <w:rFonts w:hint="eastAsia"/>
                <w:color w:val="auto"/>
                <w:sz w:val="24"/>
                <w:szCs w:val="22"/>
                <w:highlight w:val="none"/>
              </w:rPr>
              <w:t>收尘，烘干塔</w:t>
            </w:r>
            <w:r>
              <w:rPr>
                <w:rFonts w:hint="eastAsia"/>
                <w:color w:val="auto"/>
                <w:sz w:val="24"/>
                <w:szCs w:val="22"/>
                <w:highlight w:val="none"/>
                <w:lang w:eastAsia="zh-CN"/>
              </w:rPr>
              <w:t>围挡</w:t>
            </w:r>
            <w:r>
              <w:rPr>
                <w:rFonts w:hint="eastAsia"/>
                <w:color w:val="auto"/>
                <w:sz w:val="24"/>
                <w:szCs w:val="22"/>
                <w:highlight w:val="none"/>
              </w:rPr>
              <w:t>收尘量为</w:t>
            </w:r>
            <w:r>
              <w:rPr>
                <w:rFonts w:hint="eastAsia"/>
                <w:color w:val="auto"/>
                <w:sz w:val="24"/>
                <w:szCs w:val="22"/>
                <w:highlight w:val="none"/>
                <w:lang w:val="en-US" w:eastAsia="zh-CN"/>
              </w:rPr>
              <w:t>4.572</w:t>
            </w:r>
            <w:r>
              <w:rPr>
                <w:rFonts w:hint="eastAsia"/>
                <w:color w:val="auto"/>
                <w:sz w:val="24"/>
                <w:szCs w:val="22"/>
                <w:highlight w:val="none"/>
              </w:rPr>
              <w:t>t/a，收集后装袋</w:t>
            </w:r>
            <w:r>
              <w:rPr>
                <w:color w:val="auto"/>
                <w:sz w:val="24"/>
                <w:highlight w:val="none"/>
              </w:rPr>
              <w:t>后</w:t>
            </w:r>
            <w:r>
              <w:rPr>
                <w:rFonts w:hint="eastAsia"/>
                <w:color w:val="auto"/>
                <w:sz w:val="24"/>
                <w:highlight w:val="none"/>
                <w:lang w:eastAsia="zh-CN"/>
              </w:rPr>
              <w:t>暂存于全封闭灰渣储藏间</w:t>
            </w:r>
            <w:r>
              <w:rPr>
                <w:rFonts w:hint="eastAsia"/>
                <w:color w:val="auto"/>
                <w:sz w:val="24"/>
                <w:szCs w:val="22"/>
                <w:highlight w:val="none"/>
              </w:rPr>
              <w:t>，</w:t>
            </w:r>
            <w:r>
              <w:rPr>
                <w:rFonts w:hint="eastAsia"/>
                <w:color w:val="auto"/>
                <w:sz w:val="24"/>
                <w:szCs w:val="22"/>
                <w:highlight w:val="none"/>
                <w:lang w:eastAsia="zh-CN"/>
              </w:rPr>
              <w:t>定期外售综合利用</w:t>
            </w:r>
            <w:r>
              <w:rPr>
                <w:rFonts w:hint="eastAsia"/>
                <w:color w:val="auto"/>
                <w:sz w:val="24"/>
                <w:szCs w:val="22"/>
                <w:highlight w:val="none"/>
              </w:rPr>
              <w:t>。</w:t>
            </w:r>
          </w:p>
          <w:p w14:paraId="4C6C1E09">
            <w:pPr>
              <w:spacing w:line="360" w:lineRule="auto"/>
              <w:ind w:firstLine="480" w:firstLineChars="200"/>
              <w:rPr>
                <w:rFonts w:hint="eastAsia" w:ascii="Times New Roman" w:hAnsi="Times New Roman" w:cs="Times New Roman"/>
                <w:color w:val="auto"/>
                <w:sz w:val="24"/>
                <w:szCs w:val="22"/>
                <w:highlight w:val="none"/>
                <w:lang w:eastAsia="zh-CN"/>
              </w:rPr>
            </w:pPr>
            <w:r>
              <w:rPr>
                <w:rFonts w:hint="eastAsia" w:ascii="Times New Roman" w:hAnsi="Times New Roman" w:cs="Times New Roman"/>
                <w:color w:val="auto"/>
                <w:sz w:val="24"/>
                <w:szCs w:val="22"/>
                <w:highlight w:val="none"/>
                <w:lang w:eastAsia="zh-CN"/>
              </w:rPr>
              <w:t>（</w:t>
            </w:r>
            <w:r>
              <w:rPr>
                <w:rFonts w:hint="eastAsia" w:ascii="Times New Roman" w:hAnsi="Times New Roman" w:cs="Times New Roman"/>
                <w:color w:val="auto"/>
                <w:sz w:val="24"/>
                <w:szCs w:val="22"/>
                <w:highlight w:val="none"/>
                <w:lang w:val="en-US" w:eastAsia="zh-CN"/>
              </w:rPr>
              <w:t>6</w:t>
            </w:r>
            <w:r>
              <w:rPr>
                <w:rFonts w:hint="eastAsia" w:ascii="Times New Roman" w:hAnsi="Times New Roman" w:cs="Times New Roman"/>
                <w:color w:val="auto"/>
                <w:sz w:val="24"/>
                <w:szCs w:val="22"/>
                <w:highlight w:val="none"/>
                <w:lang w:eastAsia="zh-CN"/>
              </w:rPr>
              <w:t>）废布袋</w:t>
            </w:r>
          </w:p>
          <w:p w14:paraId="300E3BFB">
            <w:pPr>
              <w:autoSpaceDE w:val="0"/>
              <w:autoSpaceDN w:val="0"/>
              <w:spacing w:line="360" w:lineRule="auto"/>
              <w:ind w:firstLine="480" w:firstLineChars="200"/>
              <w:contextualSpacing/>
              <w:rPr>
                <w:color w:val="auto"/>
                <w:sz w:val="24"/>
                <w:highlight w:val="none"/>
              </w:rPr>
            </w:pPr>
            <w:r>
              <w:rPr>
                <w:color w:val="auto"/>
                <w:sz w:val="24"/>
                <w:highlight w:val="none"/>
              </w:rPr>
              <w:t>布袋除尘器定期检修会产生废布袋，更换周期为3年，产生量为</w:t>
            </w:r>
            <w:r>
              <w:rPr>
                <w:rFonts w:hint="eastAsia"/>
                <w:color w:val="auto"/>
                <w:sz w:val="24"/>
                <w:highlight w:val="none"/>
                <w:lang w:val="en-US" w:eastAsia="zh-CN"/>
              </w:rPr>
              <w:t>0.3</w:t>
            </w:r>
            <w:r>
              <w:rPr>
                <w:color w:val="auto"/>
                <w:sz w:val="24"/>
                <w:highlight w:val="none"/>
              </w:rPr>
              <w:t>t/3a，废布袋更换后外售。</w:t>
            </w:r>
          </w:p>
          <w:p w14:paraId="080CEBBC">
            <w:pPr>
              <w:pStyle w:val="75"/>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lang w:eastAsia="zh-CN"/>
              </w:rPr>
              <w:t>）废矿物油</w:t>
            </w:r>
          </w:p>
          <w:p w14:paraId="3A951C44">
            <w:pPr>
              <w:pStyle w:val="75"/>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项目每年对生产设备进行维护，在维修过程中产生的废矿物油。废矿物油产生量约为0.</w:t>
            </w:r>
            <w:r>
              <w:rPr>
                <w:rFonts w:hint="eastAsia" w:ascii="Times New Roman" w:hAnsi="Times New Roman" w:eastAsia="宋体" w:cs="Times New Roman"/>
                <w:color w:val="auto"/>
                <w:highlight w:val="none"/>
                <w:lang w:val="en-US" w:eastAsia="zh-CN"/>
              </w:rPr>
              <w:t>05</w:t>
            </w:r>
            <w:r>
              <w:rPr>
                <w:rFonts w:hint="eastAsia" w:ascii="Times New Roman" w:hAnsi="Times New Roman" w:eastAsia="宋体" w:cs="Times New Roman"/>
                <w:color w:val="auto"/>
                <w:highlight w:val="none"/>
                <w:lang w:eastAsia="zh-CN"/>
              </w:rPr>
              <w:t>t/a，根据《国家危险废物名录》（2021），项目废矿物油为危险废物，废物类别HW08，废物代码为900-249-08，废矿物油使用容器进行收集后存储于</w:t>
            </w:r>
            <w:r>
              <w:rPr>
                <w:rFonts w:hint="eastAsia" w:cs="Times New Roman"/>
                <w:color w:val="auto"/>
                <w:sz w:val="24"/>
                <w:highlight w:val="none"/>
                <w:lang w:val="en-US" w:eastAsia="zh-CN"/>
              </w:rPr>
              <w:t>危险废物贮存库</w:t>
            </w:r>
            <w:r>
              <w:rPr>
                <w:rFonts w:hint="eastAsia" w:ascii="Times New Roman" w:hAnsi="Times New Roman" w:eastAsia="宋体" w:cs="Times New Roman"/>
                <w:color w:val="auto"/>
                <w:highlight w:val="none"/>
                <w:lang w:eastAsia="zh-CN"/>
              </w:rPr>
              <w:t>内，委托有资质的单位进行清运处置。</w:t>
            </w:r>
          </w:p>
          <w:p w14:paraId="557C4D0D">
            <w:pPr>
              <w:pStyle w:val="75"/>
              <w:ind w:firstLine="4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8</w:t>
            </w:r>
            <w:r>
              <w:rPr>
                <w:rFonts w:hint="eastAsia" w:ascii="Times New Roman" w:hAnsi="Times New Roman" w:eastAsia="宋体" w:cs="Times New Roman"/>
                <w:color w:val="auto"/>
                <w:highlight w:val="none"/>
                <w:lang w:eastAsia="zh-CN"/>
              </w:rPr>
              <w:t>）废矿物油桶</w:t>
            </w:r>
          </w:p>
          <w:p w14:paraId="10EC621C">
            <w:pPr>
              <w:pStyle w:val="75"/>
              <w:ind w:firstLine="480"/>
              <w:rPr>
                <w:bCs/>
                <w:color w:val="auto"/>
                <w:spacing w:val="6"/>
                <w:sz w:val="24"/>
                <w:highlight w:val="none"/>
              </w:rPr>
            </w:pPr>
            <w:r>
              <w:rPr>
                <w:rFonts w:hint="eastAsia" w:ascii="Times New Roman" w:hAnsi="Times New Roman" w:eastAsia="宋体" w:cs="Times New Roman"/>
                <w:color w:val="auto"/>
                <w:highlight w:val="none"/>
                <w:lang w:eastAsia="zh-CN"/>
              </w:rPr>
              <w:t>废矿物油桶0.0</w:t>
            </w:r>
            <w:r>
              <w:rPr>
                <w:rFonts w:hint="eastAsia" w:ascii="Times New Roman" w:hAnsi="Times New Roman" w:eastAsia="宋体" w:cs="Times New Roman"/>
                <w:color w:val="auto"/>
                <w:highlight w:val="none"/>
                <w:lang w:val="en-US" w:eastAsia="zh-CN"/>
              </w:rPr>
              <w:t>05</w:t>
            </w:r>
            <w:r>
              <w:rPr>
                <w:rFonts w:hint="eastAsia" w:ascii="Times New Roman" w:hAnsi="Times New Roman" w:eastAsia="宋体" w:cs="Times New Roman"/>
                <w:color w:val="auto"/>
                <w:highlight w:val="none"/>
                <w:lang w:eastAsia="zh-CN"/>
              </w:rPr>
              <w:t>t/a。废矿物油桶收集后存储于危废贮存库内，委托有资质的单位进行清运处置。</w:t>
            </w:r>
          </w:p>
          <w:p w14:paraId="38C28F00">
            <w:pPr>
              <w:spacing w:line="360" w:lineRule="auto"/>
              <w:ind w:firstLine="504" w:firstLineChars="200"/>
              <w:rPr>
                <w:b/>
                <w:bCs/>
                <w:color w:val="auto"/>
                <w:kern w:val="0"/>
                <w:sz w:val="24"/>
                <w:highlight w:val="none"/>
              </w:rPr>
            </w:pPr>
            <w:r>
              <w:rPr>
                <w:bCs/>
                <w:color w:val="auto"/>
                <w:spacing w:val="6"/>
                <w:sz w:val="24"/>
                <w:highlight w:val="none"/>
              </w:rPr>
              <w:t>项目运营期固体废物处置情况详见下表4-</w:t>
            </w:r>
            <w:r>
              <w:rPr>
                <w:rFonts w:hint="eastAsia"/>
                <w:bCs/>
                <w:color w:val="auto"/>
                <w:spacing w:val="6"/>
                <w:sz w:val="24"/>
                <w:highlight w:val="none"/>
                <w:lang w:val="en-US" w:eastAsia="zh-CN"/>
              </w:rPr>
              <w:t>13</w:t>
            </w:r>
            <w:r>
              <w:rPr>
                <w:bCs/>
                <w:color w:val="auto"/>
                <w:spacing w:val="6"/>
                <w:sz w:val="24"/>
                <w:highlight w:val="none"/>
              </w:rPr>
              <w:t>。</w:t>
            </w:r>
          </w:p>
          <w:p w14:paraId="7C1DCD80">
            <w:pPr>
              <w:pStyle w:val="94"/>
              <w:ind w:firstLine="0" w:firstLineChars="0"/>
              <w:jc w:val="center"/>
              <w:rPr>
                <w:b/>
                <w:bCs/>
                <w:color w:val="auto"/>
                <w:kern w:val="0"/>
                <w:sz w:val="24"/>
                <w:highlight w:val="none"/>
              </w:rPr>
            </w:pPr>
          </w:p>
          <w:p w14:paraId="3C0C3EC1">
            <w:pPr>
              <w:pStyle w:val="94"/>
              <w:ind w:firstLine="0" w:firstLineChars="0"/>
              <w:jc w:val="center"/>
              <w:rPr>
                <w:b/>
                <w:bCs/>
                <w:color w:val="auto"/>
                <w:kern w:val="0"/>
                <w:sz w:val="24"/>
                <w:highlight w:val="none"/>
              </w:rPr>
            </w:pPr>
          </w:p>
          <w:p w14:paraId="4BE5183E">
            <w:pPr>
              <w:pStyle w:val="94"/>
              <w:ind w:firstLine="0" w:firstLineChars="0"/>
              <w:jc w:val="center"/>
              <w:rPr>
                <w:b/>
                <w:bCs/>
                <w:color w:val="auto"/>
                <w:kern w:val="0"/>
                <w:sz w:val="24"/>
                <w:highlight w:val="none"/>
              </w:rPr>
            </w:pPr>
            <w:r>
              <w:rPr>
                <w:b/>
                <w:bCs/>
                <w:color w:val="auto"/>
                <w:kern w:val="0"/>
                <w:sz w:val="24"/>
                <w:highlight w:val="none"/>
              </w:rPr>
              <w:t>表</w:t>
            </w:r>
            <w:r>
              <w:rPr>
                <w:rFonts w:hint="eastAsia"/>
                <w:b/>
                <w:bCs/>
                <w:color w:val="auto"/>
                <w:kern w:val="0"/>
                <w:sz w:val="24"/>
                <w:highlight w:val="none"/>
              </w:rPr>
              <w:t>4</w:t>
            </w:r>
            <w:r>
              <w:rPr>
                <w:b/>
                <w:bCs/>
                <w:color w:val="auto"/>
                <w:kern w:val="0"/>
                <w:sz w:val="24"/>
                <w:highlight w:val="none"/>
              </w:rPr>
              <w:t>-</w:t>
            </w:r>
            <w:r>
              <w:rPr>
                <w:rFonts w:hint="eastAsia"/>
                <w:b/>
                <w:bCs/>
                <w:color w:val="auto"/>
                <w:kern w:val="0"/>
                <w:sz w:val="24"/>
                <w:highlight w:val="none"/>
                <w:lang w:val="en-US" w:eastAsia="zh-CN"/>
              </w:rPr>
              <w:t>13</w:t>
            </w:r>
            <w:r>
              <w:rPr>
                <w:b/>
                <w:bCs/>
                <w:color w:val="auto"/>
                <w:kern w:val="0"/>
                <w:sz w:val="24"/>
                <w:highlight w:val="none"/>
              </w:rPr>
              <w:t>本项目固体废物处理处置情况</w:t>
            </w:r>
            <w:r>
              <w:rPr>
                <w:rFonts w:hint="eastAsia"/>
                <w:b/>
                <w:bCs/>
                <w:color w:val="auto"/>
                <w:kern w:val="0"/>
                <w:sz w:val="24"/>
                <w:highlight w:val="none"/>
              </w:rPr>
              <w:t>表</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20"/>
              <w:gridCol w:w="1921"/>
              <w:gridCol w:w="1249"/>
              <w:gridCol w:w="2557"/>
              <w:gridCol w:w="1195"/>
            </w:tblGrid>
            <w:tr w14:paraId="406CF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85" w:type="pct"/>
                  <w:tcBorders>
                    <w:tl2br w:val="nil"/>
                    <w:tr2bl w:val="nil"/>
                  </w:tcBorders>
                  <w:noWrap/>
                  <w:vAlign w:val="center"/>
                </w:tcPr>
                <w:p w14:paraId="6B3B6DB8">
                  <w:pPr>
                    <w:spacing w:line="320" w:lineRule="exact"/>
                    <w:jc w:val="center"/>
                    <w:rPr>
                      <w:bCs/>
                      <w:color w:val="auto"/>
                      <w:spacing w:val="6"/>
                      <w:szCs w:val="21"/>
                      <w:highlight w:val="none"/>
                    </w:rPr>
                  </w:pPr>
                  <w:r>
                    <w:rPr>
                      <w:rFonts w:hint="eastAsia"/>
                      <w:bCs/>
                      <w:color w:val="auto"/>
                      <w:spacing w:val="6"/>
                      <w:szCs w:val="21"/>
                      <w:highlight w:val="none"/>
                    </w:rPr>
                    <w:t>污染物类型</w:t>
                  </w:r>
                </w:p>
              </w:tc>
              <w:tc>
                <w:tcPr>
                  <w:tcW w:w="1086" w:type="pct"/>
                  <w:tcBorders>
                    <w:tl2br w:val="nil"/>
                    <w:tr2bl w:val="nil"/>
                  </w:tcBorders>
                  <w:noWrap/>
                  <w:vAlign w:val="center"/>
                </w:tcPr>
                <w:p w14:paraId="50BA1C5F">
                  <w:pPr>
                    <w:spacing w:line="320" w:lineRule="exact"/>
                    <w:jc w:val="center"/>
                    <w:rPr>
                      <w:bCs/>
                      <w:color w:val="auto"/>
                      <w:spacing w:val="6"/>
                      <w:szCs w:val="21"/>
                      <w:highlight w:val="none"/>
                    </w:rPr>
                  </w:pPr>
                  <w:r>
                    <w:rPr>
                      <w:bCs/>
                      <w:color w:val="auto"/>
                      <w:spacing w:val="6"/>
                      <w:szCs w:val="21"/>
                      <w:highlight w:val="none"/>
                    </w:rPr>
                    <w:t>性质</w:t>
                  </w:r>
                </w:p>
              </w:tc>
              <w:tc>
                <w:tcPr>
                  <w:tcW w:w="706" w:type="pct"/>
                  <w:tcBorders>
                    <w:tl2br w:val="nil"/>
                    <w:tr2bl w:val="nil"/>
                  </w:tcBorders>
                  <w:noWrap/>
                  <w:vAlign w:val="center"/>
                </w:tcPr>
                <w:p w14:paraId="04839257">
                  <w:pPr>
                    <w:spacing w:line="320" w:lineRule="exact"/>
                    <w:jc w:val="center"/>
                    <w:rPr>
                      <w:bCs/>
                      <w:color w:val="auto"/>
                      <w:spacing w:val="6"/>
                      <w:szCs w:val="21"/>
                      <w:highlight w:val="none"/>
                    </w:rPr>
                  </w:pPr>
                  <w:r>
                    <w:rPr>
                      <w:bCs/>
                      <w:color w:val="auto"/>
                      <w:spacing w:val="6"/>
                      <w:szCs w:val="21"/>
                      <w:highlight w:val="none"/>
                    </w:rPr>
                    <w:t>产生量</w:t>
                  </w:r>
                </w:p>
              </w:tc>
              <w:tc>
                <w:tcPr>
                  <w:tcW w:w="1445" w:type="pct"/>
                  <w:tcBorders>
                    <w:tl2br w:val="nil"/>
                    <w:tr2bl w:val="nil"/>
                  </w:tcBorders>
                  <w:noWrap/>
                  <w:vAlign w:val="center"/>
                </w:tcPr>
                <w:p w14:paraId="58D5CDBB">
                  <w:pPr>
                    <w:spacing w:line="320" w:lineRule="exact"/>
                    <w:jc w:val="center"/>
                    <w:rPr>
                      <w:bCs/>
                      <w:color w:val="auto"/>
                      <w:spacing w:val="6"/>
                      <w:szCs w:val="21"/>
                      <w:highlight w:val="none"/>
                    </w:rPr>
                  </w:pPr>
                  <w:r>
                    <w:rPr>
                      <w:bCs/>
                      <w:color w:val="auto"/>
                      <w:spacing w:val="6"/>
                      <w:szCs w:val="21"/>
                      <w:highlight w:val="none"/>
                    </w:rPr>
                    <w:t>处置措施</w:t>
                  </w:r>
                </w:p>
              </w:tc>
              <w:tc>
                <w:tcPr>
                  <w:tcW w:w="675" w:type="pct"/>
                  <w:tcBorders>
                    <w:tl2br w:val="nil"/>
                    <w:tr2bl w:val="nil"/>
                  </w:tcBorders>
                  <w:noWrap/>
                  <w:vAlign w:val="center"/>
                </w:tcPr>
                <w:p w14:paraId="1D2F5B36">
                  <w:pPr>
                    <w:spacing w:line="320" w:lineRule="exact"/>
                    <w:jc w:val="center"/>
                    <w:rPr>
                      <w:bCs/>
                      <w:color w:val="auto"/>
                      <w:spacing w:val="6"/>
                      <w:szCs w:val="21"/>
                      <w:highlight w:val="none"/>
                    </w:rPr>
                  </w:pPr>
                  <w:r>
                    <w:rPr>
                      <w:bCs/>
                      <w:color w:val="auto"/>
                      <w:spacing w:val="6"/>
                      <w:szCs w:val="21"/>
                      <w:highlight w:val="none"/>
                    </w:rPr>
                    <w:t>达标情况</w:t>
                  </w:r>
                </w:p>
              </w:tc>
            </w:tr>
            <w:tr w14:paraId="18C8D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1E2B3A4E">
                  <w:pPr>
                    <w:spacing w:line="360" w:lineRule="exact"/>
                    <w:jc w:val="center"/>
                    <w:rPr>
                      <w:color w:val="auto"/>
                      <w:spacing w:val="-10"/>
                      <w:szCs w:val="21"/>
                      <w:highlight w:val="none"/>
                    </w:rPr>
                  </w:pPr>
                  <w:r>
                    <w:rPr>
                      <w:color w:val="auto"/>
                      <w:spacing w:val="-10"/>
                      <w:szCs w:val="21"/>
                      <w:highlight w:val="none"/>
                    </w:rPr>
                    <w:t>生活垃圾</w:t>
                  </w:r>
                </w:p>
              </w:tc>
              <w:tc>
                <w:tcPr>
                  <w:tcW w:w="1086" w:type="pct"/>
                  <w:tcBorders>
                    <w:tl2br w:val="nil"/>
                    <w:tr2bl w:val="nil"/>
                  </w:tcBorders>
                  <w:noWrap/>
                  <w:vAlign w:val="center"/>
                </w:tcPr>
                <w:p w14:paraId="0A413886">
                  <w:pPr>
                    <w:spacing w:line="320" w:lineRule="exact"/>
                    <w:jc w:val="center"/>
                    <w:rPr>
                      <w:bCs/>
                      <w:color w:val="auto"/>
                      <w:spacing w:val="6"/>
                      <w:szCs w:val="21"/>
                      <w:highlight w:val="none"/>
                    </w:rPr>
                  </w:pPr>
                  <w:r>
                    <w:rPr>
                      <w:bCs/>
                      <w:color w:val="auto"/>
                      <w:spacing w:val="6"/>
                      <w:szCs w:val="21"/>
                      <w:highlight w:val="none"/>
                    </w:rPr>
                    <w:t>一般固废</w:t>
                  </w:r>
                </w:p>
              </w:tc>
              <w:tc>
                <w:tcPr>
                  <w:tcW w:w="706" w:type="pct"/>
                  <w:tcBorders>
                    <w:tl2br w:val="nil"/>
                    <w:tr2bl w:val="nil"/>
                  </w:tcBorders>
                  <w:noWrap/>
                  <w:vAlign w:val="center"/>
                </w:tcPr>
                <w:p w14:paraId="69A5A4FF">
                  <w:pPr>
                    <w:spacing w:line="360" w:lineRule="exact"/>
                    <w:jc w:val="center"/>
                    <w:rPr>
                      <w:color w:val="auto"/>
                      <w:szCs w:val="21"/>
                      <w:highlight w:val="none"/>
                    </w:rPr>
                  </w:pPr>
                  <w:r>
                    <w:rPr>
                      <w:rFonts w:hint="eastAsia"/>
                      <w:color w:val="auto"/>
                      <w:szCs w:val="21"/>
                      <w:highlight w:val="none"/>
                      <w:lang w:val="en-US" w:eastAsia="zh-CN"/>
                    </w:rPr>
                    <w:t>0.05</w:t>
                  </w:r>
                  <w:r>
                    <w:rPr>
                      <w:color w:val="auto"/>
                      <w:szCs w:val="21"/>
                      <w:highlight w:val="none"/>
                    </w:rPr>
                    <w:t>t/a</w:t>
                  </w:r>
                </w:p>
              </w:tc>
              <w:tc>
                <w:tcPr>
                  <w:tcW w:w="1445" w:type="pct"/>
                  <w:tcBorders>
                    <w:tl2br w:val="nil"/>
                    <w:tr2bl w:val="nil"/>
                  </w:tcBorders>
                  <w:noWrap/>
                  <w:vAlign w:val="center"/>
                </w:tcPr>
                <w:p w14:paraId="5C59E091">
                  <w:pPr>
                    <w:spacing w:line="360" w:lineRule="exact"/>
                    <w:jc w:val="center"/>
                    <w:rPr>
                      <w:bCs/>
                      <w:color w:val="auto"/>
                      <w:spacing w:val="6"/>
                      <w:szCs w:val="21"/>
                      <w:highlight w:val="none"/>
                    </w:rPr>
                  </w:pPr>
                  <w:r>
                    <w:rPr>
                      <w:rFonts w:hint="eastAsia"/>
                      <w:color w:val="auto"/>
                      <w:szCs w:val="21"/>
                      <w:highlight w:val="none"/>
                    </w:rPr>
                    <w:t>市政部门统一处置</w:t>
                  </w:r>
                </w:p>
              </w:tc>
              <w:tc>
                <w:tcPr>
                  <w:tcW w:w="675" w:type="pct"/>
                  <w:vMerge w:val="restart"/>
                  <w:tcBorders>
                    <w:tl2br w:val="nil"/>
                    <w:tr2bl w:val="nil"/>
                  </w:tcBorders>
                  <w:noWrap/>
                  <w:vAlign w:val="center"/>
                </w:tcPr>
                <w:p w14:paraId="69353E11">
                  <w:pPr>
                    <w:spacing w:line="320" w:lineRule="exact"/>
                    <w:jc w:val="center"/>
                    <w:rPr>
                      <w:bCs/>
                      <w:color w:val="auto"/>
                      <w:spacing w:val="6"/>
                      <w:szCs w:val="21"/>
                      <w:highlight w:val="none"/>
                    </w:rPr>
                  </w:pPr>
                  <w:r>
                    <w:rPr>
                      <w:bCs/>
                      <w:color w:val="auto"/>
                      <w:spacing w:val="6"/>
                      <w:szCs w:val="21"/>
                      <w:highlight w:val="none"/>
                    </w:rPr>
                    <w:t>无害化处置达到环保要求</w:t>
                  </w:r>
                </w:p>
              </w:tc>
            </w:tr>
            <w:tr w14:paraId="1E22C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2176D52B">
                  <w:pPr>
                    <w:spacing w:line="360" w:lineRule="exact"/>
                    <w:jc w:val="center"/>
                    <w:rPr>
                      <w:color w:val="auto"/>
                      <w:spacing w:val="-10"/>
                      <w:szCs w:val="21"/>
                      <w:highlight w:val="none"/>
                    </w:rPr>
                  </w:pPr>
                  <w:r>
                    <w:rPr>
                      <w:color w:val="auto"/>
                      <w:spacing w:val="-10"/>
                      <w:szCs w:val="21"/>
                      <w:highlight w:val="none"/>
                    </w:rPr>
                    <w:t>清选杂质</w:t>
                  </w:r>
                </w:p>
              </w:tc>
              <w:tc>
                <w:tcPr>
                  <w:tcW w:w="1086" w:type="pct"/>
                  <w:tcBorders>
                    <w:tl2br w:val="nil"/>
                    <w:tr2bl w:val="nil"/>
                  </w:tcBorders>
                  <w:noWrap/>
                  <w:vAlign w:val="center"/>
                </w:tcPr>
                <w:p w14:paraId="106D4055">
                  <w:pPr>
                    <w:spacing w:line="320" w:lineRule="exact"/>
                    <w:jc w:val="center"/>
                    <w:rPr>
                      <w:bCs/>
                      <w:color w:val="auto"/>
                      <w:spacing w:val="6"/>
                      <w:szCs w:val="21"/>
                      <w:highlight w:val="none"/>
                    </w:rPr>
                  </w:pPr>
                  <w:r>
                    <w:rPr>
                      <w:bCs/>
                      <w:color w:val="auto"/>
                      <w:spacing w:val="6"/>
                      <w:szCs w:val="21"/>
                      <w:highlight w:val="none"/>
                    </w:rPr>
                    <w:t>一般固废</w:t>
                  </w:r>
                </w:p>
              </w:tc>
              <w:tc>
                <w:tcPr>
                  <w:tcW w:w="706" w:type="pct"/>
                  <w:tcBorders>
                    <w:tl2br w:val="nil"/>
                    <w:tr2bl w:val="nil"/>
                  </w:tcBorders>
                  <w:noWrap/>
                  <w:vAlign w:val="center"/>
                </w:tcPr>
                <w:p w14:paraId="75F49EE3">
                  <w:pPr>
                    <w:spacing w:line="320" w:lineRule="exact"/>
                    <w:jc w:val="center"/>
                    <w:rPr>
                      <w:bCs/>
                      <w:color w:val="auto"/>
                      <w:spacing w:val="6"/>
                      <w:szCs w:val="21"/>
                      <w:highlight w:val="none"/>
                    </w:rPr>
                  </w:pPr>
                  <w:r>
                    <w:rPr>
                      <w:rFonts w:hint="eastAsia"/>
                      <w:bCs/>
                      <w:color w:val="auto"/>
                      <w:spacing w:val="6"/>
                      <w:szCs w:val="21"/>
                      <w:highlight w:val="none"/>
                      <w:lang w:val="en-US" w:eastAsia="zh-CN"/>
                    </w:rPr>
                    <w:t>25</w:t>
                  </w:r>
                  <w:r>
                    <w:rPr>
                      <w:bCs/>
                      <w:color w:val="auto"/>
                      <w:spacing w:val="6"/>
                      <w:szCs w:val="21"/>
                      <w:highlight w:val="none"/>
                    </w:rPr>
                    <w:t>t/a</w:t>
                  </w:r>
                </w:p>
              </w:tc>
              <w:tc>
                <w:tcPr>
                  <w:tcW w:w="1445" w:type="pct"/>
                  <w:vMerge w:val="restart"/>
                  <w:tcBorders>
                    <w:tl2br w:val="nil"/>
                    <w:tr2bl w:val="nil"/>
                  </w:tcBorders>
                  <w:noWrap/>
                  <w:vAlign w:val="center"/>
                </w:tcPr>
                <w:p w14:paraId="21B42B3C">
                  <w:pPr>
                    <w:spacing w:line="320" w:lineRule="exact"/>
                    <w:jc w:val="center"/>
                    <w:rPr>
                      <w:bCs/>
                      <w:color w:val="auto"/>
                      <w:spacing w:val="6"/>
                      <w:szCs w:val="21"/>
                      <w:highlight w:val="none"/>
                    </w:rPr>
                  </w:pPr>
                  <w:r>
                    <w:rPr>
                      <w:color w:val="auto"/>
                      <w:szCs w:val="21"/>
                      <w:highlight w:val="none"/>
                    </w:rPr>
                    <w:t>全部外售综合利用</w:t>
                  </w:r>
                </w:p>
              </w:tc>
              <w:tc>
                <w:tcPr>
                  <w:tcW w:w="675" w:type="pct"/>
                  <w:vMerge w:val="continue"/>
                  <w:tcBorders>
                    <w:tl2br w:val="nil"/>
                    <w:tr2bl w:val="nil"/>
                  </w:tcBorders>
                  <w:noWrap/>
                  <w:vAlign w:val="center"/>
                </w:tcPr>
                <w:p w14:paraId="1F88CC08">
                  <w:pPr>
                    <w:spacing w:line="320" w:lineRule="exact"/>
                    <w:jc w:val="center"/>
                    <w:rPr>
                      <w:bCs/>
                      <w:color w:val="auto"/>
                      <w:spacing w:val="6"/>
                      <w:szCs w:val="21"/>
                      <w:highlight w:val="none"/>
                    </w:rPr>
                  </w:pPr>
                </w:p>
              </w:tc>
            </w:tr>
            <w:tr w14:paraId="6374E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2431E07D">
                  <w:pPr>
                    <w:spacing w:line="360" w:lineRule="exact"/>
                    <w:jc w:val="center"/>
                    <w:rPr>
                      <w:color w:val="auto"/>
                      <w:spacing w:val="-10"/>
                      <w:szCs w:val="21"/>
                      <w:highlight w:val="none"/>
                    </w:rPr>
                  </w:pPr>
                  <w:r>
                    <w:rPr>
                      <w:rFonts w:hint="eastAsia"/>
                      <w:bCs/>
                      <w:color w:val="auto"/>
                      <w:spacing w:val="6"/>
                      <w:szCs w:val="21"/>
                      <w:highlight w:val="none"/>
                      <w:lang w:eastAsia="zh-CN"/>
                    </w:rPr>
                    <w:t>围挡</w:t>
                  </w:r>
                  <w:r>
                    <w:rPr>
                      <w:rFonts w:hint="eastAsia"/>
                      <w:bCs/>
                      <w:color w:val="auto"/>
                      <w:spacing w:val="6"/>
                      <w:szCs w:val="21"/>
                      <w:highlight w:val="none"/>
                    </w:rPr>
                    <w:t>收尘</w:t>
                  </w:r>
                </w:p>
              </w:tc>
              <w:tc>
                <w:tcPr>
                  <w:tcW w:w="1086" w:type="pct"/>
                  <w:tcBorders>
                    <w:tl2br w:val="nil"/>
                    <w:tr2bl w:val="nil"/>
                  </w:tcBorders>
                  <w:noWrap/>
                  <w:vAlign w:val="center"/>
                </w:tcPr>
                <w:p w14:paraId="36C5C63F">
                  <w:pPr>
                    <w:spacing w:line="320" w:lineRule="exact"/>
                    <w:jc w:val="center"/>
                    <w:rPr>
                      <w:bCs/>
                      <w:color w:val="auto"/>
                      <w:spacing w:val="6"/>
                      <w:szCs w:val="21"/>
                      <w:highlight w:val="none"/>
                    </w:rPr>
                  </w:pPr>
                  <w:r>
                    <w:rPr>
                      <w:bCs/>
                      <w:color w:val="auto"/>
                      <w:spacing w:val="6"/>
                      <w:szCs w:val="21"/>
                      <w:highlight w:val="none"/>
                    </w:rPr>
                    <w:t>一般固废</w:t>
                  </w:r>
                </w:p>
              </w:tc>
              <w:tc>
                <w:tcPr>
                  <w:tcW w:w="706" w:type="pct"/>
                  <w:tcBorders>
                    <w:tl2br w:val="nil"/>
                    <w:tr2bl w:val="nil"/>
                  </w:tcBorders>
                  <w:noWrap/>
                  <w:vAlign w:val="center"/>
                </w:tcPr>
                <w:p w14:paraId="6E8F8330">
                  <w:pPr>
                    <w:spacing w:line="320" w:lineRule="exact"/>
                    <w:jc w:val="center"/>
                    <w:rPr>
                      <w:bCs/>
                      <w:color w:val="auto"/>
                      <w:spacing w:val="6"/>
                      <w:szCs w:val="21"/>
                      <w:highlight w:val="none"/>
                    </w:rPr>
                  </w:pPr>
                  <w:r>
                    <w:rPr>
                      <w:rFonts w:hint="eastAsia"/>
                      <w:bCs/>
                      <w:color w:val="auto"/>
                      <w:spacing w:val="6"/>
                      <w:szCs w:val="21"/>
                      <w:highlight w:val="none"/>
                      <w:lang w:val="en-US" w:eastAsia="zh-CN"/>
                    </w:rPr>
                    <w:t>4.572</w:t>
                  </w:r>
                  <w:r>
                    <w:rPr>
                      <w:rFonts w:hint="eastAsia"/>
                      <w:bCs/>
                      <w:color w:val="auto"/>
                      <w:spacing w:val="6"/>
                      <w:szCs w:val="21"/>
                      <w:highlight w:val="none"/>
                    </w:rPr>
                    <w:t>t/a</w:t>
                  </w:r>
                </w:p>
              </w:tc>
              <w:tc>
                <w:tcPr>
                  <w:tcW w:w="1445" w:type="pct"/>
                  <w:vMerge w:val="continue"/>
                  <w:tcBorders>
                    <w:tl2br w:val="nil"/>
                    <w:tr2bl w:val="nil"/>
                  </w:tcBorders>
                  <w:noWrap/>
                  <w:vAlign w:val="center"/>
                </w:tcPr>
                <w:p w14:paraId="7293A4F1">
                  <w:pPr>
                    <w:spacing w:line="320" w:lineRule="exact"/>
                    <w:jc w:val="center"/>
                    <w:rPr>
                      <w:bCs/>
                      <w:color w:val="auto"/>
                      <w:spacing w:val="6"/>
                      <w:szCs w:val="21"/>
                      <w:highlight w:val="none"/>
                    </w:rPr>
                  </w:pPr>
                </w:p>
              </w:tc>
              <w:tc>
                <w:tcPr>
                  <w:tcW w:w="675" w:type="pct"/>
                  <w:vMerge w:val="continue"/>
                  <w:tcBorders>
                    <w:tl2br w:val="nil"/>
                    <w:tr2bl w:val="nil"/>
                  </w:tcBorders>
                  <w:noWrap/>
                  <w:vAlign w:val="center"/>
                </w:tcPr>
                <w:p w14:paraId="706B84F1">
                  <w:pPr>
                    <w:spacing w:line="320" w:lineRule="exact"/>
                    <w:jc w:val="center"/>
                    <w:rPr>
                      <w:bCs/>
                      <w:color w:val="auto"/>
                      <w:spacing w:val="6"/>
                      <w:szCs w:val="21"/>
                      <w:highlight w:val="none"/>
                    </w:rPr>
                  </w:pPr>
                </w:p>
              </w:tc>
            </w:tr>
            <w:tr w14:paraId="41B50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5C1BA7AC">
                  <w:pPr>
                    <w:spacing w:line="360" w:lineRule="exact"/>
                    <w:jc w:val="center"/>
                    <w:rPr>
                      <w:bCs/>
                      <w:color w:val="auto"/>
                      <w:spacing w:val="6"/>
                      <w:szCs w:val="21"/>
                      <w:highlight w:val="none"/>
                    </w:rPr>
                  </w:pPr>
                  <w:r>
                    <w:rPr>
                      <w:rFonts w:hint="eastAsia"/>
                      <w:color w:val="auto"/>
                      <w:spacing w:val="-10"/>
                      <w:szCs w:val="21"/>
                      <w:highlight w:val="none"/>
                      <w:lang w:eastAsia="zh-CN"/>
                    </w:rPr>
                    <w:t>废布袋</w:t>
                  </w:r>
                </w:p>
              </w:tc>
              <w:tc>
                <w:tcPr>
                  <w:tcW w:w="1086" w:type="pct"/>
                  <w:tcBorders>
                    <w:tl2br w:val="nil"/>
                    <w:tr2bl w:val="nil"/>
                  </w:tcBorders>
                  <w:noWrap/>
                  <w:vAlign w:val="center"/>
                </w:tcPr>
                <w:p w14:paraId="66B48609">
                  <w:pPr>
                    <w:spacing w:line="320" w:lineRule="exact"/>
                    <w:jc w:val="center"/>
                    <w:rPr>
                      <w:bCs/>
                      <w:color w:val="auto"/>
                      <w:spacing w:val="6"/>
                      <w:szCs w:val="21"/>
                      <w:highlight w:val="none"/>
                    </w:rPr>
                  </w:pPr>
                  <w:r>
                    <w:rPr>
                      <w:rFonts w:hint="eastAsia"/>
                      <w:bCs/>
                      <w:color w:val="auto"/>
                      <w:spacing w:val="6"/>
                      <w:szCs w:val="21"/>
                      <w:highlight w:val="none"/>
                    </w:rPr>
                    <w:t>一般固废</w:t>
                  </w:r>
                </w:p>
              </w:tc>
              <w:tc>
                <w:tcPr>
                  <w:tcW w:w="706" w:type="pct"/>
                  <w:tcBorders>
                    <w:tl2br w:val="nil"/>
                    <w:tr2bl w:val="nil"/>
                  </w:tcBorders>
                  <w:noWrap/>
                  <w:vAlign w:val="center"/>
                </w:tcPr>
                <w:p w14:paraId="47BEDEF4">
                  <w:pPr>
                    <w:spacing w:line="320" w:lineRule="exact"/>
                    <w:jc w:val="center"/>
                    <w:rPr>
                      <w:rFonts w:hint="eastAsia"/>
                      <w:bCs/>
                      <w:color w:val="auto"/>
                      <w:spacing w:val="6"/>
                      <w:szCs w:val="21"/>
                      <w:highlight w:val="none"/>
                      <w:lang w:val="en-US" w:eastAsia="zh-CN"/>
                    </w:rPr>
                  </w:pPr>
                  <w:r>
                    <w:rPr>
                      <w:rFonts w:hint="eastAsia"/>
                      <w:bCs/>
                      <w:color w:val="auto"/>
                      <w:spacing w:val="6"/>
                      <w:szCs w:val="21"/>
                      <w:highlight w:val="none"/>
                      <w:lang w:val="en-US" w:eastAsia="zh-CN"/>
                    </w:rPr>
                    <w:t>0.3t/3a</w:t>
                  </w:r>
                </w:p>
              </w:tc>
              <w:tc>
                <w:tcPr>
                  <w:tcW w:w="1445" w:type="pct"/>
                  <w:vMerge w:val="continue"/>
                  <w:tcBorders>
                    <w:tl2br w:val="nil"/>
                    <w:tr2bl w:val="nil"/>
                  </w:tcBorders>
                  <w:noWrap/>
                  <w:vAlign w:val="center"/>
                </w:tcPr>
                <w:p w14:paraId="2C5290BA">
                  <w:pPr>
                    <w:spacing w:line="320" w:lineRule="exact"/>
                    <w:jc w:val="center"/>
                    <w:rPr>
                      <w:bCs/>
                      <w:color w:val="auto"/>
                      <w:spacing w:val="6"/>
                      <w:szCs w:val="21"/>
                      <w:highlight w:val="none"/>
                    </w:rPr>
                  </w:pPr>
                </w:p>
              </w:tc>
              <w:tc>
                <w:tcPr>
                  <w:tcW w:w="675" w:type="pct"/>
                  <w:vMerge w:val="continue"/>
                  <w:tcBorders>
                    <w:tl2br w:val="nil"/>
                    <w:tr2bl w:val="nil"/>
                  </w:tcBorders>
                  <w:noWrap/>
                  <w:vAlign w:val="center"/>
                </w:tcPr>
                <w:p w14:paraId="78277A3B">
                  <w:pPr>
                    <w:spacing w:line="320" w:lineRule="exact"/>
                    <w:jc w:val="center"/>
                    <w:rPr>
                      <w:bCs/>
                      <w:color w:val="auto"/>
                      <w:spacing w:val="6"/>
                      <w:szCs w:val="21"/>
                      <w:highlight w:val="none"/>
                    </w:rPr>
                  </w:pPr>
                </w:p>
              </w:tc>
            </w:tr>
            <w:tr w14:paraId="08FF0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5FA8A5E7">
                  <w:pPr>
                    <w:spacing w:line="360" w:lineRule="exact"/>
                    <w:jc w:val="center"/>
                    <w:rPr>
                      <w:color w:val="auto"/>
                      <w:spacing w:val="-10"/>
                      <w:szCs w:val="21"/>
                      <w:highlight w:val="none"/>
                    </w:rPr>
                  </w:pPr>
                  <w:r>
                    <w:rPr>
                      <w:rFonts w:hint="eastAsia"/>
                      <w:color w:val="auto"/>
                      <w:spacing w:val="-10"/>
                      <w:szCs w:val="21"/>
                      <w:highlight w:val="none"/>
                    </w:rPr>
                    <w:t>除尘</w:t>
                  </w:r>
                  <w:r>
                    <w:rPr>
                      <w:color w:val="auto"/>
                      <w:spacing w:val="-10"/>
                      <w:szCs w:val="21"/>
                      <w:highlight w:val="none"/>
                    </w:rPr>
                    <w:t>灰</w:t>
                  </w:r>
                </w:p>
              </w:tc>
              <w:tc>
                <w:tcPr>
                  <w:tcW w:w="1086" w:type="pct"/>
                  <w:tcBorders>
                    <w:tl2br w:val="nil"/>
                    <w:tr2bl w:val="nil"/>
                  </w:tcBorders>
                  <w:noWrap/>
                  <w:vAlign w:val="center"/>
                </w:tcPr>
                <w:p w14:paraId="71C3E72E">
                  <w:pPr>
                    <w:spacing w:line="320" w:lineRule="exact"/>
                    <w:jc w:val="center"/>
                    <w:rPr>
                      <w:bCs/>
                      <w:color w:val="auto"/>
                      <w:spacing w:val="6"/>
                      <w:szCs w:val="21"/>
                      <w:highlight w:val="none"/>
                    </w:rPr>
                  </w:pPr>
                  <w:r>
                    <w:rPr>
                      <w:bCs/>
                      <w:color w:val="auto"/>
                      <w:spacing w:val="6"/>
                      <w:szCs w:val="21"/>
                      <w:highlight w:val="none"/>
                    </w:rPr>
                    <w:t>一般固废</w:t>
                  </w:r>
                </w:p>
              </w:tc>
              <w:tc>
                <w:tcPr>
                  <w:tcW w:w="706" w:type="pct"/>
                  <w:tcBorders>
                    <w:tl2br w:val="nil"/>
                    <w:tr2bl w:val="nil"/>
                  </w:tcBorders>
                  <w:noWrap/>
                  <w:vAlign w:val="center"/>
                </w:tcPr>
                <w:p w14:paraId="67F31597">
                  <w:pPr>
                    <w:spacing w:line="320" w:lineRule="exact"/>
                    <w:jc w:val="center"/>
                    <w:rPr>
                      <w:bCs/>
                      <w:color w:val="auto"/>
                      <w:spacing w:val="6"/>
                      <w:szCs w:val="21"/>
                      <w:highlight w:val="none"/>
                    </w:rPr>
                  </w:pPr>
                  <w:r>
                    <w:rPr>
                      <w:rFonts w:hint="eastAsia"/>
                      <w:bCs/>
                      <w:color w:val="auto"/>
                      <w:spacing w:val="6"/>
                      <w:szCs w:val="21"/>
                      <w:highlight w:val="none"/>
                      <w:lang w:val="en-US" w:eastAsia="zh-CN"/>
                    </w:rPr>
                    <w:t>66.864</w:t>
                  </w:r>
                  <w:r>
                    <w:rPr>
                      <w:bCs/>
                      <w:color w:val="auto"/>
                      <w:spacing w:val="6"/>
                      <w:szCs w:val="21"/>
                      <w:highlight w:val="none"/>
                    </w:rPr>
                    <w:t>t/a</w:t>
                  </w:r>
                </w:p>
              </w:tc>
              <w:tc>
                <w:tcPr>
                  <w:tcW w:w="1445" w:type="pct"/>
                  <w:vMerge w:val="continue"/>
                  <w:tcBorders>
                    <w:tl2br w:val="nil"/>
                    <w:tr2bl w:val="nil"/>
                  </w:tcBorders>
                  <w:noWrap/>
                  <w:vAlign w:val="center"/>
                </w:tcPr>
                <w:p w14:paraId="7B250D7C">
                  <w:pPr>
                    <w:spacing w:line="320" w:lineRule="exact"/>
                    <w:jc w:val="center"/>
                    <w:rPr>
                      <w:bCs/>
                      <w:color w:val="auto"/>
                      <w:spacing w:val="6"/>
                      <w:szCs w:val="21"/>
                      <w:highlight w:val="none"/>
                    </w:rPr>
                  </w:pPr>
                </w:p>
              </w:tc>
              <w:tc>
                <w:tcPr>
                  <w:tcW w:w="675" w:type="pct"/>
                  <w:vMerge w:val="continue"/>
                  <w:tcBorders>
                    <w:tl2br w:val="nil"/>
                    <w:tr2bl w:val="nil"/>
                  </w:tcBorders>
                  <w:noWrap/>
                  <w:vAlign w:val="center"/>
                </w:tcPr>
                <w:p w14:paraId="3F893637">
                  <w:pPr>
                    <w:spacing w:line="320" w:lineRule="exact"/>
                    <w:jc w:val="center"/>
                    <w:rPr>
                      <w:bCs/>
                      <w:color w:val="auto"/>
                      <w:spacing w:val="6"/>
                      <w:szCs w:val="21"/>
                      <w:highlight w:val="none"/>
                    </w:rPr>
                  </w:pPr>
                </w:p>
              </w:tc>
            </w:tr>
            <w:tr w14:paraId="15EB64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529B9396">
                  <w:pPr>
                    <w:spacing w:line="360" w:lineRule="exact"/>
                    <w:jc w:val="center"/>
                    <w:rPr>
                      <w:color w:val="auto"/>
                      <w:spacing w:val="-10"/>
                      <w:szCs w:val="21"/>
                    </w:rPr>
                  </w:pPr>
                  <w:r>
                    <w:rPr>
                      <w:rFonts w:hint="eastAsia"/>
                      <w:color w:val="auto"/>
                      <w:spacing w:val="-10"/>
                      <w:szCs w:val="21"/>
                    </w:rPr>
                    <w:t>炉渣</w:t>
                  </w:r>
                </w:p>
              </w:tc>
              <w:tc>
                <w:tcPr>
                  <w:tcW w:w="1086" w:type="pct"/>
                  <w:tcBorders>
                    <w:tl2br w:val="nil"/>
                    <w:tr2bl w:val="nil"/>
                  </w:tcBorders>
                  <w:noWrap/>
                  <w:vAlign w:val="center"/>
                </w:tcPr>
                <w:p w14:paraId="713B1496">
                  <w:pPr>
                    <w:spacing w:line="320" w:lineRule="exact"/>
                    <w:jc w:val="center"/>
                    <w:rPr>
                      <w:bCs/>
                      <w:color w:val="auto"/>
                      <w:spacing w:val="6"/>
                      <w:szCs w:val="21"/>
                    </w:rPr>
                  </w:pPr>
                  <w:r>
                    <w:rPr>
                      <w:rFonts w:hint="eastAsia"/>
                      <w:bCs/>
                      <w:color w:val="auto"/>
                      <w:spacing w:val="6"/>
                      <w:szCs w:val="21"/>
                    </w:rPr>
                    <w:t>一般固废</w:t>
                  </w:r>
                </w:p>
              </w:tc>
              <w:tc>
                <w:tcPr>
                  <w:tcW w:w="706" w:type="pct"/>
                  <w:tcBorders>
                    <w:tl2br w:val="nil"/>
                    <w:tr2bl w:val="nil"/>
                  </w:tcBorders>
                  <w:noWrap/>
                  <w:vAlign w:val="center"/>
                </w:tcPr>
                <w:p w14:paraId="26A1DE80">
                  <w:pPr>
                    <w:spacing w:line="320" w:lineRule="exact"/>
                    <w:jc w:val="center"/>
                    <w:rPr>
                      <w:bCs/>
                      <w:color w:val="auto"/>
                      <w:spacing w:val="6"/>
                      <w:szCs w:val="21"/>
                      <w:highlight w:val="none"/>
                    </w:rPr>
                  </w:pPr>
                  <w:r>
                    <w:rPr>
                      <w:rFonts w:hint="eastAsia"/>
                      <w:bCs/>
                      <w:color w:val="auto"/>
                      <w:spacing w:val="6"/>
                      <w:szCs w:val="21"/>
                      <w:highlight w:val="none"/>
                      <w:lang w:val="en-US" w:eastAsia="zh-CN"/>
                    </w:rPr>
                    <w:t>135.63</w:t>
                  </w:r>
                  <w:r>
                    <w:rPr>
                      <w:bCs/>
                      <w:color w:val="auto"/>
                      <w:spacing w:val="6"/>
                      <w:szCs w:val="21"/>
                      <w:highlight w:val="none"/>
                    </w:rPr>
                    <w:t>t/a</w:t>
                  </w:r>
                </w:p>
              </w:tc>
              <w:tc>
                <w:tcPr>
                  <w:tcW w:w="1445" w:type="pct"/>
                  <w:vMerge w:val="continue"/>
                  <w:tcBorders>
                    <w:tl2br w:val="nil"/>
                    <w:tr2bl w:val="nil"/>
                  </w:tcBorders>
                  <w:noWrap/>
                  <w:vAlign w:val="center"/>
                </w:tcPr>
                <w:p w14:paraId="4DB3ED4C">
                  <w:pPr>
                    <w:spacing w:line="320" w:lineRule="exact"/>
                    <w:jc w:val="center"/>
                    <w:rPr>
                      <w:bCs/>
                      <w:color w:val="auto"/>
                      <w:spacing w:val="6"/>
                      <w:szCs w:val="21"/>
                    </w:rPr>
                  </w:pPr>
                </w:p>
              </w:tc>
              <w:tc>
                <w:tcPr>
                  <w:tcW w:w="675" w:type="pct"/>
                  <w:vMerge w:val="continue"/>
                  <w:tcBorders>
                    <w:tl2br w:val="nil"/>
                    <w:tr2bl w:val="nil"/>
                  </w:tcBorders>
                  <w:noWrap/>
                  <w:vAlign w:val="center"/>
                </w:tcPr>
                <w:p w14:paraId="7404EE9E">
                  <w:pPr>
                    <w:spacing w:line="320" w:lineRule="exact"/>
                    <w:jc w:val="center"/>
                    <w:rPr>
                      <w:bCs/>
                      <w:color w:val="auto"/>
                      <w:spacing w:val="6"/>
                      <w:szCs w:val="21"/>
                    </w:rPr>
                  </w:pPr>
                </w:p>
              </w:tc>
            </w:tr>
            <w:tr w14:paraId="4BFB8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3AF4629C">
                  <w:pPr>
                    <w:spacing w:line="360" w:lineRule="exact"/>
                    <w:jc w:val="center"/>
                    <w:rPr>
                      <w:rFonts w:hint="eastAsia"/>
                      <w:color w:val="auto"/>
                      <w:spacing w:val="-10"/>
                      <w:szCs w:val="21"/>
                    </w:rPr>
                  </w:pPr>
                  <w:r>
                    <w:rPr>
                      <w:rFonts w:hint="default" w:ascii="Times New Roman" w:hAnsi="Times New Roman" w:eastAsia="宋体" w:cs="Times New Roman"/>
                      <w:color w:val="auto"/>
                      <w:spacing w:val="-10"/>
                      <w:szCs w:val="21"/>
                      <w:lang w:eastAsia="zh-CN"/>
                    </w:rPr>
                    <w:t>废矿物油</w:t>
                  </w:r>
                </w:p>
              </w:tc>
              <w:tc>
                <w:tcPr>
                  <w:tcW w:w="1086" w:type="pct"/>
                  <w:tcBorders>
                    <w:tl2br w:val="nil"/>
                    <w:tr2bl w:val="nil"/>
                  </w:tcBorders>
                  <w:noWrap/>
                  <w:vAlign w:val="center"/>
                </w:tcPr>
                <w:p w14:paraId="6A77BB22">
                  <w:pPr>
                    <w:spacing w:line="360" w:lineRule="exact"/>
                    <w:jc w:val="center"/>
                    <w:rPr>
                      <w:rFonts w:hint="eastAsia"/>
                      <w:bCs/>
                      <w:color w:val="auto"/>
                      <w:spacing w:val="6"/>
                      <w:szCs w:val="21"/>
                    </w:rPr>
                  </w:pPr>
                  <w:r>
                    <w:rPr>
                      <w:rFonts w:hint="eastAsia" w:ascii="Times New Roman" w:hAnsi="Times New Roman" w:eastAsia="宋体" w:cs="Times New Roman"/>
                      <w:color w:val="auto"/>
                      <w:spacing w:val="-10"/>
                      <w:szCs w:val="21"/>
                      <w:lang w:eastAsia="zh-CN"/>
                    </w:rPr>
                    <w:t>危险废物</w:t>
                  </w:r>
                </w:p>
              </w:tc>
              <w:tc>
                <w:tcPr>
                  <w:tcW w:w="706" w:type="pct"/>
                  <w:tcBorders>
                    <w:tl2br w:val="nil"/>
                    <w:tr2bl w:val="nil"/>
                  </w:tcBorders>
                  <w:noWrap/>
                  <w:vAlign w:val="center"/>
                </w:tcPr>
                <w:p w14:paraId="39EC3531">
                  <w:pPr>
                    <w:spacing w:line="360" w:lineRule="exact"/>
                    <w:jc w:val="center"/>
                    <w:rPr>
                      <w:rFonts w:hint="default"/>
                      <w:bCs/>
                      <w:color w:val="auto"/>
                      <w:spacing w:val="6"/>
                      <w:szCs w:val="21"/>
                      <w:highlight w:val="none"/>
                      <w:lang w:val="en-US" w:eastAsia="zh-CN"/>
                    </w:rPr>
                  </w:pPr>
                  <w:r>
                    <w:rPr>
                      <w:rFonts w:hint="eastAsia" w:ascii="Times New Roman" w:hAnsi="Times New Roman" w:eastAsia="宋体" w:cs="Times New Roman"/>
                      <w:color w:val="auto"/>
                      <w:spacing w:val="-10"/>
                      <w:szCs w:val="21"/>
                      <w:lang w:val="en-US" w:eastAsia="zh-CN"/>
                    </w:rPr>
                    <w:t>0.05</w:t>
                  </w:r>
                  <w:r>
                    <w:rPr>
                      <w:bCs/>
                      <w:color w:val="auto"/>
                      <w:spacing w:val="6"/>
                      <w:szCs w:val="21"/>
                      <w:highlight w:val="none"/>
                    </w:rPr>
                    <w:t>t/a</w:t>
                  </w:r>
                </w:p>
              </w:tc>
              <w:tc>
                <w:tcPr>
                  <w:tcW w:w="1445" w:type="pct"/>
                  <w:vMerge w:val="restart"/>
                  <w:tcBorders>
                    <w:tl2br w:val="nil"/>
                    <w:tr2bl w:val="nil"/>
                  </w:tcBorders>
                  <w:noWrap/>
                  <w:vAlign w:val="center"/>
                </w:tcPr>
                <w:p w14:paraId="72CB977C">
                  <w:pPr>
                    <w:spacing w:line="320" w:lineRule="exact"/>
                    <w:jc w:val="center"/>
                    <w:rPr>
                      <w:bCs/>
                      <w:color w:val="auto"/>
                      <w:spacing w:val="6"/>
                      <w:szCs w:val="21"/>
                    </w:rPr>
                  </w:pPr>
                  <w:r>
                    <w:rPr>
                      <w:rFonts w:hint="eastAsia" w:ascii="Times New Roman" w:hAnsi="Times New Roman" w:eastAsia="宋体" w:cs="Times New Roman"/>
                      <w:color w:val="auto"/>
                      <w:szCs w:val="21"/>
                      <w:lang w:eastAsia="zh-CN"/>
                    </w:rPr>
                    <w:t>收集后暂存于</w:t>
                  </w:r>
                  <w:r>
                    <w:rPr>
                      <w:rFonts w:hint="eastAsia" w:ascii="Times New Roman" w:hAnsi="Times New Roman" w:eastAsia="宋体" w:cs="Times New Roman"/>
                      <w:color w:val="auto"/>
                      <w:szCs w:val="21"/>
                      <w:lang w:val="en-US" w:eastAsia="zh-CN"/>
                    </w:rPr>
                    <w:t>危险废物贮存库</w:t>
                  </w:r>
                  <w:r>
                    <w:rPr>
                      <w:rFonts w:hint="eastAsia" w:ascii="Times New Roman" w:hAnsi="Times New Roman" w:eastAsia="宋体" w:cs="Times New Roman"/>
                      <w:color w:val="auto"/>
                      <w:szCs w:val="21"/>
                      <w:lang w:eastAsia="zh-CN"/>
                    </w:rPr>
                    <w:t>，交有资质单位收运、妥善处置</w:t>
                  </w:r>
                </w:p>
              </w:tc>
              <w:tc>
                <w:tcPr>
                  <w:tcW w:w="675" w:type="pct"/>
                  <w:vMerge w:val="continue"/>
                  <w:tcBorders>
                    <w:tl2br w:val="nil"/>
                    <w:tr2bl w:val="nil"/>
                  </w:tcBorders>
                  <w:noWrap/>
                  <w:vAlign w:val="center"/>
                </w:tcPr>
                <w:p w14:paraId="0D2159B3">
                  <w:pPr>
                    <w:spacing w:line="320" w:lineRule="exact"/>
                    <w:jc w:val="center"/>
                    <w:rPr>
                      <w:bCs/>
                      <w:color w:val="auto"/>
                      <w:spacing w:val="6"/>
                      <w:szCs w:val="21"/>
                    </w:rPr>
                  </w:pPr>
                </w:p>
              </w:tc>
            </w:tr>
            <w:tr w14:paraId="18F4C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5" w:type="pct"/>
                  <w:tcBorders>
                    <w:tl2br w:val="nil"/>
                    <w:tr2bl w:val="nil"/>
                  </w:tcBorders>
                  <w:noWrap/>
                  <w:vAlign w:val="center"/>
                </w:tcPr>
                <w:p w14:paraId="519BB057">
                  <w:pPr>
                    <w:spacing w:line="360" w:lineRule="exact"/>
                    <w:jc w:val="center"/>
                    <w:rPr>
                      <w:rFonts w:hint="eastAsia"/>
                      <w:color w:val="auto"/>
                      <w:spacing w:val="-10"/>
                      <w:szCs w:val="21"/>
                    </w:rPr>
                  </w:pPr>
                  <w:r>
                    <w:rPr>
                      <w:rFonts w:hint="default" w:ascii="Times New Roman" w:hAnsi="Times New Roman" w:eastAsia="宋体" w:cs="Times New Roman"/>
                      <w:color w:val="auto"/>
                      <w:spacing w:val="-10"/>
                      <w:szCs w:val="21"/>
                      <w:lang w:eastAsia="zh-CN"/>
                    </w:rPr>
                    <w:t>废矿物油</w:t>
                  </w:r>
                  <w:r>
                    <w:rPr>
                      <w:rFonts w:hint="eastAsia" w:ascii="Times New Roman" w:hAnsi="Times New Roman" w:eastAsia="宋体" w:cs="Times New Roman"/>
                      <w:color w:val="auto"/>
                      <w:spacing w:val="-10"/>
                      <w:szCs w:val="21"/>
                      <w:lang w:eastAsia="zh-CN"/>
                    </w:rPr>
                    <w:t>桶</w:t>
                  </w:r>
                </w:p>
              </w:tc>
              <w:tc>
                <w:tcPr>
                  <w:tcW w:w="1086" w:type="pct"/>
                  <w:tcBorders>
                    <w:tl2br w:val="nil"/>
                    <w:tr2bl w:val="nil"/>
                  </w:tcBorders>
                  <w:noWrap/>
                  <w:vAlign w:val="center"/>
                </w:tcPr>
                <w:p w14:paraId="08AC8A8F">
                  <w:pPr>
                    <w:spacing w:line="360" w:lineRule="exact"/>
                    <w:jc w:val="center"/>
                    <w:rPr>
                      <w:rFonts w:hint="eastAsia"/>
                      <w:bCs/>
                      <w:color w:val="auto"/>
                      <w:spacing w:val="6"/>
                      <w:szCs w:val="21"/>
                    </w:rPr>
                  </w:pPr>
                  <w:r>
                    <w:rPr>
                      <w:rFonts w:hint="eastAsia" w:ascii="Times New Roman" w:hAnsi="Times New Roman" w:eastAsia="宋体" w:cs="Times New Roman"/>
                      <w:color w:val="auto"/>
                      <w:spacing w:val="-10"/>
                      <w:szCs w:val="21"/>
                      <w:lang w:eastAsia="zh-CN"/>
                    </w:rPr>
                    <w:t>危险废物</w:t>
                  </w:r>
                </w:p>
              </w:tc>
              <w:tc>
                <w:tcPr>
                  <w:tcW w:w="706" w:type="pct"/>
                  <w:tcBorders>
                    <w:tl2br w:val="nil"/>
                    <w:tr2bl w:val="nil"/>
                  </w:tcBorders>
                  <w:noWrap/>
                  <w:vAlign w:val="center"/>
                </w:tcPr>
                <w:p w14:paraId="7463BCAB">
                  <w:pPr>
                    <w:spacing w:line="360" w:lineRule="exact"/>
                    <w:jc w:val="center"/>
                    <w:rPr>
                      <w:rFonts w:hint="eastAsia"/>
                      <w:bCs/>
                      <w:color w:val="auto"/>
                      <w:spacing w:val="6"/>
                      <w:szCs w:val="21"/>
                      <w:highlight w:val="none"/>
                      <w:lang w:val="en-US" w:eastAsia="zh-CN"/>
                    </w:rPr>
                  </w:pPr>
                  <w:r>
                    <w:rPr>
                      <w:rFonts w:hint="eastAsia" w:ascii="Times New Roman" w:hAnsi="Times New Roman" w:eastAsia="宋体" w:cs="Times New Roman"/>
                      <w:color w:val="auto"/>
                      <w:spacing w:val="-10"/>
                      <w:szCs w:val="21"/>
                      <w:lang w:val="en-US" w:eastAsia="zh-CN"/>
                    </w:rPr>
                    <w:t>0.005</w:t>
                  </w:r>
                  <w:r>
                    <w:rPr>
                      <w:bCs/>
                      <w:color w:val="auto"/>
                      <w:spacing w:val="6"/>
                      <w:szCs w:val="21"/>
                      <w:highlight w:val="none"/>
                    </w:rPr>
                    <w:t>t/a</w:t>
                  </w:r>
                </w:p>
              </w:tc>
              <w:tc>
                <w:tcPr>
                  <w:tcW w:w="1445" w:type="pct"/>
                  <w:vMerge w:val="continue"/>
                  <w:tcBorders>
                    <w:tl2br w:val="nil"/>
                    <w:tr2bl w:val="nil"/>
                  </w:tcBorders>
                  <w:noWrap/>
                  <w:vAlign w:val="center"/>
                </w:tcPr>
                <w:p w14:paraId="1B5AF754">
                  <w:pPr>
                    <w:spacing w:line="320" w:lineRule="exact"/>
                    <w:jc w:val="center"/>
                    <w:rPr>
                      <w:bCs/>
                      <w:color w:val="auto"/>
                      <w:spacing w:val="6"/>
                      <w:szCs w:val="21"/>
                    </w:rPr>
                  </w:pPr>
                </w:p>
              </w:tc>
              <w:tc>
                <w:tcPr>
                  <w:tcW w:w="675" w:type="pct"/>
                  <w:vMerge w:val="continue"/>
                  <w:tcBorders>
                    <w:tl2br w:val="nil"/>
                    <w:tr2bl w:val="nil"/>
                  </w:tcBorders>
                  <w:noWrap/>
                  <w:vAlign w:val="center"/>
                </w:tcPr>
                <w:p w14:paraId="27F506FD">
                  <w:pPr>
                    <w:spacing w:line="320" w:lineRule="exact"/>
                    <w:jc w:val="center"/>
                    <w:rPr>
                      <w:bCs/>
                      <w:color w:val="auto"/>
                      <w:spacing w:val="6"/>
                      <w:szCs w:val="21"/>
                    </w:rPr>
                  </w:pPr>
                </w:p>
              </w:tc>
            </w:tr>
          </w:tbl>
          <w:p w14:paraId="75A2ED81">
            <w:pPr>
              <w:pStyle w:val="94"/>
              <w:spacing w:beforeLines="50"/>
              <w:ind w:firstLine="0" w:firstLineChars="0"/>
              <w:jc w:val="center"/>
              <w:rPr>
                <w:b/>
                <w:bCs/>
                <w:color w:val="auto"/>
                <w:kern w:val="0"/>
                <w:sz w:val="24"/>
              </w:rPr>
            </w:pPr>
            <w:r>
              <w:rPr>
                <w:b/>
                <w:bCs/>
                <w:color w:val="auto"/>
                <w:kern w:val="0"/>
                <w:sz w:val="24"/>
              </w:rPr>
              <w:t>表4-</w:t>
            </w:r>
            <w:r>
              <w:rPr>
                <w:rFonts w:hint="eastAsia"/>
                <w:b/>
                <w:bCs/>
                <w:color w:val="auto"/>
                <w:kern w:val="0"/>
                <w:sz w:val="24"/>
                <w:lang w:val="en-US" w:eastAsia="zh-CN"/>
              </w:rPr>
              <w:t xml:space="preserve">14 </w:t>
            </w:r>
            <w:r>
              <w:rPr>
                <w:b/>
                <w:bCs/>
                <w:color w:val="auto"/>
                <w:kern w:val="0"/>
                <w:sz w:val="24"/>
              </w:rPr>
              <w:t>一般固体废物类别及代码</w:t>
            </w:r>
          </w:p>
          <w:tbl>
            <w:tblPr>
              <w:tblStyle w:val="31"/>
              <w:tblW w:w="78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94"/>
              <w:gridCol w:w="2450"/>
              <w:gridCol w:w="2278"/>
              <w:gridCol w:w="1976"/>
            </w:tblGrid>
            <w:tr w14:paraId="458AE1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194" w:type="dxa"/>
                  <w:tcBorders>
                    <w:tl2br w:val="nil"/>
                    <w:tr2bl w:val="nil"/>
                  </w:tcBorders>
                  <w:noWrap/>
                  <w:vAlign w:val="center"/>
                </w:tcPr>
                <w:p w14:paraId="13009657">
                  <w:pPr>
                    <w:spacing w:line="320" w:lineRule="exact"/>
                    <w:jc w:val="center"/>
                    <w:rPr>
                      <w:bCs/>
                      <w:color w:val="auto"/>
                      <w:spacing w:val="6"/>
                      <w:szCs w:val="21"/>
                    </w:rPr>
                  </w:pPr>
                  <w:r>
                    <w:rPr>
                      <w:bCs/>
                      <w:color w:val="auto"/>
                      <w:spacing w:val="6"/>
                      <w:szCs w:val="21"/>
                    </w:rPr>
                    <w:t>序号</w:t>
                  </w:r>
                </w:p>
              </w:tc>
              <w:tc>
                <w:tcPr>
                  <w:tcW w:w="2450" w:type="dxa"/>
                  <w:tcBorders>
                    <w:tl2br w:val="nil"/>
                    <w:tr2bl w:val="nil"/>
                  </w:tcBorders>
                  <w:noWrap/>
                  <w:vAlign w:val="center"/>
                </w:tcPr>
                <w:p w14:paraId="5E8BF022">
                  <w:pPr>
                    <w:spacing w:line="320" w:lineRule="exact"/>
                    <w:jc w:val="center"/>
                    <w:rPr>
                      <w:bCs/>
                      <w:color w:val="auto"/>
                      <w:spacing w:val="6"/>
                      <w:szCs w:val="21"/>
                    </w:rPr>
                  </w:pPr>
                  <w:r>
                    <w:rPr>
                      <w:bCs/>
                      <w:color w:val="auto"/>
                      <w:spacing w:val="6"/>
                      <w:szCs w:val="21"/>
                    </w:rPr>
                    <w:t>类别</w:t>
                  </w:r>
                </w:p>
              </w:tc>
              <w:tc>
                <w:tcPr>
                  <w:tcW w:w="2278" w:type="dxa"/>
                  <w:tcBorders>
                    <w:tl2br w:val="nil"/>
                    <w:tr2bl w:val="nil"/>
                  </w:tcBorders>
                  <w:noWrap/>
                  <w:vAlign w:val="center"/>
                </w:tcPr>
                <w:p w14:paraId="14A3BA13">
                  <w:pPr>
                    <w:spacing w:line="320" w:lineRule="exact"/>
                    <w:jc w:val="center"/>
                    <w:rPr>
                      <w:bCs/>
                      <w:color w:val="auto"/>
                      <w:spacing w:val="6"/>
                      <w:szCs w:val="21"/>
                    </w:rPr>
                  </w:pPr>
                  <w:r>
                    <w:rPr>
                      <w:bCs/>
                      <w:color w:val="auto"/>
                      <w:spacing w:val="6"/>
                      <w:szCs w:val="21"/>
                    </w:rPr>
                    <w:t>类别</w:t>
                  </w:r>
                </w:p>
              </w:tc>
              <w:tc>
                <w:tcPr>
                  <w:tcW w:w="1976" w:type="dxa"/>
                  <w:tcBorders>
                    <w:tl2br w:val="nil"/>
                    <w:tr2bl w:val="nil"/>
                  </w:tcBorders>
                  <w:noWrap/>
                  <w:vAlign w:val="center"/>
                </w:tcPr>
                <w:p w14:paraId="68DA0873">
                  <w:pPr>
                    <w:spacing w:line="320" w:lineRule="exact"/>
                    <w:jc w:val="center"/>
                    <w:rPr>
                      <w:bCs/>
                      <w:color w:val="auto"/>
                      <w:spacing w:val="6"/>
                      <w:szCs w:val="21"/>
                    </w:rPr>
                  </w:pPr>
                  <w:r>
                    <w:rPr>
                      <w:bCs/>
                      <w:color w:val="auto"/>
                      <w:spacing w:val="6"/>
                      <w:szCs w:val="21"/>
                    </w:rPr>
                    <w:t>代码</w:t>
                  </w:r>
                </w:p>
              </w:tc>
            </w:tr>
            <w:tr w14:paraId="1D1BF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7954FDA5">
                  <w:pPr>
                    <w:spacing w:line="320" w:lineRule="exact"/>
                    <w:jc w:val="center"/>
                    <w:rPr>
                      <w:bCs/>
                      <w:color w:val="auto"/>
                      <w:spacing w:val="6"/>
                      <w:szCs w:val="21"/>
                    </w:rPr>
                  </w:pPr>
                  <w:r>
                    <w:rPr>
                      <w:rFonts w:hint="eastAsia"/>
                      <w:bCs/>
                      <w:color w:val="auto"/>
                      <w:spacing w:val="6"/>
                      <w:szCs w:val="21"/>
                    </w:rPr>
                    <w:t>1</w:t>
                  </w:r>
                </w:p>
              </w:tc>
              <w:tc>
                <w:tcPr>
                  <w:tcW w:w="2450" w:type="dxa"/>
                  <w:tcBorders>
                    <w:tl2br w:val="nil"/>
                    <w:tr2bl w:val="nil"/>
                  </w:tcBorders>
                  <w:noWrap/>
                  <w:vAlign w:val="center"/>
                </w:tcPr>
                <w:p w14:paraId="17D0CDCA">
                  <w:pPr>
                    <w:spacing w:line="360" w:lineRule="exact"/>
                    <w:jc w:val="center"/>
                    <w:rPr>
                      <w:bCs/>
                      <w:color w:val="auto"/>
                      <w:spacing w:val="6"/>
                      <w:szCs w:val="21"/>
                    </w:rPr>
                  </w:pPr>
                  <w:r>
                    <w:rPr>
                      <w:color w:val="auto"/>
                      <w:spacing w:val="-10"/>
                      <w:szCs w:val="21"/>
                    </w:rPr>
                    <w:t>清选杂质</w:t>
                  </w:r>
                </w:p>
              </w:tc>
              <w:tc>
                <w:tcPr>
                  <w:tcW w:w="2278" w:type="dxa"/>
                  <w:tcBorders>
                    <w:tl2br w:val="nil"/>
                    <w:tr2bl w:val="nil"/>
                  </w:tcBorders>
                  <w:noWrap/>
                  <w:vAlign w:val="center"/>
                </w:tcPr>
                <w:p w14:paraId="2F7D95CD">
                  <w:pPr>
                    <w:spacing w:line="320" w:lineRule="exact"/>
                    <w:jc w:val="center"/>
                    <w:rPr>
                      <w:bCs/>
                      <w:color w:val="auto"/>
                      <w:spacing w:val="6"/>
                      <w:szCs w:val="21"/>
                    </w:rPr>
                  </w:pPr>
                  <w:r>
                    <w:rPr>
                      <w:rFonts w:hint="eastAsia"/>
                      <w:bCs/>
                      <w:color w:val="auto"/>
                      <w:spacing w:val="6"/>
                      <w:szCs w:val="21"/>
                      <w:highlight w:val="none"/>
                      <w:lang w:val="en-US" w:eastAsia="zh-CN"/>
                    </w:rPr>
                    <w:t>34</w:t>
                  </w:r>
                </w:p>
              </w:tc>
              <w:tc>
                <w:tcPr>
                  <w:tcW w:w="1976" w:type="dxa"/>
                  <w:tcBorders>
                    <w:tl2br w:val="nil"/>
                    <w:tr2bl w:val="nil"/>
                  </w:tcBorders>
                  <w:noWrap/>
                  <w:vAlign w:val="center"/>
                </w:tcPr>
                <w:p w14:paraId="63F8D34C">
                  <w:pPr>
                    <w:spacing w:line="320" w:lineRule="exact"/>
                    <w:jc w:val="center"/>
                    <w:rPr>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lang w:val="en-US" w:eastAsia="zh-CN"/>
                    </w:rPr>
                    <w:t>34</w:t>
                  </w:r>
                </w:p>
              </w:tc>
            </w:tr>
            <w:tr w14:paraId="4239D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52D009C1">
                  <w:pPr>
                    <w:spacing w:line="320" w:lineRule="exact"/>
                    <w:jc w:val="center"/>
                    <w:rPr>
                      <w:bCs/>
                      <w:color w:val="auto"/>
                      <w:spacing w:val="6"/>
                      <w:szCs w:val="21"/>
                    </w:rPr>
                  </w:pPr>
                  <w:r>
                    <w:rPr>
                      <w:rFonts w:hint="eastAsia"/>
                      <w:bCs/>
                      <w:color w:val="auto"/>
                      <w:spacing w:val="6"/>
                      <w:szCs w:val="21"/>
                    </w:rPr>
                    <w:t>2</w:t>
                  </w:r>
                </w:p>
              </w:tc>
              <w:tc>
                <w:tcPr>
                  <w:tcW w:w="2450" w:type="dxa"/>
                  <w:tcBorders>
                    <w:tl2br w:val="nil"/>
                    <w:tr2bl w:val="nil"/>
                  </w:tcBorders>
                  <w:noWrap/>
                  <w:vAlign w:val="center"/>
                </w:tcPr>
                <w:p w14:paraId="4D65A3D3">
                  <w:pPr>
                    <w:spacing w:line="360" w:lineRule="exact"/>
                    <w:jc w:val="center"/>
                    <w:rPr>
                      <w:color w:val="auto"/>
                      <w:spacing w:val="-10"/>
                      <w:szCs w:val="21"/>
                    </w:rPr>
                  </w:pPr>
                  <w:r>
                    <w:rPr>
                      <w:rFonts w:hint="eastAsia"/>
                      <w:bCs/>
                      <w:color w:val="auto"/>
                      <w:spacing w:val="6"/>
                      <w:szCs w:val="21"/>
                      <w:lang w:eastAsia="zh-CN"/>
                    </w:rPr>
                    <w:t>围挡</w:t>
                  </w:r>
                  <w:r>
                    <w:rPr>
                      <w:rFonts w:hint="eastAsia"/>
                      <w:bCs/>
                      <w:color w:val="auto"/>
                      <w:spacing w:val="6"/>
                      <w:szCs w:val="21"/>
                    </w:rPr>
                    <w:t>收尘</w:t>
                  </w:r>
                </w:p>
              </w:tc>
              <w:tc>
                <w:tcPr>
                  <w:tcW w:w="2278" w:type="dxa"/>
                  <w:tcBorders>
                    <w:tl2br w:val="nil"/>
                    <w:tr2bl w:val="nil"/>
                  </w:tcBorders>
                  <w:noWrap/>
                  <w:vAlign w:val="center"/>
                </w:tcPr>
                <w:p w14:paraId="0D1A5EF6">
                  <w:pPr>
                    <w:spacing w:line="320" w:lineRule="exact"/>
                    <w:jc w:val="center"/>
                    <w:rPr>
                      <w:bCs/>
                      <w:color w:val="auto"/>
                      <w:spacing w:val="6"/>
                      <w:szCs w:val="21"/>
                    </w:rPr>
                  </w:pPr>
                  <w:r>
                    <w:rPr>
                      <w:rFonts w:hint="eastAsia"/>
                      <w:bCs/>
                      <w:color w:val="auto"/>
                      <w:spacing w:val="6"/>
                      <w:szCs w:val="21"/>
                      <w:highlight w:val="none"/>
                      <w:lang w:val="en-US" w:eastAsia="zh-CN"/>
                    </w:rPr>
                    <w:t>34</w:t>
                  </w:r>
                </w:p>
              </w:tc>
              <w:tc>
                <w:tcPr>
                  <w:tcW w:w="1976" w:type="dxa"/>
                  <w:tcBorders>
                    <w:tl2br w:val="nil"/>
                    <w:tr2bl w:val="nil"/>
                  </w:tcBorders>
                  <w:noWrap/>
                  <w:vAlign w:val="center"/>
                </w:tcPr>
                <w:p w14:paraId="4C743F21">
                  <w:pPr>
                    <w:spacing w:line="320" w:lineRule="exact"/>
                    <w:jc w:val="center"/>
                    <w:rPr>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lang w:val="en-US" w:eastAsia="zh-CN"/>
                    </w:rPr>
                    <w:t>34</w:t>
                  </w:r>
                </w:p>
              </w:tc>
            </w:tr>
            <w:tr w14:paraId="6977E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30350E9C">
                  <w:pPr>
                    <w:spacing w:line="320" w:lineRule="exact"/>
                    <w:jc w:val="center"/>
                    <w:rPr>
                      <w:bCs/>
                      <w:color w:val="auto"/>
                      <w:spacing w:val="6"/>
                      <w:szCs w:val="21"/>
                    </w:rPr>
                  </w:pPr>
                  <w:r>
                    <w:rPr>
                      <w:rFonts w:hint="eastAsia"/>
                      <w:bCs/>
                      <w:color w:val="auto"/>
                      <w:spacing w:val="6"/>
                      <w:szCs w:val="21"/>
                    </w:rPr>
                    <w:t>3</w:t>
                  </w:r>
                </w:p>
              </w:tc>
              <w:tc>
                <w:tcPr>
                  <w:tcW w:w="2450" w:type="dxa"/>
                  <w:tcBorders>
                    <w:tl2br w:val="nil"/>
                    <w:tr2bl w:val="nil"/>
                  </w:tcBorders>
                  <w:noWrap/>
                  <w:vAlign w:val="center"/>
                </w:tcPr>
                <w:p w14:paraId="1AE795A0">
                  <w:pPr>
                    <w:spacing w:line="360" w:lineRule="exact"/>
                    <w:jc w:val="center"/>
                    <w:rPr>
                      <w:bCs/>
                      <w:color w:val="auto"/>
                      <w:spacing w:val="6"/>
                      <w:szCs w:val="21"/>
                    </w:rPr>
                  </w:pPr>
                  <w:r>
                    <w:rPr>
                      <w:rFonts w:hint="eastAsia"/>
                      <w:color w:val="auto"/>
                      <w:spacing w:val="-10"/>
                      <w:szCs w:val="21"/>
                    </w:rPr>
                    <w:t>除尘</w:t>
                  </w:r>
                  <w:r>
                    <w:rPr>
                      <w:color w:val="auto"/>
                      <w:spacing w:val="-10"/>
                      <w:szCs w:val="21"/>
                    </w:rPr>
                    <w:t>灰</w:t>
                  </w:r>
                </w:p>
              </w:tc>
              <w:tc>
                <w:tcPr>
                  <w:tcW w:w="2278" w:type="dxa"/>
                  <w:tcBorders>
                    <w:tl2br w:val="nil"/>
                    <w:tr2bl w:val="nil"/>
                  </w:tcBorders>
                  <w:noWrap/>
                  <w:vAlign w:val="center"/>
                </w:tcPr>
                <w:p w14:paraId="0AD2C2B7">
                  <w:pPr>
                    <w:spacing w:line="320" w:lineRule="exact"/>
                    <w:jc w:val="center"/>
                    <w:rPr>
                      <w:bCs/>
                      <w:color w:val="auto"/>
                      <w:spacing w:val="6"/>
                      <w:szCs w:val="21"/>
                    </w:rPr>
                  </w:pPr>
                  <w:r>
                    <w:rPr>
                      <w:rFonts w:hint="eastAsia"/>
                      <w:bCs/>
                      <w:color w:val="auto"/>
                      <w:spacing w:val="6"/>
                      <w:szCs w:val="21"/>
                      <w:highlight w:val="none"/>
                    </w:rPr>
                    <w:t>66</w:t>
                  </w:r>
                </w:p>
              </w:tc>
              <w:tc>
                <w:tcPr>
                  <w:tcW w:w="1976" w:type="dxa"/>
                  <w:tcBorders>
                    <w:tl2br w:val="nil"/>
                    <w:tr2bl w:val="nil"/>
                  </w:tcBorders>
                  <w:noWrap/>
                  <w:vAlign w:val="center"/>
                </w:tcPr>
                <w:p w14:paraId="69B447A8">
                  <w:pPr>
                    <w:spacing w:line="320" w:lineRule="exact"/>
                    <w:jc w:val="center"/>
                    <w:rPr>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rPr>
                    <w:t>66</w:t>
                  </w:r>
                </w:p>
              </w:tc>
            </w:tr>
            <w:tr w14:paraId="31D8D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0D4F62FA">
                  <w:pPr>
                    <w:spacing w:line="320" w:lineRule="exact"/>
                    <w:jc w:val="center"/>
                    <w:rPr>
                      <w:bCs/>
                      <w:color w:val="auto"/>
                      <w:spacing w:val="6"/>
                      <w:szCs w:val="21"/>
                    </w:rPr>
                  </w:pPr>
                  <w:r>
                    <w:rPr>
                      <w:rFonts w:hint="eastAsia"/>
                      <w:bCs/>
                      <w:color w:val="auto"/>
                      <w:spacing w:val="6"/>
                      <w:szCs w:val="21"/>
                    </w:rPr>
                    <w:t>4</w:t>
                  </w:r>
                </w:p>
              </w:tc>
              <w:tc>
                <w:tcPr>
                  <w:tcW w:w="2450" w:type="dxa"/>
                  <w:tcBorders>
                    <w:tl2br w:val="nil"/>
                    <w:tr2bl w:val="nil"/>
                  </w:tcBorders>
                  <w:noWrap/>
                  <w:vAlign w:val="center"/>
                </w:tcPr>
                <w:p w14:paraId="4A15A2BB">
                  <w:pPr>
                    <w:spacing w:line="360" w:lineRule="exact"/>
                    <w:jc w:val="center"/>
                    <w:rPr>
                      <w:bCs/>
                      <w:color w:val="auto"/>
                      <w:spacing w:val="6"/>
                      <w:szCs w:val="21"/>
                    </w:rPr>
                  </w:pPr>
                  <w:r>
                    <w:rPr>
                      <w:rFonts w:hint="eastAsia"/>
                      <w:color w:val="auto"/>
                      <w:spacing w:val="-10"/>
                      <w:szCs w:val="21"/>
                    </w:rPr>
                    <w:t>炉渣</w:t>
                  </w:r>
                </w:p>
              </w:tc>
              <w:tc>
                <w:tcPr>
                  <w:tcW w:w="2278" w:type="dxa"/>
                  <w:tcBorders>
                    <w:tl2br w:val="nil"/>
                    <w:tr2bl w:val="nil"/>
                  </w:tcBorders>
                  <w:noWrap/>
                  <w:vAlign w:val="center"/>
                </w:tcPr>
                <w:p w14:paraId="050BCD1C">
                  <w:pPr>
                    <w:spacing w:line="320" w:lineRule="exact"/>
                    <w:jc w:val="center"/>
                    <w:rPr>
                      <w:bCs/>
                      <w:color w:val="auto"/>
                      <w:spacing w:val="6"/>
                      <w:szCs w:val="21"/>
                    </w:rPr>
                  </w:pPr>
                  <w:r>
                    <w:rPr>
                      <w:rFonts w:hint="eastAsia"/>
                      <w:bCs/>
                      <w:color w:val="auto"/>
                      <w:spacing w:val="6"/>
                      <w:szCs w:val="21"/>
                      <w:highlight w:val="none"/>
                    </w:rPr>
                    <w:t>64</w:t>
                  </w:r>
                </w:p>
              </w:tc>
              <w:tc>
                <w:tcPr>
                  <w:tcW w:w="1976" w:type="dxa"/>
                  <w:tcBorders>
                    <w:tl2br w:val="nil"/>
                    <w:tr2bl w:val="nil"/>
                  </w:tcBorders>
                  <w:noWrap/>
                  <w:vAlign w:val="center"/>
                </w:tcPr>
                <w:p w14:paraId="0408C29F">
                  <w:pPr>
                    <w:spacing w:line="320" w:lineRule="exact"/>
                    <w:jc w:val="center"/>
                    <w:rPr>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rPr>
                    <w:t>64</w:t>
                  </w:r>
                </w:p>
              </w:tc>
            </w:tr>
            <w:tr w14:paraId="1D8B4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33A2A9CE">
                  <w:pPr>
                    <w:spacing w:line="320" w:lineRule="exact"/>
                    <w:jc w:val="center"/>
                    <w:rPr>
                      <w:rFonts w:hint="eastAsia" w:eastAsia="宋体"/>
                      <w:bCs/>
                      <w:color w:val="auto"/>
                      <w:spacing w:val="6"/>
                      <w:szCs w:val="21"/>
                      <w:lang w:val="en-US" w:eastAsia="zh-CN"/>
                    </w:rPr>
                  </w:pPr>
                  <w:r>
                    <w:rPr>
                      <w:rFonts w:hint="eastAsia"/>
                      <w:bCs/>
                      <w:color w:val="auto"/>
                      <w:spacing w:val="6"/>
                      <w:szCs w:val="21"/>
                      <w:lang w:val="en-US" w:eastAsia="zh-CN"/>
                    </w:rPr>
                    <w:t>5</w:t>
                  </w:r>
                </w:p>
              </w:tc>
              <w:tc>
                <w:tcPr>
                  <w:tcW w:w="2450" w:type="dxa"/>
                  <w:tcBorders>
                    <w:tl2br w:val="nil"/>
                    <w:tr2bl w:val="nil"/>
                  </w:tcBorders>
                  <w:noWrap/>
                  <w:vAlign w:val="center"/>
                </w:tcPr>
                <w:p w14:paraId="13EC384B">
                  <w:pPr>
                    <w:spacing w:line="320" w:lineRule="exact"/>
                    <w:jc w:val="center"/>
                    <w:rPr>
                      <w:bCs/>
                      <w:color w:val="auto"/>
                      <w:spacing w:val="6"/>
                      <w:szCs w:val="21"/>
                    </w:rPr>
                  </w:pPr>
                  <w:r>
                    <w:rPr>
                      <w:rFonts w:hint="eastAsia"/>
                      <w:bCs/>
                      <w:color w:val="auto"/>
                      <w:spacing w:val="6"/>
                      <w:szCs w:val="21"/>
                    </w:rPr>
                    <w:t>生活垃圾</w:t>
                  </w:r>
                </w:p>
              </w:tc>
              <w:tc>
                <w:tcPr>
                  <w:tcW w:w="2278" w:type="dxa"/>
                  <w:tcBorders>
                    <w:tl2br w:val="nil"/>
                    <w:tr2bl w:val="nil"/>
                  </w:tcBorders>
                  <w:noWrap/>
                  <w:vAlign w:val="center"/>
                </w:tcPr>
                <w:p w14:paraId="0E6ED03C">
                  <w:pPr>
                    <w:spacing w:line="320" w:lineRule="exact"/>
                    <w:jc w:val="center"/>
                    <w:rPr>
                      <w:bCs/>
                      <w:color w:val="auto"/>
                      <w:spacing w:val="6"/>
                      <w:szCs w:val="21"/>
                    </w:rPr>
                  </w:pPr>
                  <w:r>
                    <w:rPr>
                      <w:rFonts w:hint="eastAsia"/>
                      <w:bCs/>
                      <w:color w:val="auto"/>
                      <w:spacing w:val="6"/>
                      <w:szCs w:val="21"/>
                      <w:highlight w:val="none"/>
                    </w:rPr>
                    <w:t>99</w:t>
                  </w:r>
                </w:p>
              </w:tc>
              <w:tc>
                <w:tcPr>
                  <w:tcW w:w="1976" w:type="dxa"/>
                  <w:tcBorders>
                    <w:tl2br w:val="nil"/>
                    <w:tr2bl w:val="nil"/>
                  </w:tcBorders>
                  <w:noWrap/>
                  <w:vAlign w:val="center"/>
                </w:tcPr>
                <w:p w14:paraId="3E234BDA">
                  <w:pPr>
                    <w:spacing w:line="320" w:lineRule="exact"/>
                    <w:jc w:val="center"/>
                    <w:rPr>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rPr>
                    <w:t>99</w:t>
                  </w:r>
                </w:p>
              </w:tc>
            </w:tr>
            <w:tr w14:paraId="4DE8B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94" w:type="dxa"/>
                  <w:tcBorders>
                    <w:tl2br w:val="nil"/>
                    <w:tr2bl w:val="nil"/>
                  </w:tcBorders>
                  <w:noWrap/>
                  <w:vAlign w:val="center"/>
                </w:tcPr>
                <w:p w14:paraId="314A9765">
                  <w:pPr>
                    <w:spacing w:line="320" w:lineRule="exact"/>
                    <w:jc w:val="center"/>
                    <w:rPr>
                      <w:rFonts w:hint="default"/>
                      <w:bCs/>
                      <w:color w:val="auto"/>
                      <w:spacing w:val="6"/>
                      <w:szCs w:val="21"/>
                      <w:lang w:val="en-US" w:eastAsia="zh-CN"/>
                    </w:rPr>
                  </w:pPr>
                  <w:r>
                    <w:rPr>
                      <w:rFonts w:hint="eastAsia"/>
                      <w:bCs/>
                      <w:color w:val="auto"/>
                      <w:spacing w:val="6"/>
                      <w:szCs w:val="21"/>
                      <w:lang w:val="en-US" w:eastAsia="zh-CN"/>
                    </w:rPr>
                    <w:t>6</w:t>
                  </w:r>
                </w:p>
              </w:tc>
              <w:tc>
                <w:tcPr>
                  <w:tcW w:w="2450" w:type="dxa"/>
                  <w:tcBorders>
                    <w:tl2br w:val="nil"/>
                    <w:tr2bl w:val="nil"/>
                  </w:tcBorders>
                  <w:noWrap/>
                  <w:vAlign w:val="center"/>
                </w:tcPr>
                <w:p w14:paraId="4522970A">
                  <w:pPr>
                    <w:spacing w:line="320" w:lineRule="exact"/>
                    <w:jc w:val="center"/>
                    <w:rPr>
                      <w:rFonts w:hint="eastAsia"/>
                      <w:bCs/>
                      <w:color w:val="auto"/>
                      <w:spacing w:val="6"/>
                      <w:szCs w:val="21"/>
                    </w:rPr>
                  </w:pPr>
                  <w:r>
                    <w:rPr>
                      <w:rFonts w:hint="eastAsia"/>
                      <w:color w:val="auto"/>
                      <w:spacing w:val="-10"/>
                      <w:szCs w:val="21"/>
                      <w:lang w:eastAsia="zh-CN"/>
                    </w:rPr>
                    <w:t>废布袋</w:t>
                  </w:r>
                </w:p>
              </w:tc>
              <w:tc>
                <w:tcPr>
                  <w:tcW w:w="2278" w:type="dxa"/>
                  <w:tcBorders>
                    <w:tl2br w:val="nil"/>
                    <w:tr2bl w:val="nil"/>
                  </w:tcBorders>
                  <w:noWrap/>
                  <w:vAlign w:val="center"/>
                </w:tcPr>
                <w:p w14:paraId="6FD94860">
                  <w:pPr>
                    <w:spacing w:line="320" w:lineRule="exact"/>
                    <w:jc w:val="center"/>
                    <w:rPr>
                      <w:rFonts w:hint="eastAsia"/>
                      <w:bCs/>
                      <w:color w:val="auto"/>
                      <w:spacing w:val="6"/>
                      <w:szCs w:val="21"/>
                    </w:rPr>
                  </w:pPr>
                  <w:r>
                    <w:rPr>
                      <w:rFonts w:hint="eastAsia"/>
                      <w:bCs/>
                      <w:color w:val="auto"/>
                      <w:spacing w:val="6"/>
                      <w:szCs w:val="21"/>
                      <w:highlight w:val="none"/>
                    </w:rPr>
                    <w:t>99</w:t>
                  </w:r>
                </w:p>
              </w:tc>
              <w:tc>
                <w:tcPr>
                  <w:tcW w:w="1976" w:type="dxa"/>
                  <w:tcBorders>
                    <w:tl2br w:val="nil"/>
                    <w:tr2bl w:val="nil"/>
                  </w:tcBorders>
                  <w:noWrap/>
                  <w:vAlign w:val="center"/>
                </w:tcPr>
                <w:p w14:paraId="59F4ECC6">
                  <w:pPr>
                    <w:spacing w:line="320" w:lineRule="exact"/>
                    <w:jc w:val="center"/>
                    <w:rPr>
                      <w:rFonts w:hint="eastAsia"/>
                      <w:bCs/>
                      <w:color w:val="auto"/>
                      <w:spacing w:val="6"/>
                      <w:szCs w:val="21"/>
                    </w:rPr>
                  </w:pPr>
                  <w:r>
                    <w:rPr>
                      <w:rFonts w:hint="eastAsia"/>
                      <w:bCs/>
                      <w:color w:val="auto"/>
                      <w:spacing w:val="6"/>
                      <w:szCs w:val="21"/>
                      <w:highlight w:val="none"/>
                    </w:rPr>
                    <w:t>051</w:t>
                  </w:r>
                  <w:r>
                    <w:rPr>
                      <w:bCs/>
                      <w:color w:val="auto"/>
                      <w:spacing w:val="6"/>
                      <w:szCs w:val="21"/>
                      <w:highlight w:val="none"/>
                    </w:rPr>
                    <w:t>-</w:t>
                  </w:r>
                  <w:r>
                    <w:rPr>
                      <w:rFonts w:hint="eastAsia"/>
                      <w:bCs/>
                      <w:color w:val="auto"/>
                      <w:spacing w:val="6"/>
                      <w:szCs w:val="21"/>
                      <w:highlight w:val="none"/>
                    </w:rPr>
                    <w:t>004</w:t>
                  </w:r>
                  <w:r>
                    <w:rPr>
                      <w:bCs/>
                      <w:color w:val="auto"/>
                      <w:spacing w:val="6"/>
                      <w:szCs w:val="21"/>
                      <w:highlight w:val="none"/>
                    </w:rPr>
                    <w:t>-</w:t>
                  </w:r>
                  <w:r>
                    <w:rPr>
                      <w:rFonts w:hint="eastAsia"/>
                      <w:bCs/>
                      <w:color w:val="auto"/>
                      <w:spacing w:val="6"/>
                      <w:szCs w:val="21"/>
                      <w:highlight w:val="none"/>
                    </w:rPr>
                    <w:t>99</w:t>
                  </w:r>
                </w:p>
              </w:tc>
            </w:tr>
          </w:tbl>
          <w:p w14:paraId="7D3786F9">
            <w:pPr>
              <w:pStyle w:val="94"/>
              <w:spacing w:before="120" w:beforeLines="50"/>
              <w:ind w:firstLine="0" w:firstLineChars="0"/>
              <w:jc w:val="center"/>
              <w:rPr>
                <w:rFonts w:hint="eastAsia" w:ascii="Times New Roman" w:hAnsi="Times New Roman" w:eastAsia="宋体" w:cs="Times New Roman"/>
                <w:b/>
                <w:bCs/>
                <w:color w:val="auto"/>
                <w:kern w:val="0"/>
                <w:sz w:val="24"/>
                <w:highlight w:val="none"/>
              </w:rPr>
            </w:pPr>
            <w:r>
              <w:rPr>
                <w:rFonts w:hint="eastAsia" w:ascii="Times New Roman" w:hAnsi="Times New Roman" w:eastAsia="宋体" w:cs="Times New Roman"/>
                <w:b/>
                <w:bCs/>
                <w:color w:val="auto"/>
                <w:kern w:val="0"/>
                <w:sz w:val="24"/>
                <w:highlight w:val="none"/>
              </w:rPr>
              <w:t>表4-</w:t>
            </w:r>
            <w:r>
              <w:rPr>
                <w:rFonts w:hint="eastAsia" w:ascii="Times New Roman" w:hAnsi="Times New Roman" w:eastAsia="宋体" w:cs="Times New Roman"/>
                <w:b/>
                <w:bCs/>
                <w:color w:val="auto"/>
                <w:kern w:val="0"/>
                <w:sz w:val="24"/>
                <w:highlight w:val="none"/>
                <w:lang w:val="en-US" w:eastAsia="zh-CN"/>
              </w:rPr>
              <w:t>15</w:t>
            </w:r>
            <w:r>
              <w:rPr>
                <w:rFonts w:hint="eastAsia" w:ascii="Times New Roman" w:hAnsi="Times New Roman" w:eastAsia="宋体" w:cs="Times New Roman"/>
                <w:b/>
                <w:bCs/>
                <w:color w:val="auto"/>
                <w:kern w:val="0"/>
                <w:sz w:val="24"/>
                <w:highlight w:val="none"/>
              </w:rPr>
              <w:t xml:space="preserve">  危险废物汇总表</w:t>
            </w:r>
          </w:p>
          <w:tbl>
            <w:tblPr>
              <w:tblStyle w:val="31"/>
              <w:tblW w:w="492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6"/>
              <w:gridCol w:w="1049"/>
              <w:gridCol w:w="759"/>
              <w:gridCol w:w="1161"/>
              <w:gridCol w:w="951"/>
              <w:gridCol w:w="784"/>
              <w:gridCol w:w="490"/>
              <w:gridCol w:w="601"/>
              <w:gridCol w:w="640"/>
              <w:gridCol w:w="593"/>
              <w:gridCol w:w="545"/>
              <w:gridCol w:w="752"/>
            </w:tblGrid>
            <w:tr w14:paraId="33F79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227" w:type="pct"/>
                  <w:noWrap w:val="0"/>
                  <w:tcMar>
                    <w:left w:w="0" w:type="dxa"/>
                    <w:right w:w="0" w:type="dxa"/>
                  </w:tcMar>
                  <w:vAlign w:val="center"/>
                </w:tcPr>
                <w:p w14:paraId="4084B30A">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601" w:type="pct"/>
                  <w:noWrap w:val="0"/>
                  <w:tcMar>
                    <w:left w:w="0" w:type="dxa"/>
                    <w:right w:w="0" w:type="dxa"/>
                  </w:tcMar>
                  <w:vAlign w:val="center"/>
                </w:tcPr>
                <w:p w14:paraId="44EAB5EE">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w:t>
                  </w:r>
                </w:p>
                <w:p w14:paraId="432B59F5">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435" w:type="pct"/>
                  <w:noWrap w:val="0"/>
                  <w:tcMar>
                    <w:left w:w="0" w:type="dxa"/>
                    <w:right w:w="0" w:type="dxa"/>
                  </w:tcMar>
                  <w:vAlign w:val="center"/>
                </w:tcPr>
                <w:p w14:paraId="6D2F61CF">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危险废物类别</w:t>
                  </w:r>
                </w:p>
              </w:tc>
              <w:tc>
                <w:tcPr>
                  <w:tcW w:w="665" w:type="pct"/>
                  <w:noWrap w:val="0"/>
                  <w:tcMar>
                    <w:left w:w="0" w:type="dxa"/>
                    <w:right w:w="0" w:type="dxa"/>
                  </w:tcMar>
                  <w:vAlign w:val="center"/>
                </w:tcPr>
                <w:p w14:paraId="7505FB3A">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危险废物代码</w:t>
                  </w:r>
                </w:p>
              </w:tc>
              <w:tc>
                <w:tcPr>
                  <w:tcW w:w="545" w:type="pct"/>
                  <w:noWrap w:val="0"/>
                  <w:tcMar>
                    <w:left w:w="0" w:type="dxa"/>
                    <w:right w:w="0" w:type="dxa"/>
                  </w:tcMar>
                  <w:vAlign w:val="center"/>
                </w:tcPr>
                <w:p w14:paraId="17BEE70C">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tc>
              <w:tc>
                <w:tcPr>
                  <w:tcW w:w="449" w:type="pct"/>
                  <w:noWrap w:val="0"/>
                  <w:tcMar>
                    <w:left w:w="0" w:type="dxa"/>
                    <w:right w:w="0" w:type="dxa"/>
                  </w:tcMar>
                  <w:vAlign w:val="center"/>
                </w:tcPr>
                <w:p w14:paraId="24CA3FA8">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产生工序及装置</w:t>
                  </w:r>
                </w:p>
              </w:tc>
              <w:tc>
                <w:tcPr>
                  <w:tcW w:w="280" w:type="pct"/>
                  <w:noWrap w:val="0"/>
                  <w:tcMar>
                    <w:left w:w="0" w:type="dxa"/>
                    <w:right w:w="0" w:type="dxa"/>
                  </w:tcMar>
                  <w:vAlign w:val="center"/>
                </w:tcPr>
                <w:p w14:paraId="6343BA24">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形态</w:t>
                  </w:r>
                </w:p>
              </w:tc>
              <w:tc>
                <w:tcPr>
                  <w:tcW w:w="344" w:type="pct"/>
                  <w:noWrap w:val="0"/>
                  <w:tcMar>
                    <w:left w:w="0" w:type="dxa"/>
                    <w:right w:w="0" w:type="dxa"/>
                  </w:tcMar>
                  <w:vAlign w:val="center"/>
                </w:tcPr>
                <w:p w14:paraId="38BD1D10">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主要成分</w:t>
                  </w:r>
                </w:p>
              </w:tc>
              <w:tc>
                <w:tcPr>
                  <w:tcW w:w="367" w:type="pct"/>
                  <w:noWrap w:val="0"/>
                  <w:tcMar>
                    <w:left w:w="0" w:type="dxa"/>
                    <w:right w:w="0" w:type="dxa"/>
                  </w:tcMar>
                  <w:vAlign w:val="center"/>
                </w:tcPr>
                <w:p w14:paraId="08858DBC">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有害成分</w:t>
                  </w:r>
                </w:p>
              </w:tc>
              <w:tc>
                <w:tcPr>
                  <w:tcW w:w="339" w:type="pct"/>
                  <w:noWrap w:val="0"/>
                  <w:tcMar>
                    <w:left w:w="0" w:type="dxa"/>
                    <w:right w:w="0" w:type="dxa"/>
                  </w:tcMar>
                  <w:vAlign w:val="center"/>
                </w:tcPr>
                <w:p w14:paraId="0AABF8AE">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产废周期</w:t>
                  </w:r>
                </w:p>
              </w:tc>
              <w:tc>
                <w:tcPr>
                  <w:tcW w:w="312" w:type="pct"/>
                  <w:noWrap w:val="0"/>
                  <w:tcMar>
                    <w:left w:w="0" w:type="dxa"/>
                    <w:right w:w="0" w:type="dxa"/>
                  </w:tcMar>
                  <w:vAlign w:val="center"/>
                </w:tcPr>
                <w:p w14:paraId="0AF9ED76">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危险特性</w:t>
                  </w:r>
                </w:p>
              </w:tc>
              <w:tc>
                <w:tcPr>
                  <w:tcW w:w="431" w:type="pct"/>
                  <w:noWrap w:val="0"/>
                  <w:tcMar>
                    <w:left w:w="0" w:type="dxa"/>
                    <w:right w:w="0" w:type="dxa"/>
                  </w:tcMar>
                  <w:vAlign w:val="center"/>
                </w:tcPr>
                <w:p w14:paraId="191EE9CC">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污染防治措施</w:t>
                  </w:r>
                </w:p>
              </w:tc>
            </w:tr>
            <w:tr w14:paraId="6318F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227" w:type="pct"/>
                  <w:noWrap w:val="0"/>
                  <w:tcMar>
                    <w:left w:w="0" w:type="dxa"/>
                    <w:right w:w="0" w:type="dxa"/>
                  </w:tcMar>
                  <w:vAlign w:val="center"/>
                </w:tcPr>
                <w:p w14:paraId="63F4700C">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01" w:type="pct"/>
                  <w:noWrap w:val="0"/>
                  <w:tcMar>
                    <w:left w:w="0" w:type="dxa"/>
                    <w:right w:w="0" w:type="dxa"/>
                  </w:tcMar>
                  <w:vAlign w:val="center"/>
                </w:tcPr>
                <w:p w14:paraId="0E3CC0A6">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废矿物油</w:t>
                  </w:r>
                </w:p>
              </w:tc>
              <w:tc>
                <w:tcPr>
                  <w:tcW w:w="435" w:type="pct"/>
                  <w:noWrap w:val="0"/>
                  <w:tcMar>
                    <w:left w:w="0" w:type="dxa"/>
                    <w:right w:w="0" w:type="dxa"/>
                  </w:tcMar>
                  <w:vAlign w:val="center"/>
                </w:tcPr>
                <w:p w14:paraId="28011ADC">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HW08</w:t>
                  </w:r>
                </w:p>
              </w:tc>
              <w:tc>
                <w:tcPr>
                  <w:tcW w:w="665" w:type="pct"/>
                  <w:noWrap w:val="0"/>
                  <w:tcMar>
                    <w:left w:w="0" w:type="dxa"/>
                    <w:right w:w="0" w:type="dxa"/>
                  </w:tcMar>
                  <w:vAlign w:val="center"/>
                </w:tcPr>
                <w:p w14:paraId="1C9458B4">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900-249-08</w:t>
                  </w:r>
                </w:p>
              </w:tc>
              <w:tc>
                <w:tcPr>
                  <w:tcW w:w="545" w:type="pct"/>
                  <w:noWrap w:val="0"/>
                  <w:tcMar>
                    <w:left w:w="0" w:type="dxa"/>
                    <w:right w:w="0" w:type="dxa"/>
                  </w:tcMar>
                  <w:vAlign w:val="center"/>
                </w:tcPr>
                <w:p w14:paraId="42A2EA3F">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t/a</w:t>
                  </w:r>
                </w:p>
              </w:tc>
              <w:tc>
                <w:tcPr>
                  <w:tcW w:w="449" w:type="pct"/>
                  <w:noWrap w:val="0"/>
                  <w:tcMar>
                    <w:left w:w="0" w:type="dxa"/>
                    <w:right w:w="0" w:type="dxa"/>
                  </w:tcMar>
                  <w:vAlign w:val="center"/>
                </w:tcPr>
                <w:p w14:paraId="0ED88BE2">
                  <w:pPr>
                    <w:tabs>
                      <w:tab w:val="center" w:pos="4153"/>
                      <w:tab w:val="right" w:pos="8306"/>
                    </w:tabs>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设备维护</w:t>
                  </w:r>
                </w:p>
              </w:tc>
              <w:tc>
                <w:tcPr>
                  <w:tcW w:w="280" w:type="pct"/>
                  <w:noWrap w:val="0"/>
                  <w:tcMar>
                    <w:left w:w="0" w:type="dxa"/>
                    <w:right w:w="0" w:type="dxa"/>
                  </w:tcMar>
                  <w:vAlign w:val="center"/>
                </w:tcPr>
                <w:p w14:paraId="0C74ECB5">
                  <w:pPr>
                    <w:tabs>
                      <w:tab w:val="center" w:pos="4153"/>
                      <w:tab w:val="right" w:pos="8306"/>
                    </w:tabs>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液态</w:t>
                  </w:r>
                </w:p>
              </w:tc>
              <w:tc>
                <w:tcPr>
                  <w:tcW w:w="344" w:type="pct"/>
                  <w:noWrap w:val="0"/>
                  <w:tcMar>
                    <w:left w:w="0" w:type="dxa"/>
                    <w:right w:w="0" w:type="dxa"/>
                  </w:tcMar>
                  <w:vAlign w:val="center"/>
                </w:tcPr>
                <w:p w14:paraId="0EAE611E">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矿物油</w:t>
                  </w:r>
                </w:p>
              </w:tc>
              <w:tc>
                <w:tcPr>
                  <w:tcW w:w="367" w:type="pct"/>
                  <w:noWrap w:val="0"/>
                  <w:tcMar>
                    <w:left w:w="0" w:type="dxa"/>
                    <w:right w:w="0" w:type="dxa"/>
                  </w:tcMar>
                  <w:vAlign w:val="center"/>
                </w:tcPr>
                <w:p w14:paraId="7B29D231">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矿物油</w:t>
                  </w:r>
                </w:p>
              </w:tc>
              <w:tc>
                <w:tcPr>
                  <w:tcW w:w="339" w:type="pct"/>
                  <w:noWrap w:val="0"/>
                  <w:tcMar>
                    <w:left w:w="0" w:type="dxa"/>
                    <w:right w:w="0" w:type="dxa"/>
                  </w:tcMar>
                  <w:vAlign w:val="center"/>
                </w:tcPr>
                <w:p w14:paraId="1D533CA1">
                  <w:pPr>
                    <w:tabs>
                      <w:tab w:val="center" w:pos="4153"/>
                      <w:tab w:val="right" w:pos="8306"/>
                    </w:tabs>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1年</w:t>
                  </w:r>
                </w:p>
              </w:tc>
              <w:tc>
                <w:tcPr>
                  <w:tcW w:w="312" w:type="pct"/>
                  <w:noWrap w:val="0"/>
                  <w:tcMar>
                    <w:left w:w="0" w:type="dxa"/>
                    <w:right w:w="0" w:type="dxa"/>
                  </w:tcMar>
                  <w:vAlign w:val="center"/>
                </w:tcPr>
                <w:p w14:paraId="1905F5A9">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T，I</w:t>
                  </w:r>
                </w:p>
              </w:tc>
              <w:tc>
                <w:tcPr>
                  <w:tcW w:w="431" w:type="pct"/>
                  <w:vMerge w:val="restart"/>
                  <w:noWrap w:val="0"/>
                  <w:tcMar>
                    <w:left w:w="0" w:type="dxa"/>
                    <w:right w:w="0" w:type="dxa"/>
                  </w:tcMar>
                  <w:vAlign w:val="center"/>
                </w:tcPr>
                <w:p w14:paraId="196F77ED">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rPr>
                    <w:t>暂存</w:t>
                  </w:r>
                  <w:r>
                    <w:rPr>
                      <w:rFonts w:hint="eastAsia" w:ascii="Times New Roman" w:hAnsi="Times New Roman" w:eastAsia="宋体" w:cs="Times New Roman"/>
                      <w:bCs/>
                      <w:color w:val="auto"/>
                      <w:sz w:val="21"/>
                      <w:szCs w:val="21"/>
                      <w:highlight w:val="none"/>
                      <w:lang w:eastAsia="zh-CN"/>
                    </w:rPr>
                    <w:t>危险废物贮存库；定期</w:t>
                  </w:r>
                </w:p>
                <w:p w14:paraId="2037A95F">
                  <w:pPr>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交由有资质单位处置</w:t>
                  </w:r>
                </w:p>
              </w:tc>
            </w:tr>
            <w:tr w14:paraId="040ED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1" w:hRule="atLeast"/>
                <w:jc w:val="center"/>
              </w:trPr>
              <w:tc>
                <w:tcPr>
                  <w:tcW w:w="227" w:type="pct"/>
                  <w:noWrap w:val="0"/>
                  <w:tcMar>
                    <w:left w:w="0" w:type="dxa"/>
                    <w:right w:w="0" w:type="dxa"/>
                  </w:tcMar>
                  <w:vAlign w:val="center"/>
                </w:tcPr>
                <w:p w14:paraId="61B078B8">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601" w:type="pct"/>
                  <w:noWrap w:val="0"/>
                  <w:tcMar>
                    <w:left w:w="0" w:type="dxa"/>
                    <w:right w:w="0" w:type="dxa"/>
                  </w:tcMar>
                  <w:vAlign w:val="center"/>
                </w:tcPr>
                <w:p w14:paraId="33CDD961">
                  <w:pPr>
                    <w:tabs>
                      <w:tab w:val="center" w:pos="4153"/>
                      <w:tab w:val="right" w:pos="8306"/>
                    </w:tabs>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废矿物油</w:t>
                  </w:r>
                  <w:r>
                    <w:rPr>
                      <w:rFonts w:hint="eastAsia" w:ascii="Times New Roman" w:hAnsi="Times New Roman" w:eastAsia="宋体" w:cs="Times New Roman"/>
                      <w:color w:val="auto"/>
                      <w:sz w:val="21"/>
                      <w:szCs w:val="21"/>
                      <w:highlight w:val="none"/>
                      <w:lang w:eastAsia="zh-CN"/>
                    </w:rPr>
                    <w:t>桶</w:t>
                  </w:r>
                </w:p>
              </w:tc>
              <w:tc>
                <w:tcPr>
                  <w:tcW w:w="435" w:type="pct"/>
                  <w:noWrap w:val="0"/>
                  <w:tcMar>
                    <w:left w:w="0" w:type="dxa"/>
                    <w:right w:w="0" w:type="dxa"/>
                  </w:tcMar>
                  <w:vAlign w:val="center"/>
                </w:tcPr>
                <w:p w14:paraId="46511C19">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HW08</w:t>
                  </w:r>
                </w:p>
              </w:tc>
              <w:tc>
                <w:tcPr>
                  <w:tcW w:w="665" w:type="pct"/>
                  <w:noWrap w:val="0"/>
                  <w:tcMar>
                    <w:left w:w="0" w:type="dxa"/>
                    <w:right w:w="0" w:type="dxa"/>
                  </w:tcMar>
                  <w:vAlign w:val="center"/>
                </w:tcPr>
                <w:p w14:paraId="4F1FAF13">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900-249-08</w:t>
                  </w:r>
                </w:p>
              </w:tc>
              <w:tc>
                <w:tcPr>
                  <w:tcW w:w="545" w:type="pct"/>
                  <w:noWrap w:val="0"/>
                  <w:tcMar>
                    <w:left w:w="0" w:type="dxa"/>
                    <w:right w:w="0" w:type="dxa"/>
                  </w:tcMar>
                  <w:vAlign w:val="center"/>
                </w:tcPr>
                <w:p w14:paraId="752DECAE">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t/a</w:t>
                  </w:r>
                </w:p>
              </w:tc>
              <w:tc>
                <w:tcPr>
                  <w:tcW w:w="449" w:type="pct"/>
                  <w:noWrap w:val="0"/>
                  <w:tcMar>
                    <w:left w:w="0" w:type="dxa"/>
                    <w:right w:w="0" w:type="dxa"/>
                  </w:tcMar>
                  <w:vAlign w:val="center"/>
                </w:tcPr>
                <w:p w14:paraId="6C6ECA83">
                  <w:pPr>
                    <w:tabs>
                      <w:tab w:val="center" w:pos="4153"/>
                      <w:tab w:val="right" w:pos="8306"/>
                    </w:tabs>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包装桶</w:t>
                  </w:r>
                </w:p>
              </w:tc>
              <w:tc>
                <w:tcPr>
                  <w:tcW w:w="280" w:type="pct"/>
                  <w:noWrap w:val="0"/>
                  <w:tcMar>
                    <w:left w:w="0" w:type="dxa"/>
                    <w:right w:w="0" w:type="dxa"/>
                  </w:tcMar>
                  <w:vAlign w:val="center"/>
                </w:tcPr>
                <w:p w14:paraId="54952162">
                  <w:pPr>
                    <w:tabs>
                      <w:tab w:val="center" w:pos="4153"/>
                      <w:tab w:val="right" w:pos="8306"/>
                    </w:tabs>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固态</w:t>
                  </w:r>
                </w:p>
              </w:tc>
              <w:tc>
                <w:tcPr>
                  <w:tcW w:w="344" w:type="pct"/>
                  <w:noWrap w:val="0"/>
                  <w:tcMar>
                    <w:left w:w="0" w:type="dxa"/>
                    <w:right w:w="0" w:type="dxa"/>
                  </w:tcMar>
                  <w:vAlign w:val="center"/>
                </w:tcPr>
                <w:p w14:paraId="5C5C314C">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67" w:type="pct"/>
                  <w:noWrap w:val="0"/>
                  <w:tcMar>
                    <w:left w:w="0" w:type="dxa"/>
                    <w:right w:w="0" w:type="dxa"/>
                  </w:tcMar>
                  <w:vAlign w:val="center"/>
                </w:tcPr>
                <w:p w14:paraId="333A3891">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沾染的油</w:t>
                  </w:r>
                </w:p>
              </w:tc>
              <w:tc>
                <w:tcPr>
                  <w:tcW w:w="339" w:type="pct"/>
                  <w:noWrap w:val="0"/>
                  <w:tcMar>
                    <w:left w:w="0" w:type="dxa"/>
                    <w:right w:w="0" w:type="dxa"/>
                  </w:tcMar>
                  <w:vAlign w:val="center"/>
                </w:tcPr>
                <w:p w14:paraId="537364EE">
                  <w:pPr>
                    <w:tabs>
                      <w:tab w:val="center" w:pos="4153"/>
                      <w:tab w:val="right" w:pos="8306"/>
                    </w:tabs>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1年</w:t>
                  </w:r>
                </w:p>
              </w:tc>
              <w:tc>
                <w:tcPr>
                  <w:tcW w:w="312" w:type="pct"/>
                  <w:noWrap w:val="0"/>
                  <w:tcMar>
                    <w:left w:w="0" w:type="dxa"/>
                    <w:right w:w="0" w:type="dxa"/>
                  </w:tcMar>
                  <w:vAlign w:val="center"/>
                </w:tcPr>
                <w:p w14:paraId="38681FD3">
                  <w:pPr>
                    <w:tabs>
                      <w:tab w:val="center" w:pos="4153"/>
                      <w:tab w:val="right" w:pos="8306"/>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T/In</w:t>
                  </w:r>
                </w:p>
              </w:tc>
              <w:tc>
                <w:tcPr>
                  <w:tcW w:w="431" w:type="pct"/>
                  <w:vMerge w:val="continue"/>
                  <w:noWrap w:val="0"/>
                  <w:tcMar>
                    <w:left w:w="0" w:type="dxa"/>
                    <w:right w:w="0" w:type="dxa"/>
                  </w:tcMar>
                  <w:vAlign w:val="center"/>
                </w:tcPr>
                <w:p w14:paraId="38CDDB89">
                  <w:pPr>
                    <w:jc w:val="center"/>
                    <w:textAlignment w:val="center"/>
                    <w:rPr>
                      <w:rFonts w:hint="default" w:ascii="Times New Roman" w:hAnsi="Times New Roman" w:eastAsia="宋体" w:cs="Times New Roman"/>
                      <w:color w:val="auto"/>
                      <w:sz w:val="21"/>
                      <w:szCs w:val="21"/>
                      <w:highlight w:val="none"/>
                    </w:rPr>
                  </w:pPr>
                </w:p>
              </w:tc>
            </w:tr>
          </w:tbl>
          <w:p w14:paraId="6678E59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表4-16 危险废物储存场所基本情况表</w:t>
            </w:r>
          </w:p>
          <w:tbl>
            <w:tblPr>
              <w:tblStyle w:val="31"/>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FFFFFF"/>
              <w:tblLayout w:type="fixed"/>
              <w:tblCellMar>
                <w:top w:w="0" w:type="dxa"/>
                <w:left w:w="0" w:type="dxa"/>
                <w:bottom w:w="0" w:type="dxa"/>
                <w:right w:w="0" w:type="dxa"/>
              </w:tblCellMar>
            </w:tblPr>
            <w:tblGrid>
              <w:gridCol w:w="415"/>
              <w:gridCol w:w="1136"/>
              <w:gridCol w:w="1457"/>
              <w:gridCol w:w="1289"/>
              <w:gridCol w:w="1236"/>
              <w:gridCol w:w="584"/>
              <w:gridCol w:w="868"/>
              <w:gridCol w:w="902"/>
              <w:gridCol w:w="956"/>
            </w:tblGrid>
            <w:tr w14:paraId="5C46A9D6">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FFFFFF"/>
                <w:tblCellMar>
                  <w:top w:w="0" w:type="dxa"/>
                  <w:left w:w="0" w:type="dxa"/>
                  <w:bottom w:w="0" w:type="dxa"/>
                  <w:right w:w="0" w:type="dxa"/>
                </w:tblCellMar>
              </w:tblPrEx>
              <w:trPr>
                <w:trHeight w:val="23" w:hRule="atLeast"/>
                <w:jc w:val="center"/>
              </w:trPr>
              <w:tc>
                <w:tcPr>
                  <w:tcW w:w="234" w:type="pct"/>
                  <w:tcBorders>
                    <w:top w:val="single" w:color="auto" w:sz="12" w:space="0"/>
                    <w:bottom w:val="single" w:color="auto" w:sz="4" w:space="0"/>
                    <w:right w:val="single" w:color="auto" w:sz="4" w:space="0"/>
                  </w:tcBorders>
                  <w:shd w:val="clear" w:color="auto" w:fill="auto"/>
                  <w:noWrap w:val="0"/>
                  <w:vAlign w:val="center"/>
                </w:tcPr>
                <w:p w14:paraId="2B83B5AB">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642"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595E1705">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贮存场所（设施）名称</w:t>
                  </w:r>
                </w:p>
              </w:tc>
              <w:tc>
                <w:tcPr>
                  <w:tcW w:w="823"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1A5D2EB0">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危险废物名称</w:t>
                  </w:r>
                </w:p>
              </w:tc>
              <w:tc>
                <w:tcPr>
                  <w:tcW w:w="728"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68C72199">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危险废物类别</w:t>
                  </w:r>
                </w:p>
              </w:tc>
              <w:tc>
                <w:tcPr>
                  <w:tcW w:w="698"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130FC29B">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危险废物代码</w:t>
                  </w:r>
                </w:p>
              </w:tc>
              <w:tc>
                <w:tcPr>
                  <w:tcW w:w="330"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41791A30">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位置</w:t>
                  </w:r>
                </w:p>
              </w:tc>
              <w:tc>
                <w:tcPr>
                  <w:tcW w:w="490"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37E8D4A9">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贮存方式</w:t>
                  </w:r>
                </w:p>
              </w:tc>
              <w:tc>
                <w:tcPr>
                  <w:tcW w:w="509" w:type="pct"/>
                  <w:tcBorders>
                    <w:top w:val="single" w:color="auto" w:sz="12" w:space="0"/>
                    <w:left w:val="single" w:color="auto" w:sz="4" w:space="0"/>
                    <w:bottom w:val="single" w:color="auto" w:sz="4" w:space="0"/>
                    <w:right w:val="single" w:color="auto" w:sz="4" w:space="0"/>
                  </w:tcBorders>
                  <w:shd w:val="clear" w:color="auto" w:fill="auto"/>
                  <w:noWrap w:val="0"/>
                  <w:vAlign w:val="center"/>
                </w:tcPr>
                <w:p w14:paraId="72B52A6B">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贮存能力</w:t>
                  </w:r>
                </w:p>
              </w:tc>
              <w:tc>
                <w:tcPr>
                  <w:tcW w:w="540" w:type="pct"/>
                  <w:tcBorders>
                    <w:top w:val="single" w:color="auto" w:sz="12" w:space="0"/>
                    <w:left w:val="single" w:color="auto" w:sz="4" w:space="0"/>
                    <w:bottom w:val="single" w:color="auto" w:sz="4" w:space="0"/>
                  </w:tcBorders>
                  <w:shd w:val="clear" w:color="auto" w:fill="auto"/>
                  <w:noWrap w:val="0"/>
                  <w:vAlign w:val="center"/>
                </w:tcPr>
                <w:p w14:paraId="4BED1DB5">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贮存周期</w:t>
                  </w:r>
                </w:p>
              </w:tc>
            </w:tr>
            <w:tr w14:paraId="43476AF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34" w:type="pct"/>
                  <w:tcBorders>
                    <w:top w:val="single" w:color="auto" w:sz="4" w:space="0"/>
                    <w:bottom w:val="single" w:color="auto" w:sz="4" w:space="0"/>
                    <w:right w:val="single" w:color="auto" w:sz="4" w:space="0"/>
                  </w:tcBorders>
                  <w:shd w:val="clear" w:color="auto" w:fill="auto"/>
                  <w:noWrap w:val="0"/>
                  <w:vAlign w:val="center"/>
                </w:tcPr>
                <w:p w14:paraId="05422F27">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642" w:type="pct"/>
                  <w:vMerge w:val="restart"/>
                  <w:tcBorders>
                    <w:left w:val="single" w:color="auto" w:sz="4" w:space="0"/>
                    <w:right w:val="single" w:color="auto" w:sz="4" w:space="0"/>
                  </w:tcBorders>
                  <w:shd w:val="clear" w:color="auto" w:fill="auto"/>
                  <w:noWrap w:val="0"/>
                  <w:vAlign w:val="center"/>
                </w:tcPr>
                <w:p w14:paraId="49ADB991">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r>
                    <w:rPr>
                      <w:rFonts w:hint="eastAsia" w:ascii="Times New Roman" w:hAnsi="Times New Roman" w:eastAsia="宋体" w:cs="Times New Roman"/>
                      <w:color w:val="auto"/>
                      <w:sz w:val="21"/>
                      <w:szCs w:val="21"/>
                      <w:highlight w:val="none"/>
                      <w:lang w:val="en-US" w:eastAsia="zh-CN"/>
                    </w:rPr>
                    <w:t>贮存库</w:t>
                  </w:r>
                </w:p>
              </w:tc>
              <w:tc>
                <w:tcPr>
                  <w:tcW w:w="8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D5108CB">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废矿物油</w:t>
                  </w:r>
                </w:p>
              </w:tc>
              <w:tc>
                <w:tcPr>
                  <w:tcW w:w="72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65BF0F9">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HW08</w:t>
                  </w:r>
                </w:p>
              </w:tc>
              <w:tc>
                <w:tcPr>
                  <w:tcW w:w="69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08A70F7">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900-249-08</w:t>
                  </w:r>
                </w:p>
              </w:tc>
              <w:tc>
                <w:tcPr>
                  <w:tcW w:w="330" w:type="pct"/>
                  <w:vMerge w:val="restart"/>
                  <w:tcBorders>
                    <w:left w:val="single" w:color="auto" w:sz="4" w:space="0"/>
                    <w:right w:val="single" w:color="auto" w:sz="4" w:space="0"/>
                  </w:tcBorders>
                  <w:shd w:val="clear" w:color="auto" w:fill="auto"/>
                  <w:noWrap w:val="0"/>
                  <w:vAlign w:val="center"/>
                </w:tcPr>
                <w:p w14:paraId="51411C5E">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r>
                    <w:rPr>
                      <w:rFonts w:hint="eastAsia" w:ascii="Times New Roman" w:hAnsi="Times New Roman" w:eastAsia="宋体" w:cs="Times New Roman"/>
                      <w:color w:val="auto"/>
                      <w:sz w:val="21"/>
                      <w:szCs w:val="21"/>
                      <w:highlight w:val="none"/>
                      <w:lang w:val="en-US" w:eastAsia="zh-CN"/>
                    </w:rPr>
                    <w:t>贮存库</w:t>
                  </w:r>
                </w:p>
              </w:tc>
              <w:tc>
                <w:tcPr>
                  <w:tcW w:w="49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C242BF9">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567663C">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w:t>
                  </w:r>
                </w:p>
              </w:tc>
              <w:tc>
                <w:tcPr>
                  <w:tcW w:w="540" w:type="pct"/>
                  <w:tcBorders>
                    <w:top w:val="single" w:color="auto" w:sz="4" w:space="0"/>
                    <w:left w:val="single" w:color="auto" w:sz="4" w:space="0"/>
                    <w:bottom w:val="single" w:color="auto" w:sz="4" w:space="0"/>
                  </w:tcBorders>
                  <w:shd w:val="clear" w:color="auto" w:fill="auto"/>
                  <w:noWrap w:val="0"/>
                  <w:vAlign w:val="center"/>
                </w:tcPr>
                <w:p w14:paraId="79160B38">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一年</w:t>
                  </w:r>
                </w:p>
              </w:tc>
            </w:tr>
            <w:tr w14:paraId="50CDB75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34" w:type="pct"/>
                  <w:tcBorders>
                    <w:top w:val="single" w:color="auto" w:sz="4" w:space="0"/>
                    <w:bottom w:val="single" w:color="auto" w:sz="4" w:space="0"/>
                    <w:right w:val="single" w:color="auto" w:sz="4" w:space="0"/>
                  </w:tcBorders>
                  <w:shd w:val="clear" w:color="auto" w:fill="auto"/>
                  <w:noWrap w:val="0"/>
                  <w:vAlign w:val="center"/>
                </w:tcPr>
                <w:p w14:paraId="2230F237">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42" w:type="pct"/>
                  <w:vMerge w:val="continue"/>
                  <w:tcBorders>
                    <w:left w:val="single" w:color="auto" w:sz="4" w:space="0"/>
                    <w:right w:val="single" w:color="auto" w:sz="4" w:space="0"/>
                  </w:tcBorders>
                  <w:shd w:val="clear" w:color="auto" w:fill="auto"/>
                  <w:noWrap w:val="0"/>
                  <w:vAlign w:val="center"/>
                </w:tcPr>
                <w:p w14:paraId="0D107172">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p>
              </w:tc>
              <w:tc>
                <w:tcPr>
                  <w:tcW w:w="8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F8F07C1">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废矿物油桶</w:t>
                  </w:r>
                </w:p>
              </w:tc>
              <w:tc>
                <w:tcPr>
                  <w:tcW w:w="72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1D59115">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HW08</w:t>
                  </w:r>
                </w:p>
              </w:tc>
              <w:tc>
                <w:tcPr>
                  <w:tcW w:w="69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AC30486">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900-249-08</w:t>
                  </w:r>
                </w:p>
              </w:tc>
              <w:tc>
                <w:tcPr>
                  <w:tcW w:w="330" w:type="pct"/>
                  <w:vMerge w:val="continue"/>
                  <w:tcBorders>
                    <w:left w:val="single" w:color="auto" w:sz="4" w:space="0"/>
                    <w:right w:val="single" w:color="auto" w:sz="4" w:space="0"/>
                  </w:tcBorders>
                  <w:shd w:val="clear" w:color="auto" w:fill="auto"/>
                  <w:noWrap w:val="0"/>
                  <w:vAlign w:val="center"/>
                </w:tcPr>
                <w:p w14:paraId="4641CE54">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p>
              </w:tc>
              <w:tc>
                <w:tcPr>
                  <w:tcW w:w="49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634EFE7">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散装</w:t>
                  </w:r>
                </w:p>
              </w:tc>
              <w:tc>
                <w:tcPr>
                  <w:tcW w:w="509"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327AFBC">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t</w:t>
                  </w:r>
                </w:p>
              </w:tc>
              <w:tc>
                <w:tcPr>
                  <w:tcW w:w="540" w:type="pct"/>
                  <w:tcBorders>
                    <w:top w:val="single" w:color="auto" w:sz="4" w:space="0"/>
                    <w:left w:val="single" w:color="auto" w:sz="4" w:space="0"/>
                    <w:bottom w:val="single" w:color="auto" w:sz="4" w:space="0"/>
                  </w:tcBorders>
                  <w:shd w:val="clear" w:color="auto" w:fill="auto"/>
                  <w:noWrap w:val="0"/>
                  <w:vAlign w:val="center"/>
                </w:tcPr>
                <w:p w14:paraId="39E489C9">
                  <w:pPr>
                    <w:tabs>
                      <w:tab w:val="center" w:pos="4153"/>
                      <w:tab w:val="right" w:pos="8306"/>
                    </w:tabs>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一年</w:t>
                  </w:r>
                </w:p>
              </w:tc>
            </w:tr>
          </w:tbl>
          <w:p w14:paraId="40F0FD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auto"/>
                <w:sz w:val="24"/>
                <w:szCs w:val="22"/>
                <w:lang w:eastAsia="zh-CN"/>
              </w:rPr>
            </w:pPr>
            <w:r>
              <w:rPr>
                <w:rFonts w:hint="eastAsia"/>
                <w:b w:val="0"/>
                <w:bCs w:val="0"/>
                <w:color w:val="auto"/>
                <w:sz w:val="24"/>
                <w:szCs w:val="22"/>
                <w:lang w:val="en-US" w:eastAsia="zh-CN"/>
              </w:rPr>
              <w:t>2、</w:t>
            </w:r>
            <w:r>
              <w:rPr>
                <w:rFonts w:hint="eastAsia"/>
                <w:b w:val="0"/>
                <w:bCs w:val="0"/>
                <w:color w:val="auto"/>
                <w:sz w:val="24"/>
                <w:szCs w:val="22"/>
                <w:lang w:eastAsia="zh-CN"/>
              </w:rPr>
              <w:t>固废储存场所管理要求</w:t>
            </w:r>
          </w:p>
          <w:p w14:paraId="710810B5">
            <w:pPr>
              <w:spacing w:line="360" w:lineRule="auto"/>
              <w:ind w:firstLine="480" w:firstLineChars="200"/>
              <w:rPr>
                <w:rFonts w:hint="eastAsia" w:ascii="Times New Roman" w:hAnsi="Times New Roman" w:eastAsia="宋体" w:cs="Times New Roman"/>
                <w:b w:val="0"/>
                <w:bCs w:val="0"/>
                <w:color w:val="auto"/>
                <w:sz w:val="24"/>
                <w:szCs w:val="22"/>
                <w:lang w:val="en-US" w:eastAsia="zh-CN"/>
              </w:rPr>
            </w:pPr>
            <w:r>
              <w:rPr>
                <w:rFonts w:hint="eastAsia" w:cs="Times New Roman"/>
                <w:b w:val="0"/>
                <w:bCs w:val="0"/>
                <w:color w:val="auto"/>
                <w:sz w:val="24"/>
                <w:szCs w:val="22"/>
                <w:lang w:val="en-US" w:eastAsia="zh-CN"/>
              </w:rPr>
              <w:t>（1）一般工业固体废物</w:t>
            </w:r>
            <w:r>
              <w:rPr>
                <w:rFonts w:hint="eastAsia"/>
                <w:b w:val="0"/>
                <w:bCs w:val="0"/>
                <w:color w:val="auto"/>
                <w:sz w:val="24"/>
                <w:szCs w:val="22"/>
                <w:lang w:eastAsia="zh-CN"/>
              </w:rPr>
              <w:t>储存场所管理要求</w:t>
            </w:r>
          </w:p>
          <w:p w14:paraId="5AC62286">
            <w:pPr>
              <w:spacing w:line="360" w:lineRule="auto"/>
              <w:ind w:firstLine="480" w:firstLineChars="200"/>
              <w:rPr>
                <w:rFonts w:hint="eastAsia"/>
                <w:b/>
                <w:bCs/>
                <w:color w:val="auto"/>
                <w:sz w:val="24"/>
                <w:szCs w:val="22"/>
              </w:rPr>
            </w:pPr>
            <w:r>
              <w:rPr>
                <w:rFonts w:hint="eastAsia" w:ascii="Times New Roman" w:hAnsi="Times New Roman" w:eastAsia="宋体" w:cs="Times New Roman"/>
                <w:b w:val="0"/>
                <w:bCs w:val="0"/>
                <w:color w:val="auto"/>
                <w:sz w:val="24"/>
                <w:szCs w:val="22"/>
                <w:lang w:val="en-US" w:eastAsia="zh-CN"/>
              </w:rPr>
              <w:t>采用库房、包装工具（罐、桶、包装袋等）贮存一般工业固体废物的，贮存过程应满足相应防渗漏、 防雨淋、防扬尘等环境保护要求；危险废物和生活垃圾不得进入一般工业固体废物贮存场及填埋场；不相容的一般工业固体废物应设置不同的分区进行贮存和填埋作业；贮存场、填埋场应设置清晰、完整的一般工业固体废物标志牌等。</w:t>
            </w:r>
          </w:p>
          <w:p w14:paraId="315BE71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lang w:eastAsia="zh-CN"/>
              </w:rPr>
              <w:t>）</w:t>
            </w:r>
            <w:r>
              <w:rPr>
                <w:rFonts w:ascii="宋体" w:hAnsi="宋体" w:eastAsia="宋体" w:cs="宋体"/>
                <w:color w:val="auto"/>
                <w:sz w:val="24"/>
                <w:szCs w:val="24"/>
              </w:rPr>
              <w:t>工业固体废物管理要求</w:t>
            </w:r>
          </w:p>
          <w:p w14:paraId="30A3C3C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color w:val="auto"/>
                <w:sz w:val="24"/>
                <w:highlight w:val="none"/>
                <w:lang w:eastAsia="zh-CN"/>
              </w:rPr>
            </w:pPr>
            <w:r>
              <w:rPr>
                <w:rFonts w:ascii="宋体" w:hAnsi="宋体" w:eastAsia="宋体" w:cs="宋体"/>
                <w:color w:val="auto"/>
                <w:sz w:val="24"/>
                <w:szCs w:val="24"/>
              </w:rPr>
              <w:t>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②禁止向生活垃圾收集设施中投放工业固体废物。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4BF3D3A0">
            <w:pPr>
              <w:spacing w:line="360" w:lineRule="auto"/>
              <w:ind w:firstLine="480" w:firstLineChars="200"/>
              <w:rPr>
                <w:bCs/>
                <w:color w:val="auto"/>
                <w:kern w:val="0"/>
                <w:sz w:val="24"/>
                <w:highlight w:val="none"/>
                <w:lang w:bidi="ar"/>
              </w:rPr>
            </w:pPr>
            <w:r>
              <w:rPr>
                <w:rFonts w:hint="eastAsia"/>
                <w:color w:val="auto"/>
                <w:sz w:val="24"/>
                <w:highlight w:val="none"/>
                <w:lang w:eastAsia="zh-CN"/>
              </w:rPr>
              <w:t>（</w:t>
            </w:r>
            <w:r>
              <w:rPr>
                <w:rFonts w:hint="eastAsia"/>
                <w:color w:val="auto"/>
                <w:sz w:val="24"/>
                <w:highlight w:val="none"/>
                <w:lang w:val="en-US" w:eastAsia="zh-CN"/>
              </w:rPr>
              <w:t>3</w:t>
            </w:r>
            <w:r>
              <w:rPr>
                <w:rFonts w:hint="eastAsia"/>
                <w:color w:val="auto"/>
                <w:sz w:val="24"/>
                <w:highlight w:val="none"/>
                <w:lang w:eastAsia="zh-CN"/>
              </w:rPr>
              <w:t>）</w:t>
            </w:r>
            <w:r>
              <w:rPr>
                <w:color w:val="auto"/>
                <w:sz w:val="24"/>
                <w:highlight w:val="none"/>
              </w:rPr>
              <w:t>危险废物暂存管理要求：</w:t>
            </w:r>
          </w:p>
          <w:p w14:paraId="099A7878">
            <w:pPr>
              <w:keepNext w:val="0"/>
              <w:keepLines w:val="0"/>
              <w:pageBreakBefore w:val="0"/>
              <w:kinsoku/>
              <w:wordWrap/>
              <w:overflowPunct/>
              <w:topLinePunct w:val="0"/>
              <w:autoSpaceDE/>
              <w:autoSpaceDN/>
              <w:bidi w:val="0"/>
              <w:adjustRightInd/>
              <w:snapToGrid/>
              <w:spacing w:line="360" w:lineRule="auto"/>
              <w:ind w:firstLine="504" w:firstLineChars="200"/>
              <w:jc w:val="both"/>
              <w:textAlignment w:val="auto"/>
              <w:rPr>
                <w:color w:val="auto"/>
                <w:sz w:val="24"/>
                <w:highlight w:val="none"/>
              </w:rPr>
            </w:pPr>
            <w:r>
              <w:rPr>
                <w:rFonts w:hint="eastAsia"/>
                <w:color w:val="auto"/>
                <w:spacing w:val="6"/>
                <w:sz w:val="24"/>
                <w:highlight w:val="none"/>
                <w:lang w:bidi="ar"/>
              </w:rPr>
              <w:t>本项目</w:t>
            </w:r>
            <w:r>
              <w:rPr>
                <w:color w:val="auto"/>
                <w:spacing w:val="6"/>
                <w:sz w:val="24"/>
                <w:highlight w:val="none"/>
                <w:lang w:bidi="ar"/>
              </w:rPr>
              <w:t>危险废物</w:t>
            </w:r>
            <w:r>
              <w:rPr>
                <w:rFonts w:hint="eastAsia"/>
                <w:color w:val="auto"/>
                <w:spacing w:val="6"/>
                <w:sz w:val="24"/>
                <w:highlight w:val="none"/>
                <w:lang w:eastAsia="zh-CN" w:bidi="ar"/>
              </w:rPr>
              <w:t>贮存库</w:t>
            </w:r>
            <w:r>
              <w:rPr>
                <w:color w:val="auto"/>
                <w:spacing w:val="6"/>
                <w:sz w:val="24"/>
                <w:highlight w:val="none"/>
                <w:lang w:bidi="ar"/>
              </w:rPr>
              <w:t>于</w:t>
            </w:r>
            <w:r>
              <w:rPr>
                <w:rFonts w:hint="eastAsia"/>
                <w:color w:val="auto"/>
                <w:spacing w:val="6"/>
                <w:sz w:val="24"/>
                <w:highlight w:val="none"/>
                <w:lang w:val="en-US" w:eastAsia="zh-CN" w:bidi="ar"/>
              </w:rPr>
              <w:t>办公区内</w:t>
            </w:r>
            <w:r>
              <w:rPr>
                <w:color w:val="auto"/>
                <w:spacing w:val="6"/>
                <w:sz w:val="24"/>
                <w:highlight w:val="none"/>
                <w:lang w:bidi="ar"/>
              </w:rPr>
              <w:t>，面积约</w:t>
            </w:r>
            <w:r>
              <w:rPr>
                <w:rFonts w:hint="eastAsia"/>
                <w:color w:val="auto"/>
                <w:spacing w:val="6"/>
                <w:sz w:val="24"/>
                <w:highlight w:val="none"/>
                <w:lang w:val="en-US" w:eastAsia="zh-CN" w:bidi="ar"/>
              </w:rPr>
              <w:t>2</w:t>
            </w:r>
            <w:r>
              <w:rPr>
                <w:color w:val="auto"/>
                <w:spacing w:val="6"/>
                <w:sz w:val="24"/>
                <w:highlight w:val="none"/>
                <w:lang w:bidi="ar"/>
              </w:rPr>
              <w:t>m</w:t>
            </w:r>
            <w:r>
              <w:rPr>
                <w:color w:val="auto"/>
                <w:spacing w:val="6"/>
                <w:sz w:val="24"/>
                <w:highlight w:val="none"/>
                <w:vertAlign w:val="superscript"/>
                <w:lang w:bidi="ar"/>
              </w:rPr>
              <w:t>2</w:t>
            </w:r>
            <w:r>
              <w:rPr>
                <w:rFonts w:hint="eastAsia"/>
                <w:color w:val="auto"/>
                <w:spacing w:val="6"/>
                <w:sz w:val="24"/>
                <w:highlight w:val="none"/>
                <w:lang w:bidi="ar"/>
              </w:rPr>
              <w:t>，</w:t>
            </w:r>
            <w:r>
              <w:rPr>
                <w:color w:val="auto"/>
                <w:sz w:val="24"/>
                <w:highlight w:val="none"/>
              </w:rPr>
              <w:t>按照《危险废物贮存污染控制标准》（GB18597-20</w:t>
            </w:r>
            <w:r>
              <w:rPr>
                <w:rFonts w:hint="eastAsia"/>
                <w:color w:val="auto"/>
                <w:sz w:val="24"/>
                <w:highlight w:val="none"/>
                <w:lang w:val="en-US" w:eastAsia="zh-CN"/>
              </w:rPr>
              <w:t>23</w:t>
            </w:r>
            <w:r>
              <w:rPr>
                <w:color w:val="auto"/>
                <w:sz w:val="24"/>
                <w:highlight w:val="none"/>
              </w:rPr>
              <w:t>）中有关要求进行防渗处理，防渗层至少为1m厚粘土层（渗透系数≤10</w:t>
            </w:r>
            <w:r>
              <w:rPr>
                <w:color w:val="auto"/>
                <w:sz w:val="24"/>
                <w:highlight w:val="none"/>
                <w:vertAlign w:val="superscript"/>
              </w:rPr>
              <w:t>-7</w:t>
            </w:r>
            <w:r>
              <w:rPr>
                <w:color w:val="auto"/>
                <w:sz w:val="24"/>
                <w:highlight w:val="none"/>
              </w:rPr>
              <w:t>cm/s）或2mm厚高密度聚乙烯，或至少2mm厚的其它人工材料，渗透系数≤10</w:t>
            </w:r>
            <w:r>
              <w:rPr>
                <w:color w:val="auto"/>
                <w:sz w:val="24"/>
                <w:highlight w:val="none"/>
                <w:vertAlign w:val="superscript"/>
              </w:rPr>
              <w:t>-10</w:t>
            </w:r>
            <w:r>
              <w:rPr>
                <w:color w:val="auto"/>
                <w:sz w:val="24"/>
                <w:highlight w:val="none"/>
              </w:rPr>
              <w:t>cm/s</w:t>
            </w:r>
            <w:r>
              <w:rPr>
                <w:rFonts w:hint="eastAsia"/>
                <w:color w:val="auto"/>
                <w:sz w:val="24"/>
                <w:highlight w:val="none"/>
              </w:rPr>
              <w:t>。</w:t>
            </w:r>
          </w:p>
          <w:p w14:paraId="65A3F053">
            <w:pPr>
              <w:keepNext w:val="0"/>
              <w:keepLines w:val="0"/>
              <w:pageBreakBefore w:val="0"/>
              <w:kinsoku/>
              <w:wordWrap/>
              <w:overflowPunct/>
              <w:topLinePunct w:val="0"/>
              <w:autoSpaceDE/>
              <w:autoSpaceDN/>
              <w:bidi w:val="0"/>
              <w:adjustRightInd/>
              <w:snapToGrid/>
              <w:spacing w:line="360" w:lineRule="auto"/>
              <w:ind w:firstLine="504" w:firstLineChars="200"/>
              <w:jc w:val="both"/>
              <w:textAlignment w:val="auto"/>
              <w:rPr>
                <w:b/>
                <w:bCs/>
                <w:color w:val="auto"/>
                <w:spacing w:val="6"/>
                <w:sz w:val="24"/>
                <w:highlight w:val="none"/>
              </w:rPr>
            </w:pPr>
            <w:r>
              <w:rPr>
                <w:color w:val="auto"/>
                <w:spacing w:val="6"/>
                <w:sz w:val="24"/>
                <w:highlight w:val="none"/>
                <w:lang w:bidi="ar"/>
              </w:rPr>
              <w:t>满足“四防”（防风、防雨、防晒、防渗漏）要求，并设置标示牌。</w:t>
            </w:r>
          </w:p>
          <w:p w14:paraId="2F8E2B40">
            <w:pPr>
              <w:keepNext w:val="0"/>
              <w:keepLines w:val="0"/>
              <w:pageBreakBefore w:val="0"/>
              <w:kinsoku/>
              <w:wordWrap/>
              <w:overflowPunct/>
              <w:topLinePunct w:val="0"/>
              <w:autoSpaceDE/>
              <w:autoSpaceDN/>
              <w:bidi w:val="0"/>
              <w:adjustRightInd/>
              <w:snapToGrid/>
              <w:spacing w:line="360" w:lineRule="auto"/>
              <w:ind w:firstLine="504" w:firstLineChars="200"/>
              <w:jc w:val="both"/>
              <w:textAlignment w:val="auto"/>
              <w:rPr>
                <w:color w:val="auto"/>
                <w:kern w:val="0"/>
                <w:sz w:val="24"/>
                <w:highlight w:val="none"/>
              </w:rPr>
            </w:pPr>
            <w:r>
              <w:rPr>
                <w:color w:val="auto"/>
                <w:spacing w:val="6"/>
                <w:sz w:val="24"/>
                <w:highlight w:val="none"/>
                <w:lang w:bidi="ar"/>
              </w:rPr>
              <w:t>危险废物</w:t>
            </w:r>
            <w:r>
              <w:rPr>
                <w:rFonts w:hint="eastAsia"/>
                <w:color w:val="auto"/>
                <w:spacing w:val="6"/>
                <w:sz w:val="24"/>
                <w:highlight w:val="none"/>
                <w:lang w:eastAsia="zh-CN" w:bidi="ar"/>
              </w:rPr>
              <w:t>贮存库</w:t>
            </w:r>
            <w:r>
              <w:rPr>
                <w:color w:val="auto"/>
                <w:spacing w:val="6"/>
                <w:sz w:val="24"/>
                <w:highlight w:val="none"/>
                <w:lang w:bidi="ar"/>
              </w:rPr>
              <w:t>配备通讯设备、照明设施、安全防护服装及工具，并设有应急防护设施。防止渗漏造成二次污染。</w:t>
            </w:r>
          </w:p>
          <w:p w14:paraId="7D602FAD">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bCs/>
                <w:color w:val="auto"/>
                <w:kern w:val="0"/>
                <w:sz w:val="24"/>
                <w:highlight w:val="none"/>
                <w:lang w:bidi="ar"/>
              </w:rPr>
            </w:pPr>
            <w:r>
              <w:rPr>
                <w:bCs/>
                <w:color w:val="auto"/>
                <w:kern w:val="0"/>
                <w:sz w:val="24"/>
                <w:highlight w:val="none"/>
                <w:lang w:bidi="ar"/>
              </w:rPr>
              <w:t>（</w:t>
            </w:r>
            <w:r>
              <w:rPr>
                <w:rFonts w:hint="eastAsia"/>
                <w:bCs/>
                <w:color w:val="auto"/>
                <w:kern w:val="0"/>
                <w:sz w:val="24"/>
                <w:highlight w:val="none"/>
                <w:lang w:val="en-US" w:eastAsia="zh-CN" w:bidi="ar"/>
              </w:rPr>
              <w:t>4</w:t>
            </w:r>
            <w:r>
              <w:rPr>
                <w:bCs/>
                <w:color w:val="auto"/>
                <w:kern w:val="0"/>
                <w:sz w:val="24"/>
                <w:highlight w:val="none"/>
                <w:lang w:bidi="ar"/>
              </w:rPr>
              <w:t>）危险废物的收集、厂内转运</w:t>
            </w:r>
            <w:r>
              <w:rPr>
                <w:rFonts w:hint="eastAsia"/>
                <w:bCs/>
                <w:color w:val="auto"/>
                <w:kern w:val="0"/>
                <w:sz w:val="24"/>
                <w:highlight w:val="none"/>
                <w:lang w:bidi="ar"/>
              </w:rPr>
              <w:t>、道路运输</w:t>
            </w:r>
            <w:r>
              <w:rPr>
                <w:bCs/>
                <w:color w:val="auto"/>
                <w:kern w:val="0"/>
                <w:sz w:val="24"/>
                <w:highlight w:val="none"/>
                <w:lang w:bidi="ar"/>
              </w:rPr>
              <w:t>措施</w:t>
            </w:r>
          </w:p>
          <w:p w14:paraId="29267D97">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sz w:val="24"/>
                <w:highlight w:val="none"/>
              </w:rPr>
            </w:pPr>
            <w:r>
              <w:rPr>
                <w:rFonts w:hint="eastAsia"/>
                <w:color w:val="auto"/>
                <w:sz w:val="24"/>
                <w:highlight w:val="none"/>
              </w:rPr>
              <w:t>本项目</w:t>
            </w:r>
            <w:r>
              <w:rPr>
                <w:color w:val="auto"/>
                <w:sz w:val="24"/>
                <w:highlight w:val="none"/>
              </w:rPr>
              <w:t>收集贮存产生的废活性炭不进行危险废物的转移和处置，</w:t>
            </w:r>
            <w:r>
              <w:rPr>
                <w:rFonts w:hint="eastAsia"/>
                <w:color w:val="auto"/>
                <w:sz w:val="24"/>
                <w:highlight w:val="none"/>
              </w:rPr>
              <w:t>袋装收集</w:t>
            </w:r>
            <w:r>
              <w:rPr>
                <w:color w:val="auto"/>
                <w:sz w:val="24"/>
                <w:highlight w:val="none"/>
              </w:rPr>
              <w:t>收集贮存</w:t>
            </w:r>
            <w:r>
              <w:rPr>
                <w:rFonts w:hint="eastAsia"/>
                <w:color w:val="auto"/>
                <w:sz w:val="24"/>
                <w:highlight w:val="none"/>
              </w:rPr>
              <w:t>至</w:t>
            </w:r>
            <w:r>
              <w:rPr>
                <w:color w:val="auto"/>
                <w:sz w:val="24"/>
                <w:highlight w:val="none"/>
              </w:rPr>
              <w:t>危险废物</w:t>
            </w:r>
            <w:r>
              <w:rPr>
                <w:rFonts w:hint="eastAsia"/>
                <w:color w:val="auto"/>
                <w:sz w:val="24"/>
                <w:highlight w:val="none"/>
                <w:lang w:eastAsia="zh-CN"/>
              </w:rPr>
              <w:t>贮存库</w:t>
            </w:r>
            <w:r>
              <w:rPr>
                <w:rFonts w:hint="eastAsia"/>
                <w:color w:val="auto"/>
                <w:sz w:val="24"/>
                <w:highlight w:val="none"/>
              </w:rPr>
              <w:t>，</w:t>
            </w:r>
            <w:r>
              <w:rPr>
                <w:color w:val="auto"/>
                <w:sz w:val="24"/>
                <w:highlight w:val="none"/>
              </w:rPr>
              <w:t>由有资质的单位运输处置。</w:t>
            </w:r>
            <w:r>
              <w:rPr>
                <w:rFonts w:hint="eastAsia"/>
                <w:color w:val="auto"/>
                <w:sz w:val="24"/>
                <w:highlight w:val="none"/>
              </w:rPr>
              <w:t>本项目</w:t>
            </w:r>
            <w:r>
              <w:rPr>
                <w:color w:val="auto"/>
                <w:sz w:val="24"/>
                <w:highlight w:val="none"/>
              </w:rPr>
              <w:t>应严格按照《危险废物收集贮存运输技术规范》（HJ2025-2012）等要求收集、贮存。</w:t>
            </w:r>
          </w:p>
          <w:p w14:paraId="11598A7F">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kern w:val="21"/>
                <w:sz w:val="24"/>
                <w:highlight w:val="none"/>
              </w:rPr>
            </w:pPr>
            <w:r>
              <w:rPr>
                <w:color w:val="auto"/>
                <w:kern w:val="21"/>
                <w:sz w:val="24"/>
                <w:highlight w:val="none"/>
              </w:rPr>
              <w:t>①</w:t>
            </w:r>
            <w:r>
              <w:rPr>
                <w:color w:val="auto"/>
                <w:sz w:val="24"/>
                <w:highlight w:val="none"/>
              </w:rPr>
              <w:t>危险废物的收集措施</w:t>
            </w:r>
          </w:p>
          <w:p w14:paraId="352B322D">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
                <w:szCs w:val="24"/>
                <w:highlight w:val="none"/>
              </w:rPr>
            </w:pPr>
            <w:r>
              <w:rPr>
                <w:rFonts w:ascii="Times New Roman" w:hAnsi="Times New Roman"/>
                <w:color w:val="auto"/>
                <w:kern w:val="2"/>
                <w:szCs w:val="24"/>
                <w:highlight w:val="none"/>
              </w:rPr>
              <w:t>1）应根据收集设备、转运车辆以及现场人员等实际情况确定相应作业区域，同时要设置作业界限标志和警示牌。</w:t>
            </w:r>
          </w:p>
          <w:p w14:paraId="1AFDDD45">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
                <w:szCs w:val="24"/>
                <w:highlight w:val="none"/>
              </w:rPr>
            </w:pPr>
            <w:r>
              <w:rPr>
                <w:rFonts w:ascii="Times New Roman" w:hAnsi="Times New Roman"/>
                <w:color w:val="auto"/>
                <w:kern w:val="2"/>
                <w:szCs w:val="24"/>
                <w:highlight w:val="none"/>
              </w:rPr>
              <w:t>2）作业区域内应设置危险废物收集专用通道和人员避险通道。</w:t>
            </w:r>
          </w:p>
          <w:p w14:paraId="098877EB">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
                <w:szCs w:val="24"/>
                <w:highlight w:val="none"/>
              </w:rPr>
            </w:pPr>
            <w:r>
              <w:rPr>
                <w:rFonts w:ascii="Times New Roman" w:hAnsi="Times New Roman"/>
                <w:color w:val="auto"/>
                <w:kern w:val="2"/>
                <w:szCs w:val="24"/>
                <w:highlight w:val="none"/>
              </w:rPr>
              <w:t>3）收集时应配备必要的收集工具和包装物，以及必要的应急监测设备及应急装备。</w:t>
            </w:r>
          </w:p>
          <w:p w14:paraId="4EE45464">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
                <w:szCs w:val="24"/>
                <w:highlight w:val="none"/>
              </w:rPr>
            </w:pPr>
            <w:r>
              <w:rPr>
                <w:rFonts w:ascii="Times New Roman" w:hAnsi="Times New Roman"/>
                <w:color w:val="auto"/>
                <w:kern w:val="2"/>
                <w:szCs w:val="24"/>
                <w:highlight w:val="none"/>
              </w:rPr>
              <w:t>4）危险废物收集应参照本标准附录A填写记录表，并将记录表作为危险废物管理的重要档案妥善保存。</w:t>
            </w:r>
          </w:p>
          <w:p w14:paraId="099E7D40">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
                <w:szCs w:val="24"/>
                <w:highlight w:val="none"/>
              </w:rPr>
            </w:pPr>
            <w:r>
              <w:rPr>
                <w:rFonts w:ascii="Times New Roman" w:hAnsi="Times New Roman"/>
                <w:color w:val="auto"/>
                <w:kern w:val="2"/>
                <w:szCs w:val="24"/>
                <w:highlight w:val="none"/>
              </w:rPr>
              <w:t>5）收集结束后应清理和恢复收集作业区域，确保作业区域环境整洁安全。</w:t>
            </w:r>
          </w:p>
          <w:p w14:paraId="3F072796">
            <w:pPr>
              <w:pStyle w:val="26"/>
              <w:keepNext w:val="0"/>
              <w:keepLines w:val="0"/>
              <w:pageBreakBefore w:val="0"/>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rPr>
                <w:rFonts w:ascii="Times New Roman" w:hAnsi="Times New Roman"/>
                <w:color w:val="auto"/>
                <w:kern w:val="21"/>
                <w:szCs w:val="24"/>
                <w:highlight w:val="none"/>
              </w:rPr>
            </w:pPr>
            <w:r>
              <w:rPr>
                <w:rFonts w:ascii="Times New Roman" w:hAnsi="Times New Roman"/>
                <w:color w:val="auto"/>
                <w:kern w:val="2"/>
                <w:szCs w:val="24"/>
                <w:highlight w:val="none"/>
              </w:rPr>
              <w:t>6）收集过危险废物的容器、设备、设施、场所及其它物品转作它用时，应消除污染，确保其使用安全。</w:t>
            </w:r>
          </w:p>
          <w:p w14:paraId="14F36015">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kern w:val="21"/>
                <w:sz w:val="24"/>
                <w:highlight w:val="none"/>
              </w:rPr>
            </w:pPr>
            <w:r>
              <w:rPr>
                <w:color w:val="auto"/>
                <w:kern w:val="21"/>
                <w:sz w:val="24"/>
                <w:highlight w:val="none"/>
              </w:rPr>
              <w:t>②厂内转运</w:t>
            </w:r>
            <w:r>
              <w:rPr>
                <w:color w:val="auto"/>
                <w:sz w:val="24"/>
                <w:highlight w:val="none"/>
              </w:rPr>
              <w:t>措施</w:t>
            </w:r>
          </w:p>
          <w:p w14:paraId="48CBC267">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kern w:val="21"/>
                <w:sz w:val="24"/>
                <w:highlight w:val="none"/>
              </w:rPr>
            </w:pPr>
            <w:r>
              <w:rPr>
                <w:color w:val="auto"/>
                <w:kern w:val="21"/>
                <w:sz w:val="24"/>
                <w:highlight w:val="none"/>
              </w:rPr>
              <w:t>1）危险废物内部转运应综合考虑厂区的实际情况确定转运路线，尽量劈开办公区和生活区。</w:t>
            </w:r>
          </w:p>
          <w:p w14:paraId="3164F29D">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kern w:val="21"/>
                <w:sz w:val="24"/>
                <w:highlight w:val="none"/>
              </w:rPr>
            </w:pPr>
            <w:r>
              <w:rPr>
                <w:color w:val="auto"/>
                <w:kern w:val="21"/>
                <w:sz w:val="24"/>
                <w:highlight w:val="none"/>
              </w:rPr>
              <w:t>2）危险废物内部转运作业应采用专用的工具，危险废物内部转运应参照下表填写《危险废物场内转运记录表》。</w:t>
            </w:r>
          </w:p>
          <w:p w14:paraId="469832EE">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color w:val="auto"/>
                <w:sz w:val="24"/>
                <w:highlight w:val="none"/>
              </w:rPr>
            </w:pPr>
            <w:r>
              <w:rPr>
                <w:color w:val="auto"/>
                <w:kern w:val="21"/>
                <w:sz w:val="24"/>
                <w:highlight w:val="none"/>
              </w:rPr>
              <w:t>3）危险废物内部转运结束后，应对转运路线进行检查和清理，确保无危险废物遗失在转运路线上。</w:t>
            </w:r>
          </w:p>
          <w:p w14:paraId="4349CF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sz w:val="24"/>
                <w:highlight w:val="none"/>
              </w:rPr>
            </w:pPr>
            <w:r>
              <w:rPr>
                <w:color w:val="auto"/>
                <w:sz w:val="24"/>
                <w:highlight w:val="none"/>
              </w:rPr>
              <w:t>综上所述</w:t>
            </w:r>
            <w:r>
              <w:rPr>
                <w:color w:val="auto"/>
                <w:spacing w:val="-29"/>
                <w:sz w:val="24"/>
                <w:highlight w:val="none"/>
              </w:rPr>
              <w:t>，</w:t>
            </w:r>
            <w:r>
              <w:rPr>
                <w:color w:val="auto"/>
                <w:sz w:val="24"/>
                <w:highlight w:val="none"/>
              </w:rPr>
              <w:t>只要在营运后做好固废的收集</w:t>
            </w:r>
            <w:r>
              <w:rPr>
                <w:color w:val="auto"/>
                <w:spacing w:val="-29"/>
                <w:sz w:val="24"/>
                <w:highlight w:val="none"/>
              </w:rPr>
              <w:t>、</w:t>
            </w:r>
            <w:r>
              <w:rPr>
                <w:color w:val="auto"/>
                <w:sz w:val="24"/>
                <w:highlight w:val="none"/>
              </w:rPr>
              <w:t>管理及处置工作</w:t>
            </w:r>
            <w:r>
              <w:rPr>
                <w:color w:val="auto"/>
                <w:spacing w:val="-29"/>
                <w:sz w:val="24"/>
                <w:highlight w:val="none"/>
              </w:rPr>
              <w:t>，</w:t>
            </w:r>
            <w:r>
              <w:rPr>
                <w:color w:val="auto"/>
                <w:sz w:val="24"/>
                <w:highlight w:val="none"/>
              </w:rPr>
              <w:t>并加强对委托代处理单位的有效监督</w:t>
            </w:r>
            <w:r>
              <w:rPr>
                <w:color w:val="auto"/>
                <w:spacing w:val="-44"/>
                <w:sz w:val="24"/>
                <w:highlight w:val="none"/>
              </w:rPr>
              <w:t>，</w:t>
            </w:r>
            <w:r>
              <w:rPr>
                <w:color w:val="auto"/>
                <w:sz w:val="24"/>
                <w:highlight w:val="none"/>
              </w:rPr>
              <w:t>该项目产生的固废不会造成二次污染</w:t>
            </w:r>
            <w:r>
              <w:rPr>
                <w:color w:val="auto"/>
                <w:spacing w:val="-44"/>
                <w:sz w:val="24"/>
                <w:highlight w:val="none"/>
              </w:rPr>
              <w:t>。</w:t>
            </w:r>
            <w:r>
              <w:rPr>
                <w:color w:val="auto"/>
                <w:sz w:val="24"/>
                <w:highlight w:val="none"/>
              </w:rPr>
              <w:t>本项目营运期固废均能得到妥善处理处置，对环境影响很小。</w:t>
            </w:r>
          </w:p>
          <w:p w14:paraId="51D0202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b/>
                <w:bCs w:val="0"/>
                <w:color w:val="auto"/>
                <w:sz w:val="24"/>
                <w:highlight w:val="none"/>
              </w:rPr>
            </w:pPr>
            <w:r>
              <w:rPr>
                <w:rFonts w:hint="eastAsia"/>
                <w:b/>
                <w:bCs w:val="0"/>
                <w:color w:val="auto"/>
                <w:sz w:val="24"/>
                <w:highlight w:val="none"/>
                <w:lang w:eastAsia="zh-CN"/>
              </w:rPr>
              <w:t>五</w:t>
            </w:r>
            <w:r>
              <w:rPr>
                <w:rFonts w:hint="eastAsia"/>
                <w:b/>
                <w:bCs w:val="0"/>
                <w:color w:val="auto"/>
                <w:sz w:val="24"/>
                <w:highlight w:val="none"/>
              </w:rPr>
              <w:t>、运输路线污染防治措施</w:t>
            </w:r>
          </w:p>
          <w:p w14:paraId="7BE7441E">
            <w:pPr>
              <w:pStyle w:val="138"/>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本项目场内运输路进行硬化建设，建设单位在生产过程中要加强道路养护，保障路面平整，控制汽车行驶速度，并对矿区道路采取洒水措施，可有效降低汽车运输的起尘量。</w:t>
            </w:r>
          </w:p>
          <w:p w14:paraId="3A04E9BF">
            <w:pPr>
              <w:pStyle w:val="138"/>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厂区</w:t>
            </w:r>
            <w:r>
              <w:rPr>
                <w:rFonts w:hint="eastAsia" w:ascii="Times New Roman" w:hAnsi="Times New Roman" w:cs="Times New Roman"/>
                <w:color w:val="auto"/>
                <w:sz w:val="24"/>
                <w:highlight w:val="none"/>
              </w:rPr>
              <w:t>外运输道路沿线经过</w:t>
            </w:r>
            <w:r>
              <w:rPr>
                <w:rFonts w:hint="eastAsia" w:ascii="Times New Roman" w:hAnsi="Times New Roman" w:cs="Times New Roman"/>
                <w:color w:val="auto"/>
                <w:sz w:val="24"/>
                <w:highlight w:val="none"/>
                <w:lang w:eastAsia="zh-CN"/>
              </w:rPr>
              <w:t>村庄和城镇</w:t>
            </w:r>
            <w:r>
              <w:rPr>
                <w:rFonts w:hint="eastAsia" w:ascii="Times New Roman" w:hAnsi="Times New Roman" w:cs="Times New Roman"/>
                <w:color w:val="auto"/>
                <w:sz w:val="24"/>
                <w:highlight w:val="none"/>
              </w:rPr>
              <w:t>，在运输过程中，车辆行驶产生的噪声及</w:t>
            </w:r>
            <w:r>
              <w:rPr>
                <w:rFonts w:hint="eastAsia" w:ascii="Times New Roman" w:hAnsi="Times New Roman" w:cs="Times New Roman"/>
                <w:color w:val="auto"/>
                <w:sz w:val="24"/>
                <w:highlight w:val="none"/>
                <w:lang w:eastAsia="zh-CN"/>
              </w:rPr>
              <w:t>粉尘</w:t>
            </w:r>
            <w:r>
              <w:rPr>
                <w:rFonts w:hint="eastAsia" w:ascii="Times New Roman" w:hAnsi="Times New Roman" w:cs="Times New Roman"/>
                <w:color w:val="auto"/>
                <w:sz w:val="24"/>
                <w:highlight w:val="none"/>
              </w:rPr>
              <w:t>对生态环境也可能产生一定的影响</w:t>
            </w:r>
            <w:r>
              <w:rPr>
                <w:rFonts w:hint="eastAsia" w:ascii="Times New Roman" w:hAnsi="Times New Roman" w:cs="Times New Roman"/>
                <w:color w:val="auto"/>
                <w:sz w:val="24"/>
                <w:highlight w:val="none"/>
                <w:lang w:eastAsia="zh-CN"/>
              </w:rPr>
              <w:t>。</w:t>
            </w:r>
          </w:p>
          <w:p w14:paraId="42A64FA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Cs/>
                <w:color w:val="auto"/>
                <w:sz w:val="24"/>
                <w:highlight w:val="none"/>
              </w:rPr>
            </w:pPr>
            <w:r>
              <w:rPr>
                <w:rFonts w:hint="eastAsia"/>
                <w:bCs/>
                <w:color w:val="auto"/>
                <w:sz w:val="24"/>
                <w:highlight w:val="none"/>
              </w:rPr>
              <w:t>本项目运输路线所经过敏感点行驶的道路为水泥路面。本项目运输过程中要加强道路养护，保障路面平整，控制汽车行驶速度，运输车辆采用苫布苫盖，可有效降低汽车运输的起尘量，运输产生的扬尘对穿越村庄</w:t>
            </w:r>
            <w:r>
              <w:rPr>
                <w:rFonts w:hint="eastAsia"/>
                <w:bCs/>
                <w:color w:val="auto"/>
                <w:sz w:val="24"/>
                <w:highlight w:val="none"/>
                <w:lang w:eastAsia="zh-CN"/>
              </w:rPr>
              <w:t>、城镇</w:t>
            </w:r>
            <w:r>
              <w:rPr>
                <w:rFonts w:hint="eastAsia"/>
                <w:bCs/>
                <w:color w:val="auto"/>
                <w:sz w:val="24"/>
                <w:highlight w:val="none"/>
              </w:rPr>
              <w:t>环境空气的影响较小。</w:t>
            </w:r>
          </w:p>
          <w:p w14:paraId="67FC6C9D">
            <w:pPr>
              <w:spacing w:line="360" w:lineRule="auto"/>
              <w:ind w:firstLine="480" w:firstLineChars="200"/>
              <w:rPr>
                <w:bCs/>
                <w:color w:val="auto"/>
                <w:sz w:val="24"/>
                <w:highlight w:val="none"/>
              </w:rPr>
            </w:pPr>
            <w:r>
              <w:rPr>
                <w:bCs/>
                <w:color w:val="auto"/>
                <w:sz w:val="24"/>
                <w:highlight w:val="none"/>
              </w:rPr>
              <w:t>禁止使用超过噪声限值的运输车辆，机动车辆必须加强维修和保养，保持技术性能良好，在经过运输道路沿途村落时，应限制鸣笛，限制行驶速度，合理安排运输车辆工作时间，避免交通噪声对沿途村庄</w:t>
            </w:r>
            <w:r>
              <w:rPr>
                <w:rFonts w:hint="eastAsia"/>
                <w:bCs/>
                <w:color w:val="auto"/>
                <w:sz w:val="24"/>
                <w:highlight w:val="none"/>
                <w:lang w:eastAsia="zh-CN"/>
              </w:rPr>
              <w:t>、城镇</w:t>
            </w:r>
            <w:r>
              <w:rPr>
                <w:bCs/>
                <w:color w:val="auto"/>
                <w:sz w:val="24"/>
                <w:highlight w:val="none"/>
              </w:rPr>
              <w:t>产生影响。</w:t>
            </w:r>
          </w:p>
          <w:p w14:paraId="2485F52E">
            <w:pPr>
              <w:spacing w:line="360" w:lineRule="auto"/>
              <w:ind w:firstLine="482" w:firstLineChars="200"/>
              <w:rPr>
                <w:b/>
                <w:bCs/>
                <w:color w:val="auto"/>
                <w:sz w:val="24"/>
                <w:szCs w:val="22"/>
              </w:rPr>
            </w:pPr>
            <w:r>
              <w:rPr>
                <w:rFonts w:hint="eastAsia"/>
                <w:b/>
                <w:bCs/>
                <w:color w:val="auto"/>
                <w:sz w:val="24"/>
                <w:szCs w:val="22"/>
                <w:lang w:eastAsia="zh-CN"/>
              </w:rPr>
              <w:t>六</w:t>
            </w:r>
            <w:r>
              <w:rPr>
                <w:b/>
                <w:bCs/>
                <w:color w:val="auto"/>
                <w:sz w:val="24"/>
                <w:szCs w:val="22"/>
              </w:rPr>
              <w:t>、地下水、土壤</w:t>
            </w:r>
          </w:p>
          <w:p w14:paraId="2344B9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2"/>
              </w:rPr>
            </w:pPr>
            <w:r>
              <w:rPr>
                <w:color w:val="auto"/>
                <w:sz w:val="24"/>
                <w:szCs w:val="22"/>
              </w:rPr>
              <w:t>本项目不存在土壤、地下水环境污染途径，运营期无地下水、土壤跟踪监测要求。</w:t>
            </w:r>
          </w:p>
          <w:p w14:paraId="560BA5A8">
            <w:pPr>
              <w:spacing w:line="360" w:lineRule="auto"/>
              <w:ind w:firstLine="482" w:firstLineChars="200"/>
              <w:rPr>
                <w:b/>
                <w:bCs/>
                <w:color w:val="auto"/>
                <w:sz w:val="24"/>
                <w:szCs w:val="22"/>
              </w:rPr>
            </w:pPr>
            <w:r>
              <w:rPr>
                <w:rFonts w:hint="eastAsia"/>
                <w:b/>
                <w:bCs/>
                <w:color w:val="auto"/>
                <w:sz w:val="24"/>
                <w:szCs w:val="22"/>
                <w:lang w:eastAsia="zh-CN"/>
              </w:rPr>
              <w:t>七</w:t>
            </w:r>
            <w:r>
              <w:rPr>
                <w:b/>
                <w:bCs/>
                <w:color w:val="auto"/>
                <w:sz w:val="24"/>
                <w:szCs w:val="22"/>
              </w:rPr>
              <w:t>、生态</w:t>
            </w:r>
          </w:p>
          <w:p w14:paraId="4141D8C1">
            <w:pPr>
              <w:spacing w:line="360" w:lineRule="auto"/>
              <w:ind w:firstLine="480" w:firstLineChars="200"/>
              <w:rPr>
                <w:color w:val="auto"/>
                <w:sz w:val="24"/>
                <w:szCs w:val="22"/>
              </w:rPr>
            </w:pPr>
            <w:r>
              <w:rPr>
                <w:color w:val="auto"/>
                <w:sz w:val="24"/>
                <w:szCs w:val="22"/>
              </w:rPr>
              <w:t>本项目占地范围内无特殊生态敏感区及重要生态敏感区等生态环境保护目标，对周边生态环境影响较小，无需设置相应生态环境保护措施。</w:t>
            </w:r>
          </w:p>
          <w:p w14:paraId="1011A094">
            <w:pPr>
              <w:spacing w:line="360" w:lineRule="auto"/>
              <w:ind w:firstLine="482" w:firstLineChars="200"/>
              <w:rPr>
                <w:b/>
                <w:bCs/>
                <w:color w:val="auto"/>
                <w:sz w:val="24"/>
                <w:szCs w:val="22"/>
              </w:rPr>
            </w:pPr>
            <w:r>
              <w:rPr>
                <w:rFonts w:hint="eastAsia"/>
                <w:b/>
                <w:bCs/>
                <w:color w:val="auto"/>
                <w:sz w:val="24"/>
                <w:szCs w:val="22"/>
                <w:lang w:eastAsia="zh-CN"/>
              </w:rPr>
              <w:t>八</w:t>
            </w:r>
            <w:r>
              <w:rPr>
                <w:b/>
                <w:bCs/>
                <w:color w:val="auto"/>
                <w:sz w:val="24"/>
                <w:szCs w:val="22"/>
              </w:rPr>
              <w:t>、环境风险</w:t>
            </w:r>
          </w:p>
          <w:p w14:paraId="45E307AB">
            <w:pPr>
              <w:spacing w:line="360" w:lineRule="auto"/>
              <w:ind w:firstLine="480" w:firstLineChars="200"/>
              <w:rPr>
                <w:color w:val="auto"/>
                <w:sz w:val="24"/>
                <w:szCs w:val="22"/>
              </w:rPr>
            </w:pPr>
            <w:r>
              <w:rPr>
                <w:color w:val="auto"/>
                <w:sz w:val="24"/>
                <w:szCs w:val="22"/>
              </w:rPr>
              <w:t>本项目不涉及有毒有害及易燃易爆等危险物质和风险源，无需设置相应环境风险防范措施。</w:t>
            </w:r>
          </w:p>
          <w:p w14:paraId="5429F9B1">
            <w:pPr>
              <w:spacing w:line="360" w:lineRule="auto"/>
              <w:ind w:firstLine="482" w:firstLineChars="200"/>
              <w:rPr>
                <w:rFonts w:hint="eastAsia"/>
                <w:b/>
                <w:bCs/>
                <w:color w:val="auto"/>
                <w:sz w:val="24"/>
                <w:highlight w:val="none"/>
                <w:lang w:eastAsia="zh-CN"/>
              </w:rPr>
            </w:pPr>
            <w:r>
              <w:rPr>
                <w:rFonts w:hint="eastAsia"/>
                <w:b/>
                <w:bCs/>
                <w:color w:val="auto"/>
                <w:sz w:val="24"/>
                <w:highlight w:val="none"/>
                <w:lang w:eastAsia="zh-CN"/>
              </w:rPr>
              <w:t>九、扩建后全厂污染物排放总量“三本账”</w:t>
            </w:r>
          </w:p>
          <w:p w14:paraId="1F4117E2">
            <w:pPr>
              <w:spacing w:line="360" w:lineRule="auto"/>
              <w:ind w:firstLine="480" w:firstLineChars="200"/>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eastAsia="zh-CN"/>
              </w:rPr>
              <w:t>本项目扩建完成后，全厂污染物排放总量“三本账”见表</w:t>
            </w:r>
            <w:r>
              <w:rPr>
                <w:rFonts w:hint="eastAsia" w:ascii="Times New Roman" w:hAnsi="Times New Roman" w:eastAsia="宋体" w:cs="Times New Roman"/>
                <w:color w:val="auto"/>
                <w:sz w:val="24"/>
                <w:szCs w:val="22"/>
                <w:lang w:val="en-US" w:eastAsia="zh-CN"/>
              </w:rPr>
              <w:t>4-17。</w:t>
            </w:r>
          </w:p>
          <w:p w14:paraId="10EF2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表4-17全厂污染物排放总量“三本账”表        （单位：t/a）</w:t>
            </w:r>
          </w:p>
          <w:tbl>
            <w:tblPr>
              <w:tblStyle w:val="31"/>
              <w:tblW w:w="491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4"/>
              <w:gridCol w:w="975"/>
              <w:gridCol w:w="996"/>
              <w:gridCol w:w="863"/>
              <w:gridCol w:w="862"/>
              <w:gridCol w:w="888"/>
              <w:gridCol w:w="828"/>
              <w:gridCol w:w="872"/>
              <w:gridCol w:w="957"/>
              <w:gridCol w:w="818"/>
            </w:tblGrid>
            <w:tr w14:paraId="338C1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4" w:type="pct"/>
                  <w:tcBorders>
                    <w:tl2br w:val="nil"/>
                    <w:tr2bl w:val="nil"/>
                  </w:tcBorders>
                  <w:vAlign w:val="center"/>
                </w:tcPr>
                <w:p w14:paraId="58B021B9">
                  <w:pPr>
                    <w:pStyle w:val="87"/>
                    <w:rPr>
                      <w:snapToGrid w:val="0"/>
                      <w:color w:val="auto"/>
                      <w:sz w:val="21"/>
                      <w:szCs w:val="21"/>
                    </w:rPr>
                  </w:pPr>
                  <w:bookmarkStart w:id="12" w:name="_Hlk108599126"/>
                  <w:r>
                    <w:rPr>
                      <w:rFonts w:hint="eastAsia"/>
                      <w:snapToGrid w:val="0"/>
                      <w:color w:val="auto"/>
                      <w:sz w:val="21"/>
                      <w:szCs w:val="21"/>
                    </w:rPr>
                    <w:t>类别</w:t>
                  </w:r>
                </w:p>
              </w:tc>
              <w:tc>
                <w:tcPr>
                  <w:tcW w:w="560" w:type="pct"/>
                  <w:tcBorders>
                    <w:tl2br w:val="nil"/>
                    <w:tr2bl w:val="nil"/>
                  </w:tcBorders>
                  <w:vAlign w:val="center"/>
                </w:tcPr>
                <w:p w14:paraId="05AEC8A1">
                  <w:pPr>
                    <w:pStyle w:val="87"/>
                    <w:rPr>
                      <w:snapToGrid w:val="0"/>
                      <w:color w:val="auto"/>
                      <w:sz w:val="21"/>
                      <w:szCs w:val="21"/>
                    </w:rPr>
                  </w:pPr>
                  <w:r>
                    <w:rPr>
                      <w:rFonts w:hint="eastAsia"/>
                      <w:snapToGrid w:val="0"/>
                      <w:color w:val="auto"/>
                      <w:sz w:val="21"/>
                      <w:szCs w:val="21"/>
                    </w:rPr>
                    <w:t>污染物</w:t>
                  </w:r>
                </w:p>
              </w:tc>
              <w:tc>
                <w:tcPr>
                  <w:tcW w:w="572" w:type="pct"/>
                  <w:tcBorders>
                    <w:tl2br w:val="nil"/>
                    <w:tr2bl w:val="nil"/>
                  </w:tcBorders>
                  <w:vAlign w:val="center"/>
                </w:tcPr>
                <w:p w14:paraId="737FD3AC">
                  <w:pPr>
                    <w:pStyle w:val="87"/>
                    <w:rPr>
                      <w:color w:val="auto"/>
                      <w:sz w:val="21"/>
                      <w:szCs w:val="21"/>
                    </w:rPr>
                  </w:pPr>
                  <w:r>
                    <w:rPr>
                      <w:rFonts w:hint="eastAsia"/>
                      <w:color w:val="auto"/>
                      <w:sz w:val="21"/>
                      <w:szCs w:val="21"/>
                    </w:rPr>
                    <w:t>现有工程实际排放量</w:t>
                  </w:r>
                </w:p>
              </w:tc>
              <w:tc>
                <w:tcPr>
                  <w:tcW w:w="496" w:type="pct"/>
                  <w:tcBorders>
                    <w:tl2br w:val="nil"/>
                    <w:tr2bl w:val="nil"/>
                  </w:tcBorders>
                  <w:vAlign w:val="center"/>
                </w:tcPr>
                <w:p w14:paraId="2B0F913D">
                  <w:pPr>
                    <w:pStyle w:val="87"/>
                    <w:rPr>
                      <w:color w:val="auto"/>
                      <w:sz w:val="21"/>
                      <w:szCs w:val="21"/>
                    </w:rPr>
                  </w:pPr>
                  <w:r>
                    <w:rPr>
                      <w:rFonts w:hint="eastAsia"/>
                      <w:color w:val="auto"/>
                      <w:sz w:val="21"/>
                      <w:szCs w:val="21"/>
                    </w:rPr>
                    <w:t>现有工程核定排放量</w:t>
                  </w:r>
                </w:p>
              </w:tc>
              <w:tc>
                <w:tcPr>
                  <w:tcW w:w="495" w:type="pct"/>
                  <w:tcBorders>
                    <w:tl2br w:val="nil"/>
                    <w:tr2bl w:val="nil"/>
                  </w:tcBorders>
                  <w:vAlign w:val="center"/>
                </w:tcPr>
                <w:p w14:paraId="66C9571F">
                  <w:pPr>
                    <w:pStyle w:val="87"/>
                    <w:rPr>
                      <w:color w:val="auto"/>
                      <w:sz w:val="21"/>
                      <w:szCs w:val="21"/>
                    </w:rPr>
                  </w:pPr>
                  <w:r>
                    <w:rPr>
                      <w:rFonts w:hint="eastAsia"/>
                      <w:color w:val="auto"/>
                      <w:sz w:val="21"/>
                      <w:szCs w:val="21"/>
                    </w:rPr>
                    <w:t>本工程预测排放量</w:t>
                  </w:r>
                </w:p>
              </w:tc>
              <w:tc>
                <w:tcPr>
                  <w:tcW w:w="510" w:type="pct"/>
                  <w:tcBorders>
                    <w:tl2br w:val="nil"/>
                    <w:tr2bl w:val="nil"/>
                  </w:tcBorders>
                  <w:vAlign w:val="center"/>
                </w:tcPr>
                <w:p w14:paraId="7129C6C8">
                  <w:pPr>
                    <w:pStyle w:val="87"/>
                    <w:rPr>
                      <w:color w:val="auto"/>
                      <w:sz w:val="21"/>
                      <w:szCs w:val="21"/>
                    </w:rPr>
                  </w:pPr>
                  <w:r>
                    <w:rPr>
                      <w:rFonts w:hint="eastAsia"/>
                      <w:color w:val="auto"/>
                      <w:sz w:val="21"/>
                      <w:szCs w:val="21"/>
                    </w:rPr>
                    <w:t>本工程核定排放量</w:t>
                  </w:r>
                </w:p>
              </w:tc>
              <w:tc>
                <w:tcPr>
                  <w:tcW w:w="476" w:type="pct"/>
                  <w:tcBorders>
                    <w:tl2br w:val="nil"/>
                    <w:tr2bl w:val="nil"/>
                  </w:tcBorders>
                  <w:vAlign w:val="center"/>
                </w:tcPr>
                <w:p w14:paraId="3ADBD9D7">
                  <w:pPr>
                    <w:pStyle w:val="87"/>
                    <w:rPr>
                      <w:color w:val="auto"/>
                      <w:sz w:val="21"/>
                      <w:szCs w:val="21"/>
                    </w:rPr>
                  </w:pPr>
                  <w:r>
                    <w:rPr>
                      <w:color w:val="auto"/>
                      <w:sz w:val="21"/>
                      <w:szCs w:val="21"/>
                    </w:rPr>
                    <w:t>“</w:t>
                  </w:r>
                  <w:r>
                    <w:rPr>
                      <w:rFonts w:hint="eastAsia"/>
                      <w:color w:val="auto"/>
                      <w:sz w:val="21"/>
                      <w:szCs w:val="21"/>
                    </w:rPr>
                    <w:t>以新带老</w:t>
                  </w:r>
                  <w:r>
                    <w:rPr>
                      <w:color w:val="auto"/>
                      <w:sz w:val="21"/>
                      <w:szCs w:val="21"/>
                    </w:rPr>
                    <w:t>”</w:t>
                  </w:r>
                  <w:r>
                    <w:rPr>
                      <w:rFonts w:hint="eastAsia"/>
                      <w:color w:val="auto"/>
                      <w:sz w:val="21"/>
                      <w:szCs w:val="21"/>
                    </w:rPr>
                    <w:t>削减量</w:t>
                  </w:r>
                </w:p>
              </w:tc>
              <w:tc>
                <w:tcPr>
                  <w:tcW w:w="501" w:type="pct"/>
                  <w:tcBorders>
                    <w:tl2br w:val="nil"/>
                    <w:tr2bl w:val="nil"/>
                  </w:tcBorders>
                  <w:vAlign w:val="center"/>
                </w:tcPr>
                <w:p w14:paraId="5AC53516">
                  <w:pPr>
                    <w:pStyle w:val="54"/>
                    <w:keepNext w:val="0"/>
                    <w:keepLines w:val="0"/>
                    <w:pageBreakBefore w:val="0"/>
                    <w:widowControl w:val="0"/>
                    <w:kinsoku/>
                    <w:wordWrap/>
                    <w:overflowPunct/>
                    <w:topLinePunct w:val="0"/>
                    <w:autoSpaceDE/>
                    <w:autoSpaceDN/>
                    <w:bidi w:val="0"/>
                    <w:spacing w:beforeLines="0" w:afterLines="0" w:line="240" w:lineRule="auto"/>
                    <w:jc w:val="center"/>
                    <w:textAlignment w:val="auto"/>
                    <w:rPr>
                      <w:color w:val="auto"/>
                      <w:sz w:val="21"/>
                      <w:szCs w:val="21"/>
                    </w:rPr>
                  </w:pPr>
                  <w:r>
                    <w:rPr>
                      <w:rFonts w:hint="default" w:ascii="Times New Roman" w:hAnsi="Times New Roman" w:eastAsia="宋体" w:cs="Times New Roman"/>
                      <w:b w:val="0"/>
                      <w:bCs w:val="0"/>
                      <w:snapToGrid w:val="0"/>
                      <w:color w:val="auto"/>
                      <w:spacing w:val="-16"/>
                      <w:kern w:val="21"/>
                      <w:sz w:val="21"/>
                      <w:szCs w:val="21"/>
                    </w:rPr>
                    <w:t>本项目建成后全厂排放量</w:t>
                  </w:r>
                </w:p>
              </w:tc>
              <w:tc>
                <w:tcPr>
                  <w:tcW w:w="550" w:type="pct"/>
                  <w:tcBorders>
                    <w:tl2br w:val="nil"/>
                    <w:tr2bl w:val="nil"/>
                  </w:tcBorders>
                  <w:vAlign w:val="center"/>
                </w:tcPr>
                <w:p w14:paraId="28F24A17">
                  <w:pPr>
                    <w:pStyle w:val="66"/>
                    <w:keepNext w:val="0"/>
                    <w:keepLines w:val="0"/>
                    <w:pageBreakBefore w:val="0"/>
                    <w:widowControl w:val="0"/>
                    <w:kinsoku/>
                    <w:wordWrap/>
                    <w:overflowPunct/>
                    <w:topLinePunct w:val="0"/>
                    <w:autoSpaceDE/>
                    <w:autoSpaceDN/>
                    <w:bidi w:val="0"/>
                    <w:jc w:val="center"/>
                    <w:textAlignment w:val="auto"/>
                    <w:rPr>
                      <w:rFonts w:hint="eastAsia"/>
                      <w:color w:val="auto"/>
                      <w:sz w:val="21"/>
                      <w:szCs w:val="21"/>
                    </w:rPr>
                  </w:pPr>
                  <w:r>
                    <w:rPr>
                      <w:rFonts w:hint="default" w:ascii="Times New Roman" w:hAnsi="Times New Roman" w:eastAsia="宋体" w:cs="Times New Roman"/>
                      <w:b w:val="0"/>
                      <w:bCs w:val="0"/>
                      <w:snapToGrid w:val="0"/>
                      <w:color w:val="auto"/>
                      <w:sz w:val="21"/>
                      <w:szCs w:val="21"/>
                    </w:rPr>
                    <w:t>本项目建成后核定排放量</w:t>
                  </w:r>
                </w:p>
              </w:tc>
              <w:tc>
                <w:tcPr>
                  <w:tcW w:w="470" w:type="pct"/>
                  <w:tcBorders>
                    <w:tl2br w:val="nil"/>
                    <w:tr2bl w:val="nil"/>
                  </w:tcBorders>
                  <w:vAlign w:val="center"/>
                </w:tcPr>
                <w:p w14:paraId="0B5D1CE8">
                  <w:pPr>
                    <w:pStyle w:val="87"/>
                    <w:rPr>
                      <w:color w:val="auto"/>
                      <w:sz w:val="21"/>
                      <w:szCs w:val="21"/>
                    </w:rPr>
                  </w:pPr>
                  <w:r>
                    <w:rPr>
                      <w:rFonts w:hint="eastAsia"/>
                      <w:color w:val="auto"/>
                      <w:sz w:val="21"/>
                      <w:szCs w:val="21"/>
                    </w:rPr>
                    <w:t>增减量变化</w:t>
                  </w:r>
                </w:p>
              </w:tc>
            </w:tr>
            <w:tr w14:paraId="7597D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restart"/>
                  <w:tcBorders>
                    <w:tl2br w:val="nil"/>
                    <w:tr2bl w:val="nil"/>
                  </w:tcBorders>
                  <w:vAlign w:val="center"/>
                </w:tcPr>
                <w:p w14:paraId="097CEB45">
                  <w:pPr>
                    <w:widowControl/>
                    <w:jc w:val="center"/>
                    <w:rPr>
                      <w:snapToGrid w:val="0"/>
                      <w:color w:val="auto"/>
                      <w:kern w:val="0"/>
                      <w:sz w:val="21"/>
                      <w:szCs w:val="21"/>
                    </w:rPr>
                  </w:pPr>
                  <w:r>
                    <w:rPr>
                      <w:rFonts w:hint="eastAsia"/>
                      <w:snapToGrid w:val="0"/>
                      <w:color w:val="auto"/>
                      <w:kern w:val="0"/>
                      <w:sz w:val="21"/>
                      <w:szCs w:val="21"/>
                    </w:rPr>
                    <w:t>废气</w:t>
                  </w:r>
                </w:p>
              </w:tc>
              <w:tc>
                <w:tcPr>
                  <w:tcW w:w="560" w:type="pct"/>
                  <w:tcBorders>
                    <w:tl2br w:val="nil"/>
                    <w:tr2bl w:val="nil"/>
                  </w:tcBorders>
                  <w:vAlign w:val="center"/>
                </w:tcPr>
                <w:p w14:paraId="576C69FA">
                  <w:pPr>
                    <w:pStyle w:val="87"/>
                    <w:rPr>
                      <w:snapToGrid w:val="0"/>
                      <w:color w:val="auto"/>
                      <w:sz w:val="21"/>
                      <w:szCs w:val="21"/>
                      <w:lang w:val="zh-CN"/>
                    </w:rPr>
                  </w:pPr>
                  <w:r>
                    <w:rPr>
                      <w:rFonts w:hint="eastAsia"/>
                      <w:snapToGrid w:val="0"/>
                      <w:color w:val="auto"/>
                      <w:sz w:val="21"/>
                      <w:szCs w:val="21"/>
                      <w:lang w:val="zh-CN"/>
                    </w:rPr>
                    <w:t>颗粒物</w:t>
                  </w:r>
                </w:p>
              </w:tc>
              <w:tc>
                <w:tcPr>
                  <w:tcW w:w="572" w:type="pct"/>
                  <w:tcBorders>
                    <w:tl2br w:val="nil"/>
                    <w:tr2bl w:val="nil"/>
                  </w:tcBorders>
                  <w:vAlign w:val="center"/>
                </w:tcPr>
                <w:p w14:paraId="0FE3C7F2">
                  <w:pPr>
                    <w:pStyle w:val="87"/>
                    <w:rPr>
                      <w:rFonts w:hint="default" w:eastAsia="宋体"/>
                      <w:color w:val="auto"/>
                      <w:sz w:val="21"/>
                      <w:szCs w:val="21"/>
                      <w:lang w:val="en-US" w:eastAsia="zh-CN"/>
                    </w:rPr>
                  </w:pPr>
                  <w:r>
                    <w:rPr>
                      <w:rFonts w:hint="eastAsia"/>
                      <w:color w:val="auto"/>
                      <w:sz w:val="21"/>
                      <w:szCs w:val="21"/>
                      <w:lang w:val="en-US" w:eastAsia="zh-CN"/>
                    </w:rPr>
                    <w:t>0.367</w:t>
                  </w:r>
                </w:p>
              </w:tc>
              <w:tc>
                <w:tcPr>
                  <w:tcW w:w="496" w:type="pct"/>
                  <w:tcBorders>
                    <w:tl2br w:val="nil"/>
                    <w:tr2bl w:val="nil"/>
                  </w:tcBorders>
                  <w:vAlign w:val="center"/>
                </w:tcPr>
                <w:p w14:paraId="56C865F1">
                  <w:pPr>
                    <w:pStyle w:val="87"/>
                    <w:rPr>
                      <w:rFonts w:hint="default" w:eastAsia="宋体"/>
                      <w:color w:val="auto"/>
                      <w:sz w:val="21"/>
                      <w:szCs w:val="21"/>
                      <w:lang w:val="en-US" w:eastAsia="zh-CN"/>
                    </w:rPr>
                  </w:pPr>
                  <w:r>
                    <w:rPr>
                      <w:rFonts w:hint="eastAsia"/>
                      <w:color w:val="auto"/>
                      <w:sz w:val="21"/>
                      <w:szCs w:val="21"/>
                      <w:lang w:val="en-US" w:eastAsia="zh-CN"/>
                    </w:rPr>
                    <w:t>0.438</w:t>
                  </w:r>
                </w:p>
              </w:tc>
              <w:tc>
                <w:tcPr>
                  <w:tcW w:w="495" w:type="pct"/>
                  <w:tcBorders>
                    <w:tl2br w:val="nil"/>
                    <w:tr2bl w:val="nil"/>
                  </w:tcBorders>
                  <w:vAlign w:val="center"/>
                </w:tcPr>
                <w:p w14:paraId="5469F9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0.336</w:t>
                  </w:r>
                </w:p>
              </w:tc>
              <w:tc>
                <w:tcPr>
                  <w:tcW w:w="510" w:type="pct"/>
                  <w:tcBorders>
                    <w:tl2br w:val="nil"/>
                    <w:tr2bl w:val="nil"/>
                  </w:tcBorders>
                  <w:vAlign w:val="center"/>
                </w:tcPr>
                <w:p w14:paraId="6E7FB873">
                  <w:pPr>
                    <w:keepNext w:val="0"/>
                    <w:keepLines w:val="0"/>
                    <w:pageBreakBefore w:val="0"/>
                    <w:widowControl w:val="0"/>
                    <w:kinsoku/>
                    <w:wordWrap/>
                    <w:overflowPunct/>
                    <w:topLinePunct w:val="0"/>
                    <w:autoSpaceDE/>
                    <w:autoSpaceDN/>
                    <w:bidi w:val="0"/>
                    <w:jc w:val="center"/>
                    <w:textAlignment w:val="auto"/>
                    <w:outlineLvl w:val="9"/>
                    <w:rPr>
                      <w:color w:val="auto"/>
                      <w:sz w:val="21"/>
                      <w:szCs w:val="21"/>
                    </w:rPr>
                  </w:pPr>
                  <w:r>
                    <w:rPr>
                      <w:rFonts w:hint="eastAsia"/>
                      <w:color w:val="auto"/>
                      <w:sz w:val="21"/>
                      <w:szCs w:val="21"/>
                      <w:lang w:val="en-US" w:eastAsia="zh-CN"/>
                    </w:rPr>
                    <w:t>0.444</w:t>
                  </w:r>
                </w:p>
              </w:tc>
              <w:tc>
                <w:tcPr>
                  <w:tcW w:w="476" w:type="pct"/>
                  <w:tcBorders>
                    <w:tl2br w:val="nil"/>
                    <w:tr2bl w:val="nil"/>
                  </w:tcBorders>
                  <w:vAlign w:val="center"/>
                </w:tcPr>
                <w:p w14:paraId="243D4758">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5E5315DA">
                  <w:pPr>
                    <w:pStyle w:val="87"/>
                    <w:rPr>
                      <w:rFonts w:hint="default" w:eastAsia="宋体"/>
                      <w:color w:val="auto"/>
                      <w:sz w:val="21"/>
                      <w:szCs w:val="21"/>
                      <w:lang w:val="en-US" w:eastAsia="zh-CN"/>
                    </w:rPr>
                  </w:pPr>
                  <w:r>
                    <w:rPr>
                      <w:rFonts w:hint="eastAsia"/>
                      <w:color w:val="auto"/>
                      <w:sz w:val="21"/>
                      <w:szCs w:val="21"/>
                      <w:lang w:val="en-US" w:eastAsia="zh-CN"/>
                    </w:rPr>
                    <w:t>0.703</w:t>
                  </w:r>
                </w:p>
              </w:tc>
              <w:tc>
                <w:tcPr>
                  <w:tcW w:w="550" w:type="pct"/>
                  <w:tcBorders>
                    <w:tl2br w:val="nil"/>
                    <w:tr2bl w:val="nil"/>
                  </w:tcBorders>
                  <w:vAlign w:val="center"/>
                </w:tcPr>
                <w:p w14:paraId="172160CA">
                  <w:pPr>
                    <w:pStyle w:val="87"/>
                    <w:rPr>
                      <w:rFonts w:hint="default" w:eastAsia="宋体"/>
                      <w:color w:val="auto"/>
                      <w:sz w:val="21"/>
                      <w:szCs w:val="21"/>
                      <w:lang w:val="en-US" w:eastAsia="zh-CN"/>
                    </w:rPr>
                  </w:pPr>
                  <w:r>
                    <w:rPr>
                      <w:rFonts w:hint="eastAsia" w:eastAsia="宋体"/>
                      <w:color w:val="auto"/>
                      <w:sz w:val="21"/>
                      <w:szCs w:val="21"/>
                      <w:lang w:val="en-US" w:eastAsia="zh-CN"/>
                    </w:rPr>
                    <w:t>0.882</w:t>
                  </w:r>
                </w:p>
              </w:tc>
              <w:tc>
                <w:tcPr>
                  <w:tcW w:w="470" w:type="pct"/>
                  <w:tcBorders>
                    <w:tl2br w:val="nil"/>
                    <w:tr2bl w:val="nil"/>
                  </w:tcBorders>
                  <w:vAlign w:val="center"/>
                </w:tcPr>
                <w:p w14:paraId="47A9FE0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+0.336</w:t>
                  </w:r>
                </w:p>
              </w:tc>
            </w:tr>
            <w:tr w14:paraId="38947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2503FFD4">
                  <w:pPr>
                    <w:widowControl/>
                    <w:jc w:val="center"/>
                    <w:rPr>
                      <w:snapToGrid w:val="0"/>
                      <w:color w:val="auto"/>
                      <w:kern w:val="0"/>
                      <w:sz w:val="21"/>
                      <w:szCs w:val="21"/>
                    </w:rPr>
                  </w:pPr>
                </w:p>
              </w:tc>
              <w:tc>
                <w:tcPr>
                  <w:tcW w:w="560" w:type="pct"/>
                  <w:tcBorders>
                    <w:tl2br w:val="nil"/>
                    <w:tr2bl w:val="nil"/>
                  </w:tcBorders>
                  <w:vAlign w:val="center"/>
                </w:tcPr>
                <w:p w14:paraId="552B969D">
                  <w:pPr>
                    <w:pStyle w:val="87"/>
                    <w:rPr>
                      <w:snapToGrid w:val="0"/>
                      <w:color w:val="auto"/>
                      <w:sz w:val="21"/>
                      <w:szCs w:val="21"/>
                      <w:vertAlign w:val="subscript"/>
                      <w:lang w:val="zh-CN"/>
                    </w:rPr>
                  </w:pPr>
                  <w:r>
                    <w:rPr>
                      <w:rFonts w:hint="eastAsia"/>
                      <w:snapToGrid w:val="0"/>
                      <w:color w:val="auto"/>
                      <w:sz w:val="21"/>
                      <w:szCs w:val="21"/>
                      <w:lang w:val="zh-CN"/>
                    </w:rPr>
                    <w:t>S</w:t>
                  </w:r>
                  <w:r>
                    <w:rPr>
                      <w:snapToGrid w:val="0"/>
                      <w:color w:val="auto"/>
                      <w:sz w:val="21"/>
                      <w:szCs w:val="21"/>
                      <w:lang w:val="zh-CN"/>
                    </w:rPr>
                    <w:t>O</w:t>
                  </w:r>
                  <w:r>
                    <w:rPr>
                      <w:snapToGrid w:val="0"/>
                      <w:color w:val="auto"/>
                      <w:sz w:val="21"/>
                      <w:szCs w:val="21"/>
                      <w:vertAlign w:val="subscript"/>
                      <w:lang w:val="zh-CN"/>
                    </w:rPr>
                    <w:t>2</w:t>
                  </w:r>
                </w:p>
              </w:tc>
              <w:tc>
                <w:tcPr>
                  <w:tcW w:w="572" w:type="pct"/>
                  <w:tcBorders>
                    <w:tl2br w:val="nil"/>
                    <w:tr2bl w:val="nil"/>
                  </w:tcBorders>
                  <w:vAlign w:val="center"/>
                </w:tcPr>
                <w:p w14:paraId="4D10D973">
                  <w:pPr>
                    <w:pStyle w:val="87"/>
                    <w:rPr>
                      <w:rFonts w:hint="default" w:eastAsia="宋体"/>
                      <w:color w:val="auto"/>
                      <w:sz w:val="21"/>
                      <w:szCs w:val="21"/>
                      <w:lang w:val="en-US" w:eastAsia="zh-CN"/>
                    </w:rPr>
                  </w:pPr>
                  <w:r>
                    <w:rPr>
                      <w:rFonts w:hint="eastAsia"/>
                      <w:color w:val="auto"/>
                      <w:sz w:val="21"/>
                      <w:szCs w:val="21"/>
                      <w:lang w:val="en-US" w:eastAsia="zh-CN"/>
                    </w:rPr>
                    <w:t>1.043</w:t>
                  </w:r>
                </w:p>
              </w:tc>
              <w:tc>
                <w:tcPr>
                  <w:tcW w:w="496" w:type="pct"/>
                  <w:tcBorders>
                    <w:tl2br w:val="nil"/>
                    <w:tr2bl w:val="nil"/>
                  </w:tcBorders>
                  <w:vAlign w:val="center"/>
                </w:tcPr>
                <w:p w14:paraId="1B402551">
                  <w:pPr>
                    <w:pStyle w:val="87"/>
                    <w:rPr>
                      <w:rFonts w:hint="default" w:eastAsia="宋体"/>
                      <w:color w:val="auto"/>
                      <w:sz w:val="21"/>
                      <w:szCs w:val="21"/>
                      <w:lang w:val="en-US" w:eastAsia="zh-CN"/>
                    </w:rPr>
                  </w:pPr>
                  <w:r>
                    <w:rPr>
                      <w:rFonts w:hint="eastAsia"/>
                      <w:color w:val="auto"/>
                      <w:sz w:val="21"/>
                      <w:szCs w:val="21"/>
                      <w:lang w:val="en-US" w:eastAsia="zh-CN"/>
                    </w:rPr>
                    <w:t>1.55</w:t>
                  </w:r>
                </w:p>
              </w:tc>
              <w:tc>
                <w:tcPr>
                  <w:tcW w:w="495" w:type="pct"/>
                  <w:tcBorders>
                    <w:tl2br w:val="nil"/>
                    <w:tr2bl w:val="nil"/>
                  </w:tcBorders>
                  <w:vAlign w:val="center"/>
                </w:tcPr>
                <w:p w14:paraId="6A4EDCB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0.254</w:t>
                  </w:r>
                </w:p>
              </w:tc>
              <w:tc>
                <w:tcPr>
                  <w:tcW w:w="510" w:type="pct"/>
                  <w:tcBorders>
                    <w:tl2br w:val="nil"/>
                    <w:tr2bl w:val="nil"/>
                  </w:tcBorders>
                  <w:vAlign w:val="center"/>
                </w:tcPr>
                <w:p w14:paraId="0D5AF83F">
                  <w:pPr>
                    <w:keepNext w:val="0"/>
                    <w:keepLines w:val="0"/>
                    <w:pageBreakBefore w:val="0"/>
                    <w:widowControl w:val="0"/>
                    <w:kinsoku/>
                    <w:wordWrap/>
                    <w:overflowPunct/>
                    <w:topLinePunct w:val="0"/>
                    <w:autoSpaceDE/>
                    <w:autoSpaceDN/>
                    <w:bidi w:val="0"/>
                    <w:jc w:val="center"/>
                    <w:textAlignment w:val="auto"/>
                    <w:outlineLvl w:val="9"/>
                    <w:rPr>
                      <w:color w:val="auto"/>
                      <w:sz w:val="21"/>
                      <w:szCs w:val="21"/>
                    </w:rPr>
                  </w:pPr>
                  <w:r>
                    <w:rPr>
                      <w:rFonts w:hint="eastAsia"/>
                      <w:color w:val="auto"/>
                      <w:sz w:val="21"/>
                      <w:szCs w:val="21"/>
                      <w:lang w:val="en-US" w:eastAsia="zh-CN"/>
                    </w:rPr>
                    <w:t>1.48</w:t>
                  </w:r>
                </w:p>
              </w:tc>
              <w:tc>
                <w:tcPr>
                  <w:tcW w:w="476" w:type="pct"/>
                  <w:tcBorders>
                    <w:tl2br w:val="nil"/>
                    <w:tr2bl w:val="nil"/>
                  </w:tcBorders>
                  <w:vAlign w:val="center"/>
                </w:tcPr>
                <w:p w14:paraId="56A3F243">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23FB3846">
                  <w:pPr>
                    <w:pStyle w:val="87"/>
                    <w:rPr>
                      <w:rFonts w:hint="default" w:eastAsia="宋体"/>
                      <w:color w:val="auto"/>
                      <w:sz w:val="21"/>
                      <w:szCs w:val="21"/>
                      <w:lang w:val="en-US" w:eastAsia="zh-CN"/>
                    </w:rPr>
                  </w:pPr>
                  <w:r>
                    <w:rPr>
                      <w:rFonts w:hint="eastAsia"/>
                      <w:color w:val="auto"/>
                      <w:sz w:val="21"/>
                      <w:szCs w:val="21"/>
                      <w:lang w:val="en-US" w:eastAsia="zh-CN"/>
                    </w:rPr>
                    <w:t>1.297</w:t>
                  </w:r>
                </w:p>
              </w:tc>
              <w:tc>
                <w:tcPr>
                  <w:tcW w:w="550" w:type="pct"/>
                  <w:tcBorders>
                    <w:tl2br w:val="nil"/>
                    <w:tr2bl w:val="nil"/>
                  </w:tcBorders>
                  <w:vAlign w:val="center"/>
                </w:tcPr>
                <w:p w14:paraId="085E6488">
                  <w:pPr>
                    <w:pStyle w:val="87"/>
                    <w:rPr>
                      <w:rFonts w:hint="default" w:eastAsia="宋体"/>
                      <w:color w:val="auto"/>
                      <w:sz w:val="21"/>
                      <w:szCs w:val="21"/>
                      <w:lang w:val="en-US" w:eastAsia="zh-CN"/>
                    </w:rPr>
                  </w:pPr>
                  <w:r>
                    <w:rPr>
                      <w:rFonts w:hint="eastAsia" w:eastAsia="宋体"/>
                      <w:color w:val="auto"/>
                      <w:sz w:val="21"/>
                      <w:szCs w:val="21"/>
                      <w:lang w:val="en-US" w:eastAsia="zh-CN"/>
                    </w:rPr>
                    <w:t>3.03</w:t>
                  </w:r>
                </w:p>
              </w:tc>
              <w:tc>
                <w:tcPr>
                  <w:tcW w:w="470" w:type="pct"/>
                  <w:tcBorders>
                    <w:tl2br w:val="nil"/>
                    <w:tr2bl w:val="nil"/>
                  </w:tcBorders>
                  <w:vAlign w:val="center"/>
                </w:tcPr>
                <w:p w14:paraId="2B87E6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+0.254</w:t>
                  </w:r>
                </w:p>
              </w:tc>
            </w:tr>
            <w:tr w14:paraId="17F4ED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1E9B6D23">
                  <w:pPr>
                    <w:widowControl/>
                    <w:jc w:val="center"/>
                    <w:rPr>
                      <w:snapToGrid w:val="0"/>
                      <w:color w:val="auto"/>
                      <w:kern w:val="0"/>
                      <w:sz w:val="21"/>
                      <w:szCs w:val="21"/>
                    </w:rPr>
                  </w:pPr>
                </w:p>
              </w:tc>
              <w:tc>
                <w:tcPr>
                  <w:tcW w:w="560" w:type="pct"/>
                  <w:tcBorders>
                    <w:tl2br w:val="nil"/>
                    <w:tr2bl w:val="nil"/>
                  </w:tcBorders>
                  <w:vAlign w:val="center"/>
                </w:tcPr>
                <w:p w14:paraId="4820C438">
                  <w:pPr>
                    <w:pStyle w:val="87"/>
                    <w:rPr>
                      <w:snapToGrid w:val="0"/>
                      <w:color w:val="auto"/>
                      <w:sz w:val="21"/>
                      <w:szCs w:val="21"/>
                      <w:vertAlign w:val="subscript"/>
                      <w:lang w:val="zh-CN"/>
                    </w:rPr>
                  </w:pPr>
                  <w:r>
                    <w:rPr>
                      <w:rFonts w:hint="eastAsia"/>
                      <w:snapToGrid w:val="0"/>
                      <w:color w:val="auto"/>
                      <w:sz w:val="21"/>
                      <w:szCs w:val="21"/>
                      <w:lang w:val="zh-CN"/>
                    </w:rPr>
                    <w:t>N</w:t>
                  </w:r>
                  <w:r>
                    <w:rPr>
                      <w:snapToGrid w:val="0"/>
                      <w:color w:val="auto"/>
                      <w:sz w:val="21"/>
                      <w:szCs w:val="21"/>
                      <w:lang w:val="zh-CN"/>
                    </w:rPr>
                    <w:t>O</w:t>
                  </w:r>
                  <w:r>
                    <w:rPr>
                      <w:snapToGrid w:val="0"/>
                      <w:color w:val="auto"/>
                      <w:sz w:val="21"/>
                      <w:szCs w:val="21"/>
                      <w:vertAlign w:val="subscript"/>
                      <w:lang w:val="zh-CN"/>
                    </w:rPr>
                    <w:t>X</w:t>
                  </w:r>
                </w:p>
              </w:tc>
              <w:tc>
                <w:tcPr>
                  <w:tcW w:w="572" w:type="pct"/>
                  <w:tcBorders>
                    <w:tl2br w:val="nil"/>
                    <w:tr2bl w:val="nil"/>
                  </w:tcBorders>
                  <w:vAlign w:val="center"/>
                </w:tcPr>
                <w:p w14:paraId="374CE113">
                  <w:pPr>
                    <w:pStyle w:val="87"/>
                    <w:rPr>
                      <w:rFonts w:hint="default" w:eastAsia="宋体"/>
                      <w:color w:val="auto"/>
                      <w:sz w:val="21"/>
                      <w:szCs w:val="21"/>
                      <w:lang w:val="en-US" w:eastAsia="zh-CN"/>
                    </w:rPr>
                  </w:pPr>
                  <w:r>
                    <w:rPr>
                      <w:rFonts w:hint="eastAsia"/>
                      <w:color w:val="auto"/>
                      <w:sz w:val="21"/>
                      <w:szCs w:val="21"/>
                      <w:lang w:val="en-US" w:eastAsia="zh-CN"/>
                    </w:rPr>
                    <w:t>1.93</w:t>
                  </w:r>
                </w:p>
              </w:tc>
              <w:tc>
                <w:tcPr>
                  <w:tcW w:w="496" w:type="pct"/>
                  <w:tcBorders>
                    <w:tl2br w:val="nil"/>
                    <w:tr2bl w:val="nil"/>
                  </w:tcBorders>
                  <w:vAlign w:val="center"/>
                </w:tcPr>
                <w:p w14:paraId="1DBDAF01">
                  <w:pPr>
                    <w:pStyle w:val="87"/>
                    <w:rPr>
                      <w:rFonts w:hint="default" w:eastAsia="宋体"/>
                      <w:color w:val="auto"/>
                      <w:sz w:val="21"/>
                      <w:szCs w:val="21"/>
                      <w:lang w:val="en-US" w:eastAsia="zh-CN"/>
                    </w:rPr>
                  </w:pPr>
                  <w:r>
                    <w:rPr>
                      <w:rFonts w:hint="eastAsia"/>
                      <w:color w:val="auto"/>
                      <w:sz w:val="21"/>
                      <w:szCs w:val="21"/>
                      <w:lang w:val="en-US" w:eastAsia="zh-CN"/>
                    </w:rPr>
                    <w:t>4.14</w:t>
                  </w:r>
                </w:p>
              </w:tc>
              <w:tc>
                <w:tcPr>
                  <w:tcW w:w="495" w:type="pct"/>
                  <w:tcBorders>
                    <w:tl2br w:val="nil"/>
                    <w:tr2bl w:val="nil"/>
                  </w:tcBorders>
                  <w:vAlign w:val="center"/>
                </w:tcPr>
                <w:p w14:paraId="3F7B3BE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1.797</w:t>
                  </w:r>
                </w:p>
              </w:tc>
              <w:tc>
                <w:tcPr>
                  <w:tcW w:w="510" w:type="pct"/>
                  <w:tcBorders>
                    <w:tl2br w:val="nil"/>
                    <w:tr2bl w:val="nil"/>
                  </w:tcBorders>
                  <w:vAlign w:val="center"/>
                </w:tcPr>
                <w:p w14:paraId="13BCE679">
                  <w:pPr>
                    <w:keepNext w:val="0"/>
                    <w:keepLines w:val="0"/>
                    <w:pageBreakBefore w:val="0"/>
                    <w:widowControl w:val="0"/>
                    <w:kinsoku/>
                    <w:wordWrap/>
                    <w:overflowPunct/>
                    <w:topLinePunct w:val="0"/>
                    <w:autoSpaceDE/>
                    <w:autoSpaceDN/>
                    <w:bidi w:val="0"/>
                    <w:jc w:val="center"/>
                    <w:textAlignment w:val="auto"/>
                    <w:outlineLvl w:val="9"/>
                    <w:rPr>
                      <w:rFonts w:hint="default"/>
                      <w:color w:val="auto"/>
                      <w:sz w:val="21"/>
                      <w:szCs w:val="21"/>
                      <w:lang w:val="en-US"/>
                    </w:rPr>
                  </w:pPr>
                  <w:r>
                    <w:rPr>
                      <w:rFonts w:hint="eastAsia"/>
                      <w:color w:val="auto"/>
                      <w:sz w:val="21"/>
                      <w:szCs w:val="21"/>
                      <w:lang w:val="en-US" w:eastAsia="zh-CN"/>
                    </w:rPr>
                    <w:t>4.437</w:t>
                  </w:r>
                </w:p>
              </w:tc>
              <w:tc>
                <w:tcPr>
                  <w:tcW w:w="476" w:type="pct"/>
                  <w:tcBorders>
                    <w:tl2br w:val="nil"/>
                    <w:tr2bl w:val="nil"/>
                  </w:tcBorders>
                  <w:vAlign w:val="center"/>
                </w:tcPr>
                <w:p w14:paraId="2A123B11">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5A7FF553">
                  <w:pPr>
                    <w:pStyle w:val="87"/>
                    <w:rPr>
                      <w:rFonts w:hint="default" w:eastAsia="宋体"/>
                      <w:color w:val="auto"/>
                      <w:sz w:val="21"/>
                      <w:szCs w:val="21"/>
                      <w:lang w:val="en-US" w:eastAsia="zh-CN"/>
                    </w:rPr>
                  </w:pPr>
                  <w:r>
                    <w:rPr>
                      <w:rFonts w:hint="eastAsia"/>
                      <w:color w:val="auto"/>
                      <w:sz w:val="21"/>
                      <w:szCs w:val="21"/>
                      <w:lang w:val="en-US" w:eastAsia="zh-CN"/>
                    </w:rPr>
                    <w:t>3.727</w:t>
                  </w:r>
                </w:p>
              </w:tc>
              <w:tc>
                <w:tcPr>
                  <w:tcW w:w="550" w:type="pct"/>
                  <w:tcBorders>
                    <w:tl2br w:val="nil"/>
                    <w:tr2bl w:val="nil"/>
                  </w:tcBorders>
                  <w:vAlign w:val="center"/>
                </w:tcPr>
                <w:p w14:paraId="393E8056">
                  <w:pPr>
                    <w:pStyle w:val="87"/>
                    <w:rPr>
                      <w:rFonts w:hint="default" w:eastAsia="宋体"/>
                      <w:color w:val="auto"/>
                      <w:sz w:val="21"/>
                      <w:szCs w:val="21"/>
                      <w:lang w:val="en-US" w:eastAsia="zh-CN"/>
                    </w:rPr>
                  </w:pPr>
                  <w:r>
                    <w:rPr>
                      <w:rFonts w:hint="eastAsia" w:eastAsia="宋体"/>
                      <w:color w:val="auto"/>
                      <w:sz w:val="21"/>
                      <w:szCs w:val="21"/>
                      <w:lang w:val="en-US" w:eastAsia="zh-CN"/>
                    </w:rPr>
                    <w:t>8.57</w:t>
                  </w:r>
                  <w:r>
                    <w:rPr>
                      <w:rFonts w:hint="eastAsia"/>
                      <w:color w:val="auto"/>
                      <w:sz w:val="21"/>
                      <w:szCs w:val="21"/>
                      <w:lang w:val="en-US" w:eastAsia="zh-CN"/>
                    </w:rPr>
                    <w:t>7</w:t>
                  </w:r>
                </w:p>
              </w:tc>
              <w:tc>
                <w:tcPr>
                  <w:tcW w:w="470" w:type="pct"/>
                  <w:tcBorders>
                    <w:tl2br w:val="nil"/>
                    <w:tr2bl w:val="nil"/>
                  </w:tcBorders>
                  <w:vAlign w:val="center"/>
                </w:tcPr>
                <w:p w14:paraId="5BBA73B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auto"/>
                      <w:sz w:val="21"/>
                      <w:szCs w:val="21"/>
                    </w:rPr>
                  </w:pPr>
                  <w:r>
                    <w:rPr>
                      <w:rFonts w:hint="eastAsia" w:cs="Times New Roman"/>
                      <w:color w:val="auto"/>
                      <w:sz w:val="21"/>
                      <w:szCs w:val="21"/>
                      <w:highlight w:val="none"/>
                      <w:lang w:val="en-US" w:eastAsia="zh-CN"/>
                    </w:rPr>
                    <w:t>+1.797</w:t>
                  </w:r>
                </w:p>
              </w:tc>
            </w:tr>
            <w:tr w14:paraId="675CCC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121B3E00">
                  <w:pPr>
                    <w:widowControl/>
                    <w:jc w:val="center"/>
                    <w:rPr>
                      <w:snapToGrid w:val="0"/>
                      <w:color w:val="auto"/>
                      <w:kern w:val="0"/>
                      <w:sz w:val="21"/>
                      <w:szCs w:val="21"/>
                    </w:rPr>
                  </w:pPr>
                </w:p>
              </w:tc>
              <w:tc>
                <w:tcPr>
                  <w:tcW w:w="560" w:type="pct"/>
                  <w:tcBorders>
                    <w:tl2br w:val="nil"/>
                    <w:tr2bl w:val="nil"/>
                  </w:tcBorders>
                  <w:vAlign w:val="center"/>
                </w:tcPr>
                <w:p w14:paraId="7AFDA7A4">
                  <w:pPr>
                    <w:pStyle w:val="87"/>
                    <w:rPr>
                      <w:snapToGrid w:val="0"/>
                      <w:color w:val="auto"/>
                      <w:sz w:val="21"/>
                      <w:szCs w:val="21"/>
                      <w:lang w:val="zh-CN"/>
                    </w:rPr>
                  </w:pPr>
                  <w:r>
                    <w:rPr>
                      <w:rFonts w:hint="eastAsia"/>
                      <w:snapToGrid w:val="0"/>
                      <w:color w:val="auto"/>
                      <w:sz w:val="21"/>
                      <w:szCs w:val="21"/>
                      <w:lang w:val="zh-CN"/>
                    </w:rPr>
                    <w:t>工业粉尘</w:t>
                  </w:r>
                </w:p>
              </w:tc>
              <w:tc>
                <w:tcPr>
                  <w:tcW w:w="572" w:type="pct"/>
                  <w:tcBorders>
                    <w:tl2br w:val="nil"/>
                    <w:tr2bl w:val="nil"/>
                  </w:tcBorders>
                  <w:vAlign w:val="center"/>
                </w:tcPr>
                <w:p w14:paraId="3DFF6D05">
                  <w:pPr>
                    <w:pStyle w:val="87"/>
                    <w:rPr>
                      <w:rFonts w:hint="default" w:eastAsia="宋体"/>
                      <w:color w:val="auto"/>
                      <w:sz w:val="21"/>
                      <w:szCs w:val="21"/>
                      <w:lang w:val="en-US" w:eastAsia="zh-CN"/>
                    </w:rPr>
                  </w:pPr>
                  <w:r>
                    <w:rPr>
                      <w:rFonts w:hint="eastAsia"/>
                      <w:color w:val="auto"/>
                      <w:sz w:val="21"/>
                      <w:szCs w:val="21"/>
                      <w:lang w:val="en-US" w:eastAsia="zh-CN"/>
                    </w:rPr>
                    <w:t>0.9</w:t>
                  </w:r>
                </w:p>
              </w:tc>
              <w:tc>
                <w:tcPr>
                  <w:tcW w:w="496" w:type="pct"/>
                  <w:tcBorders>
                    <w:tl2br w:val="nil"/>
                    <w:tr2bl w:val="nil"/>
                  </w:tcBorders>
                  <w:vAlign w:val="center"/>
                </w:tcPr>
                <w:p w14:paraId="05719C50">
                  <w:pPr>
                    <w:pStyle w:val="87"/>
                    <w:rPr>
                      <w:rFonts w:hint="default" w:eastAsia="宋体"/>
                      <w:color w:val="auto"/>
                      <w:sz w:val="21"/>
                      <w:szCs w:val="21"/>
                      <w:lang w:val="en-US" w:eastAsia="zh-CN"/>
                    </w:rPr>
                  </w:pPr>
                  <w:r>
                    <w:rPr>
                      <w:rFonts w:hint="eastAsia"/>
                      <w:color w:val="auto"/>
                      <w:sz w:val="21"/>
                      <w:szCs w:val="21"/>
                      <w:lang w:val="en-US" w:eastAsia="zh-CN"/>
                    </w:rPr>
                    <w:t>0.9</w:t>
                  </w:r>
                </w:p>
              </w:tc>
              <w:tc>
                <w:tcPr>
                  <w:tcW w:w="495" w:type="pct"/>
                  <w:tcBorders>
                    <w:tl2br w:val="nil"/>
                    <w:tr2bl w:val="nil"/>
                  </w:tcBorders>
                  <w:vAlign w:val="center"/>
                </w:tcPr>
                <w:p w14:paraId="26DA0BB6">
                  <w:pPr>
                    <w:pStyle w:val="87"/>
                    <w:rPr>
                      <w:rFonts w:hint="default" w:eastAsia="宋体"/>
                      <w:color w:val="auto"/>
                      <w:sz w:val="21"/>
                      <w:szCs w:val="21"/>
                      <w:lang w:val="en-US" w:eastAsia="zh-CN"/>
                    </w:rPr>
                  </w:pPr>
                  <w:r>
                    <w:rPr>
                      <w:rFonts w:hint="eastAsia"/>
                      <w:color w:val="auto"/>
                      <w:sz w:val="21"/>
                      <w:szCs w:val="21"/>
                      <w:lang w:val="en-US" w:eastAsia="zh-CN"/>
                    </w:rPr>
                    <w:t>0.758</w:t>
                  </w:r>
                </w:p>
              </w:tc>
              <w:tc>
                <w:tcPr>
                  <w:tcW w:w="510" w:type="pct"/>
                  <w:tcBorders>
                    <w:tl2br w:val="nil"/>
                    <w:tr2bl w:val="nil"/>
                  </w:tcBorders>
                  <w:vAlign w:val="center"/>
                </w:tcPr>
                <w:p w14:paraId="75DDE9B3">
                  <w:pPr>
                    <w:pStyle w:val="87"/>
                    <w:rPr>
                      <w:rFonts w:hint="default" w:eastAsia="宋体"/>
                      <w:color w:val="auto"/>
                      <w:sz w:val="21"/>
                      <w:szCs w:val="21"/>
                      <w:lang w:val="en-US" w:eastAsia="zh-CN"/>
                    </w:rPr>
                  </w:pPr>
                  <w:r>
                    <w:rPr>
                      <w:rFonts w:hint="eastAsia"/>
                      <w:color w:val="auto"/>
                      <w:sz w:val="21"/>
                      <w:szCs w:val="21"/>
                      <w:lang w:val="en-US" w:eastAsia="zh-CN"/>
                    </w:rPr>
                    <w:t>0.758</w:t>
                  </w:r>
                </w:p>
              </w:tc>
              <w:tc>
                <w:tcPr>
                  <w:tcW w:w="476" w:type="pct"/>
                  <w:tcBorders>
                    <w:tl2br w:val="nil"/>
                    <w:tr2bl w:val="nil"/>
                  </w:tcBorders>
                  <w:vAlign w:val="center"/>
                </w:tcPr>
                <w:p w14:paraId="4AF6A599">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26F0300C">
                  <w:pPr>
                    <w:pStyle w:val="87"/>
                    <w:rPr>
                      <w:rFonts w:hint="default" w:eastAsia="宋体"/>
                      <w:color w:val="auto"/>
                      <w:sz w:val="21"/>
                      <w:szCs w:val="21"/>
                      <w:lang w:val="en-US" w:eastAsia="zh-CN"/>
                    </w:rPr>
                  </w:pPr>
                  <w:r>
                    <w:rPr>
                      <w:rFonts w:hint="eastAsia"/>
                      <w:color w:val="auto"/>
                      <w:sz w:val="21"/>
                      <w:szCs w:val="21"/>
                      <w:lang w:val="en-US" w:eastAsia="zh-CN"/>
                    </w:rPr>
                    <w:t>1.658</w:t>
                  </w:r>
                </w:p>
              </w:tc>
              <w:tc>
                <w:tcPr>
                  <w:tcW w:w="550" w:type="pct"/>
                  <w:tcBorders>
                    <w:tl2br w:val="nil"/>
                    <w:tr2bl w:val="nil"/>
                  </w:tcBorders>
                  <w:vAlign w:val="center"/>
                </w:tcPr>
                <w:p w14:paraId="5E0291A6">
                  <w:pPr>
                    <w:pStyle w:val="87"/>
                    <w:rPr>
                      <w:rFonts w:hint="default" w:eastAsia="宋体"/>
                      <w:color w:val="auto"/>
                      <w:sz w:val="21"/>
                      <w:szCs w:val="21"/>
                      <w:lang w:val="en-US" w:eastAsia="zh-CN"/>
                    </w:rPr>
                  </w:pPr>
                  <w:r>
                    <w:rPr>
                      <w:rFonts w:hint="eastAsia"/>
                      <w:color w:val="auto"/>
                      <w:sz w:val="21"/>
                      <w:szCs w:val="21"/>
                      <w:lang w:val="en-US" w:eastAsia="zh-CN"/>
                    </w:rPr>
                    <w:t>1.658</w:t>
                  </w:r>
                </w:p>
              </w:tc>
              <w:tc>
                <w:tcPr>
                  <w:tcW w:w="470" w:type="pct"/>
                  <w:tcBorders>
                    <w:tl2br w:val="nil"/>
                    <w:tr2bl w:val="nil"/>
                  </w:tcBorders>
                  <w:vAlign w:val="center"/>
                </w:tcPr>
                <w:p w14:paraId="04E35DB6">
                  <w:pPr>
                    <w:pStyle w:val="87"/>
                    <w:rPr>
                      <w:color w:val="auto"/>
                      <w:sz w:val="21"/>
                      <w:szCs w:val="21"/>
                    </w:rPr>
                  </w:pPr>
                  <w:r>
                    <w:rPr>
                      <w:rFonts w:hint="eastAsia"/>
                      <w:color w:val="auto"/>
                      <w:sz w:val="21"/>
                      <w:szCs w:val="21"/>
                      <w:lang w:val="en-US" w:eastAsia="zh-CN"/>
                    </w:rPr>
                    <w:t>+0.758</w:t>
                  </w:r>
                </w:p>
              </w:tc>
            </w:tr>
            <w:tr w14:paraId="640A1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restart"/>
                  <w:tcBorders>
                    <w:tl2br w:val="nil"/>
                    <w:tr2bl w:val="nil"/>
                  </w:tcBorders>
                  <w:vAlign w:val="center"/>
                </w:tcPr>
                <w:p w14:paraId="387C0CED">
                  <w:pPr>
                    <w:widowControl/>
                    <w:jc w:val="center"/>
                    <w:rPr>
                      <w:rFonts w:hint="eastAsia" w:eastAsia="宋体"/>
                      <w:snapToGrid w:val="0"/>
                      <w:color w:val="auto"/>
                      <w:kern w:val="0"/>
                      <w:sz w:val="21"/>
                      <w:szCs w:val="21"/>
                      <w:lang w:eastAsia="zh-CN"/>
                    </w:rPr>
                  </w:pPr>
                  <w:r>
                    <w:rPr>
                      <w:rFonts w:hint="eastAsia"/>
                      <w:snapToGrid w:val="0"/>
                      <w:color w:val="auto"/>
                      <w:kern w:val="0"/>
                      <w:sz w:val="21"/>
                      <w:szCs w:val="21"/>
                      <w:lang w:eastAsia="zh-CN"/>
                    </w:rPr>
                    <w:t>固体废物</w:t>
                  </w:r>
                </w:p>
              </w:tc>
              <w:tc>
                <w:tcPr>
                  <w:tcW w:w="560" w:type="pct"/>
                  <w:tcBorders>
                    <w:tl2br w:val="nil"/>
                    <w:tr2bl w:val="nil"/>
                  </w:tcBorders>
                  <w:vAlign w:val="center"/>
                </w:tcPr>
                <w:p w14:paraId="2EA60B35">
                  <w:pPr>
                    <w:pStyle w:val="87"/>
                    <w:rPr>
                      <w:rFonts w:hint="eastAsia" w:eastAsia="宋体"/>
                      <w:snapToGrid w:val="0"/>
                      <w:color w:val="auto"/>
                      <w:sz w:val="21"/>
                      <w:szCs w:val="21"/>
                      <w:lang w:eastAsia="zh-CN"/>
                    </w:rPr>
                  </w:pPr>
                  <w:r>
                    <w:rPr>
                      <w:rFonts w:hint="eastAsia"/>
                      <w:snapToGrid w:val="0"/>
                      <w:color w:val="auto"/>
                      <w:sz w:val="21"/>
                      <w:szCs w:val="21"/>
                      <w:lang w:eastAsia="zh-CN"/>
                    </w:rPr>
                    <w:t>生活垃圾</w:t>
                  </w:r>
                </w:p>
              </w:tc>
              <w:tc>
                <w:tcPr>
                  <w:tcW w:w="572" w:type="pct"/>
                  <w:tcBorders>
                    <w:tl2br w:val="nil"/>
                    <w:tr2bl w:val="nil"/>
                  </w:tcBorders>
                  <w:vAlign w:val="center"/>
                </w:tcPr>
                <w:p w14:paraId="7225EAE9">
                  <w:pPr>
                    <w:pStyle w:val="87"/>
                    <w:rPr>
                      <w:rFonts w:hint="default" w:eastAsia="宋体"/>
                      <w:color w:val="auto"/>
                      <w:sz w:val="21"/>
                      <w:szCs w:val="21"/>
                      <w:lang w:val="en-US" w:eastAsia="zh-CN"/>
                    </w:rPr>
                  </w:pPr>
                  <w:r>
                    <w:rPr>
                      <w:rFonts w:hint="eastAsia"/>
                      <w:color w:val="auto"/>
                      <w:sz w:val="21"/>
                      <w:szCs w:val="21"/>
                      <w:lang w:val="en-US" w:eastAsia="zh-CN"/>
                    </w:rPr>
                    <w:t>1.095</w:t>
                  </w:r>
                </w:p>
              </w:tc>
              <w:tc>
                <w:tcPr>
                  <w:tcW w:w="496" w:type="pct"/>
                  <w:tcBorders>
                    <w:tl2br w:val="nil"/>
                    <w:tr2bl w:val="nil"/>
                  </w:tcBorders>
                  <w:vAlign w:val="center"/>
                </w:tcPr>
                <w:p w14:paraId="36B7B453">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772E977B">
                  <w:pPr>
                    <w:pStyle w:val="87"/>
                    <w:rPr>
                      <w:rFonts w:hint="eastAsia"/>
                      <w:color w:val="auto"/>
                      <w:sz w:val="21"/>
                      <w:szCs w:val="21"/>
                    </w:rPr>
                  </w:pPr>
                  <w:r>
                    <w:rPr>
                      <w:rFonts w:hint="eastAsia"/>
                      <w:snapToGrid w:val="0"/>
                      <w:color w:val="auto"/>
                      <w:kern w:val="21"/>
                      <w:sz w:val="21"/>
                      <w:szCs w:val="21"/>
                      <w:highlight w:val="none"/>
                      <w:lang w:val="en-US" w:eastAsia="zh-CN"/>
                    </w:rPr>
                    <w:t>0.05</w:t>
                  </w:r>
                </w:p>
              </w:tc>
              <w:tc>
                <w:tcPr>
                  <w:tcW w:w="510" w:type="pct"/>
                  <w:tcBorders>
                    <w:tl2br w:val="nil"/>
                    <w:tr2bl w:val="nil"/>
                  </w:tcBorders>
                  <w:vAlign w:val="center"/>
                </w:tcPr>
                <w:p w14:paraId="16414FC0">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54144DA9">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29F45205">
                  <w:pPr>
                    <w:pStyle w:val="87"/>
                    <w:rPr>
                      <w:rFonts w:hint="default" w:eastAsia="宋体"/>
                      <w:color w:val="auto"/>
                      <w:sz w:val="21"/>
                      <w:szCs w:val="21"/>
                      <w:lang w:val="en-US" w:eastAsia="zh-CN"/>
                    </w:rPr>
                  </w:pPr>
                  <w:r>
                    <w:rPr>
                      <w:rFonts w:hint="eastAsia"/>
                      <w:color w:val="auto"/>
                      <w:sz w:val="21"/>
                      <w:szCs w:val="21"/>
                      <w:lang w:val="en-US" w:eastAsia="zh-CN"/>
                    </w:rPr>
                    <w:t>1.145</w:t>
                  </w:r>
                </w:p>
              </w:tc>
              <w:tc>
                <w:tcPr>
                  <w:tcW w:w="550" w:type="pct"/>
                  <w:tcBorders>
                    <w:tl2br w:val="nil"/>
                    <w:tr2bl w:val="nil"/>
                  </w:tcBorders>
                  <w:vAlign w:val="center"/>
                </w:tcPr>
                <w:p w14:paraId="1D1296F4">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654F810A">
                  <w:pPr>
                    <w:pStyle w:val="87"/>
                    <w:rPr>
                      <w:rFonts w:hint="eastAsia"/>
                      <w:color w:val="auto"/>
                      <w:sz w:val="21"/>
                      <w:szCs w:val="21"/>
                    </w:rPr>
                  </w:pPr>
                  <w:r>
                    <w:rPr>
                      <w:rFonts w:hint="eastAsia"/>
                      <w:snapToGrid w:val="0"/>
                      <w:color w:val="auto"/>
                      <w:kern w:val="21"/>
                      <w:sz w:val="21"/>
                      <w:szCs w:val="21"/>
                      <w:highlight w:val="none"/>
                      <w:lang w:val="en-US" w:eastAsia="zh-CN"/>
                    </w:rPr>
                    <w:t>+0.05</w:t>
                  </w:r>
                </w:p>
              </w:tc>
            </w:tr>
            <w:tr w14:paraId="1B8A6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3C282904">
                  <w:pPr>
                    <w:widowControl/>
                    <w:jc w:val="left"/>
                    <w:rPr>
                      <w:snapToGrid w:val="0"/>
                      <w:color w:val="auto"/>
                      <w:kern w:val="0"/>
                      <w:sz w:val="21"/>
                      <w:szCs w:val="21"/>
                    </w:rPr>
                  </w:pPr>
                </w:p>
              </w:tc>
              <w:tc>
                <w:tcPr>
                  <w:tcW w:w="560" w:type="pct"/>
                  <w:tcBorders>
                    <w:tl2br w:val="nil"/>
                    <w:tr2bl w:val="nil"/>
                  </w:tcBorders>
                  <w:vAlign w:val="center"/>
                </w:tcPr>
                <w:p w14:paraId="6EE45D4E">
                  <w:pPr>
                    <w:pStyle w:val="87"/>
                    <w:rPr>
                      <w:rFonts w:hint="eastAsia" w:eastAsia="宋体"/>
                      <w:snapToGrid w:val="0"/>
                      <w:color w:val="auto"/>
                      <w:sz w:val="21"/>
                      <w:szCs w:val="21"/>
                      <w:lang w:eastAsia="zh-CN"/>
                    </w:rPr>
                  </w:pPr>
                  <w:r>
                    <w:rPr>
                      <w:rFonts w:hint="eastAsia"/>
                      <w:snapToGrid w:val="0"/>
                      <w:color w:val="auto"/>
                      <w:sz w:val="21"/>
                      <w:szCs w:val="21"/>
                      <w:lang w:eastAsia="zh-CN"/>
                    </w:rPr>
                    <w:t>清选杂质</w:t>
                  </w:r>
                </w:p>
              </w:tc>
              <w:tc>
                <w:tcPr>
                  <w:tcW w:w="572" w:type="pct"/>
                  <w:tcBorders>
                    <w:tl2br w:val="nil"/>
                    <w:tr2bl w:val="nil"/>
                  </w:tcBorders>
                  <w:vAlign w:val="center"/>
                </w:tcPr>
                <w:p w14:paraId="37C94ECE">
                  <w:pPr>
                    <w:pStyle w:val="87"/>
                    <w:rPr>
                      <w:rFonts w:hint="default" w:eastAsia="宋体"/>
                      <w:color w:val="auto"/>
                      <w:sz w:val="21"/>
                      <w:szCs w:val="21"/>
                      <w:lang w:val="en-US" w:eastAsia="zh-CN"/>
                    </w:rPr>
                  </w:pPr>
                  <w:r>
                    <w:rPr>
                      <w:rFonts w:hint="eastAsia"/>
                      <w:color w:val="auto"/>
                      <w:sz w:val="21"/>
                      <w:szCs w:val="21"/>
                      <w:lang w:val="en-US" w:eastAsia="zh-CN"/>
                    </w:rPr>
                    <w:t>3.5</w:t>
                  </w:r>
                </w:p>
              </w:tc>
              <w:tc>
                <w:tcPr>
                  <w:tcW w:w="496" w:type="pct"/>
                  <w:tcBorders>
                    <w:tl2br w:val="nil"/>
                    <w:tr2bl w:val="nil"/>
                  </w:tcBorders>
                  <w:vAlign w:val="center"/>
                </w:tcPr>
                <w:p w14:paraId="5AA618C7">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1204C9D6">
                  <w:pPr>
                    <w:pStyle w:val="87"/>
                    <w:rPr>
                      <w:rFonts w:hint="eastAsia"/>
                      <w:color w:val="auto"/>
                      <w:sz w:val="21"/>
                      <w:szCs w:val="21"/>
                    </w:rPr>
                  </w:pPr>
                  <w:r>
                    <w:rPr>
                      <w:rFonts w:hint="eastAsia"/>
                      <w:snapToGrid w:val="0"/>
                      <w:color w:val="auto"/>
                      <w:kern w:val="21"/>
                      <w:sz w:val="21"/>
                      <w:szCs w:val="21"/>
                      <w:highlight w:val="none"/>
                      <w:lang w:val="en-US" w:eastAsia="zh-CN"/>
                    </w:rPr>
                    <w:t>25</w:t>
                  </w:r>
                </w:p>
              </w:tc>
              <w:tc>
                <w:tcPr>
                  <w:tcW w:w="510" w:type="pct"/>
                  <w:tcBorders>
                    <w:tl2br w:val="nil"/>
                    <w:tr2bl w:val="nil"/>
                  </w:tcBorders>
                  <w:vAlign w:val="center"/>
                </w:tcPr>
                <w:p w14:paraId="6096EDF2">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239E06E0">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36376C1B">
                  <w:pPr>
                    <w:pStyle w:val="87"/>
                    <w:rPr>
                      <w:rFonts w:hint="default" w:eastAsia="宋体"/>
                      <w:color w:val="auto"/>
                      <w:sz w:val="21"/>
                      <w:szCs w:val="21"/>
                      <w:lang w:val="en-US" w:eastAsia="zh-CN"/>
                    </w:rPr>
                  </w:pPr>
                  <w:r>
                    <w:rPr>
                      <w:rFonts w:hint="eastAsia"/>
                      <w:color w:val="auto"/>
                      <w:sz w:val="21"/>
                      <w:szCs w:val="21"/>
                      <w:lang w:val="en-US" w:eastAsia="zh-CN"/>
                    </w:rPr>
                    <w:t>28.5</w:t>
                  </w:r>
                </w:p>
              </w:tc>
              <w:tc>
                <w:tcPr>
                  <w:tcW w:w="550" w:type="pct"/>
                  <w:tcBorders>
                    <w:tl2br w:val="nil"/>
                    <w:tr2bl w:val="nil"/>
                  </w:tcBorders>
                  <w:vAlign w:val="center"/>
                </w:tcPr>
                <w:p w14:paraId="7FD9EB82">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1764C5C0">
                  <w:pPr>
                    <w:pStyle w:val="87"/>
                    <w:rPr>
                      <w:rFonts w:hint="eastAsia"/>
                      <w:color w:val="auto"/>
                      <w:sz w:val="21"/>
                      <w:szCs w:val="21"/>
                    </w:rPr>
                  </w:pPr>
                  <w:r>
                    <w:rPr>
                      <w:rFonts w:hint="eastAsia"/>
                      <w:snapToGrid w:val="0"/>
                      <w:color w:val="auto"/>
                      <w:kern w:val="21"/>
                      <w:sz w:val="21"/>
                      <w:szCs w:val="21"/>
                      <w:highlight w:val="none"/>
                      <w:lang w:val="en-US" w:eastAsia="zh-CN"/>
                    </w:rPr>
                    <w:t>+25</w:t>
                  </w:r>
                </w:p>
              </w:tc>
            </w:tr>
            <w:tr w14:paraId="777FAA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32589064">
                  <w:pPr>
                    <w:widowControl/>
                    <w:jc w:val="left"/>
                    <w:rPr>
                      <w:snapToGrid w:val="0"/>
                      <w:color w:val="auto"/>
                      <w:kern w:val="0"/>
                      <w:sz w:val="21"/>
                      <w:szCs w:val="21"/>
                    </w:rPr>
                  </w:pPr>
                </w:p>
              </w:tc>
              <w:tc>
                <w:tcPr>
                  <w:tcW w:w="560" w:type="pct"/>
                  <w:tcBorders>
                    <w:tl2br w:val="nil"/>
                    <w:tr2bl w:val="nil"/>
                  </w:tcBorders>
                  <w:vAlign w:val="center"/>
                </w:tcPr>
                <w:p w14:paraId="76824703">
                  <w:pPr>
                    <w:pStyle w:val="87"/>
                    <w:rPr>
                      <w:rFonts w:hint="eastAsia" w:eastAsia="宋体"/>
                      <w:snapToGrid w:val="0"/>
                      <w:color w:val="auto"/>
                      <w:sz w:val="21"/>
                      <w:szCs w:val="21"/>
                      <w:lang w:eastAsia="zh-CN"/>
                    </w:rPr>
                  </w:pPr>
                  <w:r>
                    <w:rPr>
                      <w:rFonts w:hint="eastAsia"/>
                      <w:snapToGrid w:val="0"/>
                      <w:color w:val="auto"/>
                      <w:sz w:val="21"/>
                      <w:szCs w:val="21"/>
                      <w:lang w:eastAsia="zh-CN"/>
                    </w:rPr>
                    <w:t>布袋除尘器收尘</w:t>
                  </w:r>
                </w:p>
              </w:tc>
              <w:tc>
                <w:tcPr>
                  <w:tcW w:w="572" w:type="pct"/>
                  <w:tcBorders>
                    <w:tl2br w:val="nil"/>
                    <w:tr2bl w:val="nil"/>
                  </w:tcBorders>
                  <w:vAlign w:val="center"/>
                </w:tcPr>
                <w:p w14:paraId="573D331A">
                  <w:pPr>
                    <w:pStyle w:val="87"/>
                    <w:rPr>
                      <w:rFonts w:hint="default" w:eastAsia="宋体"/>
                      <w:color w:val="auto"/>
                      <w:sz w:val="21"/>
                      <w:szCs w:val="21"/>
                      <w:lang w:val="en-US" w:eastAsia="zh-CN"/>
                    </w:rPr>
                  </w:pPr>
                  <w:r>
                    <w:rPr>
                      <w:rFonts w:hint="eastAsia"/>
                      <w:color w:val="auto"/>
                      <w:sz w:val="21"/>
                      <w:szCs w:val="21"/>
                      <w:lang w:val="en-US" w:eastAsia="zh-CN"/>
                    </w:rPr>
                    <w:t>183.763</w:t>
                  </w:r>
                </w:p>
              </w:tc>
              <w:tc>
                <w:tcPr>
                  <w:tcW w:w="496" w:type="pct"/>
                  <w:tcBorders>
                    <w:tl2br w:val="nil"/>
                    <w:tr2bl w:val="nil"/>
                  </w:tcBorders>
                  <w:vAlign w:val="center"/>
                </w:tcPr>
                <w:p w14:paraId="660B6EAC">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55D929A5">
                  <w:pPr>
                    <w:pStyle w:val="87"/>
                    <w:rPr>
                      <w:rFonts w:hint="eastAsia"/>
                      <w:color w:val="auto"/>
                      <w:sz w:val="21"/>
                      <w:szCs w:val="21"/>
                    </w:rPr>
                  </w:pPr>
                  <w:r>
                    <w:rPr>
                      <w:rFonts w:hint="eastAsia"/>
                      <w:snapToGrid w:val="0"/>
                      <w:color w:val="auto"/>
                      <w:kern w:val="21"/>
                      <w:sz w:val="21"/>
                      <w:szCs w:val="21"/>
                      <w:highlight w:val="none"/>
                      <w:lang w:val="en-US" w:eastAsia="zh-CN"/>
                    </w:rPr>
                    <w:t>66.864</w:t>
                  </w:r>
                </w:p>
              </w:tc>
              <w:tc>
                <w:tcPr>
                  <w:tcW w:w="510" w:type="pct"/>
                  <w:tcBorders>
                    <w:tl2br w:val="nil"/>
                    <w:tr2bl w:val="nil"/>
                  </w:tcBorders>
                  <w:vAlign w:val="center"/>
                </w:tcPr>
                <w:p w14:paraId="12A1026A">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0DC3E05D">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02553B35">
                  <w:pPr>
                    <w:pStyle w:val="87"/>
                    <w:rPr>
                      <w:rFonts w:hint="default" w:eastAsia="宋体"/>
                      <w:color w:val="auto"/>
                      <w:sz w:val="21"/>
                      <w:szCs w:val="21"/>
                      <w:lang w:val="en-US" w:eastAsia="zh-CN"/>
                    </w:rPr>
                  </w:pPr>
                  <w:r>
                    <w:rPr>
                      <w:rFonts w:hint="eastAsia"/>
                      <w:color w:val="auto"/>
                      <w:sz w:val="21"/>
                      <w:szCs w:val="21"/>
                      <w:lang w:val="en-US" w:eastAsia="zh-CN"/>
                    </w:rPr>
                    <w:t>250.627</w:t>
                  </w:r>
                </w:p>
              </w:tc>
              <w:tc>
                <w:tcPr>
                  <w:tcW w:w="550" w:type="pct"/>
                  <w:tcBorders>
                    <w:tl2br w:val="nil"/>
                    <w:tr2bl w:val="nil"/>
                  </w:tcBorders>
                  <w:vAlign w:val="center"/>
                </w:tcPr>
                <w:p w14:paraId="1CE83CA7">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3D1A33D4">
                  <w:pPr>
                    <w:pStyle w:val="87"/>
                    <w:rPr>
                      <w:rFonts w:hint="eastAsia"/>
                      <w:color w:val="auto"/>
                      <w:sz w:val="21"/>
                      <w:szCs w:val="21"/>
                    </w:rPr>
                  </w:pPr>
                  <w:r>
                    <w:rPr>
                      <w:rFonts w:hint="eastAsia"/>
                      <w:snapToGrid w:val="0"/>
                      <w:color w:val="auto"/>
                      <w:kern w:val="21"/>
                      <w:sz w:val="21"/>
                      <w:szCs w:val="21"/>
                      <w:highlight w:val="none"/>
                      <w:lang w:val="en-US" w:eastAsia="zh-CN"/>
                    </w:rPr>
                    <w:t>+66.864</w:t>
                  </w:r>
                </w:p>
              </w:tc>
            </w:tr>
            <w:tr w14:paraId="766F5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364" w:type="pct"/>
                  <w:vMerge w:val="continue"/>
                  <w:tcBorders>
                    <w:tl2br w:val="nil"/>
                    <w:tr2bl w:val="nil"/>
                  </w:tcBorders>
                  <w:vAlign w:val="center"/>
                </w:tcPr>
                <w:p w14:paraId="7231C93E">
                  <w:pPr>
                    <w:widowControl/>
                    <w:jc w:val="left"/>
                    <w:rPr>
                      <w:snapToGrid w:val="0"/>
                      <w:color w:val="auto"/>
                      <w:kern w:val="0"/>
                      <w:sz w:val="21"/>
                      <w:szCs w:val="21"/>
                    </w:rPr>
                  </w:pPr>
                </w:p>
              </w:tc>
              <w:tc>
                <w:tcPr>
                  <w:tcW w:w="560" w:type="pct"/>
                  <w:tcBorders>
                    <w:tl2br w:val="nil"/>
                    <w:tr2bl w:val="nil"/>
                  </w:tcBorders>
                  <w:vAlign w:val="center"/>
                </w:tcPr>
                <w:p w14:paraId="75DE3928">
                  <w:pPr>
                    <w:pStyle w:val="87"/>
                    <w:rPr>
                      <w:rFonts w:hint="eastAsia" w:eastAsia="宋体"/>
                      <w:snapToGrid w:val="0"/>
                      <w:color w:val="auto"/>
                      <w:sz w:val="21"/>
                      <w:szCs w:val="21"/>
                      <w:lang w:eastAsia="zh-CN"/>
                    </w:rPr>
                  </w:pPr>
                  <w:r>
                    <w:rPr>
                      <w:rFonts w:hint="eastAsia"/>
                      <w:snapToGrid w:val="0"/>
                      <w:color w:val="auto"/>
                      <w:sz w:val="21"/>
                      <w:szCs w:val="21"/>
                      <w:lang w:eastAsia="zh-CN"/>
                    </w:rPr>
                    <w:t>灰渣</w:t>
                  </w:r>
                </w:p>
              </w:tc>
              <w:tc>
                <w:tcPr>
                  <w:tcW w:w="572" w:type="pct"/>
                  <w:tcBorders>
                    <w:tl2br w:val="nil"/>
                    <w:tr2bl w:val="nil"/>
                  </w:tcBorders>
                  <w:vAlign w:val="center"/>
                </w:tcPr>
                <w:p w14:paraId="50846999">
                  <w:pPr>
                    <w:pStyle w:val="87"/>
                    <w:rPr>
                      <w:rFonts w:hint="default" w:eastAsia="宋体"/>
                      <w:color w:val="auto"/>
                      <w:sz w:val="21"/>
                      <w:szCs w:val="21"/>
                      <w:lang w:val="en-US" w:eastAsia="zh-CN"/>
                    </w:rPr>
                  </w:pPr>
                  <w:r>
                    <w:rPr>
                      <w:rFonts w:hint="eastAsia"/>
                      <w:color w:val="auto"/>
                      <w:sz w:val="21"/>
                      <w:szCs w:val="21"/>
                      <w:lang w:val="en-US" w:eastAsia="zh-CN"/>
                    </w:rPr>
                    <w:t>324.86</w:t>
                  </w:r>
                </w:p>
              </w:tc>
              <w:tc>
                <w:tcPr>
                  <w:tcW w:w="496" w:type="pct"/>
                  <w:tcBorders>
                    <w:tl2br w:val="nil"/>
                    <w:tr2bl w:val="nil"/>
                  </w:tcBorders>
                  <w:vAlign w:val="center"/>
                </w:tcPr>
                <w:p w14:paraId="2975DBC4">
                  <w:pPr>
                    <w:tabs>
                      <w:tab w:val="center" w:pos="4153"/>
                      <w:tab w:val="right" w:pos="8306"/>
                    </w:tabs>
                    <w:jc w:val="center"/>
                    <w:rPr>
                      <w:rFonts w:hint="default"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12479070">
                  <w:pPr>
                    <w:pStyle w:val="87"/>
                    <w:rPr>
                      <w:rFonts w:hint="eastAsia"/>
                      <w:color w:val="auto"/>
                      <w:sz w:val="21"/>
                      <w:szCs w:val="21"/>
                    </w:rPr>
                  </w:pPr>
                  <w:r>
                    <w:rPr>
                      <w:rFonts w:hint="eastAsia"/>
                      <w:snapToGrid w:val="0"/>
                      <w:color w:val="auto"/>
                      <w:kern w:val="21"/>
                      <w:sz w:val="21"/>
                      <w:szCs w:val="21"/>
                      <w:highlight w:val="none"/>
                      <w:lang w:val="en-US" w:eastAsia="zh-CN"/>
                    </w:rPr>
                    <w:t>135.63</w:t>
                  </w:r>
                </w:p>
              </w:tc>
              <w:tc>
                <w:tcPr>
                  <w:tcW w:w="510" w:type="pct"/>
                  <w:tcBorders>
                    <w:tl2br w:val="nil"/>
                    <w:tr2bl w:val="nil"/>
                  </w:tcBorders>
                  <w:vAlign w:val="center"/>
                </w:tcPr>
                <w:p w14:paraId="057535E8">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76" w:type="pct"/>
                  <w:tcBorders>
                    <w:tl2br w:val="nil"/>
                    <w:tr2bl w:val="nil"/>
                  </w:tcBorders>
                  <w:vAlign w:val="center"/>
                </w:tcPr>
                <w:p w14:paraId="66EB674D">
                  <w:pPr>
                    <w:jc w:val="center"/>
                    <w:rPr>
                      <w:rFonts w:hint="eastAsia" w:eastAsia="宋体"/>
                      <w:color w:val="auto"/>
                      <w:sz w:val="21"/>
                      <w:szCs w:val="21"/>
                      <w:lang w:val="en-US" w:eastAsia="zh-CN"/>
                    </w:rPr>
                  </w:pPr>
                  <w:r>
                    <w:rPr>
                      <w:rFonts w:hint="eastAsia"/>
                      <w:color w:val="auto"/>
                      <w:sz w:val="21"/>
                      <w:szCs w:val="21"/>
                      <w:lang w:val="en-US" w:eastAsia="zh-CN"/>
                    </w:rPr>
                    <w:t>0</w:t>
                  </w:r>
                </w:p>
              </w:tc>
              <w:tc>
                <w:tcPr>
                  <w:tcW w:w="501" w:type="pct"/>
                  <w:tcBorders>
                    <w:tl2br w:val="nil"/>
                    <w:tr2bl w:val="nil"/>
                  </w:tcBorders>
                  <w:vAlign w:val="center"/>
                </w:tcPr>
                <w:p w14:paraId="250BD081">
                  <w:pPr>
                    <w:pStyle w:val="87"/>
                    <w:rPr>
                      <w:rFonts w:hint="default" w:eastAsia="宋体"/>
                      <w:color w:val="auto"/>
                      <w:sz w:val="21"/>
                      <w:szCs w:val="21"/>
                      <w:lang w:val="en-US" w:eastAsia="zh-CN"/>
                    </w:rPr>
                  </w:pPr>
                  <w:r>
                    <w:rPr>
                      <w:rFonts w:hint="eastAsia"/>
                      <w:color w:val="auto"/>
                      <w:sz w:val="21"/>
                      <w:szCs w:val="21"/>
                      <w:lang w:val="en-US" w:eastAsia="zh-CN"/>
                    </w:rPr>
                    <w:t>460.49</w:t>
                  </w:r>
                </w:p>
              </w:tc>
              <w:tc>
                <w:tcPr>
                  <w:tcW w:w="550" w:type="pct"/>
                  <w:tcBorders>
                    <w:tl2br w:val="nil"/>
                    <w:tr2bl w:val="nil"/>
                  </w:tcBorders>
                  <w:vAlign w:val="center"/>
                </w:tcPr>
                <w:p w14:paraId="7D3F89D4">
                  <w:pPr>
                    <w:jc w:val="center"/>
                    <w:rPr>
                      <w:rFonts w:hint="default"/>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1D42412E">
                  <w:pPr>
                    <w:pStyle w:val="87"/>
                    <w:rPr>
                      <w:rFonts w:hint="eastAsia"/>
                      <w:color w:val="auto"/>
                      <w:sz w:val="21"/>
                      <w:szCs w:val="21"/>
                    </w:rPr>
                  </w:pPr>
                  <w:r>
                    <w:rPr>
                      <w:rFonts w:hint="eastAsia"/>
                      <w:snapToGrid w:val="0"/>
                      <w:color w:val="auto"/>
                      <w:kern w:val="21"/>
                      <w:sz w:val="21"/>
                      <w:szCs w:val="21"/>
                      <w:highlight w:val="none"/>
                      <w:lang w:val="en-US" w:eastAsia="zh-CN"/>
                    </w:rPr>
                    <w:t>+135.63</w:t>
                  </w:r>
                </w:p>
              </w:tc>
            </w:tr>
            <w:tr w14:paraId="5A170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2558AD50">
                  <w:pPr>
                    <w:widowControl/>
                    <w:jc w:val="left"/>
                    <w:rPr>
                      <w:snapToGrid w:val="0"/>
                      <w:color w:val="auto"/>
                      <w:kern w:val="0"/>
                      <w:sz w:val="21"/>
                      <w:szCs w:val="21"/>
                    </w:rPr>
                  </w:pPr>
                </w:p>
              </w:tc>
              <w:tc>
                <w:tcPr>
                  <w:tcW w:w="560" w:type="pct"/>
                  <w:tcBorders>
                    <w:tl2br w:val="nil"/>
                    <w:tr2bl w:val="nil"/>
                  </w:tcBorders>
                  <w:vAlign w:val="center"/>
                </w:tcPr>
                <w:p w14:paraId="3B690AC3">
                  <w:pPr>
                    <w:pStyle w:val="87"/>
                    <w:rPr>
                      <w:rFonts w:hint="eastAsia" w:eastAsia="宋体"/>
                      <w:snapToGrid w:val="0"/>
                      <w:color w:val="auto"/>
                      <w:sz w:val="21"/>
                      <w:szCs w:val="21"/>
                      <w:lang w:eastAsia="zh-CN"/>
                    </w:rPr>
                  </w:pPr>
                  <w:r>
                    <w:rPr>
                      <w:rFonts w:hint="eastAsia"/>
                      <w:snapToGrid w:val="0"/>
                      <w:color w:val="auto"/>
                      <w:sz w:val="21"/>
                      <w:szCs w:val="21"/>
                      <w:lang w:eastAsia="zh-CN"/>
                    </w:rPr>
                    <w:t>废离子交换树脂</w:t>
                  </w:r>
                </w:p>
              </w:tc>
              <w:tc>
                <w:tcPr>
                  <w:tcW w:w="572" w:type="pct"/>
                  <w:tcBorders>
                    <w:tl2br w:val="nil"/>
                    <w:tr2bl w:val="nil"/>
                  </w:tcBorders>
                  <w:vAlign w:val="center"/>
                </w:tcPr>
                <w:p w14:paraId="7F5ABE72">
                  <w:pPr>
                    <w:pStyle w:val="87"/>
                    <w:rPr>
                      <w:rFonts w:hint="default" w:eastAsia="宋体"/>
                      <w:color w:val="auto"/>
                      <w:sz w:val="21"/>
                      <w:szCs w:val="21"/>
                      <w:lang w:val="en-US" w:eastAsia="zh-CN"/>
                    </w:rPr>
                  </w:pPr>
                  <w:r>
                    <w:rPr>
                      <w:rFonts w:hint="eastAsia"/>
                      <w:color w:val="auto"/>
                      <w:sz w:val="21"/>
                      <w:szCs w:val="21"/>
                      <w:lang w:val="en-US" w:eastAsia="zh-CN"/>
                    </w:rPr>
                    <w:t>0.01</w:t>
                  </w:r>
                </w:p>
              </w:tc>
              <w:tc>
                <w:tcPr>
                  <w:tcW w:w="496" w:type="pct"/>
                  <w:tcBorders>
                    <w:tl2br w:val="nil"/>
                    <w:tr2bl w:val="nil"/>
                  </w:tcBorders>
                  <w:vAlign w:val="center"/>
                </w:tcPr>
                <w:p w14:paraId="4CAE577E">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6EDEBE43">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510" w:type="pct"/>
                  <w:tcBorders>
                    <w:tl2br w:val="nil"/>
                    <w:tr2bl w:val="nil"/>
                  </w:tcBorders>
                  <w:vAlign w:val="center"/>
                </w:tcPr>
                <w:p w14:paraId="5EDC3030">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4A72871D">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6560690D">
                  <w:pPr>
                    <w:pStyle w:val="87"/>
                    <w:rPr>
                      <w:rFonts w:hint="default" w:eastAsia="宋体"/>
                      <w:color w:val="auto"/>
                      <w:sz w:val="21"/>
                      <w:szCs w:val="21"/>
                      <w:lang w:val="en-US" w:eastAsia="zh-CN"/>
                    </w:rPr>
                  </w:pPr>
                  <w:r>
                    <w:rPr>
                      <w:rFonts w:hint="eastAsia"/>
                      <w:color w:val="auto"/>
                      <w:sz w:val="21"/>
                      <w:szCs w:val="21"/>
                      <w:lang w:val="en-US" w:eastAsia="zh-CN"/>
                    </w:rPr>
                    <w:t>0.01</w:t>
                  </w:r>
                </w:p>
              </w:tc>
              <w:tc>
                <w:tcPr>
                  <w:tcW w:w="550" w:type="pct"/>
                  <w:tcBorders>
                    <w:tl2br w:val="nil"/>
                    <w:tr2bl w:val="nil"/>
                  </w:tcBorders>
                  <w:vAlign w:val="center"/>
                </w:tcPr>
                <w:p w14:paraId="440B74CC">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0EA7CD13">
                  <w:pPr>
                    <w:pStyle w:val="87"/>
                    <w:rPr>
                      <w:rFonts w:hint="eastAsia"/>
                      <w:color w:val="auto"/>
                      <w:sz w:val="21"/>
                      <w:szCs w:val="21"/>
                    </w:rPr>
                  </w:pPr>
                  <w:r>
                    <w:rPr>
                      <w:rFonts w:hint="eastAsia"/>
                      <w:color w:val="auto"/>
                      <w:sz w:val="21"/>
                      <w:szCs w:val="21"/>
                      <w:lang w:val="en-US" w:eastAsia="zh-CN"/>
                    </w:rPr>
                    <w:t>0</w:t>
                  </w:r>
                </w:p>
              </w:tc>
            </w:tr>
            <w:tr w14:paraId="64B2DD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2B0968B1">
                  <w:pPr>
                    <w:widowControl/>
                    <w:jc w:val="left"/>
                    <w:rPr>
                      <w:snapToGrid w:val="0"/>
                      <w:color w:val="auto"/>
                      <w:kern w:val="0"/>
                      <w:sz w:val="21"/>
                      <w:szCs w:val="21"/>
                    </w:rPr>
                  </w:pPr>
                </w:p>
              </w:tc>
              <w:tc>
                <w:tcPr>
                  <w:tcW w:w="560" w:type="pct"/>
                  <w:tcBorders>
                    <w:tl2br w:val="nil"/>
                    <w:tr2bl w:val="nil"/>
                  </w:tcBorders>
                  <w:vAlign w:val="center"/>
                </w:tcPr>
                <w:p w14:paraId="16E05320">
                  <w:pPr>
                    <w:pStyle w:val="87"/>
                    <w:rPr>
                      <w:rFonts w:hint="eastAsia" w:eastAsia="宋体"/>
                      <w:snapToGrid w:val="0"/>
                      <w:color w:val="auto"/>
                      <w:sz w:val="21"/>
                      <w:szCs w:val="21"/>
                      <w:lang w:eastAsia="zh-CN"/>
                    </w:rPr>
                  </w:pPr>
                  <w:r>
                    <w:rPr>
                      <w:rFonts w:hint="eastAsia"/>
                      <w:snapToGrid w:val="0"/>
                      <w:color w:val="auto"/>
                      <w:sz w:val="21"/>
                      <w:szCs w:val="21"/>
                      <w:lang w:eastAsia="zh-CN"/>
                    </w:rPr>
                    <w:t>废布袋</w:t>
                  </w:r>
                </w:p>
              </w:tc>
              <w:tc>
                <w:tcPr>
                  <w:tcW w:w="572" w:type="pct"/>
                  <w:tcBorders>
                    <w:tl2br w:val="nil"/>
                    <w:tr2bl w:val="nil"/>
                  </w:tcBorders>
                  <w:vAlign w:val="center"/>
                </w:tcPr>
                <w:p w14:paraId="2F93F1E1">
                  <w:pPr>
                    <w:pStyle w:val="87"/>
                    <w:rPr>
                      <w:rFonts w:hint="eastAsia" w:eastAsia="宋体"/>
                      <w:color w:val="auto"/>
                      <w:sz w:val="21"/>
                      <w:szCs w:val="21"/>
                      <w:lang w:val="en-US" w:eastAsia="zh-CN"/>
                    </w:rPr>
                  </w:pPr>
                  <w:r>
                    <w:rPr>
                      <w:rFonts w:hint="eastAsia"/>
                      <w:color w:val="auto"/>
                      <w:sz w:val="21"/>
                      <w:szCs w:val="21"/>
                      <w:lang w:val="en-US" w:eastAsia="zh-CN"/>
                    </w:rPr>
                    <w:t>0</w:t>
                  </w:r>
                </w:p>
              </w:tc>
              <w:tc>
                <w:tcPr>
                  <w:tcW w:w="496" w:type="pct"/>
                  <w:tcBorders>
                    <w:tl2br w:val="nil"/>
                    <w:tr2bl w:val="nil"/>
                  </w:tcBorders>
                  <w:vAlign w:val="center"/>
                </w:tcPr>
                <w:p w14:paraId="63511291">
                  <w:pPr>
                    <w:tabs>
                      <w:tab w:val="center" w:pos="4153"/>
                      <w:tab w:val="right" w:pos="8306"/>
                    </w:tabs>
                    <w:jc w:val="center"/>
                    <w:rPr>
                      <w:rFonts w:hint="default"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023C97D7">
                  <w:pPr>
                    <w:pStyle w:val="87"/>
                    <w:rPr>
                      <w:rFonts w:hint="eastAsia"/>
                      <w:color w:val="auto"/>
                      <w:sz w:val="21"/>
                      <w:szCs w:val="21"/>
                    </w:rPr>
                  </w:pPr>
                  <w:r>
                    <w:rPr>
                      <w:rFonts w:hint="eastAsia"/>
                      <w:snapToGrid w:val="0"/>
                      <w:color w:val="auto"/>
                      <w:kern w:val="21"/>
                      <w:sz w:val="21"/>
                      <w:szCs w:val="21"/>
                      <w:highlight w:val="none"/>
                      <w:lang w:val="en-US" w:eastAsia="zh-CN"/>
                    </w:rPr>
                    <w:t>0.3t/3a</w:t>
                  </w:r>
                </w:p>
              </w:tc>
              <w:tc>
                <w:tcPr>
                  <w:tcW w:w="888" w:type="dxa"/>
                  <w:tcBorders>
                    <w:tl2br w:val="nil"/>
                    <w:tr2bl w:val="nil"/>
                  </w:tcBorders>
                  <w:vAlign w:val="center"/>
                </w:tcPr>
                <w:p w14:paraId="2987B5B7">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21B5CD69">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71C6542B">
                  <w:pPr>
                    <w:pStyle w:val="87"/>
                    <w:rPr>
                      <w:rFonts w:hint="default" w:eastAsia="宋体"/>
                      <w:color w:val="auto"/>
                      <w:sz w:val="21"/>
                      <w:szCs w:val="21"/>
                      <w:lang w:val="en-US" w:eastAsia="zh-CN"/>
                    </w:rPr>
                  </w:pPr>
                  <w:r>
                    <w:rPr>
                      <w:rFonts w:hint="eastAsia"/>
                      <w:snapToGrid w:val="0"/>
                      <w:color w:val="auto"/>
                      <w:kern w:val="21"/>
                      <w:sz w:val="21"/>
                      <w:szCs w:val="21"/>
                      <w:highlight w:val="none"/>
                      <w:lang w:val="en-US" w:eastAsia="zh-CN"/>
                    </w:rPr>
                    <w:t>0.3t/3a</w:t>
                  </w:r>
                </w:p>
              </w:tc>
              <w:tc>
                <w:tcPr>
                  <w:tcW w:w="550" w:type="pct"/>
                  <w:tcBorders>
                    <w:tl2br w:val="nil"/>
                    <w:tr2bl w:val="nil"/>
                  </w:tcBorders>
                  <w:vAlign w:val="center"/>
                </w:tcPr>
                <w:p w14:paraId="0AED230E">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6767186C">
                  <w:pPr>
                    <w:pStyle w:val="87"/>
                    <w:rPr>
                      <w:rFonts w:hint="eastAsia"/>
                      <w:color w:val="auto"/>
                      <w:sz w:val="21"/>
                      <w:szCs w:val="21"/>
                    </w:rPr>
                  </w:pPr>
                  <w:r>
                    <w:rPr>
                      <w:rFonts w:hint="eastAsia"/>
                      <w:snapToGrid w:val="0"/>
                      <w:color w:val="auto"/>
                      <w:kern w:val="21"/>
                      <w:sz w:val="21"/>
                      <w:szCs w:val="21"/>
                      <w:highlight w:val="none"/>
                      <w:lang w:val="en-US" w:eastAsia="zh-CN"/>
                    </w:rPr>
                    <w:t>+0.3t/3a</w:t>
                  </w:r>
                </w:p>
              </w:tc>
            </w:tr>
            <w:tr w14:paraId="0D920E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6D4420E6">
                  <w:pPr>
                    <w:widowControl/>
                    <w:jc w:val="left"/>
                    <w:rPr>
                      <w:snapToGrid w:val="0"/>
                      <w:color w:val="auto"/>
                      <w:kern w:val="0"/>
                      <w:sz w:val="21"/>
                      <w:szCs w:val="21"/>
                    </w:rPr>
                  </w:pPr>
                </w:p>
              </w:tc>
              <w:tc>
                <w:tcPr>
                  <w:tcW w:w="560" w:type="pct"/>
                  <w:tcBorders>
                    <w:tl2br w:val="nil"/>
                    <w:tr2bl w:val="nil"/>
                  </w:tcBorders>
                  <w:vAlign w:val="center"/>
                </w:tcPr>
                <w:p w14:paraId="2D364A91">
                  <w:pPr>
                    <w:pStyle w:val="87"/>
                    <w:rPr>
                      <w:rFonts w:hint="eastAsia"/>
                      <w:snapToGrid w:val="0"/>
                      <w:color w:val="auto"/>
                      <w:sz w:val="21"/>
                      <w:szCs w:val="21"/>
                      <w:lang w:eastAsia="zh-CN"/>
                    </w:rPr>
                  </w:pPr>
                  <w:r>
                    <w:rPr>
                      <w:rFonts w:hint="eastAsia"/>
                      <w:snapToGrid w:val="0"/>
                      <w:color w:val="auto"/>
                      <w:sz w:val="21"/>
                      <w:szCs w:val="21"/>
                      <w:lang w:eastAsia="zh-CN"/>
                    </w:rPr>
                    <w:t>烘干塔围挡</w:t>
                  </w:r>
                  <w:r>
                    <w:rPr>
                      <w:snapToGrid w:val="0"/>
                      <w:color w:val="auto"/>
                      <w:sz w:val="21"/>
                      <w:szCs w:val="21"/>
                    </w:rPr>
                    <w:t>收尘</w:t>
                  </w:r>
                </w:p>
              </w:tc>
              <w:tc>
                <w:tcPr>
                  <w:tcW w:w="572" w:type="pct"/>
                  <w:tcBorders>
                    <w:tl2br w:val="nil"/>
                    <w:tr2bl w:val="nil"/>
                  </w:tcBorders>
                  <w:vAlign w:val="center"/>
                </w:tcPr>
                <w:p w14:paraId="744786A8">
                  <w:pPr>
                    <w:pStyle w:val="87"/>
                    <w:rPr>
                      <w:rFonts w:hint="eastAsia" w:eastAsia="宋体"/>
                      <w:color w:val="auto"/>
                      <w:sz w:val="21"/>
                      <w:szCs w:val="21"/>
                      <w:lang w:val="en-US" w:eastAsia="zh-CN"/>
                    </w:rPr>
                  </w:pPr>
                  <w:r>
                    <w:rPr>
                      <w:rFonts w:hint="eastAsia"/>
                      <w:color w:val="auto"/>
                      <w:sz w:val="21"/>
                      <w:szCs w:val="21"/>
                      <w:lang w:val="en-US" w:eastAsia="zh-CN"/>
                    </w:rPr>
                    <w:t>2</w:t>
                  </w:r>
                </w:p>
              </w:tc>
              <w:tc>
                <w:tcPr>
                  <w:tcW w:w="496" w:type="pct"/>
                  <w:tcBorders>
                    <w:tl2br w:val="nil"/>
                    <w:tr2bl w:val="nil"/>
                  </w:tcBorders>
                  <w:vAlign w:val="center"/>
                </w:tcPr>
                <w:p w14:paraId="5C8707A3">
                  <w:pPr>
                    <w:tabs>
                      <w:tab w:val="center" w:pos="4153"/>
                      <w:tab w:val="right" w:pos="8306"/>
                    </w:tabs>
                    <w:jc w:val="center"/>
                    <w:rPr>
                      <w:rFonts w:hint="eastAsia" w:eastAsia="宋体"/>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5ED63DAA">
                  <w:pPr>
                    <w:pStyle w:val="87"/>
                    <w:rPr>
                      <w:rFonts w:hint="default" w:eastAsia="宋体"/>
                      <w:color w:val="auto"/>
                      <w:sz w:val="21"/>
                      <w:szCs w:val="21"/>
                      <w:lang w:val="en-US" w:eastAsia="zh-CN"/>
                    </w:rPr>
                  </w:pPr>
                  <w:r>
                    <w:rPr>
                      <w:rFonts w:hint="eastAsia"/>
                      <w:color w:val="auto"/>
                      <w:sz w:val="21"/>
                      <w:szCs w:val="21"/>
                      <w:lang w:val="en-US" w:eastAsia="zh-CN"/>
                    </w:rPr>
                    <w:t>4.572</w:t>
                  </w:r>
                </w:p>
              </w:tc>
              <w:tc>
                <w:tcPr>
                  <w:tcW w:w="888" w:type="dxa"/>
                  <w:tcBorders>
                    <w:tl2br w:val="nil"/>
                    <w:tr2bl w:val="nil"/>
                  </w:tcBorders>
                  <w:vAlign w:val="center"/>
                </w:tcPr>
                <w:p w14:paraId="0C720A9E">
                  <w:pPr>
                    <w:tabs>
                      <w:tab w:val="center" w:pos="4153"/>
                      <w:tab w:val="right" w:pos="8306"/>
                    </w:tabs>
                    <w:jc w:val="center"/>
                    <w:rPr>
                      <w:rFonts w:hint="eastAsia"/>
                      <w:color w:val="auto"/>
                      <w:sz w:val="21"/>
                      <w:szCs w:val="21"/>
                    </w:rPr>
                  </w:pPr>
                  <w:r>
                    <w:rPr>
                      <w:rFonts w:hint="eastAsia"/>
                      <w:color w:val="auto"/>
                      <w:sz w:val="21"/>
                      <w:szCs w:val="21"/>
                      <w:lang w:val="en-US" w:eastAsia="zh-CN"/>
                    </w:rPr>
                    <w:t>/</w:t>
                  </w:r>
                </w:p>
              </w:tc>
              <w:tc>
                <w:tcPr>
                  <w:tcW w:w="476" w:type="pct"/>
                  <w:tcBorders>
                    <w:tl2br w:val="nil"/>
                    <w:tr2bl w:val="nil"/>
                  </w:tcBorders>
                  <w:vAlign w:val="center"/>
                </w:tcPr>
                <w:p w14:paraId="6B21083B">
                  <w:pPr>
                    <w:jc w:val="center"/>
                    <w:rPr>
                      <w:rFonts w:hint="eastAsia"/>
                      <w:color w:val="auto"/>
                      <w:sz w:val="21"/>
                      <w:szCs w:val="21"/>
                    </w:rPr>
                  </w:pPr>
                  <w:r>
                    <w:rPr>
                      <w:rFonts w:hint="eastAsia"/>
                      <w:color w:val="auto"/>
                      <w:sz w:val="21"/>
                      <w:szCs w:val="21"/>
                      <w:lang w:val="en-US" w:eastAsia="zh-CN"/>
                    </w:rPr>
                    <w:t>0</w:t>
                  </w:r>
                </w:p>
              </w:tc>
              <w:tc>
                <w:tcPr>
                  <w:tcW w:w="501" w:type="pct"/>
                  <w:tcBorders>
                    <w:tl2br w:val="nil"/>
                    <w:tr2bl w:val="nil"/>
                  </w:tcBorders>
                  <w:vAlign w:val="center"/>
                </w:tcPr>
                <w:p w14:paraId="17AF3836">
                  <w:pPr>
                    <w:pStyle w:val="87"/>
                    <w:rPr>
                      <w:rFonts w:hint="default" w:eastAsia="宋体"/>
                      <w:color w:val="auto"/>
                      <w:sz w:val="21"/>
                      <w:szCs w:val="21"/>
                      <w:lang w:val="en-US" w:eastAsia="zh-CN"/>
                    </w:rPr>
                  </w:pPr>
                  <w:r>
                    <w:rPr>
                      <w:rFonts w:hint="eastAsia"/>
                      <w:color w:val="auto"/>
                      <w:sz w:val="21"/>
                      <w:szCs w:val="21"/>
                      <w:lang w:val="en-US" w:eastAsia="zh-CN"/>
                    </w:rPr>
                    <w:t>6.572</w:t>
                  </w:r>
                </w:p>
              </w:tc>
              <w:tc>
                <w:tcPr>
                  <w:tcW w:w="550" w:type="pct"/>
                  <w:tcBorders>
                    <w:tl2br w:val="nil"/>
                    <w:tr2bl w:val="nil"/>
                  </w:tcBorders>
                  <w:vAlign w:val="center"/>
                </w:tcPr>
                <w:p w14:paraId="6EEBB41C">
                  <w:pPr>
                    <w:jc w:val="center"/>
                    <w:rPr>
                      <w:rFonts w:hint="eastAsia"/>
                      <w:color w:val="auto"/>
                      <w:sz w:val="21"/>
                      <w:szCs w:val="21"/>
                      <w:lang w:val="en-US" w:eastAsia="zh-CN"/>
                    </w:rPr>
                  </w:pPr>
                  <w:r>
                    <w:rPr>
                      <w:rFonts w:hint="eastAsia"/>
                      <w:color w:val="auto"/>
                      <w:sz w:val="21"/>
                      <w:szCs w:val="21"/>
                      <w:lang w:val="en-US" w:eastAsia="zh-CN"/>
                    </w:rPr>
                    <w:t>/</w:t>
                  </w:r>
                </w:p>
              </w:tc>
              <w:tc>
                <w:tcPr>
                  <w:tcW w:w="470" w:type="pct"/>
                  <w:tcBorders>
                    <w:tl2br w:val="nil"/>
                    <w:tr2bl w:val="nil"/>
                  </w:tcBorders>
                  <w:vAlign w:val="center"/>
                </w:tcPr>
                <w:p w14:paraId="2718CBCA">
                  <w:pPr>
                    <w:pStyle w:val="87"/>
                    <w:rPr>
                      <w:rFonts w:hint="eastAsia"/>
                      <w:color w:val="auto"/>
                      <w:sz w:val="21"/>
                      <w:szCs w:val="21"/>
                    </w:rPr>
                  </w:pPr>
                  <w:r>
                    <w:rPr>
                      <w:rFonts w:hint="eastAsia"/>
                      <w:color w:val="auto"/>
                      <w:sz w:val="21"/>
                      <w:szCs w:val="21"/>
                      <w:lang w:val="en-US" w:eastAsia="zh-CN"/>
                    </w:rPr>
                    <w:t>+4.572</w:t>
                  </w:r>
                </w:p>
              </w:tc>
            </w:tr>
            <w:tr w14:paraId="4D00E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12FE9E0A">
                  <w:pPr>
                    <w:widowControl/>
                    <w:jc w:val="left"/>
                    <w:rPr>
                      <w:snapToGrid w:val="0"/>
                      <w:color w:val="auto"/>
                      <w:kern w:val="0"/>
                      <w:sz w:val="21"/>
                      <w:szCs w:val="21"/>
                    </w:rPr>
                  </w:pPr>
                </w:p>
              </w:tc>
              <w:tc>
                <w:tcPr>
                  <w:tcW w:w="975" w:type="dxa"/>
                  <w:tcBorders>
                    <w:tl2br w:val="nil"/>
                    <w:tr2bl w:val="nil"/>
                  </w:tcBorders>
                  <w:vAlign w:val="center"/>
                </w:tcPr>
                <w:p w14:paraId="6C0C0DE4">
                  <w:pPr>
                    <w:spacing w:line="360" w:lineRule="exact"/>
                    <w:jc w:val="center"/>
                    <w:rPr>
                      <w:rFonts w:hint="eastAsia"/>
                      <w:snapToGrid w:val="0"/>
                      <w:color w:val="auto"/>
                      <w:sz w:val="21"/>
                      <w:szCs w:val="21"/>
                      <w:lang w:eastAsia="zh-CN"/>
                    </w:rPr>
                  </w:pPr>
                  <w:r>
                    <w:rPr>
                      <w:rFonts w:hint="default" w:ascii="Times New Roman" w:hAnsi="Times New Roman" w:eastAsia="宋体" w:cs="Times New Roman"/>
                      <w:color w:val="auto"/>
                      <w:spacing w:val="-10"/>
                      <w:szCs w:val="21"/>
                      <w:lang w:eastAsia="zh-CN"/>
                    </w:rPr>
                    <w:t>废矿物油</w:t>
                  </w:r>
                </w:p>
              </w:tc>
              <w:tc>
                <w:tcPr>
                  <w:tcW w:w="572" w:type="pct"/>
                  <w:tcBorders>
                    <w:tl2br w:val="nil"/>
                    <w:tr2bl w:val="nil"/>
                  </w:tcBorders>
                  <w:vAlign w:val="center"/>
                </w:tcPr>
                <w:p w14:paraId="7E0DC7C2">
                  <w:pPr>
                    <w:pStyle w:val="87"/>
                    <w:rPr>
                      <w:rFonts w:hint="default"/>
                      <w:color w:val="auto"/>
                      <w:sz w:val="21"/>
                      <w:szCs w:val="21"/>
                      <w:lang w:val="en-US" w:eastAsia="zh-CN"/>
                    </w:rPr>
                  </w:pPr>
                  <w:r>
                    <w:rPr>
                      <w:rFonts w:hint="eastAsia"/>
                      <w:color w:val="auto"/>
                      <w:sz w:val="21"/>
                      <w:szCs w:val="21"/>
                      <w:lang w:val="en-US" w:eastAsia="zh-CN"/>
                    </w:rPr>
                    <w:t>0</w:t>
                  </w:r>
                </w:p>
              </w:tc>
              <w:tc>
                <w:tcPr>
                  <w:tcW w:w="863" w:type="dxa"/>
                  <w:tcBorders>
                    <w:tl2br w:val="nil"/>
                    <w:tr2bl w:val="nil"/>
                  </w:tcBorders>
                  <w:vAlign w:val="center"/>
                </w:tcPr>
                <w:p w14:paraId="047BE5A7">
                  <w:pPr>
                    <w:tabs>
                      <w:tab w:val="center" w:pos="4153"/>
                      <w:tab w:val="right" w:pos="8306"/>
                    </w:tabs>
                    <w:jc w:val="center"/>
                    <w:rPr>
                      <w:rFonts w:hint="eastAsia"/>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485F4676">
                  <w:pPr>
                    <w:pStyle w:val="87"/>
                    <w:rPr>
                      <w:rFonts w:hint="default"/>
                      <w:color w:val="auto"/>
                      <w:sz w:val="21"/>
                      <w:szCs w:val="21"/>
                      <w:lang w:val="en-US" w:eastAsia="zh-CN"/>
                    </w:rPr>
                  </w:pPr>
                  <w:r>
                    <w:rPr>
                      <w:rFonts w:hint="eastAsia"/>
                      <w:color w:val="auto"/>
                      <w:sz w:val="21"/>
                      <w:szCs w:val="21"/>
                      <w:lang w:val="en-US" w:eastAsia="zh-CN"/>
                    </w:rPr>
                    <w:t>0.05</w:t>
                  </w:r>
                </w:p>
              </w:tc>
              <w:tc>
                <w:tcPr>
                  <w:tcW w:w="888" w:type="dxa"/>
                  <w:tcBorders>
                    <w:tl2br w:val="nil"/>
                    <w:tr2bl w:val="nil"/>
                  </w:tcBorders>
                  <w:vAlign w:val="center"/>
                </w:tcPr>
                <w:p w14:paraId="15F08DA6">
                  <w:pPr>
                    <w:tabs>
                      <w:tab w:val="center" w:pos="4153"/>
                      <w:tab w:val="right" w:pos="8306"/>
                    </w:tabs>
                    <w:jc w:val="center"/>
                    <w:rPr>
                      <w:rFonts w:hint="eastAsia"/>
                      <w:color w:val="auto"/>
                      <w:sz w:val="21"/>
                      <w:szCs w:val="21"/>
                      <w:lang w:val="en-US" w:eastAsia="zh-CN"/>
                    </w:rPr>
                  </w:pPr>
                  <w:r>
                    <w:rPr>
                      <w:rFonts w:hint="eastAsia"/>
                      <w:color w:val="auto"/>
                      <w:sz w:val="21"/>
                      <w:szCs w:val="21"/>
                      <w:lang w:val="en-US" w:eastAsia="zh-CN"/>
                    </w:rPr>
                    <w:t>/</w:t>
                  </w:r>
                </w:p>
              </w:tc>
              <w:tc>
                <w:tcPr>
                  <w:tcW w:w="476" w:type="pct"/>
                  <w:tcBorders>
                    <w:tl2br w:val="nil"/>
                    <w:tr2bl w:val="nil"/>
                  </w:tcBorders>
                  <w:vAlign w:val="center"/>
                </w:tcPr>
                <w:p w14:paraId="157626D3">
                  <w:pPr>
                    <w:jc w:val="center"/>
                    <w:rPr>
                      <w:rFonts w:hint="default"/>
                      <w:color w:val="auto"/>
                      <w:sz w:val="21"/>
                      <w:szCs w:val="21"/>
                      <w:lang w:val="en-US" w:eastAsia="zh-CN"/>
                    </w:rPr>
                  </w:pPr>
                  <w:r>
                    <w:rPr>
                      <w:rFonts w:hint="eastAsia"/>
                      <w:color w:val="auto"/>
                      <w:sz w:val="21"/>
                      <w:szCs w:val="21"/>
                      <w:lang w:val="en-US" w:eastAsia="zh-CN"/>
                    </w:rPr>
                    <w:t>0</w:t>
                  </w:r>
                </w:p>
              </w:tc>
              <w:tc>
                <w:tcPr>
                  <w:tcW w:w="872" w:type="dxa"/>
                  <w:tcBorders>
                    <w:tl2br w:val="nil"/>
                    <w:tr2bl w:val="nil"/>
                  </w:tcBorders>
                  <w:vAlign w:val="center"/>
                </w:tcPr>
                <w:p w14:paraId="212516D6">
                  <w:pPr>
                    <w:pStyle w:val="87"/>
                    <w:rPr>
                      <w:rFonts w:hint="eastAsia"/>
                      <w:color w:val="auto"/>
                      <w:sz w:val="21"/>
                      <w:szCs w:val="21"/>
                      <w:lang w:val="en-US" w:eastAsia="zh-CN"/>
                    </w:rPr>
                  </w:pPr>
                  <w:r>
                    <w:rPr>
                      <w:rFonts w:hint="eastAsia"/>
                      <w:color w:val="auto"/>
                      <w:sz w:val="21"/>
                      <w:szCs w:val="21"/>
                      <w:lang w:val="en-US" w:eastAsia="zh-CN"/>
                    </w:rPr>
                    <w:t>0.05</w:t>
                  </w:r>
                </w:p>
              </w:tc>
              <w:tc>
                <w:tcPr>
                  <w:tcW w:w="550" w:type="pct"/>
                  <w:tcBorders>
                    <w:tl2br w:val="nil"/>
                    <w:tr2bl w:val="nil"/>
                  </w:tcBorders>
                  <w:vAlign w:val="center"/>
                </w:tcPr>
                <w:p w14:paraId="7D82F1B7">
                  <w:pPr>
                    <w:jc w:val="center"/>
                    <w:rPr>
                      <w:rFonts w:hint="default"/>
                      <w:color w:val="auto"/>
                      <w:sz w:val="21"/>
                      <w:szCs w:val="21"/>
                      <w:lang w:val="en-US" w:eastAsia="zh-CN"/>
                    </w:rPr>
                  </w:pPr>
                  <w:r>
                    <w:rPr>
                      <w:rFonts w:hint="eastAsia"/>
                      <w:color w:val="auto"/>
                      <w:sz w:val="21"/>
                      <w:szCs w:val="21"/>
                      <w:lang w:val="en-US" w:eastAsia="zh-CN"/>
                    </w:rPr>
                    <w:t>/</w:t>
                  </w:r>
                </w:p>
              </w:tc>
              <w:tc>
                <w:tcPr>
                  <w:tcW w:w="818" w:type="dxa"/>
                  <w:tcBorders>
                    <w:tl2br w:val="nil"/>
                    <w:tr2bl w:val="nil"/>
                  </w:tcBorders>
                  <w:vAlign w:val="center"/>
                </w:tcPr>
                <w:p w14:paraId="27C63482">
                  <w:pPr>
                    <w:pStyle w:val="87"/>
                    <w:rPr>
                      <w:rFonts w:hint="eastAsia"/>
                      <w:color w:val="auto"/>
                      <w:sz w:val="21"/>
                      <w:szCs w:val="21"/>
                      <w:lang w:val="en-US" w:eastAsia="zh-CN"/>
                    </w:rPr>
                  </w:pPr>
                  <w:r>
                    <w:rPr>
                      <w:rFonts w:hint="eastAsia"/>
                      <w:color w:val="auto"/>
                      <w:sz w:val="21"/>
                      <w:szCs w:val="21"/>
                      <w:lang w:val="en-US" w:eastAsia="zh-CN"/>
                    </w:rPr>
                    <w:t>+0.05</w:t>
                  </w:r>
                </w:p>
              </w:tc>
            </w:tr>
            <w:tr w14:paraId="0935B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4" w:type="pct"/>
                  <w:vMerge w:val="continue"/>
                  <w:tcBorders>
                    <w:tl2br w:val="nil"/>
                    <w:tr2bl w:val="nil"/>
                  </w:tcBorders>
                  <w:vAlign w:val="center"/>
                </w:tcPr>
                <w:p w14:paraId="5B4F0EA5">
                  <w:pPr>
                    <w:widowControl/>
                    <w:jc w:val="left"/>
                    <w:rPr>
                      <w:snapToGrid w:val="0"/>
                      <w:color w:val="auto"/>
                      <w:kern w:val="0"/>
                      <w:sz w:val="21"/>
                      <w:szCs w:val="21"/>
                    </w:rPr>
                  </w:pPr>
                </w:p>
              </w:tc>
              <w:tc>
                <w:tcPr>
                  <w:tcW w:w="975" w:type="dxa"/>
                  <w:tcBorders>
                    <w:tl2br w:val="nil"/>
                    <w:tr2bl w:val="nil"/>
                  </w:tcBorders>
                  <w:vAlign w:val="center"/>
                </w:tcPr>
                <w:p w14:paraId="689F039B">
                  <w:pPr>
                    <w:spacing w:line="360" w:lineRule="exact"/>
                    <w:jc w:val="center"/>
                    <w:rPr>
                      <w:rFonts w:hint="eastAsia"/>
                      <w:snapToGrid w:val="0"/>
                      <w:color w:val="auto"/>
                      <w:sz w:val="21"/>
                      <w:szCs w:val="21"/>
                      <w:lang w:eastAsia="zh-CN"/>
                    </w:rPr>
                  </w:pPr>
                  <w:r>
                    <w:rPr>
                      <w:rFonts w:hint="default" w:ascii="Times New Roman" w:hAnsi="Times New Roman" w:eastAsia="宋体" w:cs="Times New Roman"/>
                      <w:color w:val="auto"/>
                      <w:spacing w:val="-10"/>
                      <w:szCs w:val="21"/>
                      <w:lang w:eastAsia="zh-CN"/>
                    </w:rPr>
                    <w:t>废矿物油</w:t>
                  </w:r>
                  <w:r>
                    <w:rPr>
                      <w:rFonts w:hint="eastAsia" w:ascii="Times New Roman" w:hAnsi="Times New Roman" w:eastAsia="宋体" w:cs="Times New Roman"/>
                      <w:color w:val="auto"/>
                      <w:spacing w:val="-10"/>
                      <w:szCs w:val="21"/>
                      <w:lang w:eastAsia="zh-CN"/>
                    </w:rPr>
                    <w:t>桶</w:t>
                  </w:r>
                </w:p>
              </w:tc>
              <w:tc>
                <w:tcPr>
                  <w:tcW w:w="572" w:type="pct"/>
                  <w:tcBorders>
                    <w:tl2br w:val="nil"/>
                    <w:tr2bl w:val="nil"/>
                  </w:tcBorders>
                  <w:vAlign w:val="center"/>
                </w:tcPr>
                <w:p w14:paraId="6E221B81">
                  <w:pPr>
                    <w:pStyle w:val="87"/>
                    <w:rPr>
                      <w:rFonts w:hint="default"/>
                      <w:color w:val="auto"/>
                      <w:sz w:val="21"/>
                      <w:szCs w:val="21"/>
                      <w:lang w:val="en-US" w:eastAsia="zh-CN"/>
                    </w:rPr>
                  </w:pPr>
                  <w:r>
                    <w:rPr>
                      <w:rFonts w:hint="eastAsia"/>
                      <w:color w:val="auto"/>
                      <w:sz w:val="21"/>
                      <w:szCs w:val="21"/>
                      <w:lang w:val="en-US" w:eastAsia="zh-CN"/>
                    </w:rPr>
                    <w:t>0</w:t>
                  </w:r>
                </w:p>
              </w:tc>
              <w:tc>
                <w:tcPr>
                  <w:tcW w:w="863" w:type="dxa"/>
                  <w:tcBorders>
                    <w:tl2br w:val="nil"/>
                    <w:tr2bl w:val="nil"/>
                  </w:tcBorders>
                  <w:vAlign w:val="center"/>
                </w:tcPr>
                <w:p w14:paraId="3ACD859D">
                  <w:pPr>
                    <w:tabs>
                      <w:tab w:val="center" w:pos="4153"/>
                      <w:tab w:val="right" w:pos="8306"/>
                    </w:tabs>
                    <w:jc w:val="center"/>
                    <w:rPr>
                      <w:rFonts w:hint="eastAsia"/>
                      <w:color w:val="auto"/>
                      <w:sz w:val="21"/>
                      <w:szCs w:val="21"/>
                      <w:lang w:val="en-US" w:eastAsia="zh-CN"/>
                    </w:rPr>
                  </w:pPr>
                  <w:r>
                    <w:rPr>
                      <w:rFonts w:hint="eastAsia"/>
                      <w:color w:val="auto"/>
                      <w:sz w:val="21"/>
                      <w:szCs w:val="21"/>
                      <w:lang w:val="en-US" w:eastAsia="zh-CN"/>
                    </w:rPr>
                    <w:t>/</w:t>
                  </w:r>
                </w:p>
              </w:tc>
              <w:tc>
                <w:tcPr>
                  <w:tcW w:w="495" w:type="pct"/>
                  <w:tcBorders>
                    <w:tl2br w:val="nil"/>
                    <w:tr2bl w:val="nil"/>
                  </w:tcBorders>
                  <w:vAlign w:val="center"/>
                </w:tcPr>
                <w:p w14:paraId="0FAECE7B">
                  <w:pPr>
                    <w:pStyle w:val="87"/>
                    <w:rPr>
                      <w:rFonts w:hint="default"/>
                      <w:color w:val="auto"/>
                      <w:sz w:val="21"/>
                      <w:szCs w:val="21"/>
                      <w:lang w:val="en-US" w:eastAsia="zh-CN"/>
                    </w:rPr>
                  </w:pPr>
                  <w:r>
                    <w:rPr>
                      <w:rFonts w:hint="eastAsia"/>
                      <w:color w:val="auto"/>
                      <w:sz w:val="21"/>
                      <w:szCs w:val="21"/>
                      <w:lang w:val="en-US" w:eastAsia="zh-CN"/>
                    </w:rPr>
                    <w:t>0.005</w:t>
                  </w:r>
                </w:p>
              </w:tc>
              <w:tc>
                <w:tcPr>
                  <w:tcW w:w="888" w:type="dxa"/>
                  <w:tcBorders>
                    <w:tl2br w:val="nil"/>
                    <w:tr2bl w:val="nil"/>
                  </w:tcBorders>
                  <w:vAlign w:val="center"/>
                </w:tcPr>
                <w:p w14:paraId="4AE58BD8">
                  <w:pPr>
                    <w:tabs>
                      <w:tab w:val="center" w:pos="4153"/>
                      <w:tab w:val="right" w:pos="8306"/>
                    </w:tabs>
                    <w:jc w:val="center"/>
                    <w:rPr>
                      <w:rFonts w:hint="eastAsia"/>
                      <w:color w:val="auto"/>
                      <w:sz w:val="21"/>
                      <w:szCs w:val="21"/>
                      <w:lang w:val="en-US" w:eastAsia="zh-CN"/>
                    </w:rPr>
                  </w:pPr>
                  <w:r>
                    <w:rPr>
                      <w:rFonts w:hint="eastAsia"/>
                      <w:color w:val="auto"/>
                      <w:sz w:val="21"/>
                      <w:szCs w:val="21"/>
                      <w:lang w:val="en-US" w:eastAsia="zh-CN"/>
                    </w:rPr>
                    <w:t>/</w:t>
                  </w:r>
                </w:p>
              </w:tc>
              <w:tc>
                <w:tcPr>
                  <w:tcW w:w="476" w:type="pct"/>
                  <w:tcBorders>
                    <w:tl2br w:val="nil"/>
                    <w:tr2bl w:val="nil"/>
                  </w:tcBorders>
                  <w:vAlign w:val="center"/>
                </w:tcPr>
                <w:p w14:paraId="655FC605">
                  <w:pPr>
                    <w:jc w:val="center"/>
                    <w:rPr>
                      <w:rFonts w:hint="default"/>
                      <w:color w:val="auto"/>
                      <w:sz w:val="21"/>
                      <w:szCs w:val="21"/>
                      <w:lang w:val="en-US" w:eastAsia="zh-CN"/>
                    </w:rPr>
                  </w:pPr>
                  <w:r>
                    <w:rPr>
                      <w:rFonts w:hint="eastAsia"/>
                      <w:color w:val="auto"/>
                      <w:sz w:val="21"/>
                      <w:szCs w:val="21"/>
                      <w:lang w:val="en-US" w:eastAsia="zh-CN"/>
                    </w:rPr>
                    <w:t>0</w:t>
                  </w:r>
                </w:p>
              </w:tc>
              <w:tc>
                <w:tcPr>
                  <w:tcW w:w="872" w:type="dxa"/>
                  <w:tcBorders>
                    <w:tl2br w:val="nil"/>
                    <w:tr2bl w:val="nil"/>
                  </w:tcBorders>
                  <w:vAlign w:val="center"/>
                </w:tcPr>
                <w:p w14:paraId="107015A5">
                  <w:pPr>
                    <w:pStyle w:val="87"/>
                    <w:rPr>
                      <w:rFonts w:hint="eastAsia"/>
                      <w:color w:val="auto"/>
                      <w:sz w:val="21"/>
                      <w:szCs w:val="21"/>
                      <w:lang w:val="en-US" w:eastAsia="zh-CN"/>
                    </w:rPr>
                  </w:pPr>
                  <w:r>
                    <w:rPr>
                      <w:rFonts w:hint="eastAsia"/>
                      <w:color w:val="auto"/>
                      <w:sz w:val="21"/>
                      <w:szCs w:val="21"/>
                      <w:lang w:val="en-US" w:eastAsia="zh-CN"/>
                    </w:rPr>
                    <w:t>0.005</w:t>
                  </w:r>
                </w:p>
              </w:tc>
              <w:tc>
                <w:tcPr>
                  <w:tcW w:w="550" w:type="pct"/>
                  <w:tcBorders>
                    <w:tl2br w:val="nil"/>
                    <w:tr2bl w:val="nil"/>
                  </w:tcBorders>
                  <w:vAlign w:val="center"/>
                </w:tcPr>
                <w:p w14:paraId="64A47106">
                  <w:pPr>
                    <w:jc w:val="center"/>
                    <w:rPr>
                      <w:rFonts w:hint="default"/>
                      <w:color w:val="auto"/>
                      <w:sz w:val="21"/>
                      <w:szCs w:val="21"/>
                      <w:lang w:val="en-US" w:eastAsia="zh-CN"/>
                    </w:rPr>
                  </w:pPr>
                  <w:r>
                    <w:rPr>
                      <w:rFonts w:hint="eastAsia"/>
                      <w:color w:val="auto"/>
                      <w:sz w:val="21"/>
                      <w:szCs w:val="21"/>
                      <w:lang w:val="en-US" w:eastAsia="zh-CN"/>
                    </w:rPr>
                    <w:t>/</w:t>
                  </w:r>
                </w:p>
              </w:tc>
              <w:tc>
                <w:tcPr>
                  <w:tcW w:w="818" w:type="dxa"/>
                  <w:tcBorders>
                    <w:tl2br w:val="nil"/>
                    <w:tr2bl w:val="nil"/>
                  </w:tcBorders>
                  <w:vAlign w:val="center"/>
                </w:tcPr>
                <w:p w14:paraId="7B859598">
                  <w:pPr>
                    <w:pStyle w:val="87"/>
                    <w:rPr>
                      <w:rFonts w:hint="eastAsia"/>
                      <w:color w:val="auto"/>
                      <w:sz w:val="21"/>
                      <w:szCs w:val="21"/>
                      <w:lang w:val="en-US" w:eastAsia="zh-CN"/>
                    </w:rPr>
                  </w:pPr>
                  <w:r>
                    <w:rPr>
                      <w:rFonts w:hint="eastAsia"/>
                      <w:color w:val="auto"/>
                      <w:sz w:val="21"/>
                      <w:szCs w:val="21"/>
                      <w:lang w:val="en-US" w:eastAsia="zh-CN"/>
                    </w:rPr>
                    <w:t>+0.005</w:t>
                  </w:r>
                </w:p>
              </w:tc>
            </w:tr>
            <w:bookmarkEnd w:id="12"/>
          </w:tbl>
          <w:p w14:paraId="0370C9F4">
            <w:pPr>
              <w:spacing w:line="360" w:lineRule="auto"/>
              <w:ind w:firstLine="482" w:firstLineChars="200"/>
              <w:rPr>
                <w:b/>
                <w:bCs/>
                <w:color w:val="auto"/>
                <w:sz w:val="24"/>
                <w:highlight w:val="none"/>
              </w:rPr>
            </w:pPr>
            <w:r>
              <w:rPr>
                <w:rFonts w:hint="eastAsia"/>
                <w:b/>
                <w:bCs/>
                <w:color w:val="auto"/>
                <w:sz w:val="24"/>
                <w:highlight w:val="none"/>
                <w:lang w:eastAsia="zh-CN"/>
              </w:rPr>
              <w:t>十</w:t>
            </w:r>
            <w:r>
              <w:rPr>
                <w:b/>
                <w:bCs/>
                <w:color w:val="auto"/>
                <w:sz w:val="24"/>
                <w:highlight w:val="none"/>
              </w:rPr>
              <w:t>、环保投资概算</w:t>
            </w:r>
          </w:p>
          <w:p w14:paraId="23F35ADC">
            <w:pPr>
              <w:spacing w:line="360" w:lineRule="auto"/>
              <w:ind w:firstLine="480" w:firstLineChars="200"/>
              <w:rPr>
                <w:rFonts w:hint="eastAsia"/>
                <w:b/>
                <w:bCs/>
                <w:color w:val="auto"/>
                <w:kern w:val="0"/>
                <w:sz w:val="24"/>
                <w:highlight w:val="none"/>
              </w:rPr>
            </w:pPr>
            <w:r>
              <w:rPr>
                <w:color w:val="auto"/>
                <w:sz w:val="24"/>
                <w:highlight w:val="none"/>
              </w:rPr>
              <w:t>本项目环保投资</w:t>
            </w:r>
            <w:r>
              <w:rPr>
                <w:rFonts w:hint="eastAsia"/>
                <w:color w:val="auto"/>
                <w:sz w:val="24"/>
                <w:highlight w:val="none"/>
                <w:lang w:val="en-US" w:eastAsia="zh-CN"/>
              </w:rPr>
              <w:t>29</w:t>
            </w:r>
            <w:r>
              <w:rPr>
                <w:rFonts w:hint="eastAsia"/>
                <w:color w:val="auto"/>
                <w:sz w:val="24"/>
                <w:highlight w:val="none"/>
              </w:rPr>
              <w:t>万元，环保投资</w:t>
            </w:r>
            <w:r>
              <w:rPr>
                <w:color w:val="auto"/>
                <w:sz w:val="24"/>
                <w:highlight w:val="none"/>
              </w:rPr>
              <w:t>估算见下表。</w:t>
            </w:r>
          </w:p>
          <w:p w14:paraId="023DA9B8">
            <w:pPr>
              <w:pStyle w:val="94"/>
              <w:ind w:firstLine="0" w:firstLineChars="0"/>
              <w:jc w:val="center"/>
              <w:rPr>
                <w:b/>
                <w:bCs/>
                <w:color w:val="auto"/>
                <w:kern w:val="0"/>
                <w:sz w:val="24"/>
                <w:highlight w:val="none"/>
              </w:rPr>
            </w:pPr>
            <w:r>
              <w:rPr>
                <w:rFonts w:hint="eastAsia"/>
                <w:b/>
                <w:bCs/>
                <w:color w:val="auto"/>
                <w:kern w:val="0"/>
                <w:sz w:val="24"/>
                <w:highlight w:val="none"/>
              </w:rPr>
              <w:t>表4-</w:t>
            </w:r>
            <w:r>
              <w:rPr>
                <w:rFonts w:hint="eastAsia"/>
                <w:b/>
                <w:bCs/>
                <w:color w:val="auto"/>
                <w:kern w:val="0"/>
                <w:sz w:val="24"/>
                <w:highlight w:val="none"/>
                <w:lang w:val="en-US" w:eastAsia="zh-CN"/>
              </w:rPr>
              <w:t>18</w:t>
            </w:r>
            <w:r>
              <w:rPr>
                <w:rFonts w:hint="eastAsia"/>
                <w:b/>
                <w:bCs/>
                <w:color w:val="auto"/>
                <w:kern w:val="0"/>
                <w:sz w:val="24"/>
                <w:highlight w:val="none"/>
              </w:rPr>
              <w:t xml:space="preserve"> 环保投资一览表</w:t>
            </w:r>
          </w:p>
          <w:tbl>
            <w:tblPr>
              <w:tblStyle w:val="3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9"/>
              <w:gridCol w:w="805"/>
              <w:gridCol w:w="1943"/>
              <w:gridCol w:w="4325"/>
              <w:gridCol w:w="1079"/>
            </w:tblGrid>
            <w:tr w14:paraId="104A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tcBorders>
                    <w:tl2br w:val="nil"/>
                    <w:tr2bl w:val="nil"/>
                  </w:tcBorders>
                  <w:noWrap/>
                  <w:vAlign w:val="center"/>
                </w:tcPr>
                <w:p w14:paraId="1C3F1513">
                  <w:pPr>
                    <w:pStyle w:val="119"/>
                    <w:rPr>
                      <w:color w:val="auto"/>
                      <w:sz w:val="21"/>
                      <w:szCs w:val="21"/>
                      <w:highlight w:val="none"/>
                    </w:rPr>
                  </w:pPr>
                  <w:r>
                    <w:rPr>
                      <w:color w:val="auto"/>
                      <w:sz w:val="21"/>
                      <w:szCs w:val="21"/>
                      <w:highlight w:val="none"/>
                    </w:rPr>
                    <w:t>序号</w:t>
                  </w:r>
                </w:p>
              </w:tc>
              <w:tc>
                <w:tcPr>
                  <w:tcW w:w="1554" w:type="pct"/>
                  <w:gridSpan w:val="2"/>
                  <w:tcBorders>
                    <w:tl2br w:val="nil"/>
                    <w:tr2bl w:val="nil"/>
                  </w:tcBorders>
                  <w:noWrap/>
                  <w:vAlign w:val="center"/>
                </w:tcPr>
                <w:p w14:paraId="1123DE2A">
                  <w:pPr>
                    <w:pStyle w:val="119"/>
                    <w:rPr>
                      <w:color w:val="auto"/>
                      <w:sz w:val="21"/>
                      <w:szCs w:val="21"/>
                      <w:highlight w:val="none"/>
                    </w:rPr>
                  </w:pPr>
                  <w:r>
                    <w:rPr>
                      <w:color w:val="auto"/>
                      <w:sz w:val="21"/>
                      <w:szCs w:val="21"/>
                      <w:highlight w:val="none"/>
                    </w:rPr>
                    <w:t>项目</w:t>
                  </w:r>
                </w:p>
              </w:tc>
              <w:tc>
                <w:tcPr>
                  <w:tcW w:w="2445" w:type="pct"/>
                  <w:tcBorders>
                    <w:tl2br w:val="nil"/>
                    <w:tr2bl w:val="nil"/>
                  </w:tcBorders>
                  <w:noWrap/>
                  <w:vAlign w:val="center"/>
                </w:tcPr>
                <w:p w14:paraId="2D7A99FC">
                  <w:pPr>
                    <w:pStyle w:val="119"/>
                    <w:rPr>
                      <w:color w:val="auto"/>
                      <w:sz w:val="21"/>
                      <w:szCs w:val="21"/>
                      <w:highlight w:val="none"/>
                    </w:rPr>
                  </w:pPr>
                  <w:r>
                    <w:rPr>
                      <w:color w:val="auto"/>
                      <w:sz w:val="21"/>
                      <w:szCs w:val="21"/>
                      <w:highlight w:val="none"/>
                    </w:rPr>
                    <w:t>防治措施</w:t>
                  </w:r>
                </w:p>
              </w:tc>
              <w:tc>
                <w:tcPr>
                  <w:tcW w:w="610" w:type="pct"/>
                  <w:tcBorders>
                    <w:tl2br w:val="nil"/>
                    <w:tr2bl w:val="nil"/>
                  </w:tcBorders>
                  <w:noWrap/>
                  <w:vAlign w:val="center"/>
                </w:tcPr>
                <w:p w14:paraId="1822A30D">
                  <w:pPr>
                    <w:pStyle w:val="119"/>
                    <w:rPr>
                      <w:color w:val="auto"/>
                      <w:sz w:val="21"/>
                      <w:szCs w:val="21"/>
                      <w:highlight w:val="none"/>
                    </w:rPr>
                  </w:pPr>
                  <w:r>
                    <w:rPr>
                      <w:color w:val="auto"/>
                      <w:sz w:val="21"/>
                      <w:szCs w:val="21"/>
                      <w:highlight w:val="none"/>
                    </w:rPr>
                    <w:t>估算</w:t>
                  </w:r>
                </w:p>
                <w:p w14:paraId="18D32A2F">
                  <w:pPr>
                    <w:pStyle w:val="119"/>
                    <w:rPr>
                      <w:color w:val="auto"/>
                      <w:sz w:val="21"/>
                      <w:szCs w:val="21"/>
                      <w:highlight w:val="none"/>
                    </w:rPr>
                  </w:pPr>
                  <w:r>
                    <w:rPr>
                      <w:color w:val="auto"/>
                      <w:sz w:val="21"/>
                      <w:szCs w:val="21"/>
                      <w:highlight w:val="none"/>
                    </w:rPr>
                    <w:t>（万元）</w:t>
                  </w:r>
                </w:p>
              </w:tc>
            </w:tr>
            <w:tr w14:paraId="7ECC3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389" w:type="pct"/>
                  <w:vMerge w:val="restart"/>
                  <w:tcBorders>
                    <w:tl2br w:val="nil"/>
                    <w:tr2bl w:val="nil"/>
                  </w:tcBorders>
                  <w:noWrap/>
                  <w:vAlign w:val="center"/>
                </w:tcPr>
                <w:p w14:paraId="379C2B0B">
                  <w:pPr>
                    <w:pStyle w:val="119"/>
                    <w:rPr>
                      <w:color w:val="auto"/>
                      <w:sz w:val="21"/>
                      <w:szCs w:val="21"/>
                      <w:highlight w:val="none"/>
                    </w:rPr>
                  </w:pPr>
                  <w:r>
                    <w:rPr>
                      <w:color w:val="auto"/>
                      <w:sz w:val="21"/>
                      <w:szCs w:val="21"/>
                      <w:highlight w:val="none"/>
                    </w:rPr>
                    <w:t>运营期</w:t>
                  </w:r>
                </w:p>
              </w:tc>
              <w:tc>
                <w:tcPr>
                  <w:tcW w:w="455" w:type="pct"/>
                  <w:vMerge w:val="restart"/>
                  <w:tcBorders>
                    <w:tl2br w:val="nil"/>
                    <w:tr2bl w:val="nil"/>
                  </w:tcBorders>
                  <w:noWrap/>
                  <w:vAlign w:val="center"/>
                </w:tcPr>
                <w:p w14:paraId="57B44EAA">
                  <w:pPr>
                    <w:pStyle w:val="119"/>
                    <w:rPr>
                      <w:color w:val="auto"/>
                      <w:sz w:val="21"/>
                      <w:szCs w:val="21"/>
                      <w:highlight w:val="none"/>
                    </w:rPr>
                  </w:pPr>
                  <w:r>
                    <w:rPr>
                      <w:color w:val="auto"/>
                      <w:sz w:val="21"/>
                      <w:szCs w:val="21"/>
                      <w:highlight w:val="none"/>
                    </w:rPr>
                    <w:t>废气</w:t>
                  </w:r>
                </w:p>
              </w:tc>
              <w:tc>
                <w:tcPr>
                  <w:tcW w:w="1098" w:type="pct"/>
                  <w:tcBorders>
                    <w:tl2br w:val="nil"/>
                    <w:tr2bl w:val="nil"/>
                  </w:tcBorders>
                  <w:noWrap/>
                  <w:vAlign w:val="center"/>
                </w:tcPr>
                <w:p w14:paraId="4054FD5F">
                  <w:pPr>
                    <w:pStyle w:val="119"/>
                    <w:rPr>
                      <w:color w:val="auto"/>
                      <w:sz w:val="21"/>
                      <w:szCs w:val="21"/>
                      <w:highlight w:val="none"/>
                    </w:rPr>
                  </w:pPr>
                  <w:r>
                    <w:rPr>
                      <w:color w:val="auto"/>
                      <w:sz w:val="21"/>
                      <w:szCs w:val="21"/>
                      <w:highlight w:val="none"/>
                    </w:rPr>
                    <w:t>装卸、筛分、输送等过程含颗粒物废气污染防治措施</w:t>
                  </w:r>
                </w:p>
              </w:tc>
              <w:tc>
                <w:tcPr>
                  <w:tcW w:w="2445" w:type="pct"/>
                  <w:tcBorders>
                    <w:tl2br w:val="nil"/>
                    <w:tr2bl w:val="nil"/>
                  </w:tcBorders>
                  <w:noWrap/>
                  <w:vAlign w:val="center"/>
                </w:tcPr>
                <w:p w14:paraId="47D68D82">
                  <w:pPr>
                    <w:adjustRightInd w:val="0"/>
                    <w:snapToGrid w:val="0"/>
                    <w:jc w:val="center"/>
                    <w:rPr>
                      <w:color w:val="auto"/>
                      <w:szCs w:val="21"/>
                      <w:highlight w:val="none"/>
                    </w:rPr>
                  </w:pPr>
                  <w:r>
                    <w:rPr>
                      <w:snapToGrid w:val="0"/>
                      <w:color w:val="auto"/>
                      <w:kern w:val="0"/>
                      <w:szCs w:val="21"/>
                      <w:highlight w:val="none"/>
                    </w:rPr>
                    <w:t>封闭传送带，</w:t>
                  </w:r>
                  <w:r>
                    <w:rPr>
                      <w:rFonts w:hint="eastAsia"/>
                      <w:snapToGrid w:val="0"/>
                      <w:color w:val="auto"/>
                      <w:kern w:val="0"/>
                      <w:szCs w:val="21"/>
                      <w:highlight w:val="none"/>
                      <w:lang w:val="en-US" w:eastAsia="zh-CN"/>
                    </w:rPr>
                    <w:t>装卸区采取密闭装卸</w:t>
                  </w:r>
                  <w:r>
                    <w:rPr>
                      <w:snapToGrid w:val="0"/>
                      <w:color w:val="auto"/>
                      <w:kern w:val="0"/>
                      <w:szCs w:val="21"/>
                      <w:highlight w:val="none"/>
                    </w:rPr>
                    <w:t>，采用封闭式清理筛。</w:t>
                  </w:r>
                </w:p>
              </w:tc>
              <w:tc>
                <w:tcPr>
                  <w:tcW w:w="610" w:type="pct"/>
                  <w:tcBorders>
                    <w:tl2br w:val="nil"/>
                    <w:tr2bl w:val="nil"/>
                  </w:tcBorders>
                  <w:noWrap/>
                  <w:vAlign w:val="center"/>
                </w:tcPr>
                <w:p w14:paraId="7E5E60FA">
                  <w:pPr>
                    <w:pStyle w:val="119"/>
                    <w:rPr>
                      <w:color w:val="auto"/>
                      <w:sz w:val="21"/>
                      <w:szCs w:val="21"/>
                      <w:highlight w:val="none"/>
                    </w:rPr>
                  </w:pPr>
                  <w:r>
                    <w:rPr>
                      <w:rFonts w:hint="eastAsia"/>
                      <w:color w:val="auto"/>
                      <w:sz w:val="21"/>
                      <w:szCs w:val="21"/>
                      <w:highlight w:val="none"/>
                    </w:rPr>
                    <w:t>2</w:t>
                  </w:r>
                </w:p>
              </w:tc>
            </w:tr>
            <w:tr w14:paraId="389E6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389" w:type="pct"/>
                  <w:vMerge w:val="continue"/>
                  <w:tcBorders>
                    <w:tl2br w:val="nil"/>
                    <w:tr2bl w:val="nil"/>
                  </w:tcBorders>
                  <w:noWrap/>
                  <w:vAlign w:val="center"/>
                </w:tcPr>
                <w:p w14:paraId="76795041">
                  <w:pPr>
                    <w:pStyle w:val="119"/>
                    <w:rPr>
                      <w:color w:val="auto"/>
                      <w:sz w:val="21"/>
                      <w:szCs w:val="21"/>
                      <w:highlight w:val="none"/>
                    </w:rPr>
                  </w:pPr>
                </w:p>
              </w:tc>
              <w:tc>
                <w:tcPr>
                  <w:tcW w:w="455" w:type="pct"/>
                  <w:vMerge w:val="continue"/>
                  <w:tcBorders>
                    <w:tl2br w:val="nil"/>
                    <w:tr2bl w:val="nil"/>
                  </w:tcBorders>
                  <w:noWrap/>
                  <w:vAlign w:val="center"/>
                </w:tcPr>
                <w:p w14:paraId="66528D39">
                  <w:pPr>
                    <w:pStyle w:val="119"/>
                    <w:rPr>
                      <w:color w:val="auto"/>
                      <w:sz w:val="21"/>
                      <w:szCs w:val="21"/>
                      <w:highlight w:val="none"/>
                    </w:rPr>
                  </w:pPr>
                </w:p>
              </w:tc>
              <w:tc>
                <w:tcPr>
                  <w:tcW w:w="1098" w:type="pct"/>
                  <w:tcBorders>
                    <w:tl2br w:val="nil"/>
                    <w:tr2bl w:val="nil"/>
                  </w:tcBorders>
                  <w:noWrap/>
                  <w:vAlign w:val="center"/>
                </w:tcPr>
                <w:p w14:paraId="3D904B73">
                  <w:pPr>
                    <w:pStyle w:val="119"/>
                    <w:rPr>
                      <w:color w:val="auto"/>
                      <w:sz w:val="21"/>
                      <w:szCs w:val="21"/>
                      <w:highlight w:val="none"/>
                    </w:rPr>
                  </w:pPr>
                  <w:r>
                    <w:rPr>
                      <w:color w:val="auto"/>
                      <w:sz w:val="21"/>
                      <w:szCs w:val="21"/>
                      <w:highlight w:val="none"/>
                    </w:rPr>
                    <w:t>烘干塔颗粒物废气污染防治措施</w:t>
                  </w:r>
                </w:p>
              </w:tc>
              <w:tc>
                <w:tcPr>
                  <w:tcW w:w="2445" w:type="pct"/>
                  <w:tcBorders>
                    <w:tl2br w:val="nil"/>
                    <w:tr2bl w:val="nil"/>
                  </w:tcBorders>
                  <w:noWrap/>
                  <w:vAlign w:val="center"/>
                </w:tcPr>
                <w:p w14:paraId="50B7D563">
                  <w:pPr>
                    <w:adjustRightInd w:val="0"/>
                    <w:snapToGrid w:val="0"/>
                    <w:jc w:val="center"/>
                    <w:rPr>
                      <w:rFonts w:hint="eastAsia" w:eastAsia="宋体"/>
                      <w:color w:val="auto"/>
                      <w:szCs w:val="21"/>
                      <w:highlight w:val="none"/>
                      <w:lang w:eastAsia="zh-CN"/>
                    </w:rPr>
                  </w:pPr>
                  <w:r>
                    <w:rPr>
                      <w:color w:val="auto"/>
                      <w:szCs w:val="21"/>
                      <w:highlight w:val="none"/>
                    </w:rPr>
                    <w:t>烘干塔体两侧排气孔设置</w:t>
                  </w:r>
                  <w:r>
                    <w:rPr>
                      <w:rFonts w:hint="eastAsia"/>
                      <w:color w:val="auto"/>
                      <w:szCs w:val="21"/>
                      <w:highlight w:val="none"/>
                      <w:lang w:eastAsia="zh-CN"/>
                    </w:rPr>
                    <w:t>彩钢罩，塔底设置围挡</w:t>
                  </w:r>
                </w:p>
              </w:tc>
              <w:tc>
                <w:tcPr>
                  <w:tcW w:w="610" w:type="pct"/>
                  <w:tcBorders>
                    <w:tl2br w:val="nil"/>
                    <w:tr2bl w:val="nil"/>
                  </w:tcBorders>
                  <w:noWrap/>
                  <w:vAlign w:val="center"/>
                </w:tcPr>
                <w:p w14:paraId="6B718BA8">
                  <w:pPr>
                    <w:pStyle w:val="119"/>
                    <w:rPr>
                      <w:rFonts w:hint="eastAsia" w:eastAsia="宋体"/>
                      <w:color w:val="auto"/>
                      <w:sz w:val="21"/>
                      <w:szCs w:val="21"/>
                      <w:highlight w:val="none"/>
                      <w:lang w:eastAsia="zh-CN"/>
                    </w:rPr>
                  </w:pPr>
                  <w:r>
                    <w:rPr>
                      <w:rFonts w:hint="eastAsia"/>
                      <w:color w:val="auto"/>
                      <w:sz w:val="21"/>
                      <w:szCs w:val="21"/>
                      <w:highlight w:val="none"/>
                      <w:lang w:val="en-US" w:eastAsia="zh-CN"/>
                    </w:rPr>
                    <w:t>1</w:t>
                  </w:r>
                </w:p>
              </w:tc>
            </w:tr>
            <w:tr w14:paraId="4C4DA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389" w:type="pct"/>
                  <w:vMerge w:val="continue"/>
                  <w:tcBorders>
                    <w:tl2br w:val="nil"/>
                    <w:tr2bl w:val="nil"/>
                  </w:tcBorders>
                  <w:noWrap/>
                  <w:vAlign w:val="center"/>
                </w:tcPr>
                <w:p w14:paraId="27653BB0">
                  <w:pPr>
                    <w:pStyle w:val="119"/>
                    <w:rPr>
                      <w:color w:val="auto"/>
                      <w:sz w:val="21"/>
                      <w:szCs w:val="21"/>
                      <w:highlight w:val="none"/>
                    </w:rPr>
                  </w:pPr>
                </w:p>
              </w:tc>
              <w:tc>
                <w:tcPr>
                  <w:tcW w:w="455" w:type="pct"/>
                  <w:vMerge w:val="continue"/>
                  <w:tcBorders>
                    <w:tl2br w:val="nil"/>
                    <w:tr2bl w:val="nil"/>
                  </w:tcBorders>
                  <w:noWrap/>
                  <w:vAlign w:val="center"/>
                </w:tcPr>
                <w:p w14:paraId="6386CAA7">
                  <w:pPr>
                    <w:pStyle w:val="119"/>
                    <w:rPr>
                      <w:color w:val="auto"/>
                      <w:sz w:val="21"/>
                      <w:szCs w:val="21"/>
                      <w:highlight w:val="none"/>
                    </w:rPr>
                  </w:pPr>
                </w:p>
              </w:tc>
              <w:tc>
                <w:tcPr>
                  <w:tcW w:w="1098" w:type="pct"/>
                  <w:tcBorders>
                    <w:tl2br w:val="nil"/>
                    <w:tr2bl w:val="nil"/>
                  </w:tcBorders>
                  <w:noWrap/>
                  <w:vAlign w:val="center"/>
                </w:tcPr>
                <w:p w14:paraId="60EA5390">
                  <w:pPr>
                    <w:pStyle w:val="119"/>
                    <w:rPr>
                      <w:color w:val="auto"/>
                      <w:sz w:val="21"/>
                      <w:szCs w:val="21"/>
                      <w:highlight w:val="none"/>
                    </w:rPr>
                  </w:pPr>
                  <w:r>
                    <w:rPr>
                      <w:color w:val="auto"/>
                      <w:sz w:val="21"/>
                      <w:szCs w:val="21"/>
                      <w:highlight w:val="none"/>
                    </w:rPr>
                    <w:t>热风炉烟气污染防治措施</w:t>
                  </w:r>
                </w:p>
              </w:tc>
              <w:tc>
                <w:tcPr>
                  <w:tcW w:w="2445" w:type="pct"/>
                  <w:tcBorders>
                    <w:tl2br w:val="nil"/>
                    <w:tr2bl w:val="nil"/>
                  </w:tcBorders>
                  <w:noWrap/>
                  <w:vAlign w:val="center"/>
                </w:tcPr>
                <w:p w14:paraId="54989338">
                  <w:pPr>
                    <w:adjustRightInd w:val="0"/>
                    <w:snapToGrid w:val="0"/>
                    <w:jc w:val="center"/>
                    <w:rPr>
                      <w:color w:val="auto"/>
                      <w:szCs w:val="21"/>
                      <w:highlight w:val="none"/>
                    </w:rPr>
                  </w:pPr>
                  <w:r>
                    <w:rPr>
                      <w:rFonts w:hint="eastAsia"/>
                      <w:color w:val="auto"/>
                      <w:szCs w:val="21"/>
                      <w:highlight w:val="none"/>
                    </w:rPr>
                    <w:t>1</w:t>
                  </w:r>
                  <w:r>
                    <w:rPr>
                      <w:color w:val="auto"/>
                      <w:szCs w:val="21"/>
                      <w:highlight w:val="none"/>
                    </w:rPr>
                    <w:t>台除尘效率99</w:t>
                  </w:r>
                  <w:r>
                    <w:rPr>
                      <w:rFonts w:hint="eastAsia"/>
                      <w:color w:val="auto"/>
                      <w:szCs w:val="21"/>
                      <w:highlight w:val="none"/>
                      <w:lang w:val="en-US" w:eastAsia="zh-CN"/>
                    </w:rPr>
                    <w:t>.5</w:t>
                  </w:r>
                  <w:r>
                    <w:rPr>
                      <w:color w:val="auto"/>
                      <w:szCs w:val="21"/>
                      <w:highlight w:val="none"/>
                    </w:rPr>
                    <w:t>%的布袋除尘器，</w:t>
                  </w:r>
                  <w:r>
                    <w:rPr>
                      <w:rFonts w:hint="eastAsia"/>
                      <w:color w:val="auto"/>
                      <w:szCs w:val="21"/>
                      <w:highlight w:val="none"/>
                    </w:rPr>
                    <w:t>1个</w:t>
                  </w:r>
                  <w:r>
                    <w:rPr>
                      <w:rFonts w:hint="eastAsia"/>
                      <w:color w:val="auto"/>
                      <w:szCs w:val="21"/>
                      <w:highlight w:val="none"/>
                      <w:lang w:eastAsia="zh-CN"/>
                    </w:rPr>
                    <w:t>15m</w:t>
                  </w:r>
                  <w:r>
                    <w:rPr>
                      <w:color w:val="auto"/>
                      <w:szCs w:val="21"/>
                      <w:highlight w:val="none"/>
                    </w:rPr>
                    <w:t>高烟囱</w:t>
                  </w:r>
                </w:p>
              </w:tc>
              <w:tc>
                <w:tcPr>
                  <w:tcW w:w="610" w:type="pct"/>
                  <w:tcBorders>
                    <w:tl2br w:val="nil"/>
                    <w:tr2bl w:val="nil"/>
                  </w:tcBorders>
                  <w:noWrap/>
                  <w:vAlign w:val="center"/>
                </w:tcPr>
                <w:p w14:paraId="10084592">
                  <w:pPr>
                    <w:pStyle w:val="119"/>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r>
            <w:tr w14:paraId="3CE76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389" w:type="pct"/>
                  <w:vMerge w:val="continue"/>
                  <w:tcBorders>
                    <w:tl2br w:val="nil"/>
                    <w:tr2bl w:val="nil"/>
                  </w:tcBorders>
                  <w:noWrap/>
                  <w:vAlign w:val="center"/>
                </w:tcPr>
                <w:p w14:paraId="40111985">
                  <w:pPr>
                    <w:pStyle w:val="119"/>
                    <w:rPr>
                      <w:color w:val="auto"/>
                      <w:sz w:val="21"/>
                      <w:szCs w:val="21"/>
                      <w:highlight w:val="none"/>
                    </w:rPr>
                  </w:pPr>
                </w:p>
              </w:tc>
              <w:tc>
                <w:tcPr>
                  <w:tcW w:w="455" w:type="pct"/>
                  <w:tcBorders>
                    <w:tl2br w:val="nil"/>
                    <w:tr2bl w:val="nil"/>
                  </w:tcBorders>
                  <w:noWrap/>
                  <w:vAlign w:val="center"/>
                </w:tcPr>
                <w:p w14:paraId="4E1A5D87">
                  <w:pPr>
                    <w:pStyle w:val="119"/>
                    <w:rPr>
                      <w:color w:val="auto"/>
                      <w:sz w:val="21"/>
                      <w:szCs w:val="21"/>
                      <w:highlight w:val="none"/>
                    </w:rPr>
                  </w:pPr>
                  <w:r>
                    <w:rPr>
                      <w:color w:val="auto"/>
                      <w:sz w:val="21"/>
                      <w:szCs w:val="21"/>
                      <w:highlight w:val="none"/>
                    </w:rPr>
                    <w:t>噪声</w:t>
                  </w:r>
                </w:p>
              </w:tc>
              <w:tc>
                <w:tcPr>
                  <w:tcW w:w="1098" w:type="pct"/>
                  <w:tcBorders>
                    <w:tl2br w:val="nil"/>
                    <w:tr2bl w:val="nil"/>
                  </w:tcBorders>
                  <w:noWrap/>
                  <w:vAlign w:val="center"/>
                </w:tcPr>
                <w:p w14:paraId="0E8D0897">
                  <w:pPr>
                    <w:pStyle w:val="119"/>
                    <w:rPr>
                      <w:color w:val="auto"/>
                      <w:sz w:val="21"/>
                      <w:szCs w:val="21"/>
                      <w:highlight w:val="none"/>
                    </w:rPr>
                  </w:pPr>
                  <w:r>
                    <w:rPr>
                      <w:color w:val="auto"/>
                      <w:sz w:val="21"/>
                      <w:szCs w:val="21"/>
                      <w:highlight w:val="none"/>
                    </w:rPr>
                    <w:t>噪声治理设施</w:t>
                  </w:r>
                </w:p>
              </w:tc>
              <w:tc>
                <w:tcPr>
                  <w:tcW w:w="2445" w:type="pct"/>
                  <w:tcBorders>
                    <w:tl2br w:val="nil"/>
                    <w:tr2bl w:val="nil"/>
                  </w:tcBorders>
                  <w:noWrap/>
                  <w:vAlign w:val="center"/>
                </w:tcPr>
                <w:p w14:paraId="62B464C5">
                  <w:pPr>
                    <w:pStyle w:val="119"/>
                    <w:rPr>
                      <w:color w:val="auto"/>
                      <w:kern w:val="2"/>
                      <w:sz w:val="21"/>
                      <w:szCs w:val="21"/>
                      <w:highlight w:val="none"/>
                    </w:rPr>
                  </w:pPr>
                  <w:r>
                    <w:rPr>
                      <w:color w:val="auto"/>
                      <w:kern w:val="2"/>
                      <w:sz w:val="21"/>
                      <w:szCs w:val="21"/>
                      <w:highlight w:val="none"/>
                    </w:rPr>
                    <w:t>选用低噪声设备，噪声设备装设减振垫，风机进风口装设消音器。</w:t>
                  </w:r>
                </w:p>
              </w:tc>
              <w:tc>
                <w:tcPr>
                  <w:tcW w:w="610" w:type="pct"/>
                  <w:tcBorders>
                    <w:tl2br w:val="nil"/>
                    <w:tr2bl w:val="nil"/>
                  </w:tcBorders>
                  <w:noWrap/>
                  <w:vAlign w:val="center"/>
                </w:tcPr>
                <w:p w14:paraId="1474C8AA">
                  <w:pPr>
                    <w:pStyle w:val="119"/>
                    <w:rPr>
                      <w:color w:val="auto"/>
                      <w:sz w:val="21"/>
                      <w:szCs w:val="21"/>
                      <w:highlight w:val="none"/>
                    </w:rPr>
                  </w:pPr>
                  <w:r>
                    <w:rPr>
                      <w:rFonts w:hint="eastAsia"/>
                      <w:color w:val="auto"/>
                      <w:sz w:val="21"/>
                      <w:szCs w:val="21"/>
                      <w:highlight w:val="none"/>
                    </w:rPr>
                    <w:t>1</w:t>
                  </w:r>
                </w:p>
              </w:tc>
            </w:tr>
            <w:tr w14:paraId="3A9F4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89" w:type="pct"/>
                  <w:vMerge w:val="continue"/>
                  <w:tcBorders>
                    <w:tl2br w:val="nil"/>
                    <w:tr2bl w:val="nil"/>
                  </w:tcBorders>
                  <w:noWrap/>
                  <w:vAlign w:val="center"/>
                </w:tcPr>
                <w:p w14:paraId="7800853E">
                  <w:pPr>
                    <w:pStyle w:val="119"/>
                    <w:rPr>
                      <w:color w:val="auto"/>
                      <w:sz w:val="21"/>
                      <w:szCs w:val="21"/>
                      <w:highlight w:val="none"/>
                    </w:rPr>
                  </w:pPr>
                </w:p>
              </w:tc>
              <w:tc>
                <w:tcPr>
                  <w:tcW w:w="455" w:type="pct"/>
                  <w:vMerge w:val="restart"/>
                  <w:tcBorders>
                    <w:tl2br w:val="nil"/>
                    <w:tr2bl w:val="nil"/>
                  </w:tcBorders>
                  <w:noWrap/>
                  <w:vAlign w:val="center"/>
                </w:tcPr>
                <w:p w14:paraId="3E7C2AC0">
                  <w:pPr>
                    <w:pStyle w:val="119"/>
                    <w:rPr>
                      <w:color w:val="auto"/>
                      <w:sz w:val="21"/>
                      <w:szCs w:val="21"/>
                      <w:highlight w:val="none"/>
                    </w:rPr>
                  </w:pPr>
                  <w:r>
                    <w:rPr>
                      <w:color w:val="auto"/>
                      <w:sz w:val="21"/>
                      <w:szCs w:val="21"/>
                      <w:highlight w:val="none"/>
                    </w:rPr>
                    <w:t>固废</w:t>
                  </w:r>
                </w:p>
              </w:tc>
              <w:tc>
                <w:tcPr>
                  <w:tcW w:w="1098" w:type="pct"/>
                  <w:tcBorders>
                    <w:tl2br w:val="nil"/>
                    <w:tr2bl w:val="nil"/>
                  </w:tcBorders>
                  <w:noWrap/>
                  <w:vAlign w:val="center"/>
                </w:tcPr>
                <w:p w14:paraId="2E1BF017">
                  <w:pPr>
                    <w:pStyle w:val="119"/>
                    <w:rPr>
                      <w:color w:val="auto"/>
                      <w:sz w:val="21"/>
                      <w:szCs w:val="21"/>
                      <w:highlight w:val="none"/>
                    </w:rPr>
                  </w:pPr>
                  <w:r>
                    <w:rPr>
                      <w:color w:val="auto"/>
                      <w:sz w:val="21"/>
                      <w:szCs w:val="21"/>
                      <w:highlight w:val="none"/>
                    </w:rPr>
                    <w:t>生活垃圾、筛选杂质、</w:t>
                  </w:r>
                  <w:r>
                    <w:rPr>
                      <w:rFonts w:hint="eastAsia"/>
                      <w:color w:val="auto"/>
                      <w:sz w:val="21"/>
                      <w:szCs w:val="21"/>
                      <w:highlight w:val="none"/>
                    </w:rPr>
                    <w:t>锅炉灰渣</w:t>
                  </w:r>
                </w:p>
              </w:tc>
              <w:tc>
                <w:tcPr>
                  <w:tcW w:w="2445" w:type="pct"/>
                  <w:tcBorders>
                    <w:tl2br w:val="nil"/>
                    <w:tr2bl w:val="nil"/>
                  </w:tcBorders>
                  <w:noWrap/>
                  <w:vAlign w:val="center"/>
                </w:tcPr>
                <w:p w14:paraId="4521B113">
                  <w:pPr>
                    <w:pStyle w:val="119"/>
                    <w:rPr>
                      <w:color w:val="auto"/>
                      <w:sz w:val="21"/>
                      <w:szCs w:val="21"/>
                      <w:highlight w:val="none"/>
                    </w:rPr>
                  </w:pPr>
                  <w:r>
                    <w:rPr>
                      <w:rFonts w:hint="eastAsia"/>
                      <w:color w:val="auto"/>
                      <w:sz w:val="21"/>
                      <w:szCs w:val="21"/>
                      <w:highlight w:val="none"/>
                    </w:rPr>
                    <w:t>项目生活垃圾由市政部门统一进行处置；</w:t>
                  </w:r>
                  <w:r>
                    <w:rPr>
                      <w:rFonts w:hint="eastAsia"/>
                      <w:color w:val="auto"/>
                      <w:sz w:val="21"/>
                      <w:szCs w:val="21"/>
                      <w:highlight w:val="none"/>
                      <w:lang w:eastAsia="zh-CN"/>
                    </w:rPr>
                    <w:t>清理筛及</w:t>
                  </w:r>
                  <w:r>
                    <w:rPr>
                      <w:rFonts w:hint="eastAsia"/>
                      <w:color w:val="auto"/>
                      <w:sz w:val="21"/>
                      <w:szCs w:val="21"/>
                      <w:highlight w:val="none"/>
                    </w:rPr>
                    <w:t>烘干塔</w:t>
                  </w:r>
                  <w:r>
                    <w:rPr>
                      <w:rFonts w:hint="eastAsia"/>
                      <w:color w:val="auto"/>
                      <w:sz w:val="21"/>
                      <w:szCs w:val="21"/>
                      <w:highlight w:val="none"/>
                      <w:lang w:eastAsia="zh-CN"/>
                    </w:rPr>
                    <w:t>围挡</w:t>
                  </w:r>
                  <w:r>
                    <w:rPr>
                      <w:color w:val="auto"/>
                      <w:sz w:val="21"/>
                      <w:szCs w:val="21"/>
                      <w:highlight w:val="none"/>
                    </w:rPr>
                    <w:t>收尘</w:t>
                  </w:r>
                  <w:r>
                    <w:rPr>
                      <w:rFonts w:hint="eastAsia"/>
                      <w:color w:val="auto"/>
                      <w:sz w:val="21"/>
                      <w:szCs w:val="21"/>
                      <w:highlight w:val="none"/>
                    </w:rPr>
                    <w:t>定期清理装袋</w:t>
                  </w:r>
                  <w:r>
                    <w:rPr>
                      <w:rFonts w:hint="eastAsia"/>
                      <w:color w:val="auto"/>
                      <w:sz w:val="21"/>
                      <w:szCs w:val="21"/>
                      <w:highlight w:val="none"/>
                      <w:lang w:eastAsia="zh-CN"/>
                    </w:rPr>
                    <w:t>与</w:t>
                  </w:r>
                  <w:r>
                    <w:rPr>
                      <w:rFonts w:hint="eastAsia"/>
                      <w:color w:val="auto"/>
                      <w:sz w:val="21"/>
                      <w:szCs w:val="21"/>
                      <w:highlight w:val="none"/>
                    </w:rPr>
                    <w:t>筛选杂质</w:t>
                  </w:r>
                  <w:r>
                    <w:rPr>
                      <w:rFonts w:hint="eastAsia"/>
                      <w:color w:val="auto"/>
                      <w:sz w:val="21"/>
                      <w:szCs w:val="21"/>
                      <w:highlight w:val="none"/>
                      <w:lang w:eastAsia="zh-CN"/>
                    </w:rPr>
                    <w:t>一起外售综合利用</w:t>
                  </w:r>
                  <w:r>
                    <w:rPr>
                      <w:color w:val="auto"/>
                      <w:sz w:val="21"/>
                      <w:szCs w:val="21"/>
                      <w:highlight w:val="none"/>
                    </w:rPr>
                    <w:t>；</w:t>
                  </w:r>
                  <w:r>
                    <w:rPr>
                      <w:rFonts w:hint="eastAsia"/>
                      <w:color w:val="auto"/>
                      <w:sz w:val="21"/>
                      <w:szCs w:val="21"/>
                      <w:highlight w:val="none"/>
                    </w:rPr>
                    <w:t>热风炉产生的炉渣、布袋除尘器收集的粉尘</w:t>
                  </w:r>
                  <w:r>
                    <w:rPr>
                      <w:rFonts w:hint="eastAsia"/>
                      <w:color w:val="auto"/>
                      <w:sz w:val="21"/>
                      <w:szCs w:val="21"/>
                      <w:highlight w:val="none"/>
                      <w:lang w:eastAsia="zh-CN"/>
                    </w:rPr>
                    <w:t>、废布袋</w:t>
                  </w:r>
                  <w:r>
                    <w:rPr>
                      <w:rFonts w:hint="eastAsia"/>
                      <w:color w:val="auto"/>
                      <w:sz w:val="21"/>
                      <w:szCs w:val="21"/>
                      <w:highlight w:val="none"/>
                    </w:rPr>
                    <w:t>集中收集外售，综合利用。</w:t>
                  </w:r>
                </w:p>
              </w:tc>
              <w:tc>
                <w:tcPr>
                  <w:tcW w:w="610" w:type="pct"/>
                  <w:tcBorders>
                    <w:tl2br w:val="nil"/>
                    <w:tr2bl w:val="nil"/>
                  </w:tcBorders>
                  <w:noWrap/>
                  <w:vAlign w:val="center"/>
                </w:tcPr>
                <w:p w14:paraId="4852BA5B">
                  <w:pPr>
                    <w:pStyle w:val="119"/>
                    <w:rPr>
                      <w:color w:val="auto"/>
                      <w:sz w:val="21"/>
                      <w:szCs w:val="21"/>
                      <w:highlight w:val="none"/>
                    </w:rPr>
                  </w:pPr>
                  <w:r>
                    <w:rPr>
                      <w:rFonts w:hint="eastAsia"/>
                      <w:color w:val="auto"/>
                      <w:sz w:val="21"/>
                      <w:szCs w:val="21"/>
                      <w:highlight w:val="none"/>
                    </w:rPr>
                    <w:t>1</w:t>
                  </w:r>
                </w:p>
              </w:tc>
            </w:tr>
            <w:tr w14:paraId="5FDED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389" w:type="pct"/>
                  <w:vMerge w:val="continue"/>
                  <w:tcBorders>
                    <w:tl2br w:val="nil"/>
                    <w:tr2bl w:val="nil"/>
                  </w:tcBorders>
                  <w:noWrap/>
                  <w:vAlign w:val="center"/>
                </w:tcPr>
                <w:p w14:paraId="086F89B8">
                  <w:pPr>
                    <w:pStyle w:val="119"/>
                    <w:rPr>
                      <w:color w:val="auto"/>
                      <w:sz w:val="21"/>
                      <w:szCs w:val="21"/>
                      <w:highlight w:val="none"/>
                    </w:rPr>
                  </w:pPr>
                </w:p>
              </w:tc>
              <w:tc>
                <w:tcPr>
                  <w:tcW w:w="455" w:type="pct"/>
                  <w:vMerge w:val="continue"/>
                  <w:tcBorders>
                    <w:tl2br w:val="nil"/>
                    <w:tr2bl w:val="nil"/>
                  </w:tcBorders>
                  <w:noWrap/>
                  <w:vAlign w:val="center"/>
                </w:tcPr>
                <w:p w14:paraId="656E9D44">
                  <w:pPr>
                    <w:pStyle w:val="119"/>
                    <w:rPr>
                      <w:color w:val="auto"/>
                      <w:sz w:val="21"/>
                      <w:szCs w:val="21"/>
                      <w:highlight w:val="none"/>
                    </w:rPr>
                  </w:pPr>
                </w:p>
              </w:tc>
              <w:tc>
                <w:tcPr>
                  <w:tcW w:w="1943" w:type="dxa"/>
                  <w:tcBorders>
                    <w:tl2br w:val="nil"/>
                    <w:tr2bl w:val="nil"/>
                  </w:tcBorders>
                  <w:noWrap/>
                  <w:vAlign w:val="center"/>
                </w:tcPr>
                <w:p w14:paraId="0BC740C3">
                  <w:pPr>
                    <w:pStyle w:val="119"/>
                    <w:rPr>
                      <w:color w:val="auto"/>
                      <w:sz w:val="21"/>
                      <w:szCs w:val="21"/>
                      <w:highlight w:val="none"/>
                    </w:rPr>
                  </w:pPr>
                  <w:r>
                    <w:rPr>
                      <w:rFonts w:hint="eastAsia" w:ascii="Times New Roman" w:hAnsi="Times New Roman" w:eastAsia="宋体" w:cs="Times New Roman"/>
                      <w:color w:val="auto"/>
                      <w:sz w:val="21"/>
                      <w:szCs w:val="21"/>
                      <w:highlight w:val="none"/>
                      <w:lang w:eastAsia="zh-CN"/>
                    </w:rPr>
                    <w:t>废矿物油、废矿物油桶</w:t>
                  </w:r>
                </w:p>
              </w:tc>
              <w:tc>
                <w:tcPr>
                  <w:tcW w:w="4325" w:type="dxa"/>
                  <w:tcBorders>
                    <w:tl2br w:val="nil"/>
                    <w:tr2bl w:val="nil"/>
                  </w:tcBorders>
                  <w:noWrap/>
                  <w:vAlign w:val="center"/>
                </w:tcPr>
                <w:p w14:paraId="5F2CBF8A">
                  <w:pPr>
                    <w:pStyle w:val="119"/>
                    <w:rPr>
                      <w:rFonts w:hint="eastAsia"/>
                      <w:color w:val="auto"/>
                      <w:sz w:val="21"/>
                      <w:szCs w:val="21"/>
                      <w:highlight w:val="none"/>
                    </w:rPr>
                  </w:pPr>
                  <w:r>
                    <w:rPr>
                      <w:rFonts w:hint="eastAsia"/>
                      <w:color w:val="auto"/>
                      <w:sz w:val="21"/>
                      <w:szCs w:val="21"/>
                      <w:highlight w:val="none"/>
                    </w:rPr>
                    <w:t>危废暂存间（</w:t>
                  </w:r>
                  <w:r>
                    <w:rPr>
                      <w:rFonts w:hint="eastAsia"/>
                      <w:color w:val="auto"/>
                      <w:sz w:val="21"/>
                      <w:szCs w:val="21"/>
                      <w:highlight w:val="none"/>
                      <w:lang w:val="en-US" w:eastAsia="zh-CN"/>
                    </w:rPr>
                    <w:t>2</w:t>
                  </w:r>
                  <w:r>
                    <w:rPr>
                      <w:rFonts w:hint="eastAsia"/>
                      <w:color w:val="auto"/>
                      <w:sz w:val="21"/>
                      <w:szCs w:val="21"/>
                      <w:highlight w:val="none"/>
                    </w:rPr>
                    <w:t>m</w:t>
                  </w:r>
                  <w:r>
                    <w:rPr>
                      <w:rFonts w:hint="eastAsia"/>
                      <w:color w:val="auto"/>
                      <w:sz w:val="21"/>
                      <w:szCs w:val="21"/>
                      <w:highlight w:val="none"/>
                      <w:vertAlign w:val="superscript"/>
                    </w:rPr>
                    <w:t>2</w:t>
                  </w:r>
                  <w:r>
                    <w:rPr>
                      <w:rFonts w:hint="eastAsia"/>
                      <w:color w:val="auto"/>
                      <w:sz w:val="21"/>
                      <w:szCs w:val="21"/>
                      <w:highlight w:val="none"/>
                    </w:rPr>
                    <w:t>）</w:t>
                  </w:r>
                  <w:r>
                    <w:rPr>
                      <w:rFonts w:hint="eastAsia"/>
                      <w:color w:val="auto"/>
                      <w:sz w:val="21"/>
                      <w:szCs w:val="21"/>
                      <w:highlight w:val="none"/>
                      <w:lang w:eastAsia="zh-CN"/>
                    </w:rPr>
                    <w:t>、危险废物委托有资质单位处置</w:t>
                  </w:r>
                </w:p>
              </w:tc>
              <w:tc>
                <w:tcPr>
                  <w:tcW w:w="1079" w:type="dxa"/>
                  <w:tcBorders>
                    <w:tl2br w:val="nil"/>
                    <w:tr2bl w:val="nil"/>
                  </w:tcBorders>
                  <w:noWrap/>
                  <w:vAlign w:val="center"/>
                </w:tcPr>
                <w:p w14:paraId="1B725E96">
                  <w:pPr>
                    <w:pStyle w:val="119"/>
                    <w:rPr>
                      <w:rFonts w:hint="eastAsia"/>
                      <w:color w:val="auto"/>
                      <w:sz w:val="21"/>
                      <w:szCs w:val="21"/>
                      <w:highlight w:val="none"/>
                    </w:rPr>
                  </w:pPr>
                  <w:r>
                    <w:rPr>
                      <w:rFonts w:hint="eastAsia"/>
                      <w:color w:val="auto"/>
                      <w:sz w:val="21"/>
                      <w:szCs w:val="21"/>
                      <w:highlight w:val="none"/>
                      <w:lang w:val="en-US" w:eastAsia="zh-CN"/>
                    </w:rPr>
                    <w:t>2</w:t>
                  </w:r>
                </w:p>
              </w:tc>
            </w:tr>
            <w:tr w14:paraId="6F6795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vMerge w:val="continue"/>
                  <w:tcBorders>
                    <w:tl2br w:val="nil"/>
                    <w:tr2bl w:val="nil"/>
                  </w:tcBorders>
                  <w:noWrap/>
                  <w:vAlign w:val="center"/>
                </w:tcPr>
                <w:p w14:paraId="5A8139E0">
                  <w:pPr>
                    <w:pStyle w:val="119"/>
                    <w:rPr>
                      <w:color w:val="auto"/>
                      <w:sz w:val="21"/>
                      <w:szCs w:val="21"/>
                      <w:highlight w:val="none"/>
                    </w:rPr>
                  </w:pPr>
                </w:p>
              </w:tc>
              <w:tc>
                <w:tcPr>
                  <w:tcW w:w="1554" w:type="pct"/>
                  <w:gridSpan w:val="2"/>
                  <w:tcBorders>
                    <w:tl2br w:val="nil"/>
                    <w:tr2bl w:val="nil"/>
                  </w:tcBorders>
                  <w:noWrap/>
                  <w:vAlign w:val="center"/>
                </w:tcPr>
                <w:p w14:paraId="7426AFF5">
                  <w:pPr>
                    <w:pStyle w:val="119"/>
                    <w:rPr>
                      <w:rFonts w:hint="eastAsia" w:eastAsia="宋体"/>
                      <w:color w:val="auto"/>
                      <w:sz w:val="21"/>
                      <w:szCs w:val="21"/>
                      <w:highlight w:val="none"/>
                      <w:lang w:eastAsia="zh-CN"/>
                    </w:rPr>
                  </w:pPr>
                  <w:r>
                    <w:rPr>
                      <w:color w:val="auto"/>
                      <w:sz w:val="21"/>
                      <w:szCs w:val="21"/>
                      <w:highlight w:val="none"/>
                    </w:rPr>
                    <w:t>运</w:t>
                  </w:r>
                  <w:r>
                    <w:rPr>
                      <w:rFonts w:ascii="Times New Roman" w:hAnsi="Times New Roman" w:eastAsia="宋体" w:cs="Times New Roman"/>
                      <w:color w:val="auto"/>
                      <w:sz w:val="21"/>
                      <w:szCs w:val="21"/>
                      <w:highlight w:val="none"/>
                    </w:rPr>
                    <w:t>行维护费用</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自行监测费用</w:t>
                  </w:r>
                </w:p>
              </w:tc>
              <w:tc>
                <w:tcPr>
                  <w:tcW w:w="2445" w:type="pct"/>
                  <w:tcBorders>
                    <w:tl2br w:val="nil"/>
                    <w:tr2bl w:val="nil"/>
                  </w:tcBorders>
                  <w:noWrap/>
                  <w:vAlign w:val="center"/>
                </w:tcPr>
                <w:p w14:paraId="098FBDB9">
                  <w:pPr>
                    <w:pStyle w:val="119"/>
                    <w:rPr>
                      <w:rFonts w:hint="eastAsia" w:eastAsia="宋体"/>
                      <w:color w:val="auto"/>
                      <w:sz w:val="21"/>
                      <w:szCs w:val="21"/>
                      <w:highlight w:val="none"/>
                      <w:lang w:eastAsia="zh-CN"/>
                    </w:rPr>
                  </w:pPr>
                  <w:r>
                    <w:rPr>
                      <w:color w:val="auto"/>
                      <w:sz w:val="21"/>
                      <w:szCs w:val="21"/>
                      <w:highlight w:val="none"/>
                    </w:rPr>
                    <w:t>各项污染物污染防治措施</w:t>
                  </w:r>
                  <w:r>
                    <w:rPr>
                      <w:rFonts w:hint="eastAsia"/>
                      <w:color w:val="auto"/>
                      <w:sz w:val="21"/>
                      <w:szCs w:val="21"/>
                      <w:highlight w:val="none"/>
                      <w:lang w:eastAsia="zh-CN"/>
                    </w:rPr>
                    <w:t>维护、例行监测</w:t>
                  </w:r>
                </w:p>
              </w:tc>
              <w:tc>
                <w:tcPr>
                  <w:tcW w:w="610" w:type="pct"/>
                  <w:tcBorders>
                    <w:tl2br w:val="nil"/>
                    <w:tr2bl w:val="nil"/>
                  </w:tcBorders>
                  <w:noWrap/>
                  <w:vAlign w:val="center"/>
                </w:tcPr>
                <w:p w14:paraId="02A045B2">
                  <w:pPr>
                    <w:pStyle w:val="119"/>
                    <w:rPr>
                      <w:rFonts w:hint="eastAsia" w:eastAsia="宋体"/>
                      <w:color w:val="auto"/>
                      <w:sz w:val="21"/>
                      <w:szCs w:val="21"/>
                      <w:highlight w:val="none"/>
                      <w:lang w:eastAsia="zh-CN"/>
                    </w:rPr>
                  </w:pPr>
                  <w:r>
                    <w:rPr>
                      <w:rFonts w:hint="eastAsia"/>
                      <w:color w:val="auto"/>
                      <w:sz w:val="21"/>
                      <w:szCs w:val="21"/>
                      <w:highlight w:val="none"/>
                      <w:lang w:val="en-US" w:eastAsia="zh-CN"/>
                    </w:rPr>
                    <w:t>2</w:t>
                  </w:r>
                </w:p>
              </w:tc>
            </w:tr>
            <w:tr w14:paraId="102944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3" w:type="pct"/>
                  <w:gridSpan w:val="3"/>
                  <w:tcBorders>
                    <w:tl2br w:val="nil"/>
                    <w:tr2bl w:val="nil"/>
                  </w:tcBorders>
                  <w:noWrap/>
                  <w:vAlign w:val="center"/>
                </w:tcPr>
                <w:p w14:paraId="216473B1">
                  <w:pPr>
                    <w:pStyle w:val="119"/>
                    <w:rPr>
                      <w:color w:val="auto"/>
                      <w:sz w:val="21"/>
                      <w:szCs w:val="21"/>
                      <w:highlight w:val="none"/>
                    </w:rPr>
                  </w:pPr>
                  <w:r>
                    <w:rPr>
                      <w:color w:val="auto"/>
                      <w:sz w:val="21"/>
                      <w:szCs w:val="21"/>
                      <w:highlight w:val="none"/>
                    </w:rPr>
                    <w:t>合计</w:t>
                  </w:r>
                </w:p>
              </w:tc>
              <w:tc>
                <w:tcPr>
                  <w:tcW w:w="2445" w:type="pct"/>
                  <w:tcBorders>
                    <w:tl2br w:val="nil"/>
                    <w:tr2bl w:val="nil"/>
                  </w:tcBorders>
                  <w:noWrap/>
                  <w:vAlign w:val="center"/>
                </w:tcPr>
                <w:p w14:paraId="4CE8B9AF">
                  <w:pPr>
                    <w:pStyle w:val="119"/>
                    <w:rPr>
                      <w:color w:val="auto"/>
                      <w:sz w:val="21"/>
                      <w:szCs w:val="21"/>
                      <w:highlight w:val="none"/>
                    </w:rPr>
                  </w:pPr>
                </w:p>
              </w:tc>
              <w:tc>
                <w:tcPr>
                  <w:tcW w:w="610" w:type="pct"/>
                  <w:tcBorders>
                    <w:tl2br w:val="nil"/>
                    <w:tr2bl w:val="nil"/>
                  </w:tcBorders>
                  <w:noWrap/>
                  <w:vAlign w:val="center"/>
                </w:tcPr>
                <w:p w14:paraId="6DA53FBC">
                  <w:pPr>
                    <w:pStyle w:val="119"/>
                    <w:rPr>
                      <w:rFonts w:hint="default" w:eastAsia="宋体"/>
                      <w:color w:val="auto"/>
                      <w:sz w:val="21"/>
                      <w:szCs w:val="21"/>
                      <w:highlight w:val="none"/>
                      <w:lang w:val="en-US" w:eastAsia="zh-CN"/>
                    </w:rPr>
                  </w:pPr>
                  <w:r>
                    <w:rPr>
                      <w:rFonts w:hint="eastAsia"/>
                      <w:color w:val="auto"/>
                      <w:sz w:val="21"/>
                      <w:szCs w:val="21"/>
                      <w:highlight w:val="none"/>
                      <w:lang w:val="en-US" w:eastAsia="zh-CN"/>
                    </w:rPr>
                    <w:t>29</w:t>
                  </w:r>
                </w:p>
              </w:tc>
            </w:tr>
          </w:tbl>
          <w:p w14:paraId="4D8CB268">
            <w:pPr>
              <w:spacing w:line="360" w:lineRule="auto"/>
              <w:ind w:firstLine="482" w:firstLineChars="200"/>
              <w:rPr>
                <w:rFonts w:hint="eastAsia" w:ascii="Times New Roman" w:hAnsi="Times New Roman" w:eastAsia="宋体" w:cs="Times New Roman"/>
                <w:b/>
                <w:bCs/>
                <w:color w:val="auto"/>
                <w:sz w:val="24"/>
                <w:highlight w:val="none"/>
                <w:lang w:eastAsia="zh-CN"/>
              </w:rPr>
            </w:pPr>
            <w:r>
              <w:rPr>
                <w:rFonts w:hint="eastAsia" w:ascii="Times New Roman" w:hAnsi="Times New Roman" w:cs="Times New Roman"/>
                <w:b/>
                <w:bCs/>
                <w:color w:val="auto"/>
                <w:sz w:val="24"/>
                <w:highlight w:val="none"/>
                <w:lang w:eastAsia="zh-CN"/>
              </w:rPr>
              <w:t>十</w:t>
            </w:r>
            <w:r>
              <w:rPr>
                <w:rFonts w:hint="eastAsia" w:cs="Times New Roman"/>
                <w:b/>
                <w:bCs/>
                <w:color w:val="auto"/>
                <w:sz w:val="24"/>
                <w:highlight w:val="none"/>
                <w:lang w:eastAsia="zh-CN"/>
              </w:rPr>
              <w:t>一</w:t>
            </w:r>
            <w:r>
              <w:rPr>
                <w:rFonts w:hint="eastAsia" w:ascii="Times New Roman" w:hAnsi="Times New Roman" w:eastAsia="宋体" w:cs="Times New Roman"/>
                <w:b/>
                <w:bCs/>
                <w:color w:val="auto"/>
                <w:sz w:val="24"/>
                <w:highlight w:val="none"/>
                <w:lang w:eastAsia="zh-CN"/>
              </w:rPr>
              <w:t>、排污许可证制度衔接</w:t>
            </w:r>
          </w:p>
          <w:p w14:paraId="452E4E71">
            <w:pPr>
              <w:spacing w:line="360" w:lineRule="auto"/>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环境影响评价制度是建设项目的环境准入门槛，是申请排污许可证的前提和重要依据。排污许可制是企事业单位生产运营期排污的法律依据，是确保环境影响评价提出的污染防治设施和措施落实落地的重要保障。各级环保部分要切实做好两项制度的衔接，在环境影响评价管理中，不断完善管理内容，推动环境影响评价更加科学，严格污染物排放要求；在排污许可管理中，严格按照环境影响报告书（表）以及审批文件要求核发排污许可证，维护环境影响评价的有效性。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14:paraId="5B032DDD">
            <w:pPr>
              <w:spacing w:line="360" w:lineRule="auto"/>
              <w:ind w:firstLine="480" w:firstLineChars="200"/>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验收完成当年排污许可证执行年报。</w:t>
            </w:r>
          </w:p>
          <w:p w14:paraId="76644268">
            <w:pPr>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根据《固定污染源排污许可分类管理名录（</w:t>
            </w:r>
            <w:r>
              <w:rPr>
                <w:rFonts w:hint="eastAsia" w:ascii="Times New Roman" w:hAnsi="Times New Roman" w:eastAsia="宋体" w:cs="Times New Roman"/>
                <w:color w:val="auto"/>
                <w:sz w:val="24"/>
                <w:szCs w:val="24"/>
                <w:highlight w:val="none"/>
                <w:lang w:val="en-US" w:eastAsia="zh-CN"/>
              </w:rPr>
              <w:t>2019年本</w:t>
            </w:r>
            <w:r>
              <w:rPr>
                <w:rFonts w:hint="eastAsia" w:ascii="Times New Roman" w:hAnsi="Times New Roman" w:eastAsia="宋体" w:cs="Times New Roman"/>
                <w:color w:val="auto"/>
                <w:sz w:val="24"/>
                <w:szCs w:val="24"/>
                <w:highlight w:val="none"/>
                <w:lang w:eastAsia="zh-CN"/>
              </w:rPr>
              <w:t>）》，本项目排污许可管理为简化管理，本项目在取得环境影响评价审批意见后，排污行为发生变更之日前三十个工作日内，依法申请排污许可证。</w:t>
            </w:r>
          </w:p>
          <w:p w14:paraId="7AEEC65A">
            <w:pPr>
              <w:adjustRightInd w:val="0"/>
              <w:snapToGrid w:val="0"/>
              <w:spacing w:line="360" w:lineRule="auto"/>
              <w:ind w:firstLine="480" w:firstLineChars="200"/>
              <w:rPr>
                <w:color w:val="auto"/>
                <w:spacing w:val="-10"/>
                <w:szCs w:val="21"/>
              </w:rPr>
            </w:pPr>
            <w:r>
              <w:rPr>
                <w:rFonts w:hint="eastAsia" w:ascii="Times New Roman" w:hAnsi="Times New Roman" w:eastAsia="宋体" w:cs="Times New Roman"/>
                <w:color w:val="auto"/>
                <w:sz w:val="24"/>
                <w:szCs w:val="24"/>
                <w:highlight w:val="none"/>
                <w:lang w:eastAsia="zh-CN"/>
              </w:rPr>
              <w:t>在本次环境影响评价报告表中按照</w:t>
            </w:r>
            <w:r>
              <w:rPr>
                <w:rFonts w:hint="eastAsia" w:ascii="Times New Roman" w:hAnsi="Times New Roman" w:eastAsia="宋体" w:cs="Times New Roman"/>
                <w:color w:val="auto"/>
                <w:sz w:val="24"/>
                <w:highlight w:val="none"/>
                <w:lang w:val="en-US" w:eastAsia="zh-CN"/>
              </w:rPr>
              <w:t>《排污许可证申请与核发技术规范 工业窑炉》（HJ1121-2020）</w:t>
            </w:r>
            <w:r>
              <w:rPr>
                <w:rFonts w:hint="eastAsia" w:ascii="Times New Roman" w:hAnsi="Times New Roman" w:eastAsia="宋体" w:cs="Times New Roman"/>
                <w:color w:val="auto"/>
                <w:sz w:val="24"/>
                <w:szCs w:val="24"/>
                <w:highlight w:val="none"/>
                <w:lang w:eastAsia="zh-CN"/>
              </w:rPr>
              <w:t>及环境影响评价要素导则等技术文件，核定本项目的产排污环节、污染物种类及污染防治设施和措施，并根据</w:t>
            </w:r>
            <w:r>
              <w:rPr>
                <w:rFonts w:hint="default" w:ascii="Times New Roman" w:hAnsi="Times New Roman" w:eastAsia="宋体" w:cs="Times New Roman"/>
                <w:color w:val="auto"/>
                <w:sz w:val="24"/>
                <w:szCs w:val="24"/>
                <w:highlight w:val="none"/>
                <w:lang w:eastAsia="zh-CN"/>
              </w:rPr>
              <w:t>《排污单位自行监测技术指南总则》</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HJ819-2017</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highlight w:val="none"/>
                <w:lang w:val="en-US" w:eastAsia="zh-CN"/>
              </w:rPr>
              <w:t>《排污许可证申请与核发技术规范 工业窑炉》（HJ1121-2020）</w:t>
            </w:r>
            <w:r>
              <w:rPr>
                <w:rFonts w:hint="eastAsia" w:ascii="Times New Roman" w:hAnsi="Times New Roman" w:eastAsia="宋体" w:cs="Times New Roman"/>
                <w:color w:val="auto"/>
                <w:sz w:val="24"/>
                <w:szCs w:val="24"/>
                <w:highlight w:val="none"/>
              </w:rPr>
              <w:t>制定自行监测计划等相关内容。</w:t>
            </w:r>
          </w:p>
        </w:tc>
      </w:tr>
    </w:tbl>
    <w:p w14:paraId="3E2185B4">
      <w:pPr>
        <w:adjustRightInd w:val="0"/>
        <w:snapToGrid w:val="0"/>
        <w:spacing w:line="360" w:lineRule="auto"/>
        <w:rPr>
          <w:b/>
          <w:color w:val="auto"/>
          <w:kern w:val="0"/>
          <w:sz w:val="28"/>
          <w:szCs w:val="28"/>
        </w:rPr>
        <w:sectPr>
          <w:footerReference r:id="rId8" w:type="default"/>
          <w:pgSz w:w="11907" w:h="16840"/>
          <w:pgMar w:top="1247" w:right="1531" w:bottom="1361" w:left="1531" w:header="851" w:footer="851" w:gutter="0"/>
          <w:pgNumType w:fmt="decimal"/>
          <w:cols w:space="720" w:num="1"/>
          <w:docGrid w:linePitch="312" w:charSpace="0"/>
        </w:sectPr>
      </w:pPr>
    </w:p>
    <w:p w14:paraId="36B87A36">
      <w:pPr>
        <w:pStyle w:val="26"/>
        <w:jc w:val="center"/>
        <w:outlineLvl w:val="0"/>
        <w:rPr>
          <w:rFonts w:ascii="Times New Roman" w:hAnsi="Times New Roman"/>
          <w:b/>
          <w:bCs/>
          <w:snapToGrid w:val="0"/>
          <w:color w:val="auto"/>
          <w:sz w:val="30"/>
          <w:szCs w:val="30"/>
        </w:rPr>
      </w:pPr>
      <w:bookmarkStart w:id="13" w:name="_Toc13007"/>
      <w:r>
        <w:rPr>
          <w:rFonts w:ascii="Times New Roman" w:hAnsi="Times New Roman"/>
          <w:b/>
          <w:bCs/>
          <w:snapToGrid w:val="0"/>
          <w:color w:val="auto"/>
          <w:sz w:val="30"/>
          <w:szCs w:val="30"/>
        </w:rPr>
        <w:t>五、</w:t>
      </w:r>
      <w:bookmarkStart w:id="14" w:name="_Hlk54167917"/>
      <w:r>
        <w:rPr>
          <w:rFonts w:ascii="Times New Roman" w:hAnsi="Times New Roman"/>
          <w:b/>
          <w:bCs/>
          <w:snapToGrid w:val="0"/>
          <w:color w:val="auto"/>
          <w:sz w:val="30"/>
          <w:szCs w:val="30"/>
        </w:rPr>
        <w:t>环境保护措施监督检查清单</w:t>
      </w:r>
      <w:bookmarkEnd w:id="13"/>
      <w:bookmarkEnd w:id="14"/>
    </w:p>
    <w:tbl>
      <w:tblPr>
        <w:tblStyle w:val="31"/>
        <w:tblW w:w="95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78"/>
        <w:gridCol w:w="1687"/>
        <w:gridCol w:w="1392"/>
        <w:gridCol w:w="2290"/>
        <w:gridCol w:w="2477"/>
      </w:tblGrid>
      <w:tr w14:paraId="29E753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678" w:type="dxa"/>
            <w:tcBorders>
              <w:tl2br w:val="single" w:color="auto" w:sz="4" w:space="0"/>
            </w:tcBorders>
          </w:tcPr>
          <w:p w14:paraId="3354F2BE">
            <w:pPr>
              <w:adjustRightInd w:val="0"/>
              <w:snapToGrid w:val="0"/>
              <w:ind w:firstLine="840"/>
              <w:rPr>
                <w:color w:val="auto"/>
                <w:sz w:val="24"/>
              </w:rPr>
            </w:pPr>
            <w:r>
              <w:rPr>
                <w:color w:val="auto"/>
                <w:sz w:val="24"/>
              </w:rPr>
              <w:t>内容</w:t>
            </w:r>
          </w:p>
          <w:p w14:paraId="63C560EE">
            <w:pPr>
              <w:adjustRightInd w:val="0"/>
              <w:snapToGrid w:val="0"/>
              <w:rPr>
                <w:color w:val="auto"/>
                <w:sz w:val="24"/>
              </w:rPr>
            </w:pPr>
            <w:r>
              <w:rPr>
                <w:color w:val="auto"/>
                <w:sz w:val="24"/>
              </w:rPr>
              <w:t>要素</w:t>
            </w:r>
          </w:p>
        </w:tc>
        <w:tc>
          <w:tcPr>
            <w:tcW w:w="1687" w:type="dxa"/>
            <w:vAlign w:val="center"/>
          </w:tcPr>
          <w:p w14:paraId="51D6990E">
            <w:pPr>
              <w:adjustRightInd w:val="0"/>
              <w:snapToGrid w:val="0"/>
              <w:jc w:val="center"/>
              <w:rPr>
                <w:color w:val="auto"/>
                <w:sz w:val="24"/>
              </w:rPr>
            </w:pPr>
            <w:r>
              <w:rPr>
                <w:color w:val="auto"/>
                <w:sz w:val="24"/>
              </w:rPr>
              <w:t>排放口（编号、名称）/污染源</w:t>
            </w:r>
          </w:p>
        </w:tc>
        <w:tc>
          <w:tcPr>
            <w:tcW w:w="1392" w:type="dxa"/>
            <w:vAlign w:val="center"/>
          </w:tcPr>
          <w:p w14:paraId="496DF0D9">
            <w:pPr>
              <w:adjustRightInd w:val="0"/>
              <w:snapToGrid w:val="0"/>
              <w:jc w:val="center"/>
              <w:rPr>
                <w:color w:val="auto"/>
                <w:sz w:val="24"/>
              </w:rPr>
            </w:pPr>
            <w:r>
              <w:rPr>
                <w:color w:val="auto"/>
                <w:sz w:val="24"/>
              </w:rPr>
              <w:t>污染物项目</w:t>
            </w:r>
          </w:p>
        </w:tc>
        <w:tc>
          <w:tcPr>
            <w:tcW w:w="2290" w:type="dxa"/>
            <w:vAlign w:val="center"/>
          </w:tcPr>
          <w:p w14:paraId="200F8AC2">
            <w:pPr>
              <w:adjustRightInd w:val="0"/>
              <w:snapToGrid w:val="0"/>
              <w:jc w:val="center"/>
              <w:rPr>
                <w:color w:val="auto"/>
                <w:sz w:val="24"/>
              </w:rPr>
            </w:pPr>
            <w:r>
              <w:rPr>
                <w:color w:val="auto"/>
                <w:sz w:val="24"/>
              </w:rPr>
              <w:t>环境保护措施</w:t>
            </w:r>
          </w:p>
        </w:tc>
        <w:tc>
          <w:tcPr>
            <w:tcW w:w="2477" w:type="dxa"/>
            <w:vAlign w:val="center"/>
          </w:tcPr>
          <w:p w14:paraId="55EFD8C3">
            <w:pPr>
              <w:adjustRightInd w:val="0"/>
              <w:snapToGrid w:val="0"/>
              <w:jc w:val="center"/>
              <w:rPr>
                <w:color w:val="auto"/>
                <w:sz w:val="24"/>
              </w:rPr>
            </w:pPr>
            <w:r>
              <w:rPr>
                <w:color w:val="auto"/>
                <w:sz w:val="24"/>
              </w:rPr>
              <w:t>执行标准</w:t>
            </w:r>
          </w:p>
        </w:tc>
      </w:tr>
      <w:tr w14:paraId="618B1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8" w:type="dxa"/>
            <w:vMerge w:val="restart"/>
            <w:vAlign w:val="center"/>
          </w:tcPr>
          <w:p w14:paraId="51DCDFE3">
            <w:pPr>
              <w:adjustRightInd w:val="0"/>
              <w:snapToGrid w:val="0"/>
              <w:jc w:val="center"/>
              <w:rPr>
                <w:color w:val="auto"/>
                <w:sz w:val="24"/>
              </w:rPr>
            </w:pPr>
            <w:r>
              <w:rPr>
                <w:rFonts w:hint="eastAsia"/>
                <w:color w:val="auto"/>
                <w:sz w:val="24"/>
              </w:rPr>
              <w:t>大气环境</w:t>
            </w:r>
          </w:p>
        </w:tc>
        <w:tc>
          <w:tcPr>
            <w:tcW w:w="1687" w:type="dxa"/>
            <w:vMerge w:val="restart"/>
            <w:vAlign w:val="center"/>
          </w:tcPr>
          <w:p w14:paraId="3B087E8F">
            <w:pPr>
              <w:adjustRightInd w:val="0"/>
              <w:snapToGrid w:val="0"/>
              <w:jc w:val="center"/>
              <w:rPr>
                <w:color w:val="auto"/>
                <w:sz w:val="24"/>
              </w:rPr>
            </w:pPr>
            <w:r>
              <w:rPr>
                <w:rFonts w:hint="eastAsia"/>
                <w:color w:val="auto"/>
                <w:sz w:val="24"/>
              </w:rPr>
              <w:t>热风炉烟囱</w:t>
            </w:r>
          </w:p>
        </w:tc>
        <w:tc>
          <w:tcPr>
            <w:tcW w:w="1392" w:type="dxa"/>
            <w:tcBorders>
              <w:bottom w:val="single" w:color="000000" w:sz="4" w:space="0"/>
            </w:tcBorders>
            <w:vAlign w:val="center"/>
          </w:tcPr>
          <w:p w14:paraId="26B7F5FE">
            <w:pPr>
              <w:pStyle w:val="97"/>
              <w:spacing w:line="360" w:lineRule="exact"/>
              <w:jc w:val="center"/>
              <w:rPr>
                <w:rFonts w:ascii="Times New Roman" w:hAnsi="Times New Roman"/>
                <w:color w:val="auto"/>
                <w:sz w:val="24"/>
                <w:lang w:eastAsia="zh-CN"/>
              </w:rPr>
            </w:pPr>
            <w:r>
              <w:rPr>
                <w:rFonts w:hint="eastAsia" w:ascii="Times New Roman" w:hAnsi="Times New Roman"/>
                <w:color w:val="auto"/>
                <w:sz w:val="24"/>
                <w:lang w:eastAsia="zh-CN"/>
              </w:rPr>
              <w:t>烟尘</w:t>
            </w:r>
          </w:p>
        </w:tc>
        <w:tc>
          <w:tcPr>
            <w:tcW w:w="2290" w:type="dxa"/>
            <w:vMerge w:val="restart"/>
            <w:vAlign w:val="center"/>
          </w:tcPr>
          <w:p w14:paraId="4C655251">
            <w:pPr>
              <w:rPr>
                <w:color w:val="auto"/>
                <w:sz w:val="24"/>
              </w:rPr>
            </w:pPr>
            <w:r>
              <w:rPr>
                <w:rFonts w:hint="eastAsia"/>
                <w:color w:val="auto"/>
                <w:sz w:val="24"/>
              </w:rPr>
              <w:t>1台除尘效率99</w:t>
            </w:r>
            <w:r>
              <w:rPr>
                <w:rFonts w:hint="eastAsia"/>
                <w:color w:val="auto"/>
                <w:sz w:val="24"/>
                <w:lang w:val="en-US" w:eastAsia="zh-CN"/>
              </w:rPr>
              <w:t>.5</w:t>
            </w:r>
            <w:r>
              <w:rPr>
                <w:rFonts w:hint="eastAsia"/>
                <w:color w:val="auto"/>
                <w:sz w:val="24"/>
              </w:rPr>
              <w:t>%的</w:t>
            </w:r>
            <w:r>
              <w:rPr>
                <w:color w:val="auto"/>
                <w:sz w:val="24"/>
              </w:rPr>
              <w:t>布袋除尘器，</w:t>
            </w:r>
            <w:r>
              <w:rPr>
                <w:rFonts w:hint="eastAsia"/>
                <w:color w:val="auto"/>
                <w:sz w:val="24"/>
                <w:lang w:eastAsia="zh-CN"/>
              </w:rPr>
              <w:t>15m</w:t>
            </w:r>
            <w:r>
              <w:rPr>
                <w:color w:val="auto"/>
                <w:sz w:val="24"/>
              </w:rPr>
              <w:t>高</w:t>
            </w:r>
            <w:r>
              <w:rPr>
                <w:rFonts w:hint="eastAsia"/>
                <w:color w:val="auto"/>
                <w:sz w:val="24"/>
              </w:rPr>
              <w:t>烟囱</w:t>
            </w:r>
            <w:r>
              <w:rPr>
                <w:color w:val="auto"/>
                <w:sz w:val="24"/>
              </w:rPr>
              <w:t>排放</w:t>
            </w:r>
          </w:p>
        </w:tc>
        <w:tc>
          <w:tcPr>
            <w:tcW w:w="2477" w:type="dxa"/>
            <w:vMerge w:val="restart"/>
            <w:vAlign w:val="center"/>
          </w:tcPr>
          <w:p w14:paraId="67005D21">
            <w:pPr>
              <w:ind w:firstLine="480" w:firstLineChars="200"/>
              <w:rPr>
                <w:rFonts w:hint="eastAsia" w:eastAsia="宋体"/>
                <w:color w:val="auto"/>
                <w:sz w:val="24"/>
                <w:lang w:eastAsia="zh-CN"/>
              </w:rPr>
            </w:pPr>
            <w:r>
              <w:rPr>
                <w:color w:val="auto"/>
                <w:sz w:val="24"/>
              </w:rPr>
              <w:t>《工业炉窑大气污染物排放标准》（GB9078-1996）表2、</w:t>
            </w:r>
            <w:r>
              <w:rPr>
                <w:rFonts w:hint="eastAsia"/>
                <w:color w:val="auto"/>
                <w:sz w:val="24"/>
                <w:lang w:eastAsia="zh-CN"/>
              </w:rPr>
              <w:t>表</w:t>
            </w:r>
            <w:r>
              <w:rPr>
                <w:rFonts w:hint="eastAsia"/>
                <w:color w:val="auto"/>
                <w:sz w:val="24"/>
                <w:lang w:val="en-US" w:eastAsia="zh-CN"/>
              </w:rPr>
              <w:t>3、</w:t>
            </w:r>
            <w:r>
              <w:rPr>
                <w:color w:val="auto"/>
                <w:sz w:val="24"/>
              </w:rPr>
              <w:t>表4中标</w:t>
            </w:r>
            <w:r>
              <w:rPr>
                <w:rFonts w:hint="eastAsia"/>
                <w:color w:val="auto"/>
                <w:sz w:val="24"/>
                <w:lang w:eastAsia="zh-CN"/>
              </w:rPr>
              <w:t>表</w:t>
            </w:r>
            <w:r>
              <w:rPr>
                <w:rFonts w:hint="eastAsia"/>
                <w:color w:val="auto"/>
                <w:sz w:val="24"/>
                <w:szCs w:val="32"/>
                <w:highlight w:val="none"/>
                <w:lang w:val="en-US" w:eastAsia="zh-CN"/>
              </w:rPr>
              <w:t>。</w:t>
            </w:r>
          </w:p>
        </w:tc>
      </w:tr>
      <w:tr w14:paraId="6D1474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8" w:type="dxa"/>
            <w:vMerge w:val="continue"/>
            <w:vAlign w:val="center"/>
          </w:tcPr>
          <w:p w14:paraId="3853CB8A">
            <w:pPr>
              <w:adjustRightInd w:val="0"/>
              <w:snapToGrid w:val="0"/>
              <w:jc w:val="center"/>
              <w:rPr>
                <w:color w:val="auto"/>
                <w:sz w:val="24"/>
              </w:rPr>
            </w:pPr>
          </w:p>
        </w:tc>
        <w:tc>
          <w:tcPr>
            <w:tcW w:w="1687" w:type="dxa"/>
            <w:vMerge w:val="continue"/>
            <w:vAlign w:val="center"/>
          </w:tcPr>
          <w:p w14:paraId="6C9427B2">
            <w:pPr>
              <w:adjustRightInd w:val="0"/>
              <w:snapToGrid w:val="0"/>
              <w:jc w:val="center"/>
              <w:rPr>
                <w:color w:val="auto"/>
                <w:sz w:val="24"/>
              </w:rPr>
            </w:pPr>
          </w:p>
        </w:tc>
        <w:tc>
          <w:tcPr>
            <w:tcW w:w="1392" w:type="dxa"/>
            <w:tcBorders>
              <w:top w:val="single" w:color="000000" w:sz="4" w:space="0"/>
              <w:bottom w:val="single" w:color="000000" w:sz="4" w:space="0"/>
            </w:tcBorders>
            <w:vAlign w:val="center"/>
          </w:tcPr>
          <w:p w14:paraId="75684B87">
            <w:pPr>
              <w:pStyle w:val="97"/>
              <w:spacing w:line="360" w:lineRule="exact"/>
              <w:jc w:val="center"/>
              <w:rPr>
                <w:rFonts w:ascii="Times New Roman" w:hAnsi="Times New Roman"/>
                <w:color w:val="auto"/>
                <w:sz w:val="24"/>
              </w:rPr>
            </w:pPr>
            <w:r>
              <w:rPr>
                <w:rFonts w:ascii="Times New Roman" w:hAnsi="Times New Roman"/>
                <w:color w:val="auto"/>
                <w:sz w:val="24"/>
              </w:rPr>
              <w:t>SO</w:t>
            </w:r>
            <w:r>
              <w:rPr>
                <w:rFonts w:ascii="Times New Roman" w:hAnsi="Times New Roman"/>
                <w:color w:val="auto"/>
                <w:sz w:val="24"/>
                <w:vertAlign w:val="subscript"/>
              </w:rPr>
              <w:t>2</w:t>
            </w:r>
          </w:p>
        </w:tc>
        <w:tc>
          <w:tcPr>
            <w:tcW w:w="2290" w:type="dxa"/>
            <w:vMerge w:val="continue"/>
            <w:vAlign w:val="center"/>
          </w:tcPr>
          <w:p w14:paraId="217867AE">
            <w:pPr>
              <w:ind w:firstLine="480" w:firstLineChars="200"/>
              <w:rPr>
                <w:color w:val="auto"/>
                <w:sz w:val="24"/>
              </w:rPr>
            </w:pPr>
          </w:p>
        </w:tc>
        <w:tc>
          <w:tcPr>
            <w:tcW w:w="2477" w:type="dxa"/>
            <w:vMerge w:val="continue"/>
            <w:vAlign w:val="center"/>
          </w:tcPr>
          <w:p w14:paraId="16B5BF8A">
            <w:pPr>
              <w:ind w:firstLine="480" w:firstLineChars="200"/>
              <w:rPr>
                <w:color w:val="auto"/>
                <w:sz w:val="24"/>
              </w:rPr>
            </w:pPr>
          </w:p>
        </w:tc>
      </w:tr>
      <w:tr w14:paraId="7180FB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8" w:type="dxa"/>
            <w:vMerge w:val="continue"/>
            <w:vAlign w:val="center"/>
          </w:tcPr>
          <w:p w14:paraId="7EA0E103">
            <w:pPr>
              <w:adjustRightInd w:val="0"/>
              <w:snapToGrid w:val="0"/>
              <w:jc w:val="center"/>
              <w:rPr>
                <w:color w:val="auto"/>
                <w:sz w:val="24"/>
              </w:rPr>
            </w:pPr>
          </w:p>
        </w:tc>
        <w:tc>
          <w:tcPr>
            <w:tcW w:w="1687" w:type="dxa"/>
            <w:vMerge w:val="continue"/>
            <w:vAlign w:val="center"/>
          </w:tcPr>
          <w:p w14:paraId="77D69878">
            <w:pPr>
              <w:adjustRightInd w:val="0"/>
              <w:snapToGrid w:val="0"/>
              <w:jc w:val="center"/>
              <w:rPr>
                <w:color w:val="auto"/>
                <w:sz w:val="24"/>
              </w:rPr>
            </w:pPr>
          </w:p>
        </w:tc>
        <w:tc>
          <w:tcPr>
            <w:tcW w:w="1392" w:type="dxa"/>
            <w:tcBorders>
              <w:top w:val="single" w:color="000000" w:sz="4" w:space="0"/>
              <w:bottom w:val="single" w:color="000000" w:sz="4" w:space="0"/>
            </w:tcBorders>
            <w:vAlign w:val="center"/>
          </w:tcPr>
          <w:p w14:paraId="713A74BA">
            <w:pPr>
              <w:pStyle w:val="97"/>
              <w:spacing w:line="360" w:lineRule="exact"/>
              <w:jc w:val="center"/>
              <w:rPr>
                <w:rFonts w:ascii="Times New Roman" w:hAnsi="Times New Roman"/>
                <w:color w:val="auto"/>
                <w:sz w:val="24"/>
              </w:rPr>
            </w:pPr>
            <w:r>
              <w:rPr>
                <w:rFonts w:ascii="Times New Roman" w:hAnsi="Times New Roman"/>
                <w:color w:val="auto"/>
                <w:sz w:val="24"/>
              </w:rPr>
              <w:t>NO</w:t>
            </w:r>
            <w:r>
              <w:rPr>
                <w:rFonts w:ascii="Times New Roman" w:hAnsi="Times New Roman"/>
                <w:color w:val="auto"/>
                <w:sz w:val="24"/>
                <w:vertAlign w:val="subscript"/>
              </w:rPr>
              <w:t>X</w:t>
            </w:r>
          </w:p>
        </w:tc>
        <w:tc>
          <w:tcPr>
            <w:tcW w:w="2290" w:type="dxa"/>
            <w:vMerge w:val="continue"/>
            <w:vAlign w:val="center"/>
          </w:tcPr>
          <w:p w14:paraId="11AC08A6">
            <w:pPr>
              <w:ind w:firstLine="480" w:firstLineChars="200"/>
              <w:rPr>
                <w:color w:val="auto"/>
                <w:sz w:val="24"/>
              </w:rPr>
            </w:pPr>
          </w:p>
        </w:tc>
        <w:tc>
          <w:tcPr>
            <w:tcW w:w="2477" w:type="dxa"/>
            <w:vMerge w:val="continue"/>
            <w:vAlign w:val="center"/>
          </w:tcPr>
          <w:p w14:paraId="566E7E69">
            <w:pPr>
              <w:ind w:firstLine="480" w:firstLineChars="200"/>
              <w:rPr>
                <w:color w:val="auto"/>
                <w:sz w:val="24"/>
              </w:rPr>
            </w:pPr>
          </w:p>
        </w:tc>
      </w:tr>
      <w:tr w14:paraId="0AF91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8" w:type="dxa"/>
            <w:vMerge w:val="continue"/>
            <w:vAlign w:val="center"/>
          </w:tcPr>
          <w:p w14:paraId="4281E2C5">
            <w:pPr>
              <w:adjustRightInd w:val="0"/>
              <w:snapToGrid w:val="0"/>
              <w:jc w:val="center"/>
              <w:rPr>
                <w:color w:val="auto"/>
                <w:sz w:val="24"/>
              </w:rPr>
            </w:pPr>
          </w:p>
        </w:tc>
        <w:tc>
          <w:tcPr>
            <w:tcW w:w="1687" w:type="dxa"/>
            <w:vMerge w:val="continue"/>
            <w:vAlign w:val="center"/>
          </w:tcPr>
          <w:p w14:paraId="5A350055">
            <w:pPr>
              <w:adjustRightInd w:val="0"/>
              <w:snapToGrid w:val="0"/>
              <w:jc w:val="center"/>
              <w:rPr>
                <w:color w:val="auto"/>
                <w:sz w:val="24"/>
              </w:rPr>
            </w:pPr>
          </w:p>
        </w:tc>
        <w:tc>
          <w:tcPr>
            <w:tcW w:w="1392" w:type="dxa"/>
            <w:tcBorders>
              <w:top w:val="single" w:color="000000" w:sz="4" w:space="0"/>
            </w:tcBorders>
            <w:vAlign w:val="center"/>
          </w:tcPr>
          <w:p w14:paraId="46C3007D">
            <w:pPr>
              <w:pStyle w:val="97"/>
              <w:spacing w:line="360" w:lineRule="exact"/>
              <w:jc w:val="center"/>
              <w:rPr>
                <w:rFonts w:ascii="Times New Roman" w:hAnsi="Times New Roman"/>
                <w:color w:val="auto"/>
                <w:sz w:val="24"/>
              </w:rPr>
            </w:pPr>
            <w:r>
              <w:rPr>
                <w:rFonts w:hint="eastAsia" w:ascii="Times New Roman" w:hAnsi="Times New Roman"/>
                <w:color w:val="auto"/>
                <w:sz w:val="24"/>
                <w:lang w:eastAsia="zh-CN"/>
              </w:rPr>
              <w:t>烟气黑度</w:t>
            </w:r>
          </w:p>
        </w:tc>
        <w:tc>
          <w:tcPr>
            <w:tcW w:w="2290" w:type="dxa"/>
            <w:vMerge w:val="continue"/>
            <w:vAlign w:val="center"/>
          </w:tcPr>
          <w:p w14:paraId="0C9E4F7F">
            <w:pPr>
              <w:ind w:firstLine="480" w:firstLineChars="200"/>
              <w:rPr>
                <w:color w:val="auto"/>
                <w:sz w:val="24"/>
              </w:rPr>
            </w:pPr>
          </w:p>
        </w:tc>
        <w:tc>
          <w:tcPr>
            <w:tcW w:w="2477" w:type="dxa"/>
            <w:vMerge w:val="continue"/>
            <w:vAlign w:val="center"/>
          </w:tcPr>
          <w:p w14:paraId="034CEA7E">
            <w:pPr>
              <w:ind w:firstLine="480" w:firstLineChars="200"/>
              <w:rPr>
                <w:color w:val="auto"/>
                <w:sz w:val="24"/>
              </w:rPr>
            </w:pPr>
          </w:p>
        </w:tc>
      </w:tr>
      <w:tr w14:paraId="6D2305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8" w:type="dxa"/>
            <w:vMerge w:val="continue"/>
            <w:vAlign w:val="center"/>
          </w:tcPr>
          <w:p w14:paraId="07A98F54">
            <w:pPr>
              <w:adjustRightInd w:val="0"/>
              <w:snapToGrid w:val="0"/>
              <w:jc w:val="center"/>
              <w:rPr>
                <w:color w:val="auto"/>
                <w:sz w:val="24"/>
              </w:rPr>
            </w:pPr>
          </w:p>
        </w:tc>
        <w:tc>
          <w:tcPr>
            <w:tcW w:w="1687" w:type="dxa"/>
            <w:vMerge w:val="continue"/>
            <w:vAlign w:val="center"/>
          </w:tcPr>
          <w:p w14:paraId="7798CF2C">
            <w:pPr>
              <w:adjustRightInd w:val="0"/>
              <w:snapToGrid w:val="0"/>
              <w:jc w:val="center"/>
              <w:rPr>
                <w:color w:val="auto"/>
                <w:sz w:val="24"/>
              </w:rPr>
            </w:pPr>
          </w:p>
        </w:tc>
        <w:tc>
          <w:tcPr>
            <w:tcW w:w="1392" w:type="dxa"/>
            <w:tcBorders>
              <w:top w:val="single" w:color="000000" w:sz="4" w:space="0"/>
            </w:tcBorders>
            <w:vAlign w:val="center"/>
          </w:tcPr>
          <w:p w14:paraId="6451442F">
            <w:pPr>
              <w:pStyle w:val="97"/>
              <w:spacing w:line="360" w:lineRule="exact"/>
              <w:jc w:val="center"/>
              <w:rPr>
                <w:rFonts w:ascii="Times New Roman" w:hAnsi="Times New Roman"/>
                <w:color w:val="auto"/>
                <w:sz w:val="24"/>
                <w:lang w:eastAsia="zh-CN"/>
              </w:rPr>
            </w:pPr>
            <w:r>
              <w:rPr>
                <w:rFonts w:hint="eastAsia" w:ascii="Times New Roman" w:hAnsi="Times New Roman"/>
                <w:color w:val="auto"/>
                <w:sz w:val="24"/>
                <w:lang w:eastAsia="zh-CN"/>
              </w:rPr>
              <w:t>汞</w:t>
            </w:r>
          </w:p>
        </w:tc>
        <w:tc>
          <w:tcPr>
            <w:tcW w:w="2290" w:type="dxa"/>
            <w:vMerge w:val="continue"/>
            <w:vAlign w:val="center"/>
          </w:tcPr>
          <w:p w14:paraId="5BFFDC9C">
            <w:pPr>
              <w:ind w:firstLine="480" w:firstLineChars="200"/>
              <w:rPr>
                <w:color w:val="auto"/>
                <w:sz w:val="24"/>
              </w:rPr>
            </w:pPr>
          </w:p>
        </w:tc>
        <w:tc>
          <w:tcPr>
            <w:tcW w:w="2477" w:type="dxa"/>
            <w:vMerge w:val="continue"/>
            <w:vAlign w:val="center"/>
          </w:tcPr>
          <w:p w14:paraId="6449A5E6">
            <w:pPr>
              <w:ind w:firstLine="480" w:firstLineChars="200"/>
              <w:rPr>
                <w:color w:val="auto"/>
                <w:sz w:val="24"/>
              </w:rPr>
            </w:pPr>
          </w:p>
        </w:tc>
      </w:tr>
      <w:tr w14:paraId="407E8A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1678" w:type="dxa"/>
            <w:vMerge w:val="continue"/>
            <w:vAlign w:val="center"/>
          </w:tcPr>
          <w:p w14:paraId="37CF48F1">
            <w:pPr>
              <w:adjustRightInd w:val="0"/>
              <w:snapToGrid w:val="0"/>
              <w:jc w:val="center"/>
              <w:rPr>
                <w:color w:val="auto"/>
                <w:sz w:val="24"/>
              </w:rPr>
            </w:pPr>
          </w:p>
        </w:tc>
        <w:tc>
          <w:tcPr>
            <w:tcW w:w="1687" w:type="dxa"/>
            <w:vAlign w:val="center"/>
          </w:tcPr>
          <w:p w14:paraId="6C7A0FAD">
            <w:pPr>
              <w:ind w:firstLine="480" w:firstLineChars="200"/>
              <w:rPr>
                <w:color w:val="auto"/>
                <w:sz w:val="24"/>
                <w:lang w:val="zh-CN"/>
              </w:rPr>
            </w:pPr>
            <w:r>
              <w:rPr>
                <w:color w:val="auto"/>
                <w:sz w:val="24"/>
              </w:rPr>
              <w:t>装卸、筛分、输送等过程（</w:t>
            </w:r>
            <w:r>
              <w:rPr>
                <w:rFonts w:hint="eastAsia"/>
                <w:color w:val="auto"/>
                <w:sz w:val="24"/>
              </w:rPr>
              <w:t>无</w:t>
            </w:r>
            <w:r>
              <w:rPr>
                <w:color w:val="auto"/>
                <w:sz w:val="24"/>
              </w:rPr>
              <w:t>组织）</w:t>
            </w:r>
          </w:p>
        </w:tc>
        <w:tc>
          <w:tcPr>
            <w:tcW w:w="1392" w:type="dxa"/>
            <w:vAlign w:val="center"/>
          </w:tcPr>
          <w:p w14:paraId="02B2629A">
            <w:pPr>
              <w:adjustRightInd w:val="0"/>
              <w:snapToGrid w:val="0"/>
              <w:jc w:val="center"/>
              <w:rPr>
                <w:color w:val="auto"/>
                <w:kern w:val="0"/>
                <w:sz w:val="24"/>
              </w:rPr>
            </w:pPr>
            <w:r>
              <w:rPr>
                <w:rFonts w:hint="eastAsia"/>
                <w:color w:val="auto"/>
                <w:kern w:val="0"/>
                <w:sz w:val="24"/>
              </w:rPr>
              <w:t>颗粒物</w:t>
            </w:r>
          </w:p>
        </w:tc>
        <w:tc>
          <w:tcPr>
            <w:tcW w:w="2290" w:type="dxa"/>
            <w:vAlign w:val="center"/>
          </w:tcPr>
          <w:p w14:paraId="0DD2461E">
            <w:pPr>
              <w:rPr>
                <w:color w:val="auto"/>
                <w:sz w:val="24"/>
              </w:rPr>
            </w:pPr>
            <w:r>
              <w:rPr>
                <w:color w:val="auto"/>
                <w:sz w:val="24"/>
              </w:rPr>
              <w:t>封闭传送带，</w:t>
            </w:r>
            <w:r>
              <w:rPr>
                <w:rFonts w:hint="eastAsia" w:cs="Times New Roman"/>
                <w:color w:val="auto"/>
                <w:spacing w:val="0"/>
                <w:sz w:val="24"/>
                <w:szCs w:val="24"/>
                <w:highlight w:val="none"/>
                <w:lang w:val="en-US" w:eastAsia="zh-CN"/>
              </w:rPr>
              <w:t>装卸区采取密闭装卸，</w:t>
            </w:r>
            <w:r>
              <w:rPr>
                <w:rFonts w:hint="eastAsia"/>
                <w:color w:val="auto"/>
                <w:sz w:val="24"/>
              </w:rPr>
              <w:t>采用封闭式清理筛。</w:t>
            </w:r>
          </w:p>
        </w:tc>
        <w:tc>
          <w:tcPr>
            <w:tcW w:w="2477" w:type="dxa"/>
            <w:vMerge w:val="restart"/>
            <w:vAlign w:val="center"/>
          </w:tcPr>
          <w:p w14:paraId="41CE2CFA">
            <w:pPr>
              <w:ind w:firstLine="480" w:firstLineChars="200"/>
              <w:rPr>
                <w:color w:val="auto"/>
                <w:sz w:val="24"/>
              </w:rPr>
            </w:pPr>
            <w:r>
              <w:rPr>
                <w:color w:val="auto"/>
                <w:sz w:val="24"/>
              </w:rPr>
              <w:t>《大气污染物综合排放标准》（GB16297-1996）表2中无组织排放浓度监控限值要求</w:t>
            </w:r>
          </w:p>
        </w:tc>
      </w:tr>
      <w:tr w14:paraId="4A21BF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678" w:type="dxa"/>
            <w:vMerge w:val="continue"/>
            <w:vAlign w:val="center"/>
          </w:tcPr>
          <w:p w14:paraId="6F65968D">
            <w:pPr>
              <w:adjustRightInd w:val="0"/>
              <w:snapToGrid w:val="0"/>
              <w:jc w:val="center"/>
              <w:rPr>
                <w:color w:val="auto"/>
                <w:sz w:val="24"/>
              </w:rPr>
            </w:pPr>
          </w:p>
        </w:tc>
        <w:tc>
          <w:tcPr>
            <w:tcW w:w="1687" w:type="dxa"/>
            <w:vAlign w:val="center"/>
          </w:tcPr>
          <w:p w14:paraId="4EE6DB75">
            <w:pPr>
              <w:jc w:val="center"/>
              <w:rPr>
                <w:color w:val="auto"/>
                <w:sz w:val="24"/>
              </w:rPr>
            </w:pPr>
            <w:r>
              <w:rPr>
                <w:rFonts w:hint="eastAsia"/>
                <w:color w:val="auto"/>
                <w:sz w:val="24"/>
              </w:rPr>
              <w:t>烘干塔</w:t>
            </w:r>
          </w:p>
          <w:p w14:paraId="12520D82">
            <w:pPr>
              <w:jc w:val="center"/>
              <w:rPr>
                <w:color w:val="auto"/>
                <w:szCs w:val="21"/>
              </w:rPr>
            </w:pPr>
            <w:r>
              <w:rPr>
                <w:color w:val="auto"/>
                <w:sz w:val="24"/>
              </w:rPr>
              <w:t>（</w:t>
            </w:r>
            <w:r>
              <w:rPr>
                <w:rFonts w:hint="eastAsia"/>
                <w:color w:val="auto"/>
                <w:sz w:val="24"/>
              </w:rPr>
              <w:t>无</w:t>
            </w:r>
            <w:r>
              <w:rPr>
                <w:color w:val="auto"/>
                <w:sz w:val="24"/>
              </w:rPr>
              <w:t>组织）</w:t>
            </w:r>
          </w:p>
        </w:tc>
        <w:tc>
          <w:tcPr>
            <w:tcW w:w="1392" w:type="dxa"/>
            <w:vAlign w:val="center"/>
          </w:tcPr>
          <w:p w14:paraId="20C1A454">
            <w:pPr>
              <w:adjustRightInd w:val="0"/>
              <w:snapToGrid w:val="0"/>
              <w:jc w:val="center"/>
              <w:rPr>
                <w:color w:val="auto"/>
                <w:kern w:val="0"/>
                <w:sz w:val="24"/>
              </w:rPr>
            </w:pPr>
            <w:r>
              <w:rPr>
                <w:rFonts w:hint="eastAsia"/>
                <w:color w:val="auto"/>
                <w:kern w:val="0"/>
                <w:sz w:val="24"/>
              </w:rPr>
              <w:t>颗粒物</w:t>
            </w:r>
          </w:p>
        </w:tc>
        <w:tc>
          <w:tcPr>
            <w:tcW w:w="2290" w:type="dxa"/>
            <w:vAlign w:val="center"/>
          </w:tcPr>
          <w:p w14:paraId="4B1758BA">
            <w:pPr>
              <w:rPr>
                <w:rFonts w:hint="eastAsia" w:eastAsia="宋体"/>
                <w:color w:val="auto"/>
                <w:sz w:val="24"/>
                <w:lang w:eastAsia="zh-CN"/>
              </w:rPr>
            </w:pPr>
            <w:r>
              <w:rPr>
                <w:color w:val="auto"/>
                <w:sz w:val="24"/>
              </w:rPr>
              <w:t>烘干塔体</w:t>
            </w:r>
            <w:r>
              <w:rPr>
                <w:rFonts w:hint="eastAsia"/>
                <w:color w:val="auto"/>
                <w:sz w:val="24"/>
                <w:lang w:eastAsia="zh-CN"/>
              </w:rPr>
              <w:t>设置彩钢罩、塔底设置围挡</w:t>
            </w:r>
          </w:p>
        </w:tc>
        <w:tc>
          <w:tcPr>
            <w:tcW w:w="2477" w:type="dxa"/>
            <w:vMerge w:val="continue"/>
            <w:vAlign w:val="center"/>
          </w:tcPr>
          <w:p w14:paraId="53A6DF5E">
            <w:pPr>
              <w:spacing w:line="360" w:lineRule="auto"/>
              <w:ind w:firstLine="480" w:firstLineChars="200"/>
              <w:rPr>
                <w:color w:val="auto"/>
                <w:sz w:val="24"/>
              </w:rPr>
            </w:pPr>
          </w:p>
        </w:tc>
      </w:tr>
      <w:tr w14:paraId="7580B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78" w:type="dxa"/>
            <w:vAlign w:val="center"/>
          </w:tcPr>
          <w:p w14:paraId="30CDA0E5">
            <w:pPr>
              <w:adjustRightInd w:val="0"/>
              <w:snapToGrid w:val="0"/>
              <w:jc w:val="center"/>
              <w:rPr>
                <w:color w:val="auto"/>
                <w:sz w:val="24"/>
              </w:rPr>
            </w:pPr>
            <w:r>
              <w:rPr>
                <w:color w:val="auto"/>
                <w:sz w:val="24"/>
              </w:rPr>
              <w:t>地表水环境</w:t>
            </w:r>
          </w:p>
        </w:tc>
        <w:tc>
          <w:tcPr>
            <w:tcW w:w="1687" w:type="dxa"/>
            <w:vAlign w:val="center"/>
          </w:tcPr>
          <w:p w14:paraId="21366434">
            <w:pPr>
              <w:adjustRightInd w:val="0"/>
              <w:snapToGrid w:val="0"/>
              <w:jc w:val="center"/>
              <w:rPr>
                <w:color w:val="auto"/>
                <w:sz w:val="24"/>
              </w:rPr>
            </w:pPr>
            <w:r>
              <w:rPr>
                <w:color w:val="auto"/>
                <w:sz w:val="24"/>
              </w:rPr>
              <w:t>生活污水</w:t>
            </w:r>
          </w:p>
        </w:tc>
        <w:tc>
          <w:tcPr>
            <w:tcW w:w="1392" w:type="dxa"/>
            <w:vAlign w:val="center"/>
          </w:tcPr>
          <w:p w14:paraId="3CB3B82E">
            <w:pPr>
              <w:adjustRightInd w:val="0"/>
              <w:snapToGrid w:val="0"/>
              <w:jc w:val="center"/>
              <w:rPr>
                <w:color w:val="auto"/>
                <w:sz w:val="24"/>
              </w:rPr>
            </w:pPr>
            <w:r>
              <w:rPr>
                <w:color w:val="auto"/>
                <w:sz w:val="24"/>
              </w:rPr>
              <w:t>COD</w:t>
            </w:r>
          </w:p>
          <w:p w14:paraId="4E9D184C">
            <w:pPr>
              <w:adjustRightInd w:val="0"/>
              <w:snapToGrid w:val="0"/>
              <w:jc w:val="center"/>
              <w:rPr>
                <w:color w:val="auto"/>
                <w:sz w:val="24"/>
              </w:rPr>
            </w:pPr>
            <w:r>
              <w:rPr>
                <w:color w:val="auto"/>
                <w:sz w:val="24"/>
              </w:rPr>
              <w:t>SS</w:t>
            </w:r>
          </w:p>
          <w:p w14:paraId="7F8EB65F">
            <w:pPr>
              <w:adjustRightInd w:val="0"/>
              <w:snapToGrid w:val="0"/>
              <w:jc w:val="center"/>
              <w:rPr>
                <w:color w:val="auto"/>
                <w:sz w:val="24"/>
              </w:rPr>
            </w:pPr>
            <w:r>
              <w:rPr>
                <w:color w:val="auto"/>
                <w:sz w:val="24"/>
              </w:rPr>
              <w:t>氨氮</w:t>
            </w:r>
          </w:p>
          <w:p w14:paraId="3820301C">
            <w:pPr>
              <w:adjustRightInd w:val="0"/>
              <w:snapToGrid w:val="0"/>
              <w:jc w:val="center"/>
              <w:rPr>
                <w:color w:val="auto"/>
                <w:sz w:val="24"/>
              </w:rPr>
            </w:pPr>
            <w:r>
              <w:rPr>
                <w:color w:val="auto"/>
                <w:sz w:val="24"/>
              </w:rPr>
              <w:t>BOD</w:t>
            </w:r>
            <w:r>
              <w:rPr>
                <w:color w:val="auto"/>
                <w:sz w:val="24"/>
                <w:vertAlign w:val="subscript"/>
              </w:rPr>
              <w:t>5</w:t>
            </w:r>
          </w:p>
        </w:tc>
        <w:tc>
          <w:tcPr>
            <w:tcW w:w="2290" w:type="dxa"/>
            <w:vAlign w:val="center"/>
          </w:tcPr>
          <w:p w14:paraId="15B81B84">
            <w:pPr>
              <w:adjustRightInd w:val="0"/>
              <w:snapToGrid w:val="0"/>
              <w:jc w:val="center"/>
              <w:rPr>
                <w:color w:val="auto"/>
                <w:sz w:val="24"/>
              </w:rPr>
            </w:pPr>
            <w:r>
              <w:rPr>
                <w:color w:val="auto"/>
                <w:sz w:val="24"/>
              </w:rPr>
              <w:t>生活污水排入防渗旱厕，定期清掏，外运堆肥，不外排。</w:t>
            </w:r>
          </w:p>
        </w:tc>
        <w:tc>
          <w:tcPr>
            <w:tcW w:w="2477" w:type="dxa"/>
            <w:vAlign w:val="center"/>
          </w:tcPr>
          <w:p w14:paraId="572B349B">
            <w:pPr>
              <w:adjustRightInd w:val="0"/>
              <w:snapToGrid w:val="0"/>
              <w:jc w:val="center"/>
              <w:rPr>
                <w:color w:val="auto"/>
                <w:sz w:val="24"/>
              </w:rPr>
            </w:pPr>
            <w:r>
              <w:rPr>
                <w:rFonts w:hint="eastAsia"/>
                <w:color w:val="auto"/>
                <w:sz w:val="24"/>
              </w:rPr>
              <w:t>/</w:t>
            </w:r>
          </w:p>
        </w:tc>
      </w:tr>
      <w:tr w14:paraId="02015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1678" w:type="dxa"/>
            <w:vAlign w:val="center"/>
          </w:tcPr>
          <w:p w14:paraId="732D3454">
            <w:pPr>
              <w:adjustRightInd w:val="0"/>
              <w:snapToGrid w:val="0"/>
              <w:jc w:val="center"/>
              <w:rPr>
                <w:color w:val="auto"/>
                <w:sz w:val="24"/>
              </w:rPr>
            </w:pPr>
            <w:r>
              <w:rPr>
                <w:color w:val="auto"/>
                <w:sz w:val="24"/>
              </w:rPr>
              <w:t>声环境</w:t>
            </w:r>
          </w:p>
        </w:tc>
        <w:tc>
          <w:tcPr>
            <w:tcW w:w="1687" w:type="dxa"/>
            <w:vAlign w:val="center"/>
          </w:tcPr>
          <w:p w14:paraId="61207667">
            <w:pPr>
              <w:pStyle w:val="66"/>
              <w:rPr>
                <w:color w:val="auto"/>
                <w:kern w:val="2"/>
                <w:sz w:val="24"/>
                <w:szCs w:val="24"/>
              </w:rPr>
            </w:pPr>
            <w:r>
              <w:rPr>
                <w:color w:val="auto"/>
                <w:kern w:val="2"/>
                <w:sz w:val="24"/>
                <w:szCs w:val="24"/>
              </w:rPr>
              <w:t>生产设备</w:t>
            </w:r>
          </w:p>
        </w:tc>
        <w:tc>
          <w:tcPr>
            <w:tcW w:w="1392" w:type="dxa"/>
            <w:vAlign w:val="center"/>
          </w:tcPr>
          <w:p w14:paraId="35E44CF2">
            <w:pPr>
              <w:pStyle w:val="66"/>
              <w:rPr>
                <w:color w:val="auto"/>
                <w:kern w:val="2"/>
                <w:sz w:val="24"/>
                <w:szCs w:val="24"/>
              </w:rPr>
            </w:pPr>
            <w:r>
              <w:rPr>
                <w:color w:val="auto"/>
                <w:kern w:val="2"/>
                <w:sz w:val="24"/>
                <w:szCs w:val="24"/>
              </w:rPr>
              <w:t>噪声</w:t>
            </w:r>
          </w:p>
        </w:tc>
        <w:tc>
          <w:tcPr>
            <w:tcW w:w="2290" w:type="dxa"/>
            <w:vAlign w:val="center"/>
          </w:tcPr>
          <w:p w14:paraId="4E2E3522">
            <w:pPr>
              <w:pStyle w:val="66"/>
              <w:jc w:val="both"/>
              <w:rPr>
                <w:color w:val="auto"/>
                <w:kern w:val="2"/>
                <w:sz w:val="24"/>
                <w:szCs w:val="24"/>
              </w:rPr>
            </w:pPr>
            <w:r>
              <w:rPr>
                <w:color w:val="auto"/>
                <w:kern w:val="2"/>
                <w:sz w:val="24"/>
                <w:szCs w:val="24"/>
              </w:rPr>
              <w:t>选用低噪声设备、设备底座安装减震垫、车间内加装隔声材料、设备合理布局等措施</w:t>
            </w:r>
          </w:p>
        </w:tc>
        <w:tc>
          <w:tcPr>
            <w:tcW w:w="2477" w:type="dxa"/>
            <w:vAlign w:val="center"/>
          </w:tcPr>
          <w:p w14:paraId="3E2374AC">
            <w:pPr>
              <w:adjustRightInd w:val="0"/>
              <w:snapToGrid w:val="0"/>
              <w:rPr>
                <w:color w:val="auto"/>
                <w:sz w:val="24"/>
              </w:rPr>
            </w:pPr>
            <w:r>
              <w:rPr>
                <w:color w:val="auto"/>
                <w:sz w:val="24"/>
                <w:highlight w:val="none"/>
              </w:rPr>
              <w:t>厂界满足《工业企业厂界环境噪声排放标准》（GB12348-2008）表1中</w:t>
            </w:r>
            <w:r>
              <w:rPr>
                <w:rFonts w:hint="eastAsia"/>
                <w:color w:val="auto"/>
                <w:sz w:val="24"/>
                <w:highlight w:val="none"/>
                <w:lang w:val="en-US" w:eastAsia="zh-CN"/>
              </w:rPr>
              <w:t>1</w:t>
            </w:r>
            <w:r>
              <w:rPr>
                <w:color w:val="auto"/>
                <w:sz w:val="24"/>
                <w:highlight w:val="none"/>
              </w:rPr>
              <w:t>类</w:t>
            </w:r>
            <w:r>
              <w:rPr>
                <w:rFonts w:hint="eastAsia"/>
                <w:color w:val="auto"/>
                <w:sz w:val="24"/>
                <w:highlight w:val="none"/>
                <w:lang w:eastAsia="zh-CN"/>
              </w:rPr>
              <w:t>和</w:t>
            </w:r>
            <w:r>
              <w:rPr>
                <w:rFonts w:hint="eastAsia"/>
                <w:color w:val="auto"/>
                <w:sz w:val="24"/>
                <w:highlight w:val="none"/>
                <w:lang w:val="en-US" w:eastAsia="zh-CN"/>
              </w:rPr>
              <w:t>4类</w:t>
            </w:r>
            <w:r>
              <w:rPr>
                <w:color w:val="auto"/>
                <w:sz w:val="24"/>
                <w:highlight w:val="none"/>
              </w:rPr>
              <w:t>标准的要求</w:t>
            </w:r>
          </w:p>
        </w:tc>
      </w:tr>
      <w:tr w14:paraId="3A4040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0" w:hRule="atLeast"/>
          <w:jc w:val="center"/>
        </w:trPr>
        <w:tc>
          <w:tcPr>
            <w:tcW w:w="1678" w:type="dxa"/>
            <w:vAlign w:val="center"/>
          </w:tcPr>
          <w:p w14:paraId="6B6A2C75">
            <w:pPr>
              <w:adjustRightInd w:val="0"/>
              <w:spacing w:line="360" w:lineRule="auto"/>
              <w:jc w:val="center"/>
              <w:rPr>
                <w:color w:val="auto"/>
                <w:sz w:val="24"/>
                <w:highlight w:val="none"/>
              </w:rPr>
            </w:pPr>
            <w:r>
              <w:rPr>
                <w:color w:val="auto"/>
                <w:sz w:val="24"/>
                <w:highlight w:val="none"/>
              </w:rPr>
              <w:t>固体废物</w:t>
            </w:r>
          </w:p>
        </w:tc>
        <w:tc>
          <w:tcPr>
            <w:tcW w:w="7846" w:type="dxa"/>
            <w:gridSpan w:val="4"/>
            <w:vAlign w:val="center"/>
          </w:tcPr>
          <w:p w14:paraId="7E71E13A">
            <w:pPr>
              <w:ind w:firstLine="480" w:firstLineChars="200"/>
              <w:rPr>
                <w:color w:val="auto"/>
                <w:sz w:val="24"/>
                <w:highlight w:val="none"/>
              </w:rPr>
            </w:pPr>
            <w:r>
              <w:rPr>
                <w:rFonts w:hint="eastAsia" w:ascii="Times New Roman" w:hAnsi="Times New Roman" w:eastAsia="宋体" w:cs="Times New Roman"/>
                <w:color w:val="auto"/>
                <w:kern w:val="2"/>
                <w:sz w:val="24"/>
                <w:szCs w:val="24"/>
                <w:lang w:val="en-US" w:eastAsia="zh-CN" w:bidi="ar-SA"/>
              </w:rPr>
              <w:t>项目生活垃圾由市政部门统一进行处置；清理筛及烘干塔</w:t>
            </w:r>
            <w:r>
              <w:rPr>
                <w:rFonts w:hint="eastAsia" w:cs="Times New Roman"/>
                <w:color w:val="auto"/>
                <w:kern w:val="2"/>
                <w:sz w:val="24"/>
                <w:szCs w:val="24"/>
                <w:lang w:val="en-US" w:eastAsia="zh-CN" w:bidi="ar-SA"/>
              </w:rPr>
              <w:t>围挡</w:t>
            </w:r>
            <w:r>
              <w:rPr>
                <w:rFonts w:ascii="Times New Roman" w:hAnsi="Times New Roman" w:eastAsia="宋体" w:cs="Times New Roman"/>
                <w:color w:val="auto"/>
                <w:kern w:val="2"/>
                <w:sz w:val="24"/>
                <w:szCs w:val="24"/>
                <w:lang w:val="en-US" w:eastAsia="zh-CN" w:bidi="ar-SA"/>
              </w:rPr>
              <w:t>收尘</w:t>
            </w:r>
            <w:r>
              <w:rPr>
                <w:rFonts w:hint="eastAsia" w:ascii="Times New Roman" w:hAnsi="Times New Roman" w:eastAsia="宋体" w:cs="Times New Roman"/>
                <w:color w:val="auto"/>
                <w:kern w:val="2"/>
                <w:sz w:val="24"/>
                <w:szCs w:val="24"/>
                <w:lang w:val="en-US" w:eastAsia="zh-CN" w:bidi="ar-SA"/>
              </w:rPr>
              <w:t>定期清理装袋与筛选杂质一起外售综合利用</w:t>
            </w:r>
            <w:r>
              <w:rPr>
                <w:rFonts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热风炉产生的炉渣、布袋除尘器收集的粉尘、废布袋集中收集外售，综合利用。</w:t>
            </w:r>
            <w:r>
              <w:rPr>
                <w:rFonts w:hint="eastAsia" w:ascii="Times New Roman" w:hAnsi="Times New Roman" w:eastAsia="宋体" w:cs="Times New Roman"/>
                <w:color w:val="auto"/>
                <w:kern w:val="2"/>
                <w:sz w:val="24"/>
                <w:szCs w:val="24"/>
                <w:highlight w:val="none"/>
                <w:lang w:val="en-US" w:eastAsia="zh-CN" w:bidi="ar-SA"/>
              </w:rPr>
              <w:t>废矿物油、及废矿物油桶收集后存储于危废贮存库内，委托有资质的单位进行清运处置。</w:t>
            </w:r>
          </w:p>
        </w:tc>
      </w:tr>
      <w:tr w14:paraId="4BC53E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1678" w:type="dxa"/>
            <w:vAlign w:val="center"/>
          </w:tcPr>
          <w:p w14:paraId="28DF6545">
            <w:pPr>
              <w:adjustRightInd w:val="0"/>
              <w:snapToGrid w:val="0"/>
              <w:jc w:val="center"/>
              <w:rPr>
                <w:color w:val="auto"/>
                <w:sz w:val="24"/>
              </w:rPr>
            </w:pPr>
            <w:r>
              <w:rPr>
                <w:color w:val="auto"/>
                <w:sz w:val="24"/>
              </w:rPr>
              <w:t>土壤及地下水污染防治措施</w:t>
            </w:r>
          </w:p>
        </w:tc>
        <w:tc>
          <w:tcPr>
            <w:tcW w:w="7846" w:type="dxa"/>
            <w:gridSpan w:val="4"/>
            <w:vAlign w:val="center"/>
          </w:tcPr>
          <w:p w14:paraId="44D469E8">
            <w:pPr>
              <w:adjustRightInd w:val="0"/>
              <w:snapToGrid w:val="0"/>
              <w:jc w:val="center"/>
              <w:rPr>
                <w:color w:val="auto"/>
                <w:sz w:val="24"/>
              </w:rPr>
            </w:pPr>
            <w:r>
              <w:rPr>
                <w:color w:val="auto"/>
                <w:sz w:val="24"/>
              </w:rPr>
              <w:t>/</w:t>
            </w:r>
          </w:p>
        </w:tc>
      </w:tr>
      <w:tr w14:paraId="56677C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678" w:type="dxa"/>
            <w:vAlign w:val="center"/>
          </w:tcPr>
          <w:p w14:paraId="57E1F56C">
            <w:pPr>
              <w:adjustRightInd w:val="0"/>
              <w:snapToGrid w:val="0"/>
              <w:jc w:val="center"/>
              <w:rPr>
                <w:color w:val="auto"/>
                <w:sz w:val="24"/>
              </w:rPr>
            </w:pPr>
            <w:r>
              <w:rPr>
                <w:color w:val="auto"/>
                <w:sz w:val="24"/>
              </w:rPr>
              <w:t>生态保护措施</w:t>
            </w:r>
          </w:p>
        </w:tc>
        <w:tc>
          <w:tcPr>
            <w:tcW w:w="7846" w:type="dxa"/>
            <w:gridSpan w:val="4"/>
            <w:vAlign w:val="center"/>
          </w:tcPr>
          <w:p w14:paraId="5CDF0A5A">
            <w:pPr>
              <w:adjustRightInd w:val="0"/>
              <w:snapToGrid w:val="0"/>
              <w:jc w:val="center"/>
              <w:rPr>
                <w:color w:val="auto"/>
                <w:sz w:val="24"/>
              </w:rPr>
            </w:pPr>
            <w:r>
              <w:rPr>
                <w:color w:val="auto"/>
                <w:sz w:val="24"/>
              </w:rPr>
              <w:t>/</w:t>
            </w:r>
          </w:p>
        </w:tc>
      </w:tr>
      <w:tr w14:paraId="2101B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678" w:type="dxa"/>
            <w:vAlign w:val="center"/>
          </w:tcPr>
          <w:p w14:paraId="0F97792D">
            <w:pPr>
              <w:adjustRightInd w:val="0"/>
              <w:snapToGrid w:val="0"/>
              <w:jc w:val="center"/>
              <w:rPr>
                <w:color w:val="auto"/>
                <w:sz w:val="24"/>
              </w:rPr>
            </w:pPr>
            <w:r>
              <w:rPr>
                <w:color w:val="auto"/>
                <w:sz w:val="24"/>
              </w:rPr>
              <w:t>环境风险</w:t>
            </w:r>
          </w:p>
          <w:p w14:paraId="5DE3041B">
            <w:pPr>
              <w:adjustRightInd w:val="0"/>
              <w:snapToGrid w:val="0"/>
              <w:jc w:val="center"/>
              <w:rPr>
                <w:color w:val="auto"/>
                <w:sz w:val="24"/>
              </w:rPr>
            </w:pPr>
            <w:r>
              <w:rPr>
                <w:color w:val="auto"/>
                <w:sz w:val="24"/>
              </w:rPr>
              <w:t>防范措施</w:t>
            </w:r>
          </w:p>
        </w:tc>
        <w:tc>
          <w:tcPr>
            <w:tcW w:w="7846" w:type="dxa"/>
            <w:gridSpan w:val="4"/>
            <w:vAlign w:val="center"/>
          </w:tcPr>
          <w:p w14:paraId="4A5B2FA0">
            <w:pPr>
              <w:adjustRightInd w:val="0"/>
              <w:snapToGrid w:val="0"/>
              <w:jc w:val="center"/>
              <w:rPr>
                <w:color w:val="auto"/>
                <w:sz w:val="24"/>
              </w:rPr>
            </w:pPr>
            <w:r>
              <w:rPr>
                <w:color w:val="auto"/>
                <w:sz w:val="24"/>
              </w:rPr>
              <w:t>/</w:t>
            </w:r>
          </w:p>
        </w:tc>
      </w:tr>
      <w:tr w14:paraId="08AF72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1678" w:type="dxa"/>
            <w:vAlign w:val="center"/>
          </w:tcPr>
          <w:p w14:paraId="7ED7E407">
            <w:pPr>
              <w:adjustRightInd w:val="0"/>
              <w:snapToGrid w:val="0"/>
              <w:jc w:val="center"/>
              <w:rPr>
                <w:color w:val="auto"/>
                <w:spacing w:val="-8"/>
                <w:sz w:val="24"/>
              </w:rPr>
            </w:pPr>
            <w:r>
              <w:rPr>
                <w:color w:val="auto"/>
                <w:spacing w:val="-8"/>
                <w:sz w:val="24"/>
              </w:rPr>
              <w:t>其他环境</w:t>
            </w:r>
          </w:p>
          <w:p w14:paraId="70FB59F8">
            <w:pPr>
              <w:adjustRightInd w:val="0"/>
              <w:snapToGrid w:val="0"/>
              <w:jc w:val="center"/>
              <w:rPr>
                <w:color w:val="auto"/>
                <w:spacing w:val="-8"/>
                <w:sz w:val="24"/>
              </w:rPr>
            </w:pPr>
            <w:r>
              <w:rPr>
                <w:color w:val="auto"/>
                <w:spacing w:val="-8"/>
                <w:sz w:val="24"/>
              </w:rPr>
              <w:t>管理要求</w:t>
            </w:r>
          </w:p>
        </w:tc>
        <w:tc>
          <w:tcPr>
            <w:tcW w:w="7846" w:type="dxa"/>
            <w:gridSpan w:val="4"/>
            <w:vAlign w:val="center"/>
          </w:tcPr>
          <w:p w14:paraId="0618BBCF">
            <w:pPr>
              <w:adjustRightInd w:val="0"/>
              <w:snapToGrid w:val="0"/>
              <w:ind w:firstLine="480" w:firstLineChars="200"/>
              <w:rPr>
                <w:color w:val="auto"/>
                <w:sz w:val="24"/>
              </w:rPr>
            </w:pPr>
            <w:r>
              <w:rPr>
                <w:color w:val="auto"/>
                <w:sz w:val="24"/>
              </w:rPr>
              <w:t>在本项目实施时严格执行“三同时”制度，保证项目运营时</w:t>
            </w:r>
            <w:r>
              <w:rPr>
                <w:rFonts w:hint="eastAsia"/>
                <w:color w:val="auto"/>
                <w:sz w:val="24"/>
              </w:rPr>
              <w:t>各污染物</w:t>
            </w:r>
            <w:r>
              <w:rPr>
                <w:color w:val="auto"/>
                <w:sz w:val="24"/>
              </w:rPr>
              <w:t>均能得到有效处理后达标排放。应加强对设备运行状况的检查，特别是环保设施要做到定期检查，制定检查方案与实施计划，严防出故障</w:t>
            </w:r>
            <w:r>
              <w:rPr>
                <w:rFonts w:hint="eastAsia"/>
                <w:color w:val="auto"/>
                <w:sz w:val="24"/>
              </w:rPr>
              <w:t>。</w:t>
            </w:r>
            <w:r>
              <w:rPr>
                <w:color w:val="auto"/>
                <w:sz w:val="24"/>
              </w:rPr>
              <w:t>按照相关要求，对排污口进行规范化管理，在正确的排放点位设置标识，以便进行自行验收和规范化管理。</w:t>
            </w:r>
          </w:p>
        </w:tc>
      </w:tr>
    </w:tbl>
    <w:p w14:paraId="14C23DB1">
      <w:pPr>
        <w:pStyle w:val="26"/>
        <w:jc w:val="center"/>
        <w:outlineLvl w:val="9"/>
        <w:rPr>
          <w:rFonts w:ascii="Times New Roman" w:hAnsi="Times New Roman"/>
          <w:snapToGrid w:val="0"/>
          <w:color w:val="auto"/>
          <w:sz w:val="30"/>
          <w:szCs w:val="30"/>
        </w:rPr>
        <w:sectPr>
          <w:footerReference r:id="rId9" w:type="default"/>
          <w:pgSz w:w="11906" w:h="16838"/>
          <w:pgMar w:top="1247" w:right="1531" w:bottom="1361" w:left="1531" w:header="851" w:footer="851" w:gutter="0"/>
          <w:pgNumType w:fmt="decimal"/>
          <w:cols w:space="720" w:num="1"/>
          <w:docGrid w:linePitch="312" w:charSpace="0"/>
        </w:sectPr>
      </w:pPr>
    </w:p>
    <w:p w14:paraId="04578EB0">
      <w:pPr>
        <w:pStyle w:val="26"/>
        <w:jc w:val="center"/>
        <w:outlineLvl w:val="0"/>
        <w:rPr>
          <w:rFonts w:ascii="Times New Roman" w:hAnsi="Times New Roman"/>
          <w:b/>
          <w:bCs/>
          <w:snapToGrid w:val="0"/>
          <w:color w:val="auto"/>
          <w:sz w:val="30"/>
          <w:szCs w:val="30"/>
        </w:rPr>
      </w:pPr>
      <w:bookmarkStart w:id="15" w:name="_Toc26335"/>
      <w:r>
        <w:rPr>
          <w:rFonts w:ascii="Times New Roman" w:hAnsi="Times New Roman"/>
          <w:b/>
          <w:bCs/>
          <w:snapToGrid w:val="0"/>
          <w:color w:val="auto"/>
          <w:sz w:val="30"/>
          <w:szCs w:val="30"/>
        </w:rPr>
        <w:t>六、结论</w:t>
      </w:r>
      <w:bookmarkEnd w:id="15"/>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8707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39" w:hRule="atLeast"/>
          <w:jc w:val="center"/>
        </w:trPr>
        <w:tc>
          <w:tcPr>
            <w:tcW w:w="8865" w:type="dxa"/>
          </w:tcPr>
          <w:p w14:paraId="6465CAF2">
            <w:pPr>
              <w:spacing w:line="360" w:lineRule="auto"/>
              <w:ind w:firstLine="480"/>
              <w:rPr>
                <w:color w:val="auto"/>
                <w:sz w:val="24"/>
              </w:rPr>
            </w:pPr>
            <w:r>
              <w:rPr>
                <w:color w:val="auto"/>
                <w:sz w:val="24"/>
              </w:rPr>
              <w:t>通过本项目所在地环境现状调查、污染源分析、环境影响分析可知，本项目选址合理，项目符合国家产业政策及相关规划要求，同时符合国家环境保护相关政策法规要求，项目运行期产生的废水、废气、噪声、固废等采取有效措施后，均能满足国家相关排放标准的要求，企业在生产过程中在充分落实本环评提出的各项污染防治对策前提下，认真做好</w:t>
            </w:r>
            <w:r>
              <w:rPr>
                <w:rFonts w:hint="eastAsia"/>
                <w:color w:val="auto"/>
                <w:sz w:val="24"/>
              </w:rPr>
              <w:t>“</w:t>
            </w:r>
            <w:r>
              <w:rPr>
                <w:color w:val="auto"/>
                <w:sz w:val="24"/>
              </w:rPr>
              <w:t>三同时</w:t>
            </w:r>
            <w:r>
              <w:rPr>
                <w:rFonts w:hint="eastAsia"/>
                <w:color w:val="auto"/>
                <w:sz w:val="24"/>
              </w:rPr>
              <w:t>”</w:t>
            </w:r>
            <w:r>
              <w:rPr>
                <w:color w:val="auto"/>
                <w:sz w:val="24"/>
              </w:rPr>
              <w:t>及日常环保管理工作，从环保角度出发，本项目建设可行。</w:t>
            </w:r>
          </w:p>
          <w:p w14:paraId="77F0AE86">
            <w:pPr>
              <w:spacing w:line="360" w:lineRule="auto"/>
              <w:ind w:firstLine="480"/>
              <w:rPr>
                <w:color w:val="auto"/>
                <w:sz w:val="24"/>
              </w:rPr>
            </w:pPr>
          </w:p>
        </w:tc>
      </w:tr>
    </w:tbl>
    <w:p w14:paraId="016C3335">
      <w:pPr>
        <w:rPr>
          <w:color w:val="auto"/>
        </w:rPr>
        <w:sectPr>
          <w:footerReference r:id="rId10" w:type="default"/>
          <w:pgSz w:w="11906" w:h="16838"/>
          <w:pgMar w:top="1247" w:right="1531" w:bottom="1361" w:left="1531" w:header="851" w:footer="851" w:gutter="0"/>
          <w:pgNumType w:fmt="decimal"/>
          <w:cols w:space="720" w:num="1"/>
          <w:docGrid w:linePitch="312" w:charSpace="0"/>
        </w:sectPr>
      </w:pPr>
    </w:p>
    <w:p w14:paraId="1A704CA3">
      <w:pPr>
        <w:pStyle w:val="26"/>
        <w:adjustRightInd w:val="0"/>
        <w:snapToGrid w:val="0"/>
        <w:spacing w:before="0" w:beforeAutospacing="0" w:after="0" w:afterAutospacing="0" w:line="360" w:lineRule="auto"/>
        <w:outlineLvl w:val="0"/>
        <w:rPr>
          <w:rFonts w:ascii="Times New Roman" w:hAnsi="Times New Roman"/>
          <w:b/>
          <w:bCs/>
          <w:snapToGrid w:val="0"/>
          <w:color w:val="auto"/>
          <w:sz w:val="32"/>
          <w:szCs w:val="32"/>
        </w:rPr>
      </w:pPr>
      <w:bookmarkStart w:id="16" w:name="_Toc10524"/>
      <w:r>
        <w:rPr>
          <w:rFonts w:ascii="Times New Roman" w:hAnsi="Times New Roman"/>
          <w:b/>
          <w:bCs/>
          <w:snapToGrid w:val="0"/>
          <w:color w:val="auto"/>
          <w:sz w:val="32"/>
          <w:szCs w:val="32"/>
        </w:rPr>
        <w:t>附表</w:t>
      </w:r>
      <w:bookmarkEnd w:id="16"/>
    </w:p>
    <w:p w14:paraId="7D127CB3">
      <w:pPr>
        <w:pStyle w:val="26"/>
        <w:adjustRightInd w:val="0"/>
        <w:snapToGrid w:val="0"/>
        <w:spacing w:before="0" w:beforeAutospacing="0" w:after="0" w:afterAutospacing="0"/>
        <w:jc w:val="center"/>
        <w:outlineLvl w:val="0"/>
        <w:rPr>
          <w:rFonts w:ascii="Times New Roman" w:hAnsi="Times New Roman"/>
          <w:b/>
          <w:bCs/>
          <w:snapToGrid w:val="0"/>
          <w:color w:val="auto"/>
          <w:sz w:val="38"/>
          <w:szCs w:val="38"/>
        </w:rPr>
      </w:pPr>
      <w:bookmarkStart w:id="17" w:name="_Toc32524"/>
      <w:r>
        <w:rPr>
          <w:rFonts w:ascii="Times New Roman" w:hAnsi="Times New Roman"/>
          <w:b/>
          <w:bCs/>
          <w:snapToGrid w:val="0"/>
          <w:color w:val="auto"/>
          <w:sz w:val="38"/>
          <w:szCs w:val="38"/>
        </w:rPr>
        <w:t>建设项目污染物排放量汇总表</w:t>
      </w:r>
      <w:bookmarkEnd w:id="17"/>
    </w:p>
    <w:tbl>
      <w:tblPr>
        <w:tblStyle w:val="3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21"/>
        <w:gridCol w:w="1701"/>
        <w:gridCol w:w="1324"/>
      </w:tblGrid>
      <w:tr w14:paraId="794CA3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2F714A32">
            <w:pPr>
              <w:pStyle w:val="54"/>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5A02EC0A">
            <w:pPr>
              <w:pStyle w:val="54"/>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417" w:type="dxa"/>
            <w:tcMar>
              <w:left w:w="28" w:type="dxa"/>
              <w:right w:w="28" w:type="dxa"/>
            </w:tcMar>
            <w:vAlign w:val="center"/>
          </w:tcPr>
          <w:p w14:paraId="15C72F5C">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tcMar>
              <w:left w:w="28" w:type="dxa"/>
              <w:right w:w="28" w:type="dxa"/>
            </w:tcMar>
            <w:vAlign w:val="center"/>
          </w:tcPr>
          <w:p w14:paraId="4BD32FAD">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225F1743">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①</w:t>
            </w:r>
            <w:r>
              <w:rPr>
                <w:rFonts w:ascii="Times New Roman"/>
                <w:snapToGrid w:val="0"/>
                <w:color w:val="auto"/>
                <w:spacing w:val="-6"/>
                <w:kern w:val="21"/>
                <w:szCs w:val="21"/>
              </w:rPr>
              <w:fldChar w:fldCharType="end"/>
            </w:r>
          </w:p>
        </w:tc>
        <w:tc>
          <w:tcPr>
            <w:tcW w:w="1276" w:type="dxa"/>
            <w:tcMar>
              <w:left w:w="28" w:type="dxa"/>
              <w:right w:w="28" w:type="dxa"/>
            </w:tcMar>
            <w:vAlign w:val="center"/>
          </w:tcPr>
          <w:p w14:paraId="4D5C08FF">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6B782F73">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19B440A5">
            <w:pPr>
              <w:pStyle w:val="54"/>
              <w:spacing w:beforeLines="0" w:afterLines="0"/>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hint="eastAsia" w:hAnsi="宋体" w:cs="宋体"/>
                <w:snapToGrid w:val="0"/>
                <w:color w:val="auto"/>
                <w:spacing w:val="-6"/>
                <w:kern w:val="21"/>
                <w:szCs w:val="21"/>
              </w:rPr>
              <w:t>②</w:t>
            </w:r>
            <w:r>
              <w:rPr>
                <w:rFonts w:ascii="Times New Roman"/>
                <w:snapToGrid w:val="0"/>
                <w:color w:val="auto"/>
                <w:spacing w:val="-6"/>
                <w:kern w:val="21"/>
                <w:szCs w:val="21"/>
              </w:rPr>
              <w:fldChar w:fldCharType="end"/>
            </w:r>
          </w:p>
        </w:tc>
        <w:tc>
          <w:tcPr>
            <w:tcW w:w="1701" w:type="dxa"/>
            <w:tcMar>
              <w:left w:w="28" w:type="dxa"/>
              <w:right w:w="28" w:type="dxa"/>
            </w:tcMar>
            <w:vAlign w:val="center"/>
          </w:tcPr>
          <w:p w14:paraId="03FBDA19">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28445DE2">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③</w:t>
            </w:r>
            <w:r>
              <w:rPr>
                <w:rFonts w:ascii="Times New Roman"/>
                <w:snapToGrid w:val="0"/>
                <w:color w:val="auto"/>
                <w:spacing w:val="-6"/>
                <w:kern w:val="21"/>
                <w:szCs w:val="21"/>
              </w:rPr>
              <w:fldChar w:fldCharType="end"/>
            </w:r>
          </w:p>
        </w:tc>
        <w:tc>
          <w:tcPr>
            <w:tcW w:w="1559" w:type="dxa"/>
            <w:tcMar>
              <w:left w:w="28" w:type="dxa"/>
              <w:right w:w="28" w:type="dxa"/>
            </w:tcMar>
            <w:vAlign w:val="center"/>
          </w:tcPr>
          <w:p w14:paraId="2D915494">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64598C49">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④</w:t>
            </w:r>
            <w:r>
              <w:rPr>
                <w:rFonts w:ascii="Times New Roman"/>
                <w:snapToGrid w:val="0"/>
                <w:color w:val="auto"/>
                <w:spacing w:val="-6"/>
                <w:kern w:val="21"/>
                <w:szCs w:val="21"/>
              </w:rPr>
              <w:fldChar w:fldCharType="end"/>
            </w:r>
          </w:p>
        </w:tc>
        <w:tc>
          <w:tcPr>
            <w:tcW w:w="1521" w:type="dxa"/>
            <w:tcMar>
              <w:left w:w="28" w:type="dxa"/>
              <w:right w:w="28" w:type="dxa"/>
            </w:tcMar>
            <w:vAlign w:val="center"/>
          </w:tcPr>
          <w:p w14:paraId="77576D7E">
            <w:pPr>
              <w:pStyle w:val="5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32F160C1">
            <w:pPr>
              <w:pStyle w:val="5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⑤</w:t>
            </w:r>
            <w:r>
              <w:rPr>
                <w:rFonts w:ascii="Times New Roman"/>
                <w:snapToGrid w:val="0"/>
                <w:color w:val="auto"/>
                <w:spacing w:val="-16"/>
                <w:kern w:val="21"/>
                <w:szCs w:val="21"/>
              </w:rPr>
              <w:fldChar w:fldCharType="end"/>
            </w:r>
          </w:p>
        </w:tc>
        <w:tc>
          <w:tcPr>
            <w:tcW w:w="1701" w:type="dxa"/>
            <w:tcMar>
              <w:left w:w="28" w:type="dxa"/>
              <w:right w:w="28" w:type="dxa"/>
            </w:tcMar>
            <w:vAlign w:val="center"/>
          </w:tcPr>
          <w:p w14:paraId="391643A2">
            <w:pPr>
              <w:pStyle w:val="5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1CB558C0">
            <w:pPr>
              <w:pStyle w:val="5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⑥</w:t>
            </w:r>
            <w:r>
              <w:rPr>
                <w:rFonts w:ascii="Times New Roman"/>
                <w:snapToGrid w:val="0"/>
                <w:color w:val="auto"/>
                <w:spacing w:val="-16"/>
                <w:kern w:val="21"/>
                <w:szCs w:val="21"/>
              </w:rPr>
              <w:fldChar w:fldCharType="end"/>
            </w:r>
          </w:p>
        </w:tc>
        <w:tc>
          <w:tcPr>
            <w:tcW w:w="1324" w:type="dxa"/>
            <w:tcMar>
              <w:left w:w="28" w:type="dxa"/>
              <w:right w:w="28" w:type="dxa"/>
            </w:tcMar>
            <w:vAlign w:val="center"/>
          </w:tcPr>
          <w:p w14:paraId="566CF4C5">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2EC9CB02">
            <w:pPr>
              <w:pStyle w:val="5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⑦</w:t>
            </w:r>
            <w:r>
              <w:rPr>
                <w:rFonts w:ascii="Times New Roman"/>
                <w:snapToGrid w:val="0"/>
                <w:color w:val="auto"/>
                <w:spacing w:val="-6"/>
                <w:kern w:val="21"/>
                <w:szCs w:val="21"/>
              </w:rPr>
              <w:fldChar w:fldCharType="end"/>
            </w:r>
          </w:p>
        </w:tc>
      </w:tr>
      <w:tr w14:paraId="46C5B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restart"/>
            <w:vAlign w:val="center"/>
          </w:tcPr>
          <w:p w14:paraId="0348EF23">
            <w:pPr>
              <w:pStyle w:val="54"/>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vAlign w:val="center"/>
          </w:tcPr>
          <w:p w14:paraId="4C2E0D1D">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rPr>
              <w:t>颗粒物</w:t>
            </w:r>
          </w:p>
        </w:tc>
        <w:tc>
          <w:tcPr>
            <w:tcW w:w="1701" w:type="dxa"/>
            <w:vAlign w:val="center"/>
          </w:tcPr>
          <w:p w14:paraId="27415D35">
            <w:pPr>
              <w:pStyle w:val="87"/>
              <w:rPr>
                <w:rFonts w:ascii="Times New Roman"/>
                <w:snapToGrid w:val="0"/>
                <w:color w:val="auto"/>
                <w:kern w:val="21"/>
                <w:sz w:val="21"/>
                <w:szCs w:val="21"/>
              </w:rPr>
            </w:pPr>
            <w:r>
              <w:rPr>
                <w:rFonts w:hint="eastAsia"/>
                <w:color w:val="auto"/>
                <w:sz w:val="21"/>
                <w:szCs w:val="21"/>
                <w:lang w:val="en-US" w:eastAsia="zh-CN"/>
              </w:rPr>
              <w:t>0.367</w:t>
            </w:r>
            <w:r>
              <w:rPr>
                <w:rFonts w:hint="eastAsia" w:ascii="Times New Roman"/>
                <w:snapToGrid w:val="0"/>
                <w:color w:val="auto"/>
                <w:kern w:val="21"/>
                <w:sz w:val="21"/>
                <w:szCs w:val="21"/>
                <w:lang w:val="en-US" w:eastAsia="zh-CN"/>
              </w:rPr>
              <w:t>t/a</w:t>
            </w:r>
          </w:p>
        </w:tc>
        <w:tc>
          <w:tcPr>
            <w:tcW w:w="1276" w:type="dxa"/>
            <w:vAlign w:val="center"/>
          </w:tcPr>
          <w:p w14:paraId="25102DBC">
            <w:pPr>
              <w:pStyle w:val="87"/>
              <w:rPr>
                <w:rFonts w:ascii="Times New Roman"/>
                <w:snapToGrid w:val="0"/>
                <w:color w:val="auto"/>
                <w:kern w:val="21"/>
                <w:sz w:val="21"/>
                <w:szCs w:val="21"/>
              </w:rPr>
            </w:pPr>
            <w:r>
              <w:rPr>
                <w:rFonts w:hint="eastAsia"/>
                <w:color w:val="auto"/>
                <w:sz w:val="21"/>
                <w:szCs w:val="21"/>
                <w:lang w:val="en-US" w:eastAsia="zh-CN"/>
              </w:rPr>
              <w:t>0.438</w:t>
            </w:r>
            <w:r>
              <w:rPr>
                <w:rFonts w:hint="eastAsia" w:ascii="Times New Roman"/>
                <w:snapToGrid w:val="0"/>
                <w:color w:val="auto"/>
                <w:kern w:val="21"/>
                <w:sz w:val="21"/>
                <w:szCs w:val="21"/>
                <w:lang w:val="en-US" w:eastAsia="zh-CN"/>
              </w:rPr>
              <w:t>t/a</w:t>
            </w:r>
          </w:p>
        </w:tc>
        <w:tc>
          <w:tcPr>
            <w:tcW w:w="1701" w:type="dxa"/>
            <w:vAlign w:val="center"/>
          </w:tcPr>
          <w:p w14:paraId="64191C7C">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0532F4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0.336</w:t>
            </w:r>
            <w:r>
              <w:rPr>
                <w:rFonts w:hint="eastAsia" w:ascii="Times New Roman"/>
                <w:snapToGrid w:val="0"/>
                <w:color w:val="auto"/>
                <w:kern w:val="21"/>
                <w:sz w:val="21"/>
                <w:szCs w:val="21"/>
                <w:lang w:val="en-US" w:eastAsia="zh-CN"/>
              </w:rPr>
              <w:t>t/a</w:t>
            </w:r>
          </w:p>
        </w:tc>
        <w:tc>
          <w:tcPr>
            <w:tcW w:w="1521" w:type="dxa"/>
            <w:vAlign w:val="center"/>
          </w:tcPr>
          <w:p w14:paraId="3669F933">
            <w:pPr>
              <w:pStyle w:val="54"/>
              <w:spacing w:beforeLines="0" w:afterLines="0" w:line="240" w:lineRule="auto"/>
              <w:rPr>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037799E7">
            <w:pPr>
              <w:pStyle w:val="87"/>
              <w:rPr>
                <w:snapToGrid w:val="0"/>
                <w:color w:val="auto"/>
                <w:kern w:val="21"/>
                <w:sz w:val="21"/>
                <w:szCs w:val="21"/>
                <w:highlight w:val="none"/>
              </w:rPr>
            </w:pPr>
            <w:r>
              <w:rPr>
                <w:rFonts w:hint="eastAsia"/>
                <w:color w:val="auto"/>
                <w:sz w:val="21"/>
                <w:szCs w:val="21"/>
                <w:lang w:val="en-US" w:eastAsia="zh-CN"/>
              </w:rPr>
              <w:t>0.703</w:t>
            </w:r>
            <w:r>
              <w:rPr>
                <w:rFonts w:hint="eastAsia" w:ascii="Times New Roman"/>
                <w:snapToGrid w:val="0"/>
                <w:color w:val="auto"/>
                <w:kern w:val="21"/>
                <w:sz w:val="21"/>
                <w:szCs w:val="21"/>
                <w:lang w:val="en-US" w:eastAsia="zh-CN"/>
              </w:rPr>
              <w:t>t/a</w:t>
            </w:r>
          </w:p>
        </w:tc>
        <w:tc>
          <w:tcPr>
            <w:tcW w:w="1324" w:type="dxa"/>
            <w:vAlign w:val="center"/>
          </w:tcPr>
          <w:p w14:paraId="63C366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0.336</w:t>
            </w:r>
            <w:r>
              <w:rPr>
                <w:rFonts w:hint="eastAsia" w:ascii="Times New Roman"/>
                <w:snapToGrid w:val="0"/>
                <w:color w:val="auto"/>
                <w:kern w:val="21"/>
                <w:sz w:val="21"/>
                <w:szCs w:val="21"/>
                <w:lang w:val="en-US" w:eastAsia="zh-CN"/>
              </w:rPr>
              <w:t>t/a</w:t>
            </w:r>
          </w:p>
        </w:tc>
      </w:tr>
      <w:tr w14:paraId="5F6B7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560A2126">
            <w:pPr>
              <w:pStyle w:val="54"/>
              <w:spacing w:beforeLines="0" w:afterLines="0" w:line="240" w:lineRule="auto"/>
              <w:rPr>
                <w:rFonts w:ascii="Times New Roman"/>
                <w:snapToGrid w:val="0"/>
                <w:color w:val="auto"/>
                <w:kern w:val="21"/>
                <w:szCs w:val="21"/>
              </w:rPr>
            </w:pPr>
          </w:p>
        </w:tc>
        <w:tc>
          <w:tcPr>
            <w:tcW w:w="1417" w:type="dxa"/>
            <w:vAlign w:val="center"/>
          </w:tcPr>
          <w:p w14:paraId="2C10284E">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rPr>
              <w:t>SO</w:t>
            </w:r>
            <w:r>
              <w:rPr>
                <w:rFonts w:hint="eastAsia" w:ascii="Times New Roman"/>
                <w:snapToGrid w:val="0"/>
                <w:color w:val="auto"/>
                <w:kern w:val="21"/>
                <w:sz w:val="21"/>
                <w:szCs w:val="21"/>
                <w:vertAlign w:val="subscript"/>
              </w:rPr>
              <w:t>2</w:t>
            </w:r>
          </w:p>
        </w:tc>
        <w:tc>
          <w:tcPr>
            <w:tcW w:w="1701" w:type="dxa"/>
            <w:vAlign w:val="center"/>
          </w:tcPr>
          <w:p w14:paraId="365EBC06">
            <w:pPr>
              <w:pStyle w:val="87"/>
              <w:rPr>
                <w:rFonts w:ascii="Times New Roman"/>
                <w:snapToGrid w:val="0"/>
                <w:color w:val="auto"/>
                <w:kern w:val="21"/>
                <w:sz w:val="21"/>
                <w:szCs w:val="21"/>
              </w:rPr>
            </w:pPr>
            <w:r>
              <w:rPr>
                <w:rFonts w:hint="eastAsia"/>
                <w:color w:val="auto"/>
                <w:sz w:val="21"/>
                <w:szCs w:val="21"/>
                <w:lang w:val="en-US" w:eastAsia="zh-CN"/>
              </w:rPr>
              <w:t>1.043</w:t>
            </w:r>
            <w:r>
              <w:rPr>
                <w:rFonts w:hint="eastAsia" w:ascii="Times New Roman"/>
                <w:snapToGrid w:val="0"/>
                <w:color w:val="auto"/>
                <w:kern w:val="21"/>
                <w:sz w:val="21"/>
                <w:szCs w:val="21"/>
                <w:lang w:val="en-US" w:eastAsia="zh-CN"/>
              </w:rPr>
              <w:t>t/a</w:t>
            </w:r>
          </w:p>
        </w:tc>
        <w:tc>
          <w:tcPr>
            <w:tcW w:w="1276" w:type="dxa"/>
            <w:vAlign w:val="center"/>
          </w:tcPr>
          <w:p w14:paraId="53DE172E">
            <w:pPr>
              <w:pStyle w:val="87"/>
              <w:rPr>
                <w:rFonts w:ascii="Times New Roman"/>
                <w:snapToGrid w:val="0"/>
                <w:color w:val="auto"/>
                <w:kern w:val="21"/>
                <w:sz w:val="21"/>
                <w:szCs w:val="21"/>
              </w:rPr>
            </w:pPr>
            <w:r>
              <w:rPr>
                <w:rFonts w:hint="eastAsia"/>
                <w:color w:val="auto"/>
                <w:sz w:val="21"/>
                <w:szCs w:val="21"/>
                <w:lang w:val="en-US" w:eastAsia="zh-CN"/>
              </w:rPr>
              <w:t>1.55</w:t>
            </w:r>
            <w:r>
              <w:rPr>
                <w:rFonts w:hint="eastAsia" w:ascii="Times New Roman"/>
                <w:snapToGrid w:val="0"/>
                <w:color w:val="auto"/>
                <w:kern w:val="21"/>
                <w:sz w:val="21"/>
                <w:szCs w:val="21"/>
                <w:lang w:val="en-US" w:eastAsia="zh-CN"/>
              </w:rPr>
              <w:t>t/a</w:t>
            </w:r>
          </w:p>
        </w:tc>
        <w:tc>
          <w:tcPr>
            <w:tcW w:w="1701" w:type="dxa"/>
            <w:vAlign w:val="center"/>
          </w:tcPr>
          <w:p w14:paraId="2F5173FE">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3102B4D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0.254</w:t>
            </w:r>
            <w:r>
              <w:rPr>
                <w:rFonts w:hint="eastAsia" w:ascii="Times New Roman"/>
                <w:snapToGrid w:val="0"/>
                <w:color w:val="auto"/>
                <w:kern w:val="21"/>
                <w:sz w:val="21"/>
                <w:szCs w:val="21"/>
                <w:lang w:val="en-US" w:eastAsia="zh-CN"/>
              </w:rPr>
              <w:t>t/a</w:t>
            </w:r>
          </w:p>
        </w:tc>
        <w:tc>
          <w:tcPr>
            <w:tcW w:w="1521" w:type="dxa"/>
            <w:vAlign w:val="center"/>
          </w:tcPr>
          <w:p w14:paraId="3582C735">
            <w:pPr>
              <w:pStyle w:val="54"/>
              <w:spacing w:beforeLines="0" w:afterLines="0" w:line="240" w:lineRule="auto"/>
              <w:rPr>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5BE1911A">
            <w:pPr>
              <w:pStyle w:val="87"/>
              <w:rPr>
                <w:snapToGrid w:val="0"/>
                <w:color w:val="auto"/>
                <w:kern w:val="21"/>
                <w:sz w:val="21"/>
                <w:szCs w:val="21"/>
                <w:highlight w:val="none"/>
              </w:rPr>
            </w:pPr>
            <w:r>
              <w:rPr>
                <w:rFonts w:hint="eastAsia"/>
                <w:color w:val="auto"/>
                <w:sz w:val="21"/>
                <w:szCs w:val="21"/>
                <w:lang w:val="en-US" w:eastAsia="zh-CN"/>
              </w:rPr>
              <w:t>1.297</w:t>
            </w:r>
            <w:r>
              <w:rPr>
                <w:rFonts w:hint="eastAsia" w:ascii="Times New Roman"/>
                <w:snapToGrid w:val="0"/>
                <w:color w:val="auto"/>
                <w:kern w:val="21"/>
                <w:sz w:val="21"/>
                <w:szCs w:val="21"/>
                <w:lang w:val="en-US" w:eastAsia="zh-CN"/>
              </w:rPr>
              <w:t>t/a</w:t>
            </w:r>
          </w:p>
        </w:tc>
        <w:tc>
          <w:tcPr>
            <w:tcW w:w="1324" w:type="dxa"/>
            <w:vAlign w:val="center"/>
          </w:tcPr>
          <w:p w14:paraId="7E00BF8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0.254</w:t>
            </w:r>
            <w:r>
              <w:rPr>
                <w:rFonts w:hint="eastAsia" w:ascii="Times New Roman"/>
                <w:snapToGrid w:val="0"/>
                <w:color w:val="auto"/>
                <w:kern w:val="21"/>
                <w:sz w:val="21"/>
                <w:szCs w:val="21"/>
                <w:lang w:val="en-US" w:eastAsia="zh-CN"/>
              </w:rPr>
              <w:t>t/a</w:t>
            </w:r>
          </w:p>
        </w:tc>
      </w:tr>
      <w:tr w14:paraId="321778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655ABED4">
            <w:pPr>
              <w:pStyle w:val="54"/>
              <w:spacing w:beforeLines="0" w:afterLines="0" w:line="240" w:lineRule="auto"/>
              <w:rPr>
                <w:rFonts w:ascii="Times New Roman"/>
                <w:snapToGrid w:val="0"/>
                <w:color w:val="auto"/>
                <w:kern w:val="21"/>
                <w:szCs w:val="21"/>
              </w:rPr>
            </w:pPr>
          </w:p>
        </w:tc>
        <w:tc>
          <w:tcPr>
            <w:tcW w:w="1417" w:type="dxa"/>
            <w:vAlign w:val="center"/>
          </w:tcPr>
          <w:p w14:paraId="6BE5253F">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rPr>
              <w:t>NO</w:t>
            </w:r>
            <w:r>
              <w:rPr>
                <w:rFonts w:hint="eastAsia" w:ascii="Times New Roman"/>
                <w:snapToGrid w:val="0"/>
                <w:color w:val="auto"/>
                <w:kern w:val="21"/>
                <w:sz w:val="21"/>
                <w:szCs w:val="21"/>
                <w:vertAlign w:val="subscript"/>
              </w:rPr>
              <w:t>X</w:t>
            </w:r>
          </w:p>
        </w:tc>
        <w:tc>
          <w:tcPr>
            <w:tcW w:w="1701" w:type="dxa"/>
            <w:vAlign w:val="center"/>
          </w:tcPr>
          <w:p w14:paraId="4A173FC7">
            <w:pPr>
              <w:pStyle w:val="87"/>
              <w:rPr>
                <w:rFonts w:ascii="Times New Roman"/>
                <w:snapToGrid w:val="0"/>
                <w:color w:val="auto"/>
                <w:kern w:val="21"/>
                <w:sz w:val="21"/>
                <w:szCs w:val="21"/>
              </w:rPr>
            </w:pPr>
            <w:r>
              <w:rPr>
                <w:rFonts w:hint="eastAsia"/>
                <w:color w:val="auto"/>
                <w:sz w:val="21"/>
                <w:szCs w:val="21"/>
                <w:lang w:val="en-US" w:eastAsia="zh-CN"/>
              </w:rPr>
              <w:t>1.93</w:t>
            </w:r>
            <w:r>
              <w:rPr>
                <w:rFonts w:hint="eastAsia" w:ascii="Times New Roman"/>
                <w:snapToGrid w:val="0"/>
                <w:color w:val="auto"/>
                <w:kern w:val="21"/>
                <w:sz w:val="21"/>
                <w:szCs w:val="21"/>
                <w:lang w:val="en-US" w:eastAsia="zh-CN"/>
              </w:rPr>
              <w:t>t/a</w:t>
            </w:r>
          </w:p>
        </w:tc>
        <w:tc>
          <w:tcPr>
            <w:tcW w:w="1276" w:type="dxa"/>
            <w:vAlign w:val="center"/>
          </w:tcPr>
          <w:p w14:paraId="7A3AE3D2">
            <w:pPr>
              <w:pStyle w:val="87"/>
              <w:rPr>
                <w:rFonts w:ascii="Times New Roman"/>
                <w:snapToGrid w:val="0"/>
                <w:color w:val="auto"/>
                <w:kern w:val="21"/>
                <w:sz w:val="21"/>
                <w:szCs w:val="21"/>
              </w:rPr>
            </w:pPr>
            <w:r>
              <w:rPr>
                <w:rFonts w:hint="eastAsia"/>
                <w:color w:val="auto"/>
                <w:sz w:val="21"/>
                <w:szCs w:val="21"/>
                <w:lang w:val="en-US" w:eastAsia="zh-CN"/>
              </w:rPr>
              <w:t>4.14</w:t>
            </w:r>
            <w:r>
              <w:rPr>
                <w:rFonts w:hint="eastAsia" w:ascii="Times New Roman"/>
                <w:snapToGrid w:val="0"/>
                <w:color w:val="auto"/>
                <w:kern w:val="21"/>
                <w:sz w:val="21"/>
                <w:szCs w:val="21"/>
                <w:lang w:val="en-US" w:eastAsia="zh-CN"/>
              </w:rPr>
              <w:t>t/a</w:t>
            </w:r>
          </w:p>
        </w:tc>
        <w:tc>
          <w:tcPr>
            <w:tcW w:w="1701" w:type="dxa"/>
            <w:vAlign w:val="center"/>
          </w:tcPr>
          <w:p w14:paraId="6F1FE389">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2EFC6A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1.797</w:t>
            </w:r>
            <w:r>
              <w:rPr>
                <w:rFonts w:hint="eastAsia" w:ascii="Times New Roman"/>
                <w:snapToGrid w:val="0"/>
                <w:color w:val="auto"/>
                <w:kern w:val="21"/>
                <w:sz w:val="21"/>
                <w:szCs w:val="21"/>
                <w:lang w:val="en-US" w:eastAsia="zh-CN"/>
              </w:rPr>
              <w:t>t/a</w:t>
            </w:r>
          </w:p>
        </w:tc>
        <w:tc>
          <w:tcPr>
            <w:tcW w:w="1521" w:type="dxa"/>
            <w:vAlign w:val="center"/>
          </w:tcPr>
          <w:p w14:paraId="0C97776E">
            <w:pPr>
              <w:pStyle w:val="54"/>
              <w:spacing w:beforeLines="0" w:afterLines="0" w:line="240" w:lineRule="auto"/>
              <w:rPr>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4F761186">
            <w:pPr>
              <w:pStyle w:val="87"/>
              <w:rPr>
                <w:snapToGrid w:val="0"/>
                <w:color w:val="auto"/>
                <w:kern w:val="21"/>
                <w:sz w:val="21"/>
                <w:szCs w:val="21"/>
                <w:highlight w:val="none"/>
              </w:rPr>
            </w:pPr>
            <w:r>
              <w:rPr>
                <w:rFonts w:hint="eastAsia"/>
                <w:color w:val="auto"/>
                <w:sz w:val="21"/>
                <w:szCs w:val="21"/>
                <w:lang w:val="en-US" w:eastAsia="zh-CN"/>
              </w:rPr>
              <w:t>3.727</w:t>
            </w:r>
            <w:r>
              <w:rPr>
                <w:rFonts w:hint="eastAsia" w:ascii="Times New Roman"/>
                <w:snapToGrid w:val="0"/>
                <w:color w:val="auto"/>
                <w:kern w:val="21"/>
                <w:sz w:val="21"/>
                <w:szCs w:val="21"/>
                <w:lang w:val="en-US" w:eastAsia="zh-CN"/>
              </w:rPr>
              <w:t>t/a</w:t>
            </w:r>
          </w:p>
        </w:tc>
        <w:tc>
          <w:tcPr>
            <w:tcW w:w="1324" w:type="dxa"/>
            <w:vAlign w:val="center"/>
          </w:tcPr>
          <w:p w14:paraId="23354A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snapToGrid w:val="0"/>
                <w:color w:val="auto"/>
                <w:kern w:val="21"/>
                <w:sz w:val="21"/>
                <w:szCs w:val="21"/>
                <w:highlight w:val="none"/>
              </w:rPr>
            </w:pPr>
            <w:r>
              <w:rPr>
                <w:rFonts w:hint="eastAsia" w:cs="Times New Roman"/>
                <w:color w:val="auto"/>
                <w:sz w:val="21"/>
                <w:szCs w:val="21"/>
                <w:highlight w:val="none"/>
                <w:lang w:val="en-US" w:eastAsia="zh-CN"/>
              </w:rPr>
              <w:t>1.797</w:t>
            </w:r>
            <w:r>
              <w:rPr>
                <w:rFonts w:hint="eastAsia" w:ascii="Times New Roman"/>
                <w:snapToGrid w:val="0"/>
                <w:color w:val="auto"/>
                <w:kern w:val="21"/>
                <w:sz w:val="21"/>
                <w:szCs w:val="21"/>
                <w:lang w:val="en-US" w:eastAsia="zh-CN"/>
              </w:rPr>
              <w:t>t/a</w:t>
            </w:r>
          </w:p>
        </w:tc>
      </w:tr>
      <w:tr w14:paraId="38709B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3FED93B5">
            <w:pPr>
              <w:pStyle w:val="54"/>
              <w:spacing w:beforeLines="0" w:afterLines="0" w:line="240" w:lineRule="auto"/>
              <w:rPr>
                <w:rFonts w:ascii="Times New Roman"/>
                <w:snapToGrid w:val="0"/>
                <w:color w:val="auto"/>
                <w:kern w:val="21"/>
                <w:szCs w:val="21"/>
              </w:rPr>
            </w:pPr>
          </w:p>
        </w:tc>
        <w:tc>
          <w:tcPr>
            <w:tcW w:w="1417" w:type="dxa"/>
            <w:vAlign w:val="center"/>
          </w:tcPr>
          <w:p w14:paraId="6B898CB4">
            <w:pPr>
              <w:pStyle w:val="54"/>
              <w:spacing w:beforeLines="0" w:afterLines="0" w:line="240" w:lineRule="auto"/>
              <w:rPr>
                <w:rFonts w:hint="eastAsia" w:ascii="Times New Roman" w:eastAsia="宋体"/>
                <w:snapToGrid w:val="0"/>
                <w:color w:val="auto"/>
                <w:kern w:val="21"/>
                <w:sz w:val="21"/>
                <w:szCs w:val="21"/>
                <w:lang w:eastAsia="zh-CN"/>
              </w:rPr>
            </w:pPr>
            <w:r>
              <w:rPr>
                <w:rFonts w:hint="eastAsia" w:ascii="Times New Roman"/>
                <w:snapToGrid w:val="0"/>
                <w:color w:val="auto"/>
                <w:kern w:val="21"/>
                <w:sz w:val="21"/>
                <w:szCs w:val="21"/>
                <w:lang w:eastAsia="zh-CN"/>
              </w:rPr>
              <w:t>粉尘</w:t>
            </w:r>
          </w:p>
        </w:tc>
        <w:tc>
          <w:tcPr>
            <w:tcW w:w="1701" w:type="dxa"/>
            <w:vAlign w:val="center"/>
          </w:tcPr>
          <w:p w14:paraId="1DB3FD3D">
            <w:pPr>
              <w:pStyle w:val="87"/>
              <w:rPr>
                <w:rFonts w:ascii="Times New Roman"/>
                <w:snapToGrid w:val="0"/>
                <w:color w:val="auto"/>
                <w:kern w:val="21"/>
                <w:sz w:val="21"/>
                <w:szCs w:val="21"/>
              </w:rPr>
            </w:pPr>
            <w:r>
              <w:rPr>
                <w:rFonts w:hint="eastAsia"/>
                <w:color w:val="auto"/>
                <w:sz w:val="21"/>
                <w:szCs w:val="21"/>
                <w:lang w:val="en-US" w:eastAsia="zh-CN"/>
              </w:rPr>
              <w:t>0.9</w:t>
            </w:r>
            <w:r>
              <w:rPr>
                <w:rFonts w:hint="eastAsia" w:ascii="Times New Roman"/>
                <w:snapToGrid w:val="0"/>
                <w:color w:val="auto"/>
                <w:kern w:val="21"/>
                <w:sz w:val="21"/>
                <w:szCs w:val="21"/>
                <w:lang w:val="en-US" w:eastAsia="zh-CN"/>
              </w:rPr>
              <w:t>t/a</w:t>
            </w:r>
          </w:p>
        </w:tc>
        <w:tc>
          <w:tcPr>
            <w:tcW w:w="1276" w:type="dxa"/>
            <w:vAlign w:val="center"/>
          </w:tcPr>
          <w:p w14:paraId="764F676E">
            <w:pPr>
              <w:pStyle w:val="87"/>
              <w:rPr>
                <w:rFonts w:ascii="Times New Roman"/>
                <w:snapToGrid w:val="0"/>
                <w:color w:val="auto"/>
                <w:kern w:val="21"/>
                <w:sz w:val="21"/>
                <w:szCs w:val="21"/>
              </w:rPr>
            </w:pPr>
            <w:r>
              <w:rPr>
                <w:rFonts w:hint="eastAsia"/>
                <w:color w:val="auto"/>
                <w:sz w:val="21"/>
                <w:szCs w:val="21"/>
                <w:lang w:val="en-US" w:eastAsia="zh-CN"/>
              </w:rPr>
              <w:t>0.9</w:t>
            </w:r>
            <w:r>
              <w:rPr>
                <w:rFonts w:hint="eastAsia" w:ascii="Times New Roman"/>
                <w:snapToGrid w:val="0"/>
                <w:color w:val="auto"/>
                <w:kern w:val="21"/>
                <w:sz w:val="21"/>
                <w:szCs w:val="21"/>
                <w:lang w:val="en-US" w:eastAsia="zh-CN"/>
              </w:rPr>
              <w:t>t/a</w:t>
            </w:r>
          </w:p>
        </w:tc>
        <w:tc>
          <w:tcPr>
            <w:tcW w:w="1701" w:type="dxa"/>
            <w:vAlign w:val="center"/>
          </w:tcPr>
          <w:p w14:paraId="2504D6B0">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002BDA6F">
            <w:pPr>
              <w:pStyle w:val="87"/>
              <w:rPr>
                <w:rFonts w:hint="eastAsia" w:ascii="Times New Roman" w:hAnsi="Times New Roman" w:eastAsia="宋体" w:cs="Times New Roman"/>
                <w:snapToGrid w:val="0"/>
                <w:color w:val="auto"/>
                <w:kern w:val="21"/>
                <w:sz w:val="21"/>
                <w:szCs w:val="21"/>
                <w:highlight w:val="none"/>
                <w:lang w:val="en-US" w:eastAsia="zh-CN"/>
              </w:rPr>
            </w:pPr>
            <w:r>
              <w:rPr>
                <w:rFonts w:hint="eastAsia"/>
                <w:color w:val="auto"/>
                <w:sz w:val="21"/>
                <w:szCs w:val="21"/>
                <w:lang w:val="en-US" w:eastAsia="zh-CN"/>
              </w:rPr>
              <w:t>0.758</w:t>
            </w:r>
            <w:r>
              <w:rPr>
                <w:rFonts w:hint="eastAsia" w:ascii="Times New Roman"/>
                <w:snapToGrid w:val="0"/>
                <w:color w:val="auto"/>
                <w:kern w:val="21"/>
                <w:sz w:val="21"/>
                <w:szCs w:val="21"/>
                <w:lang w:val="en-US" w:eastAsia="zh-CN"/>
              </w:rPr>
              <w:t>t/a</w:t>
            </w:r>
          </w:p>
        </w:tc>
        <w:tc>
          <w:tcPr>
            <w:tcW w:w="1521" w:type="dxa"/>
            <w:vAlign w:val="center"/>
          </w:tcPr>
          <w:p w14:paraId="30BA9949">
            <w:pPr>
              <w:pStyle w:val="54"/>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snapToGrid w:val="0"/>
                <w:color w:val="auto"/>
                <w:kern w:val="21"/>
                <w:sz w:val="21"/>
                <w:szCs w:val="21"/>
                <w:lang w:val="en-US" w:eastAsia="zh-CN"/>
              </w:rPr>
              <w:t>0</w:t>
            </w:r>
          </w:p>
        </w:tc>
        <w:tc>
          <w:tcPr>
            <w:tcW w:w="1701" w:type="dxa"/>
            <w:vAlign w:val="center"/>
          </w:tcPr>
          <w:p w14:paraId="3B904BC0">
            <w:pPr>
              <w:pStyle w:val="87"/>
              <w:rPr>
                <w:rFonts w:hint="eastAsia" w:ascii="Times New Roman" w:hAnsi="Times New Roman" w:eastAsia="宋体" w:cs="Times New Roman"/>
                <w:snapToGrid w:val="0"/>
                <w:color w:val="auto"/>
                <w:kern w:val="21"/>
                <w:sz w:val="21"/>
                <w:szCs w:val="21"/>
                <w:highlight w:val="none"/>
                <w:lang w:val="en-US" w:eastAsia="zh-CN"/>
              </w:rPr>
            </w:pPr>
            <w:r>
              <w:rPr>
                <w:rFonts w:hint="eastAsia"/>
                <w:color w:val="auto"/>
                <w:sz w:val="21"/>
                <w:szCs w:val="21"/>
                <w:lang w:val="en-US" w:eastAsia="zh-CN"/>
              </w:rPr>
              <w:t>1.658</w:t>
            </w:r>
            <w:r>
              <w:rPr>
                <w:rFonts w:hint="eastAsia" w:ascii="Times New Roman"/>
                <w:snapToGrid w:val="0"/>
                <w:color w:val="auto"/>
                <w:kern w:val="21"/>
                <w:sz w:val="21"/>
                <w:szCs w:val="21"/>
                <w:lang w:val="en-US" w:eastAsia="zh-CN"/>
              </w:rPr>
              <w:t>t/a</w:t>
            </w:r>
          </w:p>
        </w:tc>
        <w:tc>
          <w:tcPr>
            <w:tcW w:w="1324" w:type="dxa"/>
            <w:vAlign w:val="center"/>
          </w:tcPr>
          <w:p w14:paraId="18A0FC8B">
            <w:pPr>
              <w:pStyle w:val="87"/>
              <w:rPr>
                <w:rFonts w:hint="eastAsia" w:ascii="Times New Roman" w:hAnsi="Times New Roman" w:eastAsia="宋体" w:cs="Times New Roman"/>
                <w:snapToGrid w:val="0"/>
                <w:color w:val="auto"/>
                <w:kern w:val="21"/>
                <w:sz w:val="21"/>
                <w:szCs w:val="21"/>
                <w:highlight w:val="none"/>
                <w:lang w:val="en-US" w:eastAsia="zh-CN"/>
              </w:rPr>
            </w:pPr>
            <w:r>
              <w:rPr>
                <w:rFonts w:hint="eastAsia"/>
                <w:color w:val="auto"/>
                <w:sz w:val="21"/>
                <w:szCs w:val="21"/>
                <w:lang w:val="en-US" w:eastAsia="zh-CN"/>
              </w:rPr>
              <w:t>0.758</w:t>
            </w:r>
            <w:r>
              <w:rPr>
                <w:rFonts w:hint="eastAsia" w:ascii="Times New Roman"/>
                <w:snapToGrid w:val="0"/>
                <w:color w:val="auto"/>
                <w:kern w:val="21"/>
                <w:sz w:val="21"/>
                <w:szCs w:val="21"/>
                <w:lang w:val="en-US" w:eastAsia="zh-CN"/>
              </w:rPr>
              <w:t>t/a</w:t>
            </w:r>
          </w:p>
        </w:tc>
      </w:tr>
      <w:tr w14:paraId="65C8F2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Align w:val="center"/>
          </w:tcPr>
          <w:p w14:paraId="75E8CE12">
            <w:pPr>
              <w:pStyle w:val="54"/>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vAlign w:val="center"/>
          </w:tcPr>
          <w:p w14:paraId="0AED98CB">
            <w:pPr>
              <w:pStyle w:val="54"/>
              <w:spacing w:beforeLines="0" w:afterLines="0" w:line="240" w:lineRule="auto"/>
              <w:rPr>
                <w:rFonts w:ascii="Times New Roman"/>
                <w:snapToGrid w:val="0"/>
                <w:color w:val="auto"/>
                <w:kern w:val="21"/>
                <w:sz w:val="21"/>
                <w:szCs w:val="21"/>
              </w:rPr>
            </w:pPr>
          </w:p>
        </w:tc>
        <w:tc>
          <w:tcPr>
            <w:tcW w:w="1701" w:type="dxa"/>
            <w:vAlign w:val="center"/>
          </w:tcPr>
          <w:p w14:paraId="3AF67950">
            <w:pPr>
              <w:pStyle w:val="54"/>
              <w:spacing w:beforeLines="0" w:afterLines="0" w:line="240" w:lineRule="auto"/>
              <w:rPr>
                <w:rFonts w:ascii="Times New Roman"/>
                <w:snapToGrid w:val="0"/>
                <w:color w:val="auto"/>
                <w:kern w:val="21"/>
                <w:sz w:val="21"/>
                <w:szCs w:val="21"/>
              </w:rPr>
            </w:pPr>
          </w:p>
        </w:tc>
        <w:tc>
          <w:tcPr>
            <w:tcW w:w="1276" w:type="dxa"/>
            <w:vAlign w:val="center"/>
          </w:tcPr>
          <w:p w14:paraId="4AC83C96">
            <w:pPr>
              <w:pStyle w:val="54"/>
              <w:spacing w:beforeLines="0" w:afterLines="0" w:line="240" w:lineRule="auto"/>
              <w:rPr>
                <w:rFonts w:ascii="Times New Roman"/>
                <w:snapToGrid w:val="0"/>
                <w:color w:val="auto"/>
                <w:kern w:val="21"/>
                <w:sz w:val="21"/>
                <w:szCs w:val="21"/>
              </w:rPr>
            </w:pPr>
          </w:p>
        </w:tc>
        <w:tc>
          <w:tcPr>
            <w:tcW w:w="1701" w:type="dxa"/>
            <w:vAlign w:val="center"/>
          </w:tcPr>
          <w:p w14:paraId="201EE1A9">
            <w:pPr>
              <w:pStyle w:val="54"/>
              <w:spacing w:beforeLines="0" w:afterLines="0" w:line="240" w:lineRule="auto"/>
              <w:rPr>
                <w:rFonts w:ascii="Times New Roman"/>
                <w:snapToGrid w:val="0"/>
                <w:color w:val="auto"/>
                <w:kern w:val="21"/>
                <w:sz w:val="21"/>
                <w:szCs w:val="21"/>
              </w:rPr>
            </w:pPr>
          </w:p>
        </w:tc>
        <w:tc>
          <w:tcPr>
            <w:tcW w:w="1559" w:type="dxa"/>
            <w:vAlign w:val="center"/>
          </w:tcPr>
          <w:p w14:paraId="20500F04">
            <w:pPr>
              <w:pStyle w:val="54"/>
              <w:spacing w:beforeLines="0" w:afterLines="0" w:line="240" w:lineRule="auto"/>
              <w:rPr>
                <w:rFonts w:ascii="Times New Roman"/>
                <w:snapToGrid w:val="0"/>
                <w:color w:val="auto"/>
                <w:kern w:val="21"/>
                <w:sz w:val="21"/>
                <w:szCs w:val="21"/>
                <w:highlight w:val="none"/>
              </w:rPr>
            </w:pPr>
          </w:p>
        </w:tc>
        <w:tc>
          <w:tcPr>
            <w:tcW w:w="1521" w:type="dxa"/>
            <w:vAlign w:val="center"/>
          </w:tcPr>
          <w:p w14:paraId="0E976152">
            <w:pPr>
              <w:pStyle w:val="54"/>
              <w:spacing w:beforeLines="0" w:afterLines="0" w:line="240" w:lineRule="auto"/>
              <w:rPr>
                <w:rFonts w:ascii="Times New Roman"/>
                <w:snapToGrid w:val="0"/>
                <w:color w:val="auto"/>
                <w:kern w:val="21"/>
                <w:sz w:val="21"/>
                <w:szCs w:val="21"/>
                <w:highlight w:val="none"/>
              </w:rPr>
            </w:pPr>
          </w:p>
        </w:tc>
        <w:tc>
          <w:tcPr>
            <w:tcW w:w="1701" w:type="dxa"/>
            <w:vAlign w:val="center"/>
          </w:tcPr>
          <w:p w14:paraId="07EAC218">
            <w:pPr>
              <w:pStyle w:val="54"/>
              <w:spacing w:beforeLines="0" w:afterLines="0" w:line="240" w:lineRule="auto"/>
              <w:rPr>
                <w:rFonts w:ascii="Times New Roman"/>
                <w:snapToGrid w:val="0"/>
                <w:color w:val="auto"/>
                <w:kern w:val="21"/>
                <w:sz w:val="21"/>
                <w:szCs w:val="21"/>
                <w:highlight w:val="none"/>
              </w:rPr>
            </w:pPr>
          </w:p>
        </w:tc>
        <w:tc>
          <w:tcPr>
            <w:tcW w:w="1324" w:type="dxa"/>
            <w:vAlign w:val="center"/>
          </w:tcPr>
          <w:p w14:paraId="5343CF8E">
            <w:pPr>
              <w:pStyle w:val="54"/>
              <w:spacing w:beforeLines="0" w:afterLines="0" w:line="240" w:lineRule="auto"/>
              <w:rPr>
                <w:rFonts w:ascii="Times New Roman"/>
                <w:snapToGrid w:val="0"/>
                <w:color w:val="auto"/>
                <w:kern w:val="21"/>
                <w:sz w:val="21"/>
                <w:szCs w:val="21"/>
                <w:highlight w:val="none"/>
              </w:rPr>
            </w:pPr>
          </w:p>
        </w:tc>
      </w:tr>
      <w:tr w14:paraId="28C796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restart"/>
            <w:vAlign w:val="center"/>
          </w:tcPr>
          <w:p w14:paraId="56ED3544">
            <w:pPr>
              <w:pStyle w:val="54"/>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1D9952C4">
            <w:pPr>
              <w:pStyle w:val="54"/>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vAlign w:val="center"/>
          </w:tcPr>
          <w:p w14:paraId="3E0BBB6D">
            <w:pPr>
              <w:pStyle w:val="54"/>
              <w:spacing w:beforeLines="0" w:afterLines="0" w:line="240" w:lineRule="auto"/>
              <w:rPr>
                <w:rFonts w:ascii="Times New Roman"/>
                <w:snapToGrid w:val="0"/>
                <w:color w:val="auto"/>
                <w:sz w:val="21"/>
                <w:szCs w:val="21"/>
              </w:rPr>
            </w:pPr>
            <w:r>
              <w:rPr>
                <w:rFonts w:hint="eastAsia" w:ascii="Times New Roman"/>
                <w:snapToGrid w:val="0"/>
                <w:color w:val="auto"/>
                <w:sz w:val="21"/>
                <w:szCs w:val="21"/>
              </w:rPr>
              <w:t>炉渣</w:t>
            </w:r>
          </w:p>
        </w:tc>
        <w:tc>
          <w:tcPr>
            <w:tcW w:w="1701" w:type="dxa"/>
            <w:vAlign w:val="center"/>
          </w:tcPr>
          <w:p w14:paraId="7327445B">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342.86t/a</w:t>
            </w:r>
          </w:p>
        </w:tc>
        <w:tc>
          <w:tcPr>
            <w:tcW w:w="1276" w:type="dxa"/>
            <w:vAlign w:val="center"/>
          </w:tcPr>
          <w:p w14:paraId="65B1C36E">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31FE1134">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0F9C37B3">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135.63t</w:t>
            </w:r>
            <w:r>
              <w:rPr>
                <w:snapToGrid w:val="0"/>
                <w:color w:val="auto"/>
                <w:kern w:val="21"/>
                <w:sz w:val="21"/>
                <w:szCs w:val="21"/>
                <w:highlight w:val="none"/>
              </w:rPr>
              <w:t>/a</w:t>
            </w:r>
          </w:p>
        </w:tc>
        <w:tc>
          <w:tcPr>
            <w:tcW w:w="1521" w:type="dxa"/>
            <w:vAlign w:val="center"/>
          </w:tcPr>
          <w:p w14:paraId="1A4EC414">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2B9417C7">
            <w:pPr>
              <w:tabs>
                <w:tab w:val="center" w:pos="4153"/>
                <w:tab w:val="right" w:pos="8306"/>
              </w:tabs>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460.49t/a</w:t>
            </w:r>
          </w:p>
        </w:tc>
        <w:tc>
          <w:tcPr>
            <w:tcW w:w="1324" w:type="dxa"/>
            <w:vAlign w:val="center"/>
          </w:tcPr>
          <w:p w14:paraId="5B841BC8">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135.63t</w:t>
            </w:r>
            <w:r>
              <w:rPr>
                <w:snapToGrid w:val="0"/>
                <w:color w:val="auto"/>
                <w:kern w:val="21"/>
                <w:sz w:val="21"/>
                <w:szCs w:val="21"/>
                <w:highlight w:val="none"/>
              </w:rPr>
              <w:t>/a</w:t>
            </w:r>
          </w:p>
        </w:tc>
      </w:tr>
      <w:tr w14:paraId="4150A5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872D8D9">
            <w:pPr>
              <w:pStyle w:val="54"/>
              <w:spacing w:beforeLines="0" w:afterLines="0" w:line="240" w:lineRule="auto"/>
              <w:rPr>
                <w:rFonts w:ascii="Times New Roman"/>
                <w:snapToGrid w:val="0"/>
                <w:color w:val="auto"/>
                <w:kern w:val="21"/>
                <w:szCs w:val="21"/>
              </w:rPr>
            </w:pPr>
          </w:p>
        </w:tc>
        <w:tc>
          <w:tcPr>
            <w:tcW w:w="1417" w:type="dxa"/>
            <w:vAlign w:val="center"/>
          </w:tcPr>
          <w:p w14:paraId="4F00F533">
            <w:pPr>
              <w:pStyle w:val="54"/>
              <w:spacing w:beforeLines="0" w:afterLines="0" w:line="240" w:lineRule="auto"/>
              <w:rPr>
                <w:rFonts w:ascii="Times New Roman"/>
                <w:snapToGrid w:val="0"/>
                <w:color w:val="auto"/>
                <w:sz w:val="21"/>
                <w:szCs w:val="21"/>
              </w:rPr>
            </w:pPr>
            <w:r>
              <w:rPr>
                <w:rFonts w:ascii="Times New Roman"/>
                <w:snapToGrid w:val="0"/>
                <w:color w:val="auto"/>
                <w:sz w:val="21"/>
                <w:szCs w:val="21"/>
              </w:rPr>
              <w:t>布袋除尘器收尘</w:t>
            </w:r>
          </w:p>
        </w:tc>
        <w:tc>
          <w:tcPr>
            <w:tcW w:w="1701" w:type="dxa"/>
            <w:vAlign w:val="center"/>
          </w:tcPr>
          <w:p w14:paraId="3B3EDA23">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183.763t/a</w:t>
            </w:r>
          </w:p>
        </w:tc>
        <w:tc>
          <w:tcPr>
            <w:tcW w:w="1276" w:type="dxa"/>
            <w:vAlign w:val="center"/>
          </w:tcPr>
          <w:p w14:paraId="376E73AB">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0BD69473">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43BE9E37">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66.864</w:t>
            </w:r>
            <w:r>
              <w:rPr>
                <w:snapToGrid w:val="0"/>
                <w:color w:val="auto"/>
                <w:kern w:val="21"/>
                <w:sz w:val="21"/>
                <w:szCs w:val="21"/>
                <w:highlight w:val="none"/>
              </w:rPr>
              <w:t>t/a</w:t>
            </w:r>
          </w:p>
        </w:tc>
        <w:tc>
          <w:tcPr>
            <w:tcW w:w="1521" w:type="dxa"/>
            <w:vAlign w:val="center"/>
          </w:tcPr>
          <w:p w14:paraId="2A062E6E">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6053FE95">
            <w:pPr>
              <w:tabs>
                <w:tab w:val="center" w:pos="4153"/>
                <w:tab w:val="right" w:pos="8306"/>
              </w:tabs>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250.627t/a</w:t>
            </w:r>
          </w:p>
        </w:tc>
        <w:tc>
          <w:tcPr>
            <w:tcW w:w="1324" w:type="dxa"/>
            <w:vAlign w:val="center"/>
          </w:tcPr>
          <w:p w14:paraId="7F46CE0D">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66.864</w:t>
            </w:r>
            <w:r>
              <w:rPr>
                <w:snapToGrid w:val="0"/>
                <w:color w:val="auto"/>
                <w:kern w:val="21"/>
                <w:sz w:val="21"/>
                <w:szCs w:val="21"/>
                <w:highlight w:val="none"/>
              </w:rPr>
              <w:t>t/a</w:t>
            </w:r>
          </w:p>
        </w:tc>
      </w:tr>
      <w:tr w14:paraId="07697C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45F9016C">
            <w:pPr>
              <w:pStyle w:val="54"/>
              <w:spacing w:beforeLines="0" w:afterLines="0" w:line="240" w:lineRule="auto"/>
              <w:rPr>
                <w:rFonts w:ascii="Times New Roman"/>
                <w:snapToGrid w:val="0"/>
                <w:color w:val="auto"/>
                <w:kern w:val="21"/>
                <w:szCs w:val="21"/>
              </w:rPr>
            </w:pPr>
          </w:p>
        </w:tc>
        <w:tc>
          <w:tcPr>
            <w:tcW w:w="1417" w:type="dxa"/>
            <w:vAlign w:val="center"/>
          </w:tcPr>
          <w:p w14:paraId="4787D7C1">
            <w:pPr>
              <w:pStyle w:val="54"/>
              <w:spacing w:beforeLines="0" w:afterLines="0" w:line="240" w:lineRule="auto"/>
              <w:rPr>
                <w:rFonts w:ascii="Times New Roman"/>
                <w:snapToGrid w:val="0"/>
                <w:color w:val="auto"/>
                <w:sz w:val="21"/>
                <w:szCs w:val="21"/>
              </w:rPr>
            </w:pPr>
            <w:r>
              <w:rPr>
                <w:rFonts w:hint="eastAsia" w:ascii="Times New Roman"/>
                <w:snapToGrid w:val="0"/>
                <w:color w:val="auto"/>
                <w:sz w:val="21"/>
                <w:szCs w:val="21"/>
              </w:rPr>
              <w:t>杂质</w:t>
            </w:r>
          </w:p>
        </w:tc>
        <w:tc>
          <w:tcPr>
            <w:tcW w:w="1701" w:type="dxa"/>
            <w:vAlign w:val="center"/>
          </w:tcPr>
          <w:p w14:paraId="621A2EB3">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3.5t/a</w:t>
            </w:r>
          </w:p>
        </w:tc>
        <w:tc>
          <w:tcPr>
            <w:tcW w:w="1276" w:type="dxa"/>
            <w:vAlign w:val="center"/>
          </w:tcPr>
          <w:p w14:paraId="6E05CB74">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3C1C9B04">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724A452F">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25</w:t>
            </w:r>
            <w:r>
              <w:rPr>
                <w:rFonts w:hint="eastAsia"/>
                <w:snapToGrid w:val="0"/>
                <w:color w:val="auto"/>
                <w:kern w:val="21"/>
                <w:sz w:val="21"/>
                <w:szCs w:val="21"/>
                <w:highlight w:val="none"/>
              </w:rPr>
              <w:t>t/a</w:t>
            </w:r>
          </w:p>
        </w:tc>
        <w:tc>
          <w:tcPr>
            <w:tcW w:w="1521" w:type="dxa"/>
            <w:vAlign w:val="center"/>
          </w:tcPr>
          <w:p w14:paraId="18AB2802">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20B644E7">
            <w:pPr>
              <w:tabs>
                <w:tab w:val="center" w:pos="4153"/>
                <w:tab w:val="right" w:pos="8306"/>
              </w:tabs>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28.5t/a</w:t>
            </w:r>
          </w:p>
        </w:tc>
        <w:tc>
          <w:tcPr>
            <w:tcW w:w="1324" w:type="dxa"/>
            <w:vAlign w:val="center"/>
          </w:tcPr>
          <w:p w14:paraId="14DB54D3">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25</w:t>
            </w:r>
            <w:r>
              <w:rPr>
                <w:rFonts w:hint="eastAsia"/>
                <w:snapToGrid w:val="0"/>
                <w:color w:val="auto"/>
                <w:kern w:val="21"/>
                <w:sz w:val="21"/>
                <w:szCs w:val="21"/>
                <w:highlight w:val="none"/>
              </w:rPr>
              <w:t>t/a</w:t>
            </w:r>
          </w:p>
        </w:tc>
      </w:tr>
      <w:tr w14:paraId="2B00C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78835668">
            <w:pPr>
              <w:pStyle w:val="54"/>
              <w:spacing w:beforeLines="0" w:afterLines="0" w:line="240" w:lineRule="auto"/>
              <w:rPr>
                <w:rFonts w:ascii="Times New Roman"/>
                <w:snapToGrid w:val="0"/>
                <w:color w:val="auto"/>
                <w:kern w:val="21"/>
                <w:szCs w:val="21"/>
              </w:rPr>
            </w:pPr>
          </w:p>
        </w:tc>
        <w:tc>
          <w:tcPr>
            <w:tcW w:w="1417" w:type="dxa"/>
            <w:vAlign w:val="center"/>
          </w:tcPr>
          <w:p w14:paraId="306B92DE">
            <w:pPr>
              <w:tabs>
                <w:tab w:val="center" w:pos="4153"/>
                <w:tab w:val="right" w:pos="8306"/>
              </w:tabs>
              <w:jc w:val="center"/>
              <w:rPr>
                <w:snapToGrid w:val="0"/>
                <w:color w:val="auto"/>
                <w:sz w:val="21"/>
                <w:szCs w:val="21"/>
              </w:rPr>
            </w:pPr>
            <w:r>
              <w:rPr>
                <w:rFonts w:hint="eastAsia"/>
                <w:snapToGrid w:val="0"/>
                <w:color w:val="auto"/>
                <w:sz w:val="21"/>
                <w:szCs w:val="21"/>
                <w:lang w:eastAsia="zh-CN"/>
              </w:rPr>
              <w:t>围挡</w:t>
            </w:r>
            <w:r>
              <w:rPr>
                <w:snapToGrid w:val="0"/>
                <w:color w:val="auto"/>
                <w:sz w:val="21"/>
                <w:szCs w:val="21"/>
              </w:rPr>
              <w:t>收尘</w:t>
            </w:r>
          </w:p>
        </w:tc>
        <w:tc>
          <w:tcPr>
            <w:tcW w:w="1701" w:type="dxa"/>
            <w:vAlign w:val="center"/>
          </w:tcPr>
          <w:p w14:paraId="491AB7CE">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2t/a</w:t>
            </w:r>
          </w:p>
        </w:tc>
        <w:tc>
          <w:tcPr>
            <w:tcW w:w="1276" w:type="dxa"/>
            <w:vAlign w:val="center"/>
          </w:tcPr>
          <w:p w14:paraId="2F158C30">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51FDABB7">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7BD4A555">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4.572</w:t>
            </w:r>
            <w:r>
              <w:rPr>
                <w:rFonts w:hint="eastAsia"/>
                <w:snapToGrid w:val="0"/>
                <w:color w:val="auto"/>
                <w:kern w:val="21"/>
                <w:sz w:val="21"/>
                <w:szCs w:val="21"/>
                <w:highlight w:val="none"/>
              </w:rPr>
              <w:t>t/a</w:t>
            </w:r>
          </w:p>
        </w:tc>
        <w:tc>
          <w:tcPr>
            <w:tcW w:w="1521" w:type="dxa"/>
            <w:vAlign w:val="center"/>
          </w:tcPr>
          <w:p w14:paraId="77B65517">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5FF8F52B">
            <w:pPr>
              <w:tabs>
                <w:tab w:val="center" w:pos="4153"/>
                <w:tab w:val="right" w:pos="8306"/>
              </w:tabs>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6.572t/a</w:t>
            </w:r>
          </w:p>
        </w:tc>
        <w:tc>
          <w:tcPr>
            <w:tcW w:w="1324" w:type="dxa"/>
            <w:vAlign w:val="center"/>
          </w:tcPr>
          <w:p w14:paraId="14ABDEC6">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4.572</w:t>
            </w:r>
            <w:r>
              <w:rPr>
                <w:rFonts w:hint="eastAsia"/>
                <w:snapToGrid w:val="0"/>
                <w:color w:val="auto"/>
                <w:kern w:val="21"/>
                <w:sz w:val="21"/>
                <w:szCs w:val="21"/>
                <w:highlight w:val="none"/>
              </w:rPr>
              <w:t>t/a</w:t>
            </w:r>
          </w:p>
        </w:tc>
      </w:tr>
      <w:tr w14:paraId="36A30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2D2895FA">
            <w:pPr>
              <w:pStyle w:val="54"/>
              <w:spacing w:beforeLines="0" w:afterLines="0" w:line="240" w:lineRule="auto"/>
              <w:rPr>
                <w:rFonts w:ascii="Times New Roman"/>
                <w:snapToGrid w:val="0"/>
                <w:color w:val="auto"/>
                <w:kern w:val="21"/>
                <w:szCs w:val="21"/>
              </w:rPr>
            </w:pPr>
          </w:p>
        </w:tc>
        <w:tc>
          <w:tcPr>
            <w:tcW w:w="1417" w:type="dxa"/>
            <w:vAlign w:val="center"/>
          </w:tcPr>
          <w:p w14:paraId="33D854FB">
            <w:pPr>
              <w:tabs>
                <w:tab w:val="center" w:pos="4153"/>
                <w:tab w:val="right" w:pos="8306"/>
              </w:tabs>
              <w:jc w:val="center"/>
              <w:rPr>
                <w:rFonts w:hint="default" w:eastAsia="宋体"/>
                <w:snapToGrid w:val="0"/>
                <w:color w:val="auto"/>
                <w:sz w:val="21"/>
                <w:szCs w:val="21"/>
                <w:lang w:val="en-US" w:eastAsia="zh-CN"/>
              </w:rPr>
            </w:pPr>
            <w:r>
              <w:rPr>
                <w:rFonts w:hint="eastAsia"/>
                <w:snapToGrid w:val="0"/>
                <w:color w:val="auto"/>
                <w:sz w:val="21"/>
                <w:szCs w:val="21"/>
                <w:lang w:val="en-US" w:eastAsia="zh-CN"/>
              </w:rPr>
              <w:t>废布袋</w:t>
            </w:r>
          </w:p>
        </w:tc>
        <w:tc>
          <w:tcPr>
            <w:tcW w:w="1701" w:type="dxa"/>
            <w:vAlign w:val="center"/>
          </w:tcPr>
          <w:p w14:paraId="18522F85">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0</w:t>
            </w:r>
          </w:p>
        </w:tc>
        <w:tc>
          <w:tcPr>
            <w:tcW w:w="1276" w:type="dxa"/>
            <w:vAlign w:val="center"/>
          </w:tcPr>
          <w:p w14:paraId="29A000DC">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66C7B325">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004052CA">
            <w:pPr>
              <w:tabs>
                <w:tab w:val="center" w:pos="4153"/>
                <w:tab w:val="right" w:pos="8306"/>
              </w:tabs>
              <w:jc w:val="center"/>
              <w:rPr>
                <w:rFonts w:hint="default"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0.3t/3a</w:t>
            </w:r>
          </w:p>
        </w:tc>
        <w:tc>
          <w:tcPr>
            <w:tcW w:w="1521" w:type="dxa"/>
            <w:vAlign w:val="center"/>
          </w:tcPr>
          <w:p w14:paraId="055B5B99">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07E3E3FA">
            <w:pPr>
              <w:tabs>
                <w:tab w:val="center" w:pos="4153"/>
                <w:tab w:val="right" w:pos="8306"/>
              </w:tabs>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0.3t/3a</w:t>
            </w:r>
          </w:p>
        </w:tc>
        <w:tc>
          <w:tcPr>
            <w:tcW w:w="1324" w:type="dxa"/>
            <w:vAlign w:val="center"/>
          </w:tcPr>
          <w:p w14:paraId="0A23D1A0">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0.3t/3a</w:t>
            </w:r>
          </w:p>
        </w:tc>
      </w:tr>
      <w:tr w14:paraId="6F6A07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2E6462C1">
            <w:pPr>
              <w:pStyle w:val="54"/>
              <w:spacing w:beforeLines="0" w:afterLines="0" w:line="240" w:lineRule="auto"/>
              <w:rPr>
                <w:rFonts w:ascii="Times New Roman"/>
                <w:snapToGrid w:val="0"/>
                <w:color w:val="auto"/>
                <w:kern w:val="21"/>
                <w:szCs w:val="21"/>
              </w:rPr>
            </w:pPr>
          </w:p>
        </w:tc>
        <w:tc>
          <w:tcPr>
            <w:tcW w:w="1417" w:type="dxa"/>
            <w:vAlign w:val="center"/>
          </w:tcPr>
          <w:p w14:paraId="59B98A81">
            <w:pPr>
              <w:pStyle w:val="54"/>
              <w:spacing w:beforeLines="0" w:afterLines="0" w:line="240" w:lineRule="auto"/>
              <w:rPr>
                <w:rFonts w:hint="default" w:ascii="Times New Roman" w:eastAsia="宋体"/>
                <w:snapToGrid w:val="0"/>
                <w:color w:val="auto"/>
                <w:sz w:val="21"/>
                <w:szCs w:val="21"/>
                <w:lang w:val="en-US" w:eastAsia="zh-CN"/>
              </w:rPr>
            </w:pPr>
            <w:r>
              <w:rPr>
                <w:rFonts w:hint="eastAsia" w:ascii="Times New Roman"/>
                <w:snapToGrid w:val="0"/>
                <w:color w:val="auto"/>
                <w:sz w:val="21"/>
                <w:szCs w:val="21"/>
                <w:lang w:val="en-US" w:eastAsia="zh-CN"/>
              </w:rPr>
              <w:t>生活垃圾</w:t>
            </w:r>
          </w:p>
        </w:tc>
        <w:tc>
          <w:tcPr>
            <w:tcW w:w="1701" w:type="dxa"/>
            <w:vAlign w:val="center"/>
          </w:tcPr>
          <w:p w14:paraId="1D7B301C">
            <w:pPr>
              <w:pStyle w:val="54"/>
              <w:spacing w:beforeLines="0" w:afterLines="0" w:line="240" w:lineRule="auto"/>
              <w:rPr>
                <w:rFonts w:ascii="Times New Roman"/>
                <w:snapToGrid w:val="0"/>
                <w:color w:val="auto"/>
                <w:kern w:val="21"/>
                <w:sz w:val="21"/>
                <w:szCs w:val="21"/>
              </w:rPr>
            </w:pPr>
            <w:r>
              <w:rPr>
                <w:rFonts w:hint="eastAsia" w:ascii="Times New Roman"/>
                <w:snapToGrid w:val="0"/>
                <w:color w:val="auto"/>
                <w:kern w:val="21"/>
                <w:sz w:val="21"/>
                <w:szCs w:val="21"/>
                <w:lang w:val="en-US" w:eastAsia="zh-CN"/>
              </w:rPr>
              <w:t>1.095t/a</w:t>
            </w:r>
          </w:p>
        </w:tc>
        <w:tc>
          <w:tcPr>
            <w:tcW w:w="1276" w:type="dxa"/>
            <w:vAlign w:val="center"/>
          </w:tcPr>
          <w:p w14:paraId="6BB452F0">
            <w:pPr>
              <w:pStyle w:val="54"/>
              <w:spacing w:beforeLines="0" w:afterLines="0" w:line="240" w:lineRule="auto"/>
              <w:rPr>
                <w:rFonts w:hint="eastAsia"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7DFD92F8">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6565D2DF">
            <w:pPr>
              <w:tabs>
                <w:tab w:val="center" w:pos="4153"/>
                <w:tab w:val="right" w:pos="8306"/>
              </w:tabs>
              <w:jc w:val="center"/>
              <w:rPr>
                <w:rFonts w:hint="default"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0.05t/a</w:t>
            </w:r>
          </w:p>
        </w:tc>
        <w:tc>
          <w:tcPr>
            <w:tcW w:w="1521" w:type="dxa"/>
            <w:vAlign w:val="center"/>
          </w:tcPr>
          <w:p w14:paraId="487C3804">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4FCC8459">
            <w:pPr>
              <w:tabs>
                <w:tab w:val="center" w:pos="4153"/>
                <w:tab w:val="right" w:pos="8306"/>
              </w:tabs>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1.145t/a</w:t>
            </w:r>
          </w:p>
        </w:tc>
        <w:tc>
          <w:tcPr>
            <w:tcW w:w="1324" w:type="dxa"/>
            <w:vAlign w:val="center"/>
          </w:tcPr>
          <w:p w14:paraId="325B5E3F">
            <w:pPr>
              <w:tabs>
                <w:tab w:val="center" w:pos="4153"/>
                <w:tab w:val="right" w:pos="8306"/>
              </w:tabs>
              <w:jc w:val="center"/>
              <w:rPr>
                <w:snapToGrid w:val="0"/>
                <w:color w:val="auto"/>
                <w:kern w:val="21"/>
                <w:sz w:val="21"/>
                <w:szCs w:val="21"/>
                <w:highlight w:val="none"/>
              </w:rPr>
            </w:pPr>
            <w:r>
              <w:rPr>
                <w:rFonts w:hint="eastAsia"/>
                <w:snapToGrid w:val="0"/>
                <w:color w:val="auto"/>
                <w:kern w:val="21"/>
                <w:sz w:val="21"/>
                <w:szCs w:val="21"/>
                <w:highlight w:val="none"/>
                <w:lang w:val="en-US" w:eastAsia="zh-CN"/>
              </w:rPr>
              <w:t>0.05t/a</w:t>
            </w:r>
          </w:p>
        </w:tc>
      </w:tr>
      <w:tr w14:paraId="105199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A8C1FB6">
            <w:pPr>
              <w:pStyle w:val="54"/>
              <w:spacing w:beforeLines="0" w:afterLines="0" w:line="240" w:lineRule="auto"/>
              <w:rPr>
                <w:rFonts w:ascii="Times New Roman"/>
                <w:snapToGrid w:val="0"/>
                <w:color w:val="auto"/>
                <w:kern w:val="21"/>
                <w:szCs w:val="21"/>
              </w:rPr>
            </w:pPr>
          </w:p>
        </w:tc>
        <w:tc>
          <w:tcPr>
            <w:tcW w:w="1417" w:type="dxa"/>
            <w:vAlign w:val="center"/>
          </w:tcPr>
          <w:p w14:paraId="2B68BCC8">
            <w:pPr>
              <w:pStyle w:val="54"/>
              <w:spacing w:beforeLines="0" w:afterLines="0" w:line="240" w:lineRule="auto"/>
              <w:rPr>
                <w:rFonts w:hint="eastAsia" w:ascii="Times New Roman"/>
                <w:snapToGrid w:val="0"/>
                <w:color w:val="auto"/>
                <w:sz w:val="21"/>
                <w:szCs w:val="21"/>
                <w:lang w:val="en-US" w:eastAsia="zh-CN"/>
              </w:rPr>
            </w:pPr>
            <w:r>
              <w:rPr>
                <w:rFonts w:hint="eastAsia" w:ascii="Times New Roman"/>
                <w:snapToGrid w:val="0"/>
                <w:color w:val="auto"/>
                <w:sz w:val="21"/>
                <w:szCs w:val="21"/>
                <w:lang w:val="en-US" w:eastAsia="zh-CN"/>
              </w:rPr>
              <w:t>废离子交换树脂</w:t>
            </w:r>
          </w:p>
        </w:tc>
        <w:tc>
          <w:tcPr>
            <w:tcW w:w="1701" w:type="dxa"/>
            <w:vAlign w:val="center"/>
          </w:tcPr>
          <w:p w14:paraId="66228321">
            <w:pPr>
              <w:pStyle w:val="54"/>
              <w:spacing w:beforeLines="0" w:afterLines="0" w:line="240" w:lineRule="auto"/>
              <w:rPr>
                <w:rFonts w:hint="default" w:ascii="Times New Roman"/>
                <w:snapToGrid w:val="0"/>
                <w:color w:val="auto"/>
                <w:kern w:val="21"/>
                <w:sz w:val="21"/>
                <w:szCs w:val="21"/>
                <w:lang w:val="en-US" w:eastAsia="zh-CN"/>
              </w:rPr>
            </w:pPr>
            <w:r>
              <w:rPr>
                <w:rFonts w:hint="eastAsia" w:ascii="Times New Roman"/>
                <w:snapToGrid w:val="0"/>
                <w:color w:val="auto"/>
                <w:kern w:val="21"/>
                <w:sz w:val="21"/>
                <w:szCs w:val="21"/>
                <w:lang w:val="en-US" w:eastAsia="zh-CN"/>
              </w:rPr>
              <w:t>0.01t/a</w:t>
            </w:r>
          </w:p>
        </w:tc>
        <w:tc>
          <w:tcPr>
            <w:tcW w:w="1276" w:type="dxa"/>
            <w:vAlign w:val="center"/>
          </w:tcPr>
          <w:p w14:paraId="49589057">
            <w:pPr>
              <w:pStyle w:val="54"/>
              <w:spacing w:beforeLines="0" w:afterLines="0" w:line="240" w:lineRule="auto"/>
              <w:rPr>
                <w:rFonts w:hint="default" w:ascii="Times New Roman"/>
                <w:snapToGrid w:val="0"/>
                <w:color w:val="auto"/>
                <w:kern w:val="21"/>
                <w:sz w:val="21"/>
                <w:szCs w:val="21"/>
                <w:lang w:val="en-US" w:eastAsia="zh-CN"/>
              </w:rPr>
            </w:pPr>
            <w:r>
              <w:rPr>
                <w:rFonts w:hint="eastAsia" w:ascii="Times New Roman"/>
                <w:snapToGrid w:val="0"/>
                <w:color w:val="auto"/>
                <w:kern w:val="21"/>
                <w:sz w:val="21"/>
                <w:szCs w:val="21"/>
                <w:lang w:val="en-US" w:eastAsia="zh-CN"/>
              </w:rPr>
              <w:t>/</w:t>
            </w:r>
          </w:p>
        </w:tc>
        <w:tc>
          <w:tcPr>
            <w:tcW w:w="1701" w:type="dxa"/>
            <w:vAlign w:val="center"/>
          </w:tcPr>
          <w:p w14:paraId="78F6A7C9">
            <w:pPr>
              <w:pStyle w:val="54"/>
              <w:spacing w:beforeLines="0" w:afterLines="0" w:line="240" w:lineRule="auto"/>
              <w:rPr>
                <w:rFonts w:hint="default" w:ascii="Times New Roman" w:eastAsia="宋体"/>
                <w:snapToGrid w:val="0"/>
                <w:color w:val="auto"/>
                <w:kern w:val="21"/>
                <w:sz w:val="21"/>
                <w:szCs w:val="21"/>
                <w:lang w:val="en-US" w:eastAsia="zh-CN"/>
              </w:rPr>
            </w:pPr>
            <w:r>
              <w:rPr>
                <w:rFonts w:hint="eastAsia" w:ascii="Times New Roman"/>
                <w:snapToGrid w:val="0"/>
                <w:color w:val="auto"/>
                <w:kern w:val="21"/>
                <w:sz w:val="21"/>
                <w:szCs w:val="21"/>
                <w:lang w:val="en-US" w:eastAsia="zh-CN"/>
              </w:rPr>
              <w:t>0</w:t>
            </w:r>
          </w:p>
        </w:tc>
        <w:tc>
          <w:tcPr>
            <w:tcW w:w="1559" w:type="dxa"/>
            <w:vAlign w:val="center"/>
          </w:tcPr>
          <w:p w14:paraId="658C6A0D">
            <w:pPr>
              <w:tabs>
                <w:tab w:val="center" w:pos="4153"/>
                <w:tab w:val="right" w:pos="8306"/>
              </w:tabs>
              <w:jc w:val="center"/>
              <w:rPr>
                <w:rFonts w:hint="default"/>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w:t>
            </w:r>
          </w:p>
        </w:tc>
        <w:tc>
          <w:tcPr>
            <w:tcW w:w="1521" w:type="dxa"/>
            <w:vAlign w:val="center"/>
          </w:tcPr>
          <w:p w14:paraId="517CE693">
            <w:pPr>
              <w:pStyle w:val="54"/>
              <w:spacing w:beforeLines="0" w:afterLines="0" w:line="240" w:lineRule="auto"/>
              <w:rPr>
                <w:rFonts w:ascii="Times New Roman"/>
                <w:snapToGrid w:val="0"/>
                <w:color w:val="auto"/>
                <w:kern w:val="21"/>
                <w:sz w:val="21"/>
                <w:szCs w:val="21"/>
                <w:highlight w:val="none"/>
              </w:rPr>
            </w:pPr>
            <w:r>
              <w:rPr>
                <w:rFonts w:hint="eastAsia" w:ascii="Times New Roman"/>
                <w:snapToGrid w:val="0"/>
                <w:color w:val="auto"/>
                <w:kern w:val="21"/>
                <w:sz w:val="21"/>
                <w:szCs w:val="21"/>
                <w:lang w:val="en-US" w:eastAsia="zh-CN"/>
              </w:rPr>
              <w:t>0</w:t>
            </w:r>
          </w:p>
        </w:tc>
        <w:tc>
          <w:tcPr>
            <w:tcW w:w="1701" w:type="dxa"/>
            <w:vAlign w:val="center"/>
          </w:tcPr>
          <w:p w14:paraId="4E98EC12">
            <w:pPr>
              <w:tabs>
                <w:tab w:val="center" w:pos="4153"/>
                <w:tab w:val="right" w:pos="8306"/>
              </w:tabs>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0.01t/a</w:t>
            </w:r>
          </w:p>
        </w:tc>
        <w:tc>
          <w:tcPr>
            <w:tcW w:w="1324" w:type="dxa"/>
            <w:vAlign w:val="center"/>
          </w:tcPr>
          <w:p w14:paraId="64808713">
            <w:pPr>
              <w:tabs>
                <w:tab w:val="center" w:pos="4153"/>
                <w:tab w:val="right" w:pos="8306"/>
              </w:tabs>
              <w:jc w:val="center"/>
              <w:rPr>
                <w:rFonts w:hint="default"/>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0t/a</w:t>
            </w:r>
          </w:p>
        </w:tc>
      </w:tr>
      <w:tr w14:paraId="70E42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4E3BF3B1">
            <w:pPr>
              <w:pStyle w:val="54"/>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vAlign w:val="center"/>
          </w:tcPr>
          <w:p w14:paraId="0AF581A8">
            <w:pPr>
              <w:spacing w:line="360" w:lineRule="exact"/>
              <w:jc w:val="center"/>
              <w:rPr>
                <w:rFonts w:hint="eastAsia" w:ascii="Times New Roman" w:eastAsia="宋体"/>
                <w:snapToGrid w:val="0"/>
                <w:color w:val="auto"/>
                <w:spacing w:val="0"/>
                <w:kern w:val="21"/>
                <w:sz w:val="21"/>
                <w:szCs w:val="21"/>
                <w:lang w:eastAsia="zh-CN"/>
              </w:rPr>
            </w:pPr>
            <w:r>
              <w:rPr>
                <w:rFonts w:hint="default" w:ascii="Times New Roman" w:hAnsi="Times New Roman" w:eastAsia="宋体" w:cs="Times New Roman"/>
                <w:color w:val="auto"/>
                <w:spacing w:val="0"/>
                <w:sz w:val="21"/>
                <w:szCs w:val="21"/>
                <w:lang w:eastAsia="zh-CN"/>
              </w:rPr>
              <w:t>废矿物油</w:t>
            </w:r>
          </w:p>
        </w:tc>
        <w:tc>
          <w:tcPr>
            <w:tcW w:w="1701" w:type="dxa"/>
            <w:vAlign w:val="center"/>
          </w:tcPr>
          <w:p w14:paraId="4916DAC5">
            <w:pPr>
              <w:pStyle w:val="5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76" w:type="dxa"/>
            <w:vAlign w:val="center"/>
          </w:tcPr>
          <w:p w14:paraId="07230E35">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 w:val="21"/>
                <w:szCs w:val="21"/>
                <w:lang w:val="en-US" w:eastAsia="zh-CN"/>
              </w:rPr>
              <w:t>/</w:t>
            </w:r>
          </w:p>
        </w:tc>
        <w:tc>
          <w:tcPr>
            <w:tcW w:w="1701" w:type="dxa"/>
            <w:vAlign w:val="center"/>
          </w:tcPr>
          <w:p w14:paraId="217B6E8D">
            <w:pPr>
              <w:pStyle w:val="5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559" w:type="dxa"/>
            <w:vAlign w:val="center"/>
          </w:tcPr>
          <w:p w14:paraId="09AD53FF">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0.05</w:t>
            </w:r>
            <w:r>
              <w:rPr>
                <w:rFonts w:hint="eastAsia" w:ascii="Times New Roman"/>
                <w:snapToGrid w:val="0"/>
                <w:color w:val="auto"/>
                <w:kern w:val="21"/>
                <w:sz w:val="21"/>
                <w:szCs w:val="21"/>
                <w:lang w:val="en-US" w:eastAsia="zh-CN"/>
              </w:rPr>
              <w:t>t/a</w:t>
            </w:r>
          </w:p>
        </w:tc>
        <w:tc>
          <w:tcPr>
            <w:tcW w:w="1521" w:type="dxa"/>
            <w:vAlign w:val="center"/>
          </w:tcPr>
          <w:p w14:paraId="7B1E13BE">
            <w:pPr>
              <w:pStyle w:val="5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701" w:type="dxa"/>
            <w:vAlign w:val="center"/>
          </w:tcPr>
          <w:p w14:paraId="16E7B891">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0.05</w:t>
            </w:r>
            <w:r>
              <w:rPr>
                <w:rFonts w:hint="eastAsia" w:ascii="Times New Roman"/>
                <w:snapToGrid w:val="0"/>
                <w:color w:val="auto"/>
                <w:kern w:val="21"/>
                <w:sz w:val="21"/>
                <w:szCs w:val="21"/>
                <w:lang w:val="en-US" w:eastAsia="zh-CN"/>
              </w:rPr>
              <w:t>t/a</w:t>
            </w:r>
          </w:p>
        </w:tc>
        <w:tc>
          <w:tcPr>
            <w:tcW w:w="1324" w:type="dxa"/>
            <w:vAlign w:val="center"/>
          </w:tcPr>
          <w:p w14:paraId="1C43F975">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0.05</w:t>
            </w:r>
            <w:r>
              <w:rPr>
                <w:rFonts w:hint="eastAsia" w:ascii="Times New Roman"/>
                <w:snapToGrid w:val="0"/>
                <w:color w:val="auto"/>
                <w:kern w:val="21"/>
                <w:sz w:val="21"/>
                <w:szCs w:val="21"/>
                <w:lang w:val="en-US" w:eastAsia="zh-CN"/>
              </w:rPr>
              <w:t>t/a</w:t>
            </w:r>
          </w:p>
        </w:tc>
      </w:tr>
      <w:tr w14:paraId="64B8FF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A77E188">
            <w:pPr>
              <w:pStyle w:val="54"/>
              <w:spacing w:beforeLines="0" w:afterLines="0" w:line="240" w:lineRule="auto"/>
              <w:rPr>
                <w:rFonts w:ascii="Times New Roman"/>
                <w:snapToGrid w:val="0"/>
                <w:color w:val="auto"/>
                <w:kern w:val="21"/>
                <w:szCs w:val="21"/>
              </w:rPr>
            </w:pPr>
          </w:p>
        </w:tc>
        <w:tc>
          <w:tcPr>
            <w:tcW w:w="1417" w:type="dxa"/>
            <w:vAlign w:val="center"/>
          </w:tcPr>
          <w:p w14:paraId="190C01D6">
            <w:pPr>
              <w:spacing w:line="360" w:lineRule="exact"/>
              <w:jc w:val="center"/>
              <w:rPr>
                <w:rFonts w:ascii="Times New Roman"/>
                <w:snapToGrid w:val="0"/>
                <w:color w:val="auto"/>
                <w:spacing w:val="0"/>
                <w:kern w:val="21"/>
                <w:sz w:val="21"/>
                <w:szCs w:val="21"/>
              </w:rPr>
            </w:pPr>
            <w:r>
              <w:rPr>
                <w:rFonts w:hint="default" w:ascii="Times New Roman" w:hAnsi="Times New Roman" w:eastAsia="宋体" w:cs="Times New Roman"/>
                <w:color w:val="auto"/>
                <w:spacing w:val="0"/>
                <w:sz w:val="21"/>
                <w:szCs w:val="21"/>
                <w:lang w:eastAsia="zh-CN"/>
              </w:rPr>
              <w:t>废矿物油</w:t>
            </w:r>
            <w:r>
              <w:rPr>
                <w:rFonts w:hint="eastAsia" w:ascii="Times New Roman" w:hAnsi="Times New Roman" w:eastAsia="宋体" w:cs="Times New Roman"/>
                <w:color w:val="auto"/>
                <w:spacing w:val="0"/>
                <w:sz w:val="21"/>
                <w:szCs w:val="21"/>
                <w:lang w:eastAsia="zh-CN"/>
              </w:rPr>
              <w:t>桶</w:t>
            </w:r>
          </w:p>
        </w:tc>
        <w:tc>
          <w:tcPr>
            <w:tcW w:w="1701" w:type="dxa"/>
            <w:vAlign w:val="center"/>
          </w:tcPr>
          <w:p w14:paraId="1120E10F">
            <w:pPr>
              <w:pStyle w:val="5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76" w:type="dxa"/>
            <w:vAlign w:val="center"/>
          </w:tcPr>
          <w:p w14:paraId="5613CC94">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 w:val="21"/>
                <w:szCs w:val="21"/>
                <w:lang w:val="en-US" w:eastAsia="zh-CN"/>
              </w:rPr>
              <w:t>/</w:t>
            </w:r>
          </w:p>
        </w:tc>
        <w:tc>
          <w:tcPr>
            <w:tcW w:w="1701" w:type="dxa"/>
            <w:vAlign w:val="center"/>
          </w:tcPr>
          <w:p w14:paraId="532CA2E3">
            <w:pPr>
              <w:pStyle w:val="5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559" w:type="dxa"/>
            <w:vAlign w:val="center"/>
          </w:tcPr>
          <w:p w14:paraId="4FD64C0E">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0.005</w:t>
            </w:r>
            <w:r>
              <w:rPr>
                <w:rFonts w:hint="eastAsia" w:ascii="Times New Roman"/>
                <w:snapToGrid w:val="0"/>
                <w:color w:val="auto"/>
                <w:kern w:val="21"/>
                <w:sz w:val="21"/>
                <w:szCs w:val="21"/>
                <w:lang w:val="en-US" w:eastAsia="zh-CN"/>
              </w:rPr>
              <w:t>t/a</w:t>
            </w:r>
          </w:p>
        </w:tc>
        <w:tc>
          <w:tcPr>
            <w:tcW w:w="1521" w:type="dxa"/>
            <w:vAlign w:val="center"/>
          </w:tcPr>
          <w:p w14:paraId="0F195F8C">
            <w:pPr>
              <w:pStyle w:val="54"/>
              <w:spacing w:beforeLines="0" w:afterLines="0" w:line="240" w:lineRule="auto"/>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701" w:type="dxa"/>
            <w:vAlign w:val="center"/>
          </w:tcPr>
          <w:p w14:paraId="164C155F">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0.005</w:t>
            </w:r>
            <w:r>
              <w:rPr>
                <w:rFonts w:hint="eastAsia" w:ascii="Times New Roman"/>
                <w:snapToGrid w:val="0"/>
                <w:color w:val="auto"/>
                <w:kern w:val="21"/>
                <w:sz w:val="21"/>
                <w:szCs w:val="21"/>
                <w:lang w:val="en-US" w:eastAsia="zh-CN"/>
              </w:rPr>
              <w:t>t/a</w:t>
            </w:r>
          </w:p>
        </w:tc>
        <w:tc>
          <w:tcPr>
            <w:tcW w:w="1324" w:type="dxa"/>
            <w:vAlign w:val="center"/>
          </w:tcPr>
          <w:p w14:paraId="48EB4F76">
            <w:pPr>
              <w:pStyle w:val="5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0.005</w:t>
            </w:r>
            <w:r>
              <w:rPr>
                <w:rFonts w:hint="eastAsia" w:ascii="Times New Roman"/>
                <w:snapToGrid w:val="0"/>
                <w:color w:val="auto"/>
                <w:kern w:val="21"/>
                <w:sz w:val="21"/>
                <w:szCs w:val="21"/>
                <w:lang w:val="en-US" w:eastAsia="zh-CN"/>
              </w:rPr>
              <w:t>t/a</w:t>
            </w:r>
          </w:p>
        </w:tc>
      </w:tr>
    </w:tbl>
    <w:p w14:paraId="4B57FC66">
      <w:pPr>
        <w:pStyle w:val="54"/>
        <w:spacing w:beforeLines="80" w:after="24"/>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p>
    <w:p w14:paraId="515EB4F5">
      <w:pPr>
        <w:pStyle w:val="2"/>
        <w:spacing w:before="0" w:after="0" w:line="360" w:lineRule="auto"/>
        <w:ind w:left="0" w:firstLine="0"/>
        <w:rPr>
          <w:rFonts w:eastAsia="宋体"/>
          <w:snapToGrid w:val="0"/>
          <w:color w:val="auto"/>
          <w:sz w:val="28"/>
        </w:rPr>
      </w:pPr>
      <w:bookmarkStart w:id="18" w:name="_Toc16244"/>
      <w:r>
        <w:rPr>
          <w:rFonts w:eastAsia="宋体"/>
          <w:snapToGrid w:val="0"/>
          <w:color w:val="auto"/>
          <w:sz w:val="28"/>
        </w:rPr>
        <w:t>附图</w:t>
      </w:r>
      <w:bookmarkEnd w:id="18"/>
    </w:p>
    <w:p w14:paraId="31FA661E">
      <w:pPr>
        <w:pStyle w:val="77"/>
        <w:spacing w:line="240" w:lineRule="auto"/>
        <w:rPr>
          <w:color w:val="auto"/>
          <w:sz w:val="28"/>
          <w:szCs w:val="28"/>
        </w:rPr>
      </w:pPr>
      <w:bookmarkStart w:id="19" w:name="_Toc12037"/>
      <w:r>
        <w:rPr>
          <w:color w:val="auto"/>
          <w:sz w:val="28"/>
          <w:szCs w:val="28"/>
        </w:rPr>
        <w:t>附图1：地理位置图</w:t>
      </w:r>
      <w:bookmarkEnd w:id="19"/>
    </w:p>
    <w:p w14:paraId="3E5B46F2">
      <w:pPr>
        <w:rPr>
          <w:color w:val="auto"/>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14605</wp:posOffset>
                </wp:positionH>
                <wp:positionV relativeFrom="paragraph">
                  <wp:posOffset>4418330</wp:posOffset>
                </wp:positionV>
                <wp:extent cx="1332865" cy="848360"/>
                <wp:effectExtent l="4445" t="4445" r="15240" b="23495"/>
                <wp:wrapNone/>
                <wp:docPr id="62" name="文本框 4"/>
                <wp:cNvGraphicFramePr/>
                <a:graphic xmlns:a="http://schemas.openxmlformats.org/drawingml/2006/main">
                  <a:graphicData uri="http://schemas.microsoft.com/office/word/2010/wordprocessingShape">
                    <wps:wsp>
                      <wps:cNvSpPr txBox="1"/>
                      <wps:spPr>
                        <a:xfrm>
                          <a:off x="0" y="0"/>
                          <a:ext cx="1332865" cy="848360"/>
                        </a:xfrm>
                        <a:prstGeom prst="rect">
                          <a:avLst/>
                        </a:prstGeom>
                        <a:noFill/>
                        <a:ln w="9525" cap="flat" cmpd="sng">
                          <a:solidFill>
                            <a:srgbClr val="FF0000"/>
                          </a:solidFill>
                          <a:prstDash val="solid"/>
                          <a:miter/>
                          <a:headEnd type="none" w="med" len="med"/>
                          <a:tailEnd type="none" w="med" len="med"/>
                        </a:ln>
                      </wps:spPr>
                      <wps:txbx>
                        <w:txbxContent>
                          <w:p w14:paraId="2FBDCA6B">
                            <w:pPr>
                              <w:jc w:val="center"/>
                              <w:rPr>
                                <w:rFonts w:hint="eastAsia"/>
                                <w:color w:val="FF0000"/>
                                <w:lang w:eastAsia="zh-CN"/>
                              </w:rPr>
                            </w:pPr>
                            <w:r>
                              <w:rPr>
                                <w:rFonts w:hint="eastAsia"/>
                                <w:b/>
                                <w:bCs/>
                                <w:color w:val="FF0000"/>
                                <w:lang w:eastAsia="zh-CN"/>
                              </w:rPr>
                              <w:t>图例</w:t>
                            </w:r>
                          </w:p>
                          <w:p w14:paraId="0797FCC8">
                            <w:pPr>
                              <w:rPr>
                                <w:rFonts w:hint="default"/>
                                <w:color w:val="FF0000"/>
                                <w:lang w:val="en-US" w:eastAsia="zh-CN"/>
                              </w:rPr>
                            </w:pPr>
                            <w:r>
                              <w:drawing>
                                <wp:inline distT="0" distB="0" distL="114300" distR="114300">
                                  <wp:extent cx="198755" cy="102235"/>
                                  <wp:effectExtent l="0" t="0" r="10795" b="1206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41"/>
                                          <a:stretch>
                                            <a:fillRect/>
                                          </a:stretch>
                                        </pic:blipFill>
                                        <pic:spPr>
                                          <a:xfrm>
                                            <a:off x="0" y="0"/>
                                            <a:ext cx="198755" cy="102235"/>
                                          </a:xfrm>
                                          <a:prstGeom prst="rect">
                                            <a:avLst/>
                                          </a:prstGeom>
                                          <a:noFill/>
                                          <a:ln>
                                            <a:noFill/>
                                          </a:ln>
                                        </pic:spPr>
                                      </pic:pic>
                                    </a:graphicData>
                                  </a:graphic>
                                </wp:inline>
                              </w:drawing>
                            </w:r>
                            <w:r>
                              <w:rPr>
                                <w:rFonts w:hint="eastAsia"/>
                                <w:color w:val="FF0000"/>
                                <w:lang w:val="en-US" w:eastAsia="zh-CN"/>
                              </w:rPr>
                              <w:t xml:space="preserve"> 项目地理位置</w:t>
                            </w:r>
                          </w:p>
                          <w:p w14:paraId="2C201AB2">
                            <w:pPr>
                              <w:rPr>
                                <w:rFonts w:hint="eastAsia"/>
                                <w:color w:val="FF0000"/>
                                <w:lang w:eastAsia="zh-CN"/>
                              </w:rPr>
                            </w:pPr>
                          </w:p>
                          <w:p w14:paraId="686ABAD2">
                            <w:pPr>
                              <w:rPr>
                                <w:rFonts w:hint="eastAsia" w:eastAsia="宋体"/>
                                <w:color w:val="FF0000"/>
                                <w:lang w:eastAsia="zh-CN"/>
                              </w:rPr>
                            </w:pPr>
                            <w:r>
                              <w:rPr>
                                <w:rFonts w:hint="eastAsia"/>
                                <w:color w:val="FF0000"/>
                                <w:lang w:eastAsia="zh-CN"/>
                              </w:rPr>
                              <w:t>比例尺</w:t>
                            </w:r>
                          </w:p>
                        </w:txbxContent>
                      </wps:txbx>
                      <wps:bodyPr upright="1"/>
                    </wps:wsp>
                  </a:graphicData>
                </a:graphic>
              </wp:anchor>
            </w:drawing>
          </mc:Choice>
          <mc:Fallback>
            <w:pict>
              <v:shape id="文本框 4" o:spid="_x0000_s1026" o:spt="202" type="#_x0000_t202" style="position:absolute;left:0pt;margin-left:1.15pt;margin-top:347.9pt;height:66.8pt;width:104.95pt;z-index:251668480;mso-width-relative:page;mso-height-relative:page;" filled="f" stroked="t" coordsize="21600,21600" o:gfxdata="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SrUyXZAAAACQEAAA8AAAAAAAAAAQAgAAAA&#10;IgAAAGRycy9kb3ducmV2LnhtbFBLAQIUABQAAAAIAIdO4kDAw0WMCgIAAA4EAAAOAAAAAAAAAAEA&#10;IAAAACgBAABkcnMvZTJvRG9jLnhtbFBLBQYAAAAABgAGAFkBAACkBQAAAAA=&#10;">
                <v:fill on="f" focussize="0,0"/>
                <v:stroke color="#FF0000" joinstyle="miter"/>
                <v:imagedata o:title=""/>
                <o:lock v:ext="edit" aspectratio="f"/>
                <v:textbox>
                  <w:txbxContent>
                    <w:p w14:paraId="2FBDCA6B">
                      <w:pPr>
                        <w:jc w:val="center"/>
                        <w:rPr>
                          <w:rFonts w:hint="eastAsia"/>
                          <w:color w:val="FF0000"/>
                          <w:lang w:eastAsia="zh-CN"/>
                        </w:rPr>
                      </w:pPr>
                      <w:r>
                        <w:rPr>
                          <w:rFonts w:hint="eastAsia"/>
                          <w:b/>
                          <w:bCs/>
                          <w:color w:val="FF0000"/>
                          <w:lang w:eastAsia="zh-CN"/>
                        </w:rPr>
                        <w:t>图例</w:t>
                      </w:r>
                    </w:p>
                    <w:p w14:paraId="0797FCC8">
                      <w:pPr>
                        <w:rPr>
                          <w:rFonts w:hint="default"/>
                          <w:color w:val="FF0000"/>
                          <w:lang w:val="en-US" w:eastAsia="zh-CN"/>
                        </w:rPr>
                      </w:pPr>
                      <w:r>
                        <w:drawing>
                          <wp:inline distT="0" distB="0" distL="114300" distR="114300">
                            <wp:extent cx="198755" cy="102235"/>
                            <wp:effectExtent l="0" t="0" r="10795" b="1206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41"/>
                                    <a:stretch>
                                      <a:fillRect/>
                                    </a:stretch>
                                  </pic:blipFill>
                                  <pic:spPr>
                                    <a:xfrm>
                                      <a:off x="0" y="0"/>
                                      <a:ext cx="198755" cy="102235"/>
                                    </a:xfrm>
                                    <a:prstGeom prst="rect">
                                      <a:avLst/>
                                    </a:prstGeom>
                                    <a:noFill/>
                                    <a:ln>
                                      <a:noFill/>
                                    </a:ln>
                                  </pic:spPr>
                                </pic:pic>
                              </a:graphicData>
                            </a:graphic>
                          </wp:inline>
                        </w:drawing>
                      </w:r>
                      <w:r>
                        <w:rPr>
                          <w:rFonts w:hint="eastAsia"/>
                          <w:color w:val="FF0000"/>
                          <w:lang w:val="en-US" w:eastAsia="zh-CN"/>
                        </w:rPr>
                        <w:t xml:space="preserve"> 项目地理位置</w:t>
                      </w:r>
                    </w:p>
                    <w:p w14:paraId="2C201AB2">
                      <w:pPr>
                        <w:rPr>
                          <w:rFonts w:hint="eastAsia"/>
                          <w:color w:val="FF0000"/>
                          <w:lang w:eastAsia="zh-CN"/>
                        </w:rPr>
                      </w:pPr>
                    </w:p>
                    <w:p w14:paraId="686ABAD2">
                      <w:pPr>
                        <w:rPr>
                          <w:rFonts w:hint="eastAsia" w:eastAsia="宋体"/>
                          <w:color w:val="FF0000"/>
                          <w:lang w:eastAsia="zh-CN"/>
                        </w:rPr>
                      </w:pPr>
                      <w:r>
                        <w:rPr>
                          <w:rFonts w:hint="eastAsia"/>
                          <w:color w:val="FF0000"/>
                          <w:lang w:eastAsia="zh-CN"/>
                        </w:rPr>
                        <w:t>比例尺</w:t>
                      </w:r>
                    </w:p>
                  </w:txbxContent>
                </v:textbox>
              </v:shape>
            </w:pict>
          </mc:Fallback>
        </mc:AlternateContent>
      </w:r>
      <w:r>
        <w:rPr>
          <w:color w:val="auto"/>
        </w:rPr>
        <w:drawing>
          <wp:inline distT="0" distB="0" distL="114300" distR="114300">
            <wp:extent cx="8738870" cy="5290185"/>
            <wp:effectExtent l="0" t="0" r="5080" b="5715"/>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pic:cNvPicPr>
                      <a:picLocks noChangeAspect="1"/>
                    </pic:cNvPicPr>
                  </pic:nvPicPr>
                  <pic:blipFill>
                    <a:blip r:embed="rId42"/>
                    <a:stretch>
                      <a:fillRect/>
                    </a:stretch>
                  </pic:blipFill>
                  <pic:spPr>
                    <a:xfrm>
                      <a:off x="0" y="0"/>
                      <a:ext cx="8738870" cy="5290185"/>
                    </a:xfrm>
                    <a:prstGeom prst="rect">
                      <a:avLst/>
                    </a:prstGeom>
                    <a:noFill/>
                    <a:ln>
                      <a:noFill/>
                    </a:ln>
                  </pic:spPr>
                </pic:pic>
              </a:graphicData>
            </a:graphic>
          </wp:inline>
        </w:drawing>
      </w:r>
      <w:r>
        <w:rPr>
          <w:color w:val="auto"/>
        </w:rPr>
        <w:drawing>
          <wp:anchor distT="0" distB="0" distL="114300" distR="114300" simplePos="0" relativeHeight="251662336" behindDoc="0" locked="0" layoutInCell="1" allowOverlap="1">
            <wp:simplePos x="0" y="0"/>
            <wp:positionH relativeFrom="column">
              <wp:posOffset>7835265</wp:posOffset>
            </wp:positionH>
            <wp:positionV relativeFrom="paragraph">
              <wp:posOffset>17145</wp:posOffset>
            </wp:positionV>
            <wp:extent cx="876300" cy="871220"/>
            <wp:effectExtent l="0" t="0" r="0" b="508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76300" cy="871220"/>
                    </a:xfrm>
                    <a:prstGeom prst="rect">
                      <a:avLst/>
                    </a:prstGeom>
                    <a:noFill/>
                    <a:ln>
                      <a:noFill/>
                    </a:ln>
                  </pic:spPr>
                </pic:pic>
              </a:graphicData>
            </a:graphic>
          </wp:anchor>
        </w:drawing>
      </w:r>
    </w:p>
    <w:p w14:paraId="67A175F9">
      <w:pPr>
        <w:pStyle w:val="77"/>
        <w:spacing w:line="240" w:lineRule="auto"/>
        <w:rPr>
          <w:color w:val="auto"/>
          <w:sz w:val="28"/>
          <w:szCs w:val="28"/>
          <w:highlight w:val="none"/>
        </w:rPr>
      </w:pPr>
      <w:bookmarkStart w:id="20" w:name="_Toc10146"/>
      <w:r>
        <w:rPr>
          <w:color w:val="auto"/>
          <w:sz w:val="28"/>
          <w:szCs w:val="28"/>
          <w:highlight w:val="none"/>
        </w:rPr>
        <w:t>附图</w:t>
      </w:r>
      <w:r>
        <w:rPr>
          <w:rFonts w:hint="eastAsia"/>
          <w:color w:val="auto"/>
          <w:sz w:val="28"/>
          <w:szCs w:val="28"/>
          <w:highlight w:val="none"/>
        </w:rPr>
        <w:t>2</w:t>
      </w:r>
      <w:r>
        <w:rPr>
          <w:color w:val="auto"/>
          <w:sz w:val="28"/>
          <w:szCs w:val="28"/>
          <w:highlight w:val="none"/>
        </w:rPr>
        <w:t>：</w:t>
      </w:r>
      <w:r>
        <w:rPr>
          <w:rFonts w:hint="eastAsia"/>
          <w:color w:val="auto"/>
          <w:sz w:val="28"/>
          <w:szCs w:val="28"/>
          <w:highlight w:val="none"/>
        </w:rPr>
        <w:t>周边环境关系图</w:t>
      </w:r>
      <w:bookmarkEnd w:id="20"/>
    </w:p>
    <w:p w14:paraId="244F9662">
      <w:pPr>
        <w:pStyle w:val="70"/>
        <w:ind w:firstLine="20"/>
        <w:rPr>
          <w:snapToGrid w:val="0"/>
          <w:color w:val="auto"/>
          <w:w w:val="0"/>
          <w:kern w:val="0"/>
          <w:sz w:val="0"/>
          <w:szCs w:val="0"/>
          <w:u w:color="000000"/>
          <w:shd w:val="clear" w:color="000000" w:fill="000000"/>
          <w:lang w:bidi="zh-CN"/>
        </w:rPr>
      </w:pPr>
    </w:p>
    <w:p w14:paraId="476B39C7">
      <w:pPr>
        <w:pStyle w:val="70"/>
        <w:ind w:firstLine="20"/>
        <w:rPr>
          <w:snapToGrid w:val="0"/>
          <w:color w:val="auto"/>
          <w:w w:val="0"/>
          <w:kern w:val="0"/>
          <w:sz w:val="0"/>
          <w:szCs w:val="0"/>
          <w:u w:color="000000"/>
          <w:shd w:val="clear" w:color="000000" w:fill="000000"/>
          <w:lang w:bidi="zh-CN"/>
        </w:rPr>
      </w:pPr>
    </w:p>
    <w:p w14:paraId="2CCA9E38">
      <w:pPr>
        <w:pStyle w:val="40"/>
        <w:tabs>
          <w:tab w:val="left" w:pos="3577"/>
          <w:tab w:val="center" w:pos="7038"/>
        </w:tabs>
        <w:jc w:val="center"/>
        <w:rPr>
          <w:rFonts w:hint="eastAsia" w:eastAsia="微软雅黑"/>
          <w:color w:val="auto"/>
          <w:lang w:eastAsia="zh-CN"/>
        </w:rPr>
      </w:pPr>
      <w:r>
        <w:rPr>
          <w:rFonts w:hint="eastAsia"/>
          <w:color w:val="auto"/>
          <w:lang w:val="en-US" w:eastAsia="zh-CN"/>
        </w:rPr>
        <w:drawing>
          <wp:inline distT="0" distB="0" distL="114300" distR="114300">
            <wp:extent cx="3599815" cy="2376170"/>
            <wp:effectExtent l="0" t="0" r="635" b="5080"/>
            <wp:docPr id="58" name="图片 58" descr="08ccea6aa654850b2cbf2a60a3bd156"/>
            <wp:cNvGraphicFramePr/>
            <a:graphic xmlns:a="http://schemas.openxmlformats.org/drawingml/2006/main">
              <a:graphicData uri="http://schemas.openxmlformats.org/drawingml/2006/picture">
                <pic:pic xmlns:pic="http://schemas.openxmlformats.org/drawingml/2006/picture">
                  <pic:nvPicPr>
                    <pic:cNvPr id="58" name="图片 58" descr="08ccea6aa654850b2cbf2a60a3bd156"/>
                    <pic:cNvPicPr/>
                  </pic:nvPicPr>
                  <pic:blipFill>
                    <a:blip r:embed="rId43"/>
                    <a:stretch>
                      <a:fillRect/>
                    </a:stretch>
                  </pic:blipFill>
                  <pic:spPr>
                    <a:xfrm>
                      <a:off x="0" y="0"/>
                      <a:ext cx="3599815" cy="2376170"/>
                    </a:xfrm>
                    <a:prstGeom prst="rect">
                      <a:avLst/>
                    </a:prstGeom>
                  </pic:spPr>
                </pic:pic>
              </a:graphicData>
            </a:graphic>
          </wp:inline>
        </w:drawing>
      </w:r>
      <w:r>
        <w:rPr>
          <w:rFonts w:hint="eastAsia"/>
          <w:color w:val="auto"/>
          <w:lang w:val="en-US" w:eastAsia="zh-CN"/>
        </w:rPr>
        <w:t xml:space="preserve">    </w:t>
      </w:r>
      <w:r>
        <w:rPr>
          <w:rFonts w:hint="eastAsia"/>
          <w:color w:val="auto"/>
        </w:rPr>
        <w:tab/>
      </w:r>
      <w:r>
        <w:rPr>
          <w:rFonts w:hint="eastAsia" w:eastAsia="微软雅黑"/>
          <w:color w:val="auto"/>
          <w:lang w:eastAsia="zh-CN"/>
        </w:rPr>
        <w:drawing>
          <wp:inline distT="0" distB="0" distL="114300" distR="114300">
            <wp:extent cx="3599815" cy="2376170"/>
            <wp:effectExtent l="0" t="0" r="635" b="5080"/>
            <wp:docPr id="59" name="图片 59" descr="fc0fe95ef07c3f1b07046505237902c"/>
            <wp:cNvGraphicFramePr/>
            <a:graphic xmlns:a="http://schemas.openxmlformats.org/drawingml/2006/main">
              <a:graphicData uri="http://schemas.openxmlformats.org/drawingml/2006/picture">
                <pic:pic xmlns:pic="http://schemas.openxmlformats.org/drawingml/2006/picture">
                  <pic:nvPicPr>
                    <pic:cNvPr id="59" name="图片 59" descr="fc0fe95ef07c3f1b07046505237902c"/>
                    <pic:cNvPicPr/>
                  </pic:nvPicPr>
                  <pic:blipFill>
                    <a:blip r:embed="rId44"/>
                    <a:stretch>
                      <a:fillRect/>
                    </a:stretch>
                  </pic:blipFill>
                  <pic:spPr>
                    <a:xfrm>
                      <a:off x="0" y="0"/>
                      <a:ext cx="3599815" cy="2376170"/>
                    </a:xfrm>
                    <a:prstGeom prst="rect">
                      <a:avLst/>
                    </a:prstGeom>
                  </pic:spPr>
                </pic:pic>
              </a:graphicData>
            </a:graphic>
          </wp:inline>
        </w:drawing>
      </w:r>
    </w:p>
    <w:p w14:paraId="1ABD408C">
      <w:pPr>
        <w:pStyle w:val="40"/>
        <w:ind w:firstLine="2641" w:firstLineChars="1100"/>
        <w:jc w:val="both"/>
        <w:rPr>
          <w:rFonts w:hint="default" w:eastAsia="微软雅黑"/>
          <w:b/>
          <w:bCs/>
          <w:color w:val="auto"/>
          <w:lang w:val="en-US" w:eastAsia="zh-CN"/>
        </w:rPr>
      </w:pPr>
      <w:r>
        <w:rPr>
          <w:rFonts w:hint="eastAsia"/>
          <w:b/>
          <w:bCs/>
          <w:color w:val="auto"/>
        </w:rPr>
        <w:t>项目</w:t>
      </w:r>
      <w:r>
        <w:rPr>
          <w:rFonts w:hint="eastAsia"/>
          <w:b/>
          <w:bCs/>
          <w:color w:val="auto"/>
          <w:lang w:eastAsia="zh-CN"/>
        </w:rPr>
        <w:t>西侧粮食烘干企业</w:t>
      </w:r>
      <w:r>
        <w:rPr>
          <w:rFonts w:hint="eastAsia"/>
          <w:b/>
          <w:bCs/>
          <w:color w:val="auto"/>
        </w:rPr>
        <w:t xml:space="preserve">                                 项目</w:t>
      </w:r>
      <w:r>
        <w:rPr>
          <w:rFonts w:hint="eastAsia"/>
          <w:b/>
          <w:bCs/>
          <w:color w:val="auto"/>
          <w:lang w:eastAsia="zh-CN"/>
        </w:rPr>
        <w:t>北侧</w:t>
      </w:r>
      <w:r>
        <w:rPr>
          <w:rFonts w:hint="eastAsia"/>
          <w:b/>
          <w:bCs/>
          <w:color w:val="auto"/>
          <w:lang w:val="en-US" w:eastAsia="zh-CN"/>
        </w:rPr>
        <w:t>G331国道</w:t>
      </w:r>
    </w:p>
    <w:p w14:paraId="60D71AB0">
      <w:pPr>
        <w:rPr>
          <w:color w:val="auto"/>
        </w:rPr>
      </w:pPr>
    </w:p>
    <w:p w14:paraId="3FA5888E">
      <w:pPr>
        <w:jc w:val="center"/>
        <w:rPr>
          <w:rFonts w:hint="eastAsia" w:eastAsia="宋体"/>
          <w:color w:val="auto"/>
          <w:lang w:eastAsia="zh-CN"/>
        </w:rPr>
      </w:pPr>
      <w:r>
        <w:rPr>
          <w:rFonts w:hint="eastAsia"/>
          <w:color w:val="auto"/>
          <w:lang w:val="en-US" w:eastAsia="zh-CN"/>
        </w:rPr>
        <w:drawing>
          <wp:inline distT="0" distB="0" distL="114300" distR="114300">
            <wp:extent cx="3599815" cy="2376170"/>
            <wp:effectExtent l="0" t="0" r="635" b="5080"/>
            <wp:docPr id="60" name="图片 60" descr="76cb7d2387a3dbaa39dabe81f4cad08"/>
            <wp:cNvGraphicFramePr/>
            <a:graphic xmlns:a="http://schemas.openxmlformats.org/drawingml/2006/main">
              <a:graphicData uri="http://schemas.openxmlformats.org/drawingml/2006/picture">
                <pic:pic xmlns:pic="http://schemas.openxmlformats.org/drawingml/2006/picture">
                  <pic:nvPicPr>
                    <pic:cNvPr id="60" name="图片 60" descr="76cb7d2387a3dbaa39dabe81f4cad08"/>
                    <pic:cNvPicPr/>
                  </pic:nvPicPr>
                  <pic:blipFill>
                    <a:blip r:embed="rId45"/>
                    <a:stretch>
                      <a:fillRect/>
                    </a:stretch>
                  </pic:blipFill>
                  <pic:spPr>
                    <a:xfrm>
                      <a:off x="0" y="0"/>
                      <a:ext cx="3599815" cy="2376170"/>
                    </a:xfrm>
                    <a:prstGeom prst="rect">
                      <a:avLst/>
                    </a:prstGeom>
                  </pic:spPr>
                </pic:pic>
              </a:graphicData>
            </a:graphic>
          </wp:inline>
        </w:drawing>
      </w:r>
      <w:r>
        <w:rPr>
          <w:rFonts w:hint="eastAsia"/>
          <w:color w:val="auto"/>
          <w:lang w:val="en-US" w:eastAsia="zh-CN"/>
        </w:rPr>
        <w:t xml:space="preserve">    </w:t>
      </w:r>
      <w:r>
        <w:rPr>
          <w:rFonts w:hint="eastAsia" w:eastAsia="宋体"/>
          <w:color w:val="auto"/>
          <w:lang w:eastAsia="zh-CN"/>
        </w:rPr>
        <w:drawing>
          <wp:inline distT="0" distB="0" distL="114300" distR="114300">
            <wp:extent cx="3599815" cy="2376170"/>
            <wp:effectExtent l="0" t="0" r="635" b="5080"/>
            <wp:docPr id="61" name="图片 61" descr="a3070f0d25ef48c0b03f00311b27e5a"/>
            <wp:cNvGraphicFramePr/>
            <a:graphic xmlns:a="http://schemas.openxmlformats.org/drawingml/2006/main">
              <a:graphicData uri="http://schemas.openxmlformats.org/drawingml/2006/picture">
                <pic:pic xmlns:pic="http://schemas.openxmlformats.org/drawingml/2006/picture">
                  <pic:nvPicPr>
                    <pic:cNvPr id="61" name="图片 61" descr="a3070f0d25ef48c0b03f00311b27e5a"/>
                    <pic:cNvPicPr/>
                  </pic:nvPicPr>
                  <pic:blipFill>
                    <a:blip r:embed="rId46"/>
                    <a:stretch>
                      <a:fillRect/>
                    </a:stretch>
                  </pic:blipFill>
                  <pic:spPr>
                    <a:xfrm>
                      <a:off x="0" y="0"/>
                      <a:ext cx="3599815" cy="2376170"/>
                    </a:xfrm>
                    <a:prstGeom prst="rect">
                      <a:avLst/>
                    </a:prstGeom>
                  </pic:spPr>
                </pic:pic>
              </a:graphicData>
            </a:graphic>
          </wp:inline>
        </w:drawing>
      </w:r>
    </w:p>
    <w:p w14:paraId="648A739A">
      <w:pPr>
        <w:pStyle w:val="40"/>
        <w:ind w:firstLine="2881" w:firstLineChars="1200"/>
        <w:jc w:val="both"/>
        <w:rPr>
          <w:rFonts w:hint="eastAsia"/>
          <w:b/>
          <w:bCs/>
          <w:color w:val="auto"/>
          <w:lang w:eastAsia="zh-CN"/>
        </w:rPr>
        <w:sectPr>
          <w:footerReference r:id="rId11" w:type="default"/>
          <w:pgSz w:w="16838" w:h="11906" w:orient="landscape"/>
          <w:pgMar w:top="1304" w:right="1531" w:bottom="1304" w:left="1531" w:header="851" w:footer="851" w:gutter="0"/>
          <w:pgNumType w:fmt="decimal"/>
          <w:cols w:space="720" w:num="1"/>
          <w:docGrid w:linePitch="312" w:charSpace="0"/>
        </w:sectPr>
      </w:pPr>
      <w:r>
        <w:rPr>
          <w:rFonts w:hint="eastAsia"/>
          <w:b/>
          <w:bCs/>
          <w:color w:val="auto"/>
        </w:rPr>
        <w:t>项目南侧</w:t>
      </w:r>
      <w:r>
        <w:rPr>
          <w:rFonts w:hint="eastAsia"/>
          <w:b/>
          <w:bCs/>
          <w:color w:val="auto"/>
          <w:lang w:eastAsia="zh-CN"/>
        </w:rPr>
        <w:t>农田</w:t>
      </w:r>
      <w:r>
        <w:rPr>
          <w:rFonts w:hint="eastAsia"/>
          <w:b/>
          <w:bCs/>
          <w:color w:val="auto"/>
        </w:rPr>
        <w:t xml:space="preserve">                        </w:t>
      </w:r>
      <w:r>
        <w:rPr>
          <w:rFonts w:hint="eastAsia"/>
          <w:b/>
          <w:bCs/>
          <w:color w:val="auto"/>
          <w:lang w:val="en-US" w:eastAsia="zh-CN"/>
        </w:rPr>
        <w:t xml:space="preserve">     </w:t>
      </w:r>
      <w:r>
        <w:rPr>
          <w:rFonts w:hint="eastAsia"/>
          <w:b/>
          <w:bCs/>
          <w:color w:val="auto"/>
        </w:rPr>
        <w:t xml:space="preserve">     </w:t>
      </w:r>
      <w:r>
        <w:rPr>
          <w:rFonts w:hint="eastAsia"/>
          <w:b/>
          <w:bCs/>
          <w:color w:val="auto"/>
          <w:lang w:val="en-US" w:eastAsia="zh-CN"/>
        </w:rPr>
        <w:t xml:space="preserve">        </w:t>
      </w:r>
      <w:r>
        <w:rPr>
          <w:rFonts w:hint="eastAsia"/>
          <w:b/>
          <w:bCs/>
          <w:color w:val="auto"/>
        </w:rPr>
        <w:t xml:space="preserve"> 项目</w:t>
      </w:r>
      <w:r>
        <w:rPr>
          <w:rFonts w:hint="eastAsia"/>
          <w:b/>
          <w:bCs/>
          <w:color w:val="auto"/>
          <w:lang w:eastAsia="zh-CN"/>
        </w:rPr>
        <w:t>东侧农田</w:t>
      </w:r>
    </w:p>
    <w:p w14:paraId="5A1B574E">
      <w:pPr>
        <w:pStyle w:val="77"/>
        <w:spacing w:afterLines="50" w:line="240" w:lineRule="auto"/>
        <w:rPr>
          <w:color w:val="auto"/>
          <w:sz w:val="28"/>
          <w:szCs w:val="28"/>
          <w:highlight w:val="none"/>
        </w:rPr>
      </w:pPr>
      <w:bookmarkStart w:id="21" w:name="_Toc6861"/>
      <w:r>
        <w:rPr>
          <w:rFonts w:hint="eastAsia"/>
          <w:color w:val="auto"/>
          <w:sz w:val="28"/>
          <w:szCs w:val="28"/>
          <w:highlight w:val="none"/>
        </w:rPr>
        <w:t>附图3：平面布置图</w:t>
      </w:r>
      <w:bookmarkEnd w:id="21"/>
    </w:p>
    <w:p w14:paraId="37E11E89">
      <w:pPr>
        <w:pStyle w:val="77"/>
        <w:tabs>
          <w:tab w:val="left" w:pos="2031"/>
        </w:tabs>
        <w:jc w:val="center"/>
        <w:outlineLvl w:val="9"/>
        <w:rPr>
          <w:color w:val="auto"/>
        </w:rPr>
      </w:pPr>
      <w:bookmarkStart w:id="22" w:name="_Toc24818"/>
      <w:bookmarkStart w:id="23" w:name="_Toc13585"/>
      <w:bookmarkStart w:id="24" w:name="_Toc6008"/>
      <w:r>
        <w:rPr>
          <w:color w:val="auto"/>
          <w:sz w:val="24"/>
        </w:rPr>
        <mc:AlternateContent>
          <mc:Choice Requires="wps">
            <w:drawing>
              <wp:anchor distT="0" distB="0" distL="114300" distR="114300" simplePos="0" relativeHeight="251681792" behindDoc="0" locked="0" layoutInCell="1" allowOverlap="1">
                <wp:simplePos x="0" y="0"/>
                <wp:positionH relativeFrom="column">
                  <wp:posOffset>5429885</wp:posOffset>
                </wp:positionH>
                <wp:positionV relativeFrom="paragraph">
                  <wp:posOffset>2970530</wp:posOffset>
                </wp:positionV>
                <wp:extent cx="770890" cy="434340"/>
                <wp:effectExtent l="372110" t="4445" r="19050" b="380365"/>
                <wp:wrapNone/>
                <wp:docPr id="71" name="自选图形 24"/>
                <wp:cNvGraphicFramePr/>
                <a:graphic xmlns:a="http://schemas.openxmlformats.org/drawingml/2006/main">
                  <a:graphicData uri="http://schemas.microsoft.com/office/word/2010/wordprocessingShape">
                    <wps:wsp>
                      <wps:cNvSpPr/>
                      <wps:spPr>
                        <a:xfrm>
                          <a:off x="0" y="0"/>
                          <a:ext cx="770890" cy="434340"/>
                        </a:xfrm>
                        <a:prstGeom prst="wedgeRectCallout">
                          <a:avLst>
                            <a:gd name="adj1" fmla="val -93981"/>
                            <a:gd name="adj2" fmla="val 130407"/>
                          </a:avLst>
                        </a:prstGeom>
                        <a:solidFill>
                          <a:srgbClr val="FFFFFF"/>
                        </a:solidFill>
                        <a:ln w="9525" cap="flat" cmpd="sng">
                          <a:solidFill>
                            <a:srgbClr val="000000"/>
                          </a:solidFill>
                          <a:prstDash val="solid"/>
                          <a:miter/>
                          <a:headEnd type="none" w="med" len="med"/>
                          <a:tailEnd type="none" w="med" len="med"/>
                        </a:ln>
                      </wps:spPr>
                      <wps:txbx>
                        <w:txbxContent>
                          <w:p w14:paraId="59E346B3">
                            <w:pPr>
                              <w:rPr>
                                <w:rFonts w:hint="eastAsia" w:eastAsia="宋体"/>
                                <w:b/>
                                <w:bCs/>
                                <w:color w:val="FF0000"/>
                                <w:lang w:val="en-US" w:eastAsia="zh-CN"/>
                              </w:rPr>
                            </w:pPr>
                            <w:r>
                              <w:rPr>
                                <w:rFonts w:hint="eastAsia"/>
                                <w:b/>
                                <w:bCs/>
                                <w:color w:val="FF0000"/>
                                <w:lang w:val="en-US" w:eastAsia="zh-CN"/>
                              </w:rPr>
                              <w:t>本项目区域</w:t>
                            </w:r>
                          </w:p>
                        </w:txbxContent>
                      </wps:txbx>
                      <wps:bodyPr upright="1"/>
                    </wps:wsp>
                  </a:graphicData>
                </a:graphic>
              </wp:anchor>
            </w:drawing>
          </mc:Choice>
          <mc:Fallback>
            <w:pict>
              <v:shape id="自选图形 24" o:spid="_x0000_s1026" o:spt="61" type="#_x0000_t61" style="position:absolute;left:0pt;margin-left:427.55pt;margin-top:233.9pt;height:34.2pt;width:60.7pt;z-index:251681792;mso-width-relative:page;mso-height-relative:page;" fillcolor="#FFFFFF" filled="t" stroked="t" coordsize="21600,21600" o:gfxdata="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aVyIi2QAAAAsBAAAPAAAAAAAAAAEAIAAAACIAAABkcnMv&#10;ZG93bnJldi54bWxQSwECFAAUAAAACACHTuJAv8IUBDsCAACPBAAADgAAAAAAAAABACAAAAAoAQAA&#10;ZHJzL2Uyb0RvYy54bWxQSwUGAAAAAAYABgBZAQAA1QUAAAAA&#10;" adj="-9500,38968">
                <v:fill on="t" focussize="0,0"/>
                <v:stroke color="#000000" joinstyle="miter"/>
                <v:imagedata o:title=""/>
                <o:lock v:ext="edit" aspectratio="f"/>
                <v:textbox>
                  <w:txbxContent>
                    <w:p w14:paraId="59E346B3">
                      <w:pPr>
                        <w:rPr>
                          <w:rFonts w:hint="eastAsia" w:eastAsia="宋体"/>
                          <w:b/>
                          <w:bCs/>
                          <w:color w:val="FF0000"/>
                          <w:lang w:val="en-US" w:eastAsia="zh-CN"/>
                        </w:rPr>
                      </w:pPr>
                      <w:r>
                        <w:rPr>
                          <w:rFonts w:hint="eastAsia"/>
                          <w:b/>
                          <w:bCs/>
                          <w:color w:val="FF0000"/>
                          <w:lang w:val="en-US" w:eastAsia="zh-CN"/>
                        </w:rPr>
                        <w:t>本项目区域</w:t>
                      </w:r>
                    </w:p>
                  </w:txbxContent>
                </v:textbox>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4377055</wp:posOffset>
                </wp:positionH>
                <wp:positionV relativeFrom="paragraph">
                  <wp:posOffset>3533775</wp:posOffset>
                </wp:positionV>
                <wp:extent cx="857250" cy="1134110"/>
                <wp:effectExtent l="9525" t="9525" r="9525" b="18415"/>
                <wp:wrapNone/>
                <wp:docPr id="21" name="任意多边形 23"/>
                <wp:cNvGraphicFramePr/>
                <a:graphic xmlns:a="http://schemas.openxmlformats.org/drawingml/2006/main">
                  <a:graphicData uri="http://schemas.microsoft.com/office/word/2010/wordprocessingShape">
                    <wps:wsp>
                      <wps:cNvSpPr/>
                      <wps:spPr>
                        <a:xfrm>
                          <a:off x="0" y="0"/>
                          <a:ext cx="857250" cy="1134110"/>
                        </a:xfrm>
                        <a:custGeom>
                          <a:avLst/>
                          <a:gdLst/>
                          <a:ahLst/>
                          <a:cxnLst/>
                          <a:pathLst>
                            <a:path w="1350" h="1786">
                              <a:moveTo>
                                <a:pt x="0" y="886"/>
                              </a:moveTo>
                              <a:lnTo>
                                <a:pt x="837" y="0"/>
                              </a:lnTo>
                              <a:lnTo>
                                <a:pt x="1350" y="825"/>
                              </a:lnTo>
                              <a:lnTo>
                                <a:pt x="550" y="1786"/>
                              </a:lnTo>
                              <a:lnTo>
                                <a:pt x="0" y="886"/>
                              </a:lnTo>
                              <a:close/>
                            </a:path>
                          </a:pathLst>
                        </a:custGeom>
                        <a:solidFill>
                          <a:srgbClr val="FFFFFF"/>
                        </a:solidFill>
                        <a:ln w="19050" cap="flat" cmpd="sng">
                          <a:solidFill>
                            <a:srgbClr val="FF0000"/>
                          </a:solidFill>
                          <a:prstDash val="dash"/>
                          <a:headEnd type="none" w="med" len="med"/>
                          <a:tailEnd type="none" w="med" len="med"/>
                        </a:ln>
                      </wps:spPr>
                      <wps:bodyPr upright="1"/>
                    </wps:wsp>
                  </a:graphicData>
                </a:graphic>
              </wp:anchor>
            </w:drawing>
          </mc:Choice>
          <mc:Fallback>
            <w:pict>
              <v:shape id="任意多边形 23" o:spid="_x0000_s1026" o:spt="100" style="position:absolute;left:0pt;margin-left:344.65pt;margin-top:278.25pt;height:89.3pt;width:67.5pt;z-index:251666432;mso-width-relative:page;mso-height-relative:page;" fillcolor="#FFFFFF" filled="t" stroked="t" coordsize="1350,1786" o:gfxdata="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JwEsraAAAACwEAAA8AAAAAAAAAAQAgAAAAIgAAAGRycy9kb3ducmV2Lnht&#10;bFBLAQIUABQAAAAIAIdO4kCA1OLpaQIAAD4FAAAOAAAAAAAAAAEAIAAAACkBAABkcnMvZTJvRG9j&#10;LnhtbFBLBQYAAAAABgAGAFkBAAAEBgAAAAA=&#10;" path="m0,886l837,0,1350,825,550,1786,0,886xe">
                <v:fill on="t" focussize="0,0"/>
                <v:stroke weight="1.5pt" color="#FF0000" joinstyle="round" dashstyle="dash"/>
                <v:imagedata o:title=""/>
                <o:lock v:ext="edit" aspectratio="f"/>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5478780</wp:posOffset>
                </wp:positionH>
                <wp:positionV relativeFrom="paragraph">
                  <wp:posOffset>5017135</wp:posOffset>
                </wp:positionV>
                <wp:extent cx="666750" cy="277495"/>
                <wp:effectExtent l="741680" t="545465" r="20320" b="15240"/>
                <wp:wrapNone/>
                <wp:docPr id="22" name="自选图形 6"/>
                <wp:cNvGraphicFramePr/>
                <a:graphic xmlns:a="http://schemas.openxmlformats.org/drawingml/2006/main">
                  <a:graphicData uri="http://schemas.microsoft.com/office/word/2010/wordprocessingShape">
                    <wps:wsp>
                      <wps:cNvSpPr/>
                      <wps:spPr>
                        <a:xfrm>
                          <a:off x="0" y="0"/>
                          <a:ext cx="666750" cy="277495"/>
                        </a:xfrm>
                        <a:prstGeom prst="wedgeRectCallout">
                          <a:avLst>
                            <a:gd name="adj1" fmla="val -156093"/>
                            <a:gd name="adj2" fmla="val -238556"/>
                          </a:avLst>
                        </a:prstGeom>
                        <a:solidFill>
                          <a:srgbClr val="FFFFFF"/>
                        </a:solidFill>
                        <a:ln w="9525" cap="flat" cmpd="sng">
                          <a:solidFill>
                            <a:srgbClr val="000000"/>
                          </a:solidFill>
                          <a:prstDash val="solid"/>
                          <a:miter/>
                          <a:headEnd type="none" w="med" len="med"/>
                          <a:tailEnd type="none" w="med" len="med"/>
                        </a:ln>
                      </wps:spPr>
                      <wps:txbx>
                        <w:txbxContent>
                          <w:p w14:paraId="3579DF62">
                            <w:pPr>
                              <w:rPr>
                                <w:rFonts w:hint="eastAsia" w:eastAsia="宋体"/>
                                <w:b/>
                                <w:bCs/>
                                <w:color w:val="FF0000"/>
                                <w:lang w:val="en-US" w:eastAsia="zh-CN"/>
                              </w:rPr>
                            </w:pPr>
                            <w:r>
                              <w:rPr>
                                <w:rFonts w:hint="eastAsia"/>
                                <w:b/>
                                <w:bCs/>
                                <w:color w:val="FF0000"/>
                                <w:lang w:val="en-US" w:eastAsia="zh-CN"/>
                              </w:rPr>
                              <w:t>潮粮囤</w:t>
                            </w:r>
                          </w:p>
                        </w:txbxContent>
                      </wps:txbx>
                      <wps:bodyPr upright="1"/>
                    </wps:wsp>
                  </a:graphicData>
                </a:graphic>
              </wp:anchor>
            </w:drawing>
          </mc:Choice>
          <mc:Fallback>
            <w:pict>
              <v:shape id="自选图形 6" o:spid="_x0000_s1026" o:spt="61" type="#_x0000_t61" style="position:absolute;left:0pt;margin-left:431.4pt;margin-top:395.05pt;height:21.85pt;width:52.5pt;z-index:251666432;mso-width-relative:page;mso-height-relative:page;" fillcolor="#FFFFFF" filled="t" stroked="t" coordsize="21600,21600" o:gfxdata="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A3oWnaAAAACwEAAA8AAAAAAAAAAQAgAAAAIgAAAGRy&#10;cy9kb3ducmV2LnhtbFBLAQIUABQAAAAIAIdO4kDiSQSoPAIAAJAEAAAOAAAAAAAAAAEAIAAAACkB&#10;AABkcnMvZTJvRG9jLnhtbFBLBQYAAAAABgAGAFkBAADXBQAAAAA=&#10;" adj="-22916,-40728">
                <v:fill on="t" focussize="0,0"/>
                <v:stroke color="#000000" joinstyle="miter"/>
                <v:imagedata o:title=""/>
                <o:lock v:ext="edit" aspectratio="f"/>
                <v:textbox>
                  <w:txbxContent>
                    <w:p w14:paraId="3579DF62">
                      <w:pPr>
                        <w:rPr>
                          <w:rFonts w:hint="eastAsia" w:eastAsia="宋体"/>
                          <w:b/>
                          <w:bCs/>
                          <w:color w:val="FF0000"/>
                          <w:lang w:val="en-US" w:eastAsia="zh-CN"/>
                        </w:rPr>
                      </w:pPr>
                      <w:r>
                        <w:rPr>
                          <w:rFonts w:hint="eastAsia"/>
                          <w:b/>
                          <w:bCs/>
                          <w:color w:val="FF0000"/>
                          <w:lang w:val="en-US" w:eastAsia="zh-CN"/>
                        </w:rPr>
                        <w:t>潮粮囤</w:t>
                      </w:r>
                    </w:p>
                  </w:txbxContent>
                </v:textbox>
              </v:shap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4593590</wp:posOffset>
                </wp:positionH>
                <wp:positionV relativeFrom="paragraph">
                  <wp:posOffset>4425315</wp:posOffset>
                </wp:positionV>
                <wp:extent cx="79375" cy="86995"/>
                <wp:effectExtent l="4445" t="4445" r="11430" b="22860"/>
                <wp:wrapNone/>
                <wp:docPr id="70" name="椭圆 22"/>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92D050"/>
                        </a:solidFill>
                        <a:ln w="9525" cap="flat" cmpd="sng">
                          <a:solidFill>
                            <a:srgbClr val="92D050"/>
                          </a:solidFill>
                          <a:prstDash val="solid"/>
                          <a:headEnd type="none" w="med" len="med"/>
                          <a:tailEnd type="none" w="med" len="med"/>
                        </a:ln>
                      </wps:spPr>
                      <wps:bodyPr upright="1"/>
                    </wps:wsp>
                  </a:graphicData>
                </a:graphic>
              </wp:anchor>
            </w:drawing>
          </mc:Choice>
          <mc:Fallback>
            <w:pict>
              <v:shape id="椭圆 22" o:spid="_x0000_s1026" o:spt="3" type="#_x0000_t3" style="position:absolute;left:0pt;margin-left:361.7pt;margin-top:348.45pt;height:6.85pt;width:6.25pt;z-index:251680768;mso-width-relative:page;mso-height-relative:page;" fillcolor="#92D050" filled="t" stroked="t" coordsize="21600,21600" o:gfxdata="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9nZis2gAAAAsBAAAPAAAAAAAAAAEAIAAAACIAAABkcnMvZG93bnJldi54bWxQ&#10;SwECFAAUAAAACACHTuJA0laEhvUBAAAWBAAADgAAAAAAAAABACAAAAApAQAAZHJzL2Uyb0RvYy54&#10;bWxQSwUGAAAAAAYABgBZAQAAkAUAAAAA&#10;">
                <v:fill on="t" focussize="0,0"/>
                <v:stroke color="#92D050" joinstyle="round"/>
                <v:imagedata o:title=""/>
                <o:lock v:ext="edit" aspectratio="f"/>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4718050</wp:posOffset>
                </wp:positionH>
                <wp:positionV relativeFrom="paragraph">
                  <wp:posOffset>4391025</wp:posOffset>
                </wp:positionV>
                <wp:extent cx="79375" cy="86995"/>
                <wp:effectExtent l="4445" t="4445" r="11430" b="22860"/>
                <wp:wrapNone/>
                <wp:docPr id="50" name="椭圆 19"/>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70AD47"/>
                        </a:solidFill>
                        <a:ln w="9525" cap="flat" cmpd="sng">
                          <a:solidFill>
                            <a:srgbClr val="70AD47"/>
                          </a:solidFill>
                          <a:prstDash val="solid"/>
                          <a:headEnd type="none" w="med" len="med"/>
                          <a:tailEnd type="none" w="med" len="med"/>
                        </a:ln>
                      </wps:spPr>
                      <wps:bodyPr upright="1"/>
                    </wps:wsp>
                  </a:graphicData>
                </a:graphic>
              </wp:anchor>
            </w:drawing>
          </mc:Choice>
          <mc:Fallback>
            <w:pict>
              <v:shape id="椭圆 19" o:spid="_x0000_s1026" o:spt="3" type="#_x0000_t3" style="position:absolute;left:0pt;margin-left:371.5pt;margin-top:345.75pt;height:6.85pt;width:6.25pt;z-index:251666432;mso-width-relative:page;mso-height-relative:page;" fillcolor="#70AD47" filled="t" stroked="t" coordsize="21600,21600" o:gfxdata="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5ke2zbAAAACwEAAA8AAAAAAAAAAQAgAAAAIgAAAGRycy9kb3ducmV2Lnht&#10;bFBLAQIUABQAAAAIAIdO4kBO8vtF9gEAABYEAAAOAAAAAAAAAAEAIAAAACoBAABkcnMvZTJvRG9j&#10;LnhtbFBLBQYAAAAABgAGAFkBAACSBQAAAAA=&#10;">
                <v:fill on="t" focussize="0,0"/>
                <v:stroke color="#70AD47" joinstyle="round"/>
                <v:imagedata o:title=""/>
                <o:lock v:ext="edit" aspectratio="f"/>
              </v:shape>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4648835</wp:posOffset>
                </wp:positionH>
                <wp:positionV relativeFrom="paragraph">
                  <wp:posOffset>4337685</wp:posOffset>
                </wp:positionV>
                <wp:extent cx="79375" cy="86995"/>
                <wp:effectExtent l="4445" t="4445" r="11430" b="22860"/>
                <wp:wrapNone/>
                <wp:docPr id="69" name="椭圆 21"/>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70AD47"/>
                        </a:solidFill>
                        <a:ln w="9525" cap="flat" cmpd="sng">
                          <a:solidFill>
                            <a:srgbClr val="70AD47"/>
                          </a:solidFill>
                          <a:prstDash val="solid"/>
                          <a:headEnd type="none" w="med" len="med"/>
                          <a:tailEnd type="none" w="med" len="med"/>
                        </a:ln>
                      </wps:spPr>
                      <wps:bodyPr upright="1"/>
                    </wps:wsp>
                  </a:graphicData>
                </a:graphic>
              </wp:anchor>
            </w:drawing>
          </mc:Choice>
          <mc:Fallback>
            <w:pict>
              <v:shape id="椭圆 21" o:spid="_x0000_s1026" o:spt="3" type="#_x0000_t3" style="position:absolute;left:0pt;margin-left:366.05pt;margin-top:341.55pt;height:6.85pt;width:6.25pt;z-index:251679744;mso-width-relative:page;mso-height-relative:page;" fillcolor="#70AD47" filled="t" stroked="t" coordsize="21600,21600" o:gfxdata="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oldhCNsAAAALAQAADwAAAAAAAAABACAAAAAiAAAAZHJzL2Rvd25yZXYueG1s&#10;UEsBAhQAFAAAAAgAh07iQBXomu71AQAAFgQAAA4AAAAAAAAAAQAgAAAAKgEAAGRycy9lMm9Eb2Mu&#10;eG1sUEsFBgAAAAAGAAYAWQEAAJEFAAAAAA==&#10;">
                <v:fill on="t" focussize="0,0"/>
                <v:stroke color="#70AD47" joinstyle="round"/>
                <v:imagedata o:title=""/>
                <o:lock v:ext="edit" aspectratio="f"/>
              </v:shape>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4664075</wp:posOffset>
                </wp:positionH>
                <wp:positionV relativeFrom="paragraph">
                  <wp:posOffset>4472305</wp:posOffset>
                </wp:positionV>
                <wp:extent cx="79375" cy="86995"/>
                <wp:effectExtent l="4445" t="4445" r="11430" b="22860"/>
                <wp:wrapNone/>
                <wp:docPr id="68" name="椭圆 20"/>
                <wp:cNvGraphicFramePr/>
                <a:graphic xmlns:a="http://schemas.openxmlformats.org/drawingml/2006/main">
                  <a:graphicData uri="http://schemas.microsoft.com/office/word/2010/wordprocessingShape">
                    <wps:wsp>
                      <wps:cNvSpPr/>
                      <wps:spPr>
                        <a:xfrm>
                          <a:off x="0" y="0"/>
                          <a:ext cx="79375" cy="86995"/>
                        </a:xfrm>
                        <a:prstGeom prst="ellipse">
                          <a:avLst/>
                        </a:prstGeom>
                        <a:solidFill>
                          <a:srgbClr val="70AD47"/>
                        </a:solidFill>
                        <a:ln w="9525" cap="flat" cmpd="sng">
                          <a:solidFill>
                            <a:srgbClr val="92D050"/>
                          </a:solidFill>
                          <a:prstDash val="solid"/>
                          <a:headEnd type="none" w="med" len="med"/>
                          <a:tailEnd type="none" w="med" len="med"/>
                        </a:ln>
                      </wps:spPr>
                      <wps:bodyPr upright="1"/>
                    </wps:wsp>
                  </a:graphicData>
                </a:graphic>
              </wp:anchor>
            </w:drawing>
          </mc:Choice>
          <mc:Fallback>
            <w:pict>
              <v:shape id="椭圆 20" o:spid="_x0000_s1026" o:spt="3" type="#_x0000_t3" style="position:absolute;left:0pt;margin-left:367.25pt;margin-top:352.15pt;height:6.85pt;width:6.25pt;z-index:251678720;mso-width-relative:page;mso-height-relative:page;" fillcolor="#70AD47" filled="t" stroked="t" coordsize="21600,21600" o:gfxdata="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BC7GbZAAAACwEAAA8AAAAAAAAAAQAgAAAAIgAAAGRycy9kb3du&#10;cmV2LnhtbFBLAQIUABQAAAAIAIdO4kD/3YD4/gEAABYEAAAOAAAAAAAAAAEAIAAAACgBAABkcnMv&#10;ZTJvRG9jLnhtbFBLBQYAAAAABgAGAFkBAACYBQAAAAA=&#10;">
                <v:fill on="t" focussize="0,0"/>
                <v:stroke color="#92D050" joinstyle="round"/>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5454650</wp:posOffset>
                </wp:positionH>
                <wp:positionV relativeFrom="paragraph">
                  <wp:posOffset>4574540</wp:posOffset>
                </wp:positionV>
                <wp:extent cx="777875" cy="300355"/>
                <wp:effectExtent l="779145" t="295275" r="5080" b="13970"/>
                <wp:wrapNone/>
                <wp:docPr id="67" name="自选图形 17"/>
                <wp:cNvGraphicFramePr/>
                <a:graphic xmlns:a="http://schemas.openxmlformats.org/drawingml/2006/main">
                  <a:graphicData uri="http://schemas.microsoft.com/office/word/2010/wordprocessingShape">
                    <wps:wsp>
                      <wps:cNvSpPr/>
                      <wps:spPr>
                        <a:xfrm>
                          <a:off x="0" y="0"/>
                          <a:ext cx="777875" cy="300355"/>
                        </a:xfrm>
                        <a:prstGeom prst="wedgeRectCallout">
                          <a:avLst>
                            <a:gd name="adj1" fmla="val -145616"/>
                            <a:gd name="adj2" fmla="val -141759"/>
                          </a:avLst>
                        </a:prstGeom>
                        <a:solidFill>
                          <a:srgbClr val="FFFFFF"/>
                        </a:solidFill>
                        <a:ln w="9525" cap="flat" cmpd="sng">
                          <a:solidFill>
                            <a:srgbClr val="000000"/>
                          </a:solidFill>
                          <a:prstDash val="solid"/>
                          <a:miter/>
                          <a:headEnd type="none" w="med" len="med"/>
                          <a:tailEnd type="none" w="med" len="med"/>
                        </a:ln>
                      </wps:spPr>
                      <wps:txbx>
                        <w:txbxContent>
                          <w:p w14:paraId="482A4909">
                            <w:pPr>
                              <w:rPr>
                                <w:rFonts w:hint="eastAsia" w:eastAsia="宋体"/>
                                <w:b/>
                                <w:bCs/>
                                <w:color w:val="FF0000"/>
                                <w:lang w:val="en-US" w:eastAsia="zh-CN"/>
                              </w:rPr>
                            </w:pPr>
                            <w:r>
                              <w:rPr>
                                <w:rFonts w:hint="eastAsia"/>
                                <w:b/>
                                <w:bCs/>
                                <w:color w:val="FF0000"/>
                                <w:lang w:val="en-US" w:eastAsia="zh-CN"/>
                              </w:rPr>
                              <w:t>烘干塔</w:t>
                            </w:r>
                          </w:p>
                        </w:txbxContent>
                      </wps:txbx>
                      <wps:bodyPr upright="1"/>
                    </wps:wsp>
                  </a:graphicData>
                </a:graphic>
              </wp:anchor>
            </w:drawing>
          </mc:Choice>
          <mc:Fallback>
            <w:pict>
              <v:shape id="自选图形 17" o:spid="_x0000_s1026" o:spt="61" type="#_x0000_t61" style="position:absolute;left:0pt;margin-left:429.5pt;margin-top:360.2pt;height:23.65pt;width:61.25pt;z-index:251677696;mso-width-relative:page;mso-height-relative:page;" fillcolor="#FFFFFF" filled="t" stroked="t" coordsize="21600,21600" o:gfxdata="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JYD2AfXAAAACwEAAA8AAAAAAAAAAQAgAAAAIgAAAGRycy9kb3du&#10;cmV2LnhtbFBLAQIUABQAAAAIAIdO4kAkBwn+OQIAAJEEAAAOAAAAAAAAAAEAIAAAACYBAABkcnMv&#10;ZTJvRG9jLnhtbFBLBQYAAAAABgAGAFkBAADRBQAAAAA=&#10;" adj="-20653,-19820">
                <v:fill on="t" focussize="0,0"/>
                <v:stroke color="#000000" joinstyle="miter"/>
                <v:imagedata o:title=""/>
                <o:lock v:ext="edit" aspectratio="f"/>
                <v:textbox>
                  <w:txbxContent>
                    <w:p w14:paraId="482A4909">
                      <w:pPr>
                        <w:rPr>
                          <w:rFonts w:hint="eastAsia" w:eastAsia="宋体"/>
                          <w:b/>
                          <w:bCs/>
                          <w:color w:val="FF0000"/>
                          <w:lang w:val="en-US" w:eastAsia="zh-CN"/>
                        </w:rPr>
                      </w:pPr>
                      <w:r>
                        <w:rPr>
                          <w:rFonts w:hint="eastAsia"/>
                          <w:b/>
                          <w:bCs/>
                          <w:color w:val="FF0000"/>
                          <w:lang w:val="en-US" w:eastAsia="zh-CN"/>
                        </w:rPr>
                        <w:t>烘干塔</w:t>
                      </w:r>
                    </w:p>
                  </w:txbxContent>
                </v:textbox>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4543425</wp:posOffset>
                </wp:positionH>
                <wp:positionV relativeFrom="paragraph">
                  <wp:posOffset>4119245</wp:posOffset>
                </wp:positionV>
                <wp:extent cx="153035" cy="209550"/>
                <wp:effectExtent l="31115" t="57785" r="45085" b="74930"/>
                <wp:wrapNone/>
                <wp:docPr id="64" name="文本框 16"/>
                <wp:cNvGraphicFramePr/>
                <a:graphic xmlns:a="http://schemas.openxmlformats.org/drawingml/2006/main">
                  <a:graphicData uri="http://schemas.microsoft.com/office/word/2010/wordprocessingShape">
                    <wps:wsp>
                      <wps:cNvSpPr txBox="1"/>
                      <wps:spPr>
                        <a:xfrm rot="-2880000">
                          <a:off x="0" y="0"/>
                          <a:ext cx="153035" cy="209550"/>
                        </a:xfrm>
                        <a:prstGeom prst="rect">
                          <a:avLst/>
                        </a:prstGeom>
                        <a:solidFill>
                          <a:srgbClr val="FFFF00"/>
                        </a:solidFill>
                        <a:ln w="9525" cap="flat" cmpd="sng">
                          <a:solidFill>
                            <a:srgbClr val="FFFF00"/>
                          </a:solidFill>
                          <a:prstDash val="solid"/>
                          <a:miter/>
                          <a:headEnd type="none" w="med" len="med"/>
                          <a:tailEnd type="none" w="med" len="med"/>
                        </a:ln>
                      </wps:spPr>
                      <wps:txbx>
                        <w:txbxContent>
                          <w:p w14:paraId="1AB410A6"/>
                        </w:txbxContent>
                      </wps:txbx>
                      <wps:bodyPr upright="1"/>
                    </wps:wsp>
                  </a:graphicData>
                </a:graphic>
              </wp:anchor>
            </w:drawing>
          </mc:Choice>
          <mc:Fallback>
            <w:pict>
              <v:shape id="文本框 16" o:spid="_x0000_s1026" o:spt="202" type="#_x0000_t202" style="position:absolute;left:0pt;margin-left:357.75pt;margin-top:324.35pt;height:16.5pt;width:12.05pt;rotation:-3145728f;z-index:251669504;mso-width-relative:page;mso-height-relative:page;" fillcolor="#FFFF00" filled="t" stroked="t" coordsize="21600,21600" o:gfxdata="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3zvHX2gAAAAsBAAAPAAAA&#10;AAAAAAEAIAAAACIAAABkcnMvZG93bnJldi54bWxQSwECFAAUAAAACACHTuJAyryXARMCAABGBAAA&#10;DgAAAAAAAAABACAAAAApAQAAZHJzL2Uyb0RvYy54bWxQSwUGAAAAAAYABgBZAQAArgUAAAAA&#10;">
                <v:fill on="t" focussize="0,0"/>
                <v:stroke color="#FFFF00" joinstyle="miter"/>
                <v:imagedata o:title=""/>
                <o:lock v:ext="edit" aspectratio="f"/>
                <v:textbox>
                  <w:txbxContent>
                    <w:p w14:paraId="1AB410A6"/>
                  </w:txbxContent>
                </v:textbox>
              </v:shape>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5619750</wp:posOffset>
                </wp:positionH>
                <wp:positionV relativeFrom="paragraph">
                  <wp:posOffset>4255135</wp:posOffset>
                </wp:positionV>
                <wp:extent cx="777875" cy="300355"/>
                <wp:effectExtent l="779145" t="295275" r="5080" b="13970"/>
                <wp:wrapNone/>
                <wp:docPr id="65" name="自选图形 5"/>
                <wp:cNvGraphicFramePr/>
                <a:graphic xmlns:a="http://schemas.openxmlformats.org/drawingml/2006/main">
                  <a:graphicData uri="http://schemas.microsoft.com/office/word/2010/wordprocessingShape">
                    <wps:wsp>
                      <wps:cNvSpPr/>
                      <wps:spPr>
                        <a:xfrm>
                          <a:off x="0" y="0"/>
                          <a:ext cx="777875" cy="300355"/>
                        </a:xfrm>
                        <a:prstGeom prst="wedgeRectCallout">
                          <a:avLst>
                            <a:gd name="adj1" fmla="val -145616"/>
                            <a:gd name="adj2" fmla="val -141759"/>
                          </a:avLst>
                        </a:prstGeom>
                        <a:solidFill>
                          <a:srgbClr val="FFFFFF"/>
                        </a:solidFill>
                        <a:ln w="9525" cap="flat" cmpd="sng">
                          <a:solidFill>
                            <a:srgbClr val="000000"/>
                          </a:solidFill>
                          <a:prstDash val="solid"/>
                          <a:miter/>
                          <a:headEnd type="none" w="med" len="med"/>
                          <a:tailEnd type="none" w="med" len="med"/>
                        </a:ln>
                      </wps:spPr>
                      <wps:txbx>
                        <w:txbxContent>
                          <w:p w14:paraId="7C5BEE04">
                            <w:pPr>
                              <w:rPr>
                                <w:rFonts w:hint="eastAsia" w:eastAsia="宋体"/>
                                <w:b/>
                                <w:bCs/>
                                <w:color w:val="FF0000"/>
                                <w:lang w:val="en-US" w:eastAsia="zh-CN"/>
                              </w:rPr>
                            </w:pPr>
                            <w:r>
                              <w:rPr>
                                <w:rFonts w:hint="eastAsia"/>
                                <w:b/>
                                <w:bCs/>
                                <w:color w:val="FF0000"/>
                                <w:lang w:val="en-US" w:eastAsia="zh-CN"/>
                              </w:rPr>
                              <w:t>热风炉房</w:t>
                            </w:r>
                          </w:p>
                        </w:txbxContent>
                      </wps:txbx>
                      <wps:bodyPr upright="1"/>
                    </wps:wsp>
                  </a:graphicData>
                </a:graphic>
              </wp:anchor>
            </w:drawing>
          </mc:Choice>
          <mc:Fallback>
            <w:pict>
              <v:shape id="自选图形 5" o:spid="_x0000_s1026" o:spt="61" type="#_x0000_t61" style="position:absolute;left:0pt;margin-left:442.5pt;margin-top:335.05pt;height:23.65pt;width:61.25pt;z-index:251669504;mso-width-relative:page;mso-height-relative:page;" fillcolor="#FFFFFF" filled="t" stroked="t" coordsize="21600,21600" o:gfxdata="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xZw6M1wAAAAwBAAAPAAAAAAAAAAEAIAAAACIAAABkcnMvZG93&#10;bnJldi54bWxQSwECFAAUAAAACACHTuJAw8H2aDoCAACQBAAADgAAAAAAAAABACAAAAAmAQAAZHJz&#10;L2Uyb0RvYy54bWxQSwUGAAAAAAYABgBZAQAA0gUAAAAA&#10;" adj="-20653,-19820">
                <v:fill on="t" focussize="0,0"/>
                <v:stroke color="#000000" joinstyle="miter"/>
                <v:imagedata o:title=""/>
                <o:lock v:ext="edit" aspectratio="f"/>
                <v:textbox>
                  <w:txbxContent>
                    <w:p w14:paraId="7C5BEE04">
                      <w:pPr>
                        <w:rPr>
                          <w:rFonts w:hint="eastAsia" w:eastAsia="宋体"/>
                          <w:b/>
                          <w:bCs/>
                          <w:color w:val="FF0000"/>
                          <w:lang w:val="en-US" w:eastAsia="zh-CN"/>
                        </w:rPr>
                      </w:pPr>
                      <w:r>
                        <w:rPr>
                          <w:rFonts w:hint="eastAsia"/>
                          <w:b/>
                          <w:bCs/>
                          <w:color w:val="FF0000"/>
                          <w:lang w:val="en-US" w:eastAsia="zh-CN"/>
                        </w:rPr>
                        <w:t>热风炉房</w:t>
                      </w:r>
                    </w:p>
                  </w:txbxContent>
                </v:textbox>
              </v:shape>
            </w:pict>
          </mc:Fallback>
        </mc:AlternateContent>
      </w: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4663440</wp:posOffset>
                </wp:positionH>
                <wp:positionV relativeFrom="paragraph">
                  <wp:posOffset>3528695</wp:posOffset>
                </wp:positionV>
                <wp:extent cx="658495" cy="309245"/>
                <wp:effectExtent l="0" t="0" r="0" b="0"/>
                <wp:wrapNone/>
                <wp:docPr id="63" name="文本框 15"/>
                <wp:cNvGraphicFramePr/>
                <a:graphic xmlns:a="http://schemas.openxmlformats.org/drawingml/2006/main">
                  <a:graphicData uri="http://schemas.microsoft.com/office/word/2010/wordprocessingShape">
                    <wps:wsp>
                      <wps:cNvSpPr txBox="1"/>
                      <wps:spPr>
                        <a:xfrm rot="-2400000">
                          <a:off x="0" y="0"/>
                          <a:ext cx="658495" cy="309245"/>
                        </a:xfrm>
                        <a:prstGeom prst="rect">
                          <a:avLst/>
                        </a:prstGeom>
                        <a:noFill/>
                        <a:ln>
                          <a:noFill/>
                        </a:ln>
                      </wps:spPr>
                      <wps:txbx>
                        <w:txbxContent>
                          <w:p w14:paraId="7FD57AE6">
                            <w:pPr>
                              <w:rPr>
                                <w:rFonts w:hint="default" w:eastAsia="宋体"/>
                                <w:b/>
                                <w:bCs/>
                                <w:color w:val="0000FF"/>
                                <w:lang w:val="en-US" w:eastAsia="zh-CN"/>
                              </w:rPr>
                            </w:pPr>
                            <w:r>
                              <w:rPr>
                                <w:rFonts w:hint="eastAsia"/>
                                <w:b/>
                                <w:bCs/>
                                <w:color w:val="0000FF"/>
                                <w:lang w:val="en-US" w:eastAsia="zh-CN"/>
                              </w:rPr>
                              <w:t>DA003</w:t>
                            </w:r>
                          </w:p>
                        </w:txbxContent>
                      </wps:txbx>
                      <wps:bodyPr upright="1"/>
                    </wps:wsp>
                  </a:graphicData>
                </a:graphic>
              </wp:anchor>
            </w:drawing>
          </mc:Choice>
          <mc:Fallback>
            <w:pict>
              <v:shape id="文本框 15" o:spid="_x0000_s1026" o:spt="202" type="#_x0000_t202" style="position:absolute;left:0pt;margin-left:367.2pt;margin-top:277.85pt;height:24.35pt;width:51.85pt;rotation:-2621440f;z-index:251668480;mso-width-relative:page;mso-height-relative:page;" filled="f" stroked="f" coordsize="21600,21600" o:gfxdata="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0oOjTZAAAACwEAAA8AAAAAAAAAAQAgAAAAIgAAAGRycy9kb3ducmV2LnhtbFBLAQIU&#10;ABQAAAAIAIdO4kASQkRiuQEAAF4DAAAOAAAAAAAAAAEAIAAAACgBAABkcnMvZTJvRG9jLnhtbFBL&#10;BQYAAAAABgAGAFkBAABTBQAAAAA=&#10;">
                <v:fill on="f" focussize="0,0"/>
                <v:stroke on="f"/>
                <v:imagedata o:title=""/>
                <o:lock v:ext="edit" aspectratio="f"/>
                <v:textbox>
                  <w:txbxContent>
                    <w:p w14:paraId="7FD57AE6">
                      <w:pPr>
                        <w:rPr>
                          <w:rFonts w:hint="default" w:eastAsia="宋体"/>
                          <w:b/>
                          <w:bCs/>
                          <w:color w:val="0000FF"/>
                          <w:lang w:val="en-US" w:eastAsia="zh-CN"/>
                        </w:rPr>
                      </w:pPr>
                      <w:r>
                        <w:rPr>
                          <w:rFonts w:hint="eastAsia"/>
                          <w:b/>
                          <w:bCs/>
                          <w:color w:val="0000FF"/>
                          <w:lang w:val="en-US" w:eastAsia="zh-CN"/>
                        </w:rPr>
                        <w:t>DA003</w:t>
                      </w:r>
                    </w:p>
                  </w:txbxContent>
                </v:textbox>
              </v:shap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4742180</wp:posOffset>
                </wp:positionH>
                <wp:positionV relativeFrom="paragraph">
                  <wp:posOffset>3710940</wp:posOffset>
                </wp:positionV>
                <wp:extent cx="142875" cy="135255"/>
                <wp:effectExtent l="4445" t="4445" r="5080" b="12700"/>
                <wp:wrapNone/>
                <wp:docPr id="53" name="自选图形 14"/>
                <wp:cNvGraphicFramePr/>
                <a:graphic xmlns:a="http://schemas.openxmlformats.org/drawingml/2006/main">
                  <a:graphicData uri="http://schemas.microsoft.com/office/word/2010/wordprocessingShape">
                    <wps:wsp>
                      <wps:cNvSpPr/>
                      <wps:spPr>
                        <a:xfrm>
                          <a:off x="0" y="0"/>
                          <a:ext cx="142875" cy="13525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0070C0"/>
                        </a:solidFill>
                        <a:ln w="9525" cap="flat" cmpd="sng">
                          <a:solidFill>
                            <a:srgbClr val="0070C0"/>
                          </a:solidFill>
                          <a:prstDash val="solid"/>
                          <a:headEnd type="none" w="med" len="med"/>
                          <a:tailEnd type="none" w="med" len="med"/>
                        </a:ln>
                      </wps:spPr>
                      <wps:bodyPr upright="1"/>
                    </wps:wsp>
                  </a:graphicData>
                </a:graphic>
              </wp:anchor>
            </w:drawing>
          </mc:Choice>
          <mc:Fallback>
            <w:pict>
              <v:shape id="自选图形 14" o:spid="_x0000_s1026" o:spt="100" style="position:absolute;left:0pt;margin-left:373.4pt;margin-top:292.2pt;height:10.65pt;width:11.25pt;z-index:251667456;mso-width-relative:page;mso-height-relative:page;" fillcolor="#0070C0" filled="t" stroked="t" coordsize="21600,21600" o:gfxdata="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BRu9Mu2QAAAAsBAAAPAAAAAAAAAAEAIAAAACIAAABkcnMvZG93bnJldi54bWxQSwECFAAU&#10;AAAACACHTuJAjEQHskYDAABGCQAADgAAAAAAAAABACAAAAAoAQAAZHJzL2Uyb0RvYy54bWxQSwUG&#10;AAAAAAYABgBZAQAA4A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70C0" joinstyle="round"/>
                <v:imagedata o:title=""/>
                <o:lock v:ext="edit" aspectratio="f"/>
              </v:shap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4620260</wp:posOffset>
                </wp:positionH>
                <wp:positionV relativeFrom="paragraph">
                  <wp:posOffset>3916045</wp:posOffset>
                </wp:positionV>
                <wp:extent cx="325755" cy="239395"/>
                <wp:effectExtent l="84455" t="45085" r="95250" b="48260"/>
                <wp:wrapNone/>
                <wp:docPr id="51" name="矩形 13"/>
                <wp:cNvGraphicFramePr/>
                <a:graphic xmlns:a="http://schemas.openxmlformats.org/drawingml/2006/main">
                  <a:graphicData uri="http://schemas.microsoft.com/office/word/2010/wordprocessingShape">
                    <wps:wsp>
                      <wps:cNvSpPr/>
                      <wps:spPr>
                        <a:xfrm rot="-2940000">
                          <a:off x="0" y="0"/>
                          <a:ext cx="325755" cy="239395"/>
                        </a:xfrm>
                        <a:prstGeom prst="rect">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rect id="矩形 13" o:spid="_x0000_s1026" o:spt="1" style="position:absolute;left:0pt;margin-left:363.8pt;margin-top:308.35pt;height:18.85pt;width:25.65pt;rotation:-3211264f;z-index:251666432;mso-width-relative:page;mso-height-relative:page;" fillcolor="#00B050" filled="t" stroked="t" coordsize="21600,21600" o:gfxdata="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HFwmnbAAAACwEAAA8AAAAAAAAAAQAgAAAAIgAA&#10;AGRycy9kb3ducmV2LnhtbFBLAQIUABQAAAAIAIdO4kCTYtL2BQIAAC4EAAAOAAAAAAAAAAEAIAAA&#10;ACoBAABkcnMvZTJvRG9jLnhtbFBLBQYAAAAABgAGAFkBAAChBQAAAAA=&#10;">
                <v:fill on="t" focussize="0,0"/>
                <v:stroke color="#00B050" joinstyle="miter"/>
                <v:imagedata o:title=""/>
                <o:lock v:ext="edit" aspectratio="f"/>
              </v:rect>
            </w:pict>
          </mc:Fallback>
        </mc:AlternateContent>
      </w:r>
      <w:r>
        <w:rPr>
          <w:color w:val="auto"/>
        </w:rPr>
        <w:drawing>
          <wp:anchor distT="0" distB="0" distL="114300" distR="114300" simplePos="0" relativeHeight="251663360" behindDoc="0" locked="0" layoutInCell="1" allowOverlap="1">
            <wp:simplePos x="0" y="0"/>
            <wp:positionH relativeFrom="column">
              <wp:posOffset>7637145</wp:posOffset>
            </wp:positionH>
            <wp:positionV relativeFrom="paragraph">
              <wp:posOffset>24130</wp:posOffset>
            </wp:positionV>
            <wp:extent cx="876300" cy="871220"/>
            <wp:effectExtent l="0" t="0" r="0" b="508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76300" cy="871220"/>
                    </a:xfrm>
                    <a:prstGeom prst="rect">
                      <a:avLst/>
                    </a:prstGeom>
                    <a:noFill/>
                    <a:ln>
                      <a:noFill/>
                    </a:ln>
                  </pic:spPr>
                </pic:pic>
              </a:graphicData>
            </a:graphic>
          </wp:anchor>
        </w:drawing>
      </w:r>
      <w:bookmarkEnd w:id="22"/>
      <w:bookmarkEnd w:id="23"/>
      <w:bookmarkEnd w:id="24"/>
      <w:r>
        <w:rPr>
          <w:color w:val="auto"/>
        </w:rPr>
        <w:drawing>
          <wp:inline distT="0" distB="0" distL="114300" distR="114300">
            <wp:extent cx="5821045" cy="6828790"/>
            <wp:effectExtent l="0" t="0" r="8255" b="1016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47"/>
                    <a:stretch>
                      <a:fillRect/>
                    </a:stretch>
                  </pic:blipFill>
                  <pic:spPr>
                    <a:xfrm>
                      <a:off x="0" y="0"/>
                      <a:ext cx="5821045" cy="6828790"/>
                    </a:xfrm>
                    <a:prstGeom prst="rect">
                      <a:avLst/>
                    </a:prstGeom>
                    <a:noFill/>
                    <a:ln>
                      <a:noFill/>
                    </a:ln>
                  </pic:spPr>
                </pic:pic>
              </a:graphicData>
            </a:graphic>
          </wp:inline>
        </w:drawing>
      </w:r>
    </w:p>
    <w:p w14:paraId="7EFE4299">
      <w:pPr>
        <w:pStyle w:val="77"/>
        <w:tabs>
          <w:tab w:val="left" w:pos="2031"/>
        </w:tabs>
        <w:jc w:val="center"/>
        <w:outlineLvl w:val="9"/>
        <w:rPr>
          <w:color w:val="auto"/>
        </w:rPr>
        <w:sectPr>
          <w:pgSz w:w="11906" w:h="16838"/>
          <w:pgMar w:top="1531" w:right="1304" w:bottom="1531" w:left="1304" w:header="851" w:footer="851" w:gutter="0"/>
          <w:pgNumType w:fmt="decimal"/>
          <w:cols w:space="720" w:num="1"/>
          <w:docGrid w:linePitch="312" w:charSpace="0"/>
        </w:sectPr>
      </w:pPr>
    </w:p>
    <w:p w14:paraId="4887DCF3">
      <w:pPr>
        <w:pStyle w:val="77"/>
        <w:rPr>
          <w:color w:val="auto"/>
        </w:rPr>
      </w:pPr>
      <w:bookmarkStart w:id="25" w:name="_Toc20859"/>
      <w:r>
        <w:rPr>
          <w:color w:val="auto"/>
        </w:rPr>
        <w:t>附图</w:t>
      </w:r>
      <w:r>
        <w:rPr>
          <w:rFonts w:hint="eastAsia"/>
          <w:color w:val="auto"/>
        </w:rPr>
        <w:t>4</w:t>
      </w:r>
      <w:r>
        <w:rPr>
          <w:color w:val="auto"/>
        </w:rPr>
        <w:t>：</w:t>
      </w:r>
      <w:r>
        <w:rPr>
          <w:rFonts w:hint="eastAsia"/>
          <w:color w:val="auto"/>
        </w:rPr>
        <w:t>环境保护目标分布图</w:t>
      </w:r>
      <w:bookmarkEnd w:id="25"/>
    </w:p>
    <w:p w14:paraId="18E2C303">
      <w:pPr>
        <w:pStyle w:val="77"/>
        <w:jc w:val="center"/>
        <w:outlineLvl w:val="9"/>
        <w:rPr>
          <w:color w:val="auto"/>
        </w:rPr>
      </w:pPr>
      <w:bookmarkStart w:id="26" w:name="_Toc24104"/>
      <w:bookmarkStart w:id="27" w:name="_Toc17596"/>
      <w:bookmarkStart w:id="28" w:name="_Toc32236"/>
      <w:bookmarkStart w:id="29" w:name="_Toc19669"/>
      <w:r>
        <w:rPr>
          <w:color w:val="auto"/>
          <w:sz w:val="24"/>
        </w:rPr>
        <mc:AlternateContent>
          <mc:Choice Requires="wps">
            <w:drawing>
              <wp:anchor distT="0" distB="0" distL="114300" distR="114300" simplePos="0" relativeHeight="251665408" behindDoc="0" locked="0" layoutInCell="1" allowOverlap="1">
                <wp:simplePos x="0" y="0"/>
                <wp:positionH relativeFrom="column">
                  <wp:posOffset>290830</wp:posOffset>
                </wp:positionH>
                <wp:positionV relativeFrom="paragraph">
                  <wp:posOffset>5125720</wp:posOffset>
                </wp:positionV>
                <wp:extent cx="1333500" cy="427990"/>
                <wp:effectExtent l="5080" t="4445" r="13970" b="5715"/>
                <wp:wrapNone/>
                <wp:docPr id="16" name="文本框 7"/>
                <wp:cNvGraphicFramePr/>
                <a:graphic xmlns:a="http://schemas.openxmlformats.org/drawingml/2006/main">
                  <a:graphicData uri="http://schemas.microsoft.com/office/word/2010/wordprocessingShape">
                    <wps:wsp>
                      <wps:cNvSpPr txBox="1"/>
                      <wps:spPr>
                        <a:xfrm>
                          <a:off x="0" y="0"/>
                          <a:ext cx="1333500" cy="427990"/>
                        </a:xfrm>
                        <a:prstGeom prst="rect">
                          <a:avLst/>
                        </a:prstGeom>
                        <a:noFill/>
                        <a:ln w="9525" cap="flat" cmpd="sng">
                          <a:solidFill>
                            <a:srgbClr val="FF0000"/>
                          </a:solidFill>
                          <a:prstDash val="solid"/>
                          <a:miter/>
                          <a:headEnd type="none" w="med" len="med"/>
                          <a:tailEnd type="none" w="med" len="med"/>
                        </a:ln>
                      </wps:spPr>
                      <wps:txbx>
                        <w:txbxContent>
                          <w:p w14:paraId="111A9C57">
                            <w:pPr>
                              <w:rPr>
                                <w:rFonts w:hint="eastAsia" w:eastAsia="宋体"/>
                                <w:b/>
                                <w:bCs/>
                                <w:color w:val="FF0000"/>
                                <w:lang w:eastAsia="zh-CN"/>
                              </w:rPr>
                            </w:pPr>
                            <w:r>
                              <w:rPr>
                                <w:rFonts w:hint="eastAsia"/>
                                <w:b/>
                                <w:bCs/>
                                <w:color w:val="FF0000"/>
                                <w:lang w:eastAsia="zh-CN"/>
                              </w:rPr>
                              <w:t>比例尺</w:t>
                            </w:r>
                          </w:p>
                        </w:txbxContent>
                      </wps:txbx>
                      <wps:bodyPr upright="1"/>
                    </wps:wsp>
                  </a:graphicData>
                </a:graphic>
              </wp:anchor>
            </w:drawing>
          </mc:Choice>
          <mc:Fallback>
            <w:pict>
              <v:shape id="文本框 7" o:spid="_x0000_s1026" o:spt="202" type="#_x0000_t202" style="position:absolute;left:0pt;margin-left:22.9pt;margin-top:403.6pt;height:33.7pt;width:105pt;z-index:251665408;mso-width-relative:page;mso-height-relative:page;" filled="f" stroked="t" coordsize="21600,21600" o:gfxdata="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aTpadkAAAAKAQAADwAAAAAAAAABACAAAAAi&#10;AAAAZHJzL2Rvd25yZXYueG1sUEsBAhQAFAAAAAgAh07iQEuMITkJAgAADgQAAA4AAAAAAAAAAQAg&#10;AAAAKAEAAGRycy9lMm9Eb2MueG1sUEsFBgAAAAAGAAYAWQEAAKMFAAAAAA==&#10;">
                <v:fill on="f" focussize="0,0"/>
                <v:stroke color="#FF0000" joinstyle="miter"/>
                <v:imagedata o:title=""/>
                <o:lock v:ext="edit" aspectratio="f"/>
                <v:textbox>
                  <w:txbxContent>
                    <w:p w14:paraId="111A9C57">
                      <w:pPr>
                        <w:rPr>
                          <w:rFonts w:hint="eastAsia" w:eastAsia="宋体"/>
                          <w:b/>
                          <w:bCs/>
                          <w:color w:val="FF0000"/>
                          <w:lang w:eastAsia="zh-CN"/>
                        </w:rPr>
                      </w:pPr>
                      <w:r>
                        <w:rPr>
                          <w:rFonts w:hint="eastAsia"/>
                          <w:b/>
                          <w:bCs/>
                          <w:color w:val="FF0000"/>
                          <w:lang w:eastAsia="zh-CN"/>
                        </w:rPr>
                        <w:t>比例尺</w:t>
                      </w:r>
                    </w:p>
                  </w:txbxContent>
                </v:textbox>
              </v:shape>
            </w:pict>
          </mc:Fallback>
        </mc:AlternateContent>
      </w:r>
      <w:r>
        <w:rPr>
          <w:color w:val="auto"/>
          <w:sz w:val="24"/>
        </w:rPr>
        <mc:AlternateContent>
          <mc:Choice Requires="wps">
            <w:drawing>
              <wp:anchor distT="0" distB="0" distL="114300" distR="114300" simplePos="0" relativeHeight="251671552" behindDoc="0" locked="0" layoutInCell="1" allowOverlap="1">
                <wp:simplePos x="0" y="0"/>
                <wp:positionH relativeFrom="column">
                  <wp:posOffset>6806565</wp:posOffset>
                </wp:positionH>
                <wp:positionV relativeFrom="paragraph">
                  <wp:posOffset>5367020</wp:posOffset>
                </wp:positionV>
                <wp:extent cx="1492250" cy="137795"/>
                <wp:effectExtent l="0" t="0" r="12700" b="14605"/>
                <wp:wrapNone/>
                <wp:docPr id="66" name="文本框 12"/>
                <wp:cNvGraphicFramePr/>
                <a:graphic xmlns:a="http://schemas.openxmlformats.org/drawingml/2006/main">
                  <a:graphicData uri="http://schemas.microsoft.com/office/word/2010/wordprocessingShape">
                    <wps:wsp>
                      <wps:cNvSpPr txBox="1"/>
                      <wps:spPr>
                        <a:xfrm>
                          <a:off x="0" y="0"/>
                          <a:ext cx="1492250" cy="137795"/>
                        </a:xfrm>
                        <a:prstGeom prst="rect">
                          <a:avLst/>
                        </a:prstGeom>
                        <a:solidFill>
                          <a:srgbClr val="FFFFFF"/>
                        </a:solidFill>
                        <a:ln>
                          <a:noFill/>
                        </a:ln>
                      </wps:spPr>
                      <wps:txbx>
                        <w:txbxContent>
                          <w:p w14:paraId="0E9F9508"/>
                        </w:txbxContent>
                      </wps:txbx>
                      <wps:bodyPr upright="1"/>
                    </wps:wsp>
                  </a:graphicData>
                </a:graphic>
              </wp:anchor>
            </w:drawing>
          </mc:Choice>
          <mc:Fallback>
            <w:pict>
              <v:shape id="文本框 12" o:spid="_x0000_s1026" o:spt="202" type="#_x0000_t202" style="position:absolute;left:0pt;margin-left:535.95pt;margin-top:422.6pt;height:10.85pt;width:117.5pt;z-index:251671552;mso-width-relative:page;mso-height-relative:page;" fillcolor="#FFFFFF" filled="t" stroked="f" coordsize="21600,21600" o:gfxdata="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py/5rZAAAADQEAAA8AAAAAAAAAAQAgAAAAIgAAAGRycy9kb3ducmV2&#10;LnhtbFBLAQIUABQAAAAIAIdO4kDj+21vwgEAAHkDAAAOAAAAAAAAAAEAIAAAACgBAABkcnMvZTJv&#10;RG9jLnhtbFBLBQYAAAAABgAGAFkBAABcBQAAAAA=&#10;">
                <v:fill on="t" focussize="0,0"/>
                <v:stroke on="f"/>
                <v:imagedata o:title=""/>
                <o:lock v:ext="edit" aspectratio="f"/>
                <v:textbox>
                  <w:txbxContent>
                    <w:p w14:paraId="0E9F9508"/>
                  </w:txbxContent>
                </v:textbox>
              </v:shape>
            </w:pict>
          </mc:Fallback>
        </mc:AlternateContent>
      </w:r>
      <w:r>
        <w:rPr>
          <w:color w:val="auto"/>
        </w:rPr>
        <w:drawing>
          <wp:anchor distT="0" distB="0" distL="114300" distR="114300" simplePos="0" relativeHeight="251665408" behindDoc="0" locked="0" layoutInCell="1" allowOverlap="1">
            <wp:simplePos x="0" y="0"/>
            <wp:positionH relativeFrom="column">
              <wp:posOffset>6530975</wp:posOffset>
            </wp:positionH>
            <wp:positionV relativeFrom="paragraph">
              <wp:posOffset>4528820</wp:posOffset>
            </wp:positionV>
            <wp:extent cx="1819275" cy="982980"/>
            <wp:effectExtent l="0" t="0" r="9525" b="7620"/>
            <wp:wrapNone/>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48"/>
                    <a:stretch>
                      <a:fillRect/>
                    </a:stretch>
                  </pic:blipFill>
                  <pic:spPr>
                    <a:xfrm>
                      <a:off x="0" y="0"/>
                      <a:ext cx="1819275" cy="982980"/>
                    </a:xfrm>
                    <a:prstGeom prst="rect">
                      <a:avLst/>
                    </a:prstGeom>
                    <a:noFill/>
                    <a:ln>
                      <a:noFill/>
                    </a:ln>
                  </pic:spPr>
                </pic:pic>
              </a:graphicData>
            </a:graphic>
          </wp:anchor>
        </w:drawing>
      </w:r>
      <w:r>
        <w:rPr>
          <w:color w:val="auto"/>
        </w:rPr>
        <w:drawing>
          <wp:inline distT="0" distB="0" distL="114300" distR="114300">
            <wp:extent cx="8166100" cy="5578475"/>
            <wp:effectExtent l="0" t="0" r="6350" b="3175"/>
            <wp:docPr id="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0"/>
                    <pic:cNvPicPr>
                      <a:picLocks noChangeAspect="1"/>
                    </pic:cNvPicPr>
                  </pic:nvPicPr>
                  <pic:blipFill>
                    <a:blip r:embed="rId49"/>
                    <a:stretch>
                      <a:fillRect/>
                    </a:stretch>
                  </pic:blipFill>
                  <pic:spPr>
                    <a:xfrm>
                      <a:off x="0" y="0"/>
                      <a:ext cx="8166100" cy="5578475"/>
                    </a:xfrm>
                    <a:prstGeom prst="rect">
                      <a:avLst/>
                    </a:prstGeom>
                    <a:noFill/>
                    <a:ln>
                      <a:noFill/>
                    </a:ln>
                  </pic:spPr>
                </pic:pic>
              </a:graphicData>
            </a:graphic>
          </wp:inline>
        </w:drawing>
      </w:r>
      <w:r>
        <w:rPr>
          <w:color w:val="auto"/>
        </w:rPr>
        <w:drawing>
          <wp:anchor distT="0" distB="0" distL="114300" distR="114300" simplePos="0" relativeHeight="251659264" behindDoc="0" locked="0" layoutInCell="1" allowOverlap="1">
            <wp:simplePos x="0" y="0"/>
            <wp:positionH relativeFrom="column">
              <wp:posOffset>7454265</wp:posOffset>
            </wp:positionH>
            <wp:positionV relativeFrom="paragraph">
              <wp:posOffset>54610</wp:posOffset>
            </wp:positionV>
            <wp:extent cx="879475" cy="927100"/>
            <wp:effectExtent l="0" t="0" r="15875" b="6350"/>
            <wp:wrapNone/>
            <wp:docPr id="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
                    <pic:cNvPicPr>
                      <a:picLocks noChangeAspect="1"/>
                    </pic:cNvPicPr>
                  </pic:nvPicPr>
                  <pic:blipFill>
                    <a:blip r:embed="rId50"/>
                    <a:stretch>
                      <a:fillRect/>
                    </a:stretch>
                  </pic:blipFill>
                  <pic:spPr>
                    <a:xfrm>
                      <a:off x="0" y="0"/>
                      <a:ext cx="879475" cy="927100"/>
                    </a:xfrm>
                    <a:prstGeom prst="rect">
                      <a:avLst/>
                    </a:prstGeom>
                    <a:noFill/>
                    <a:ln>
                      <a:noFill/>
                    </a:ln>
                  </pic:spPr>
                </pic:pic>
              </a:graphicData>
            </a:graphic>
          </wp:anchor>
        </w:drawing>
      </w:r>
      <w:bookmarkEnd w:id="26"/>
      <w:bookmarkEnd w:id="27"/>
      <w:bookmarkEnd w:id="28"/>
    </w:p>
    <w:bookmarkEnd w:id="29"/>
    <w:p w14:paraId="314B4423">
      <w:pPr>
        <w:pStyle w:val="77"/>
        <w:rPr>
          <w:rFonts w:ascii="Times New Roman" w:hAnsi="Times New Roman" w:eastAsia="宋体" w:cs="Times New Roman"/>
          <w:color w:val="auto"/>
        </w:rPr>
      </w:pPr>
      <w:bookmarkStart w:id="30" w:name="_Toc18257"/>
      <w:r>
        <w:rPr>
          <w:rFonts w:ascii="Times New Roman" w:hAnsi="Times New Roman" w:eastAsia="宋体" w:cs="Times New Roman"/>
          <w:color w:val="auto"/>
          <w:lang w:val="en-US"/>
        </w:rPr>
        <w:t>附图</w:t>
      </w:r>
      <w:r>
        <w:rPr>
          <w:rFonts w:hint="eastAsia" w:ascii="Times New Roman" w:hAnsi="Times New Roman" w:eastAsia="宋体" w:cs="Times New Roman"/>
          <w:color w:val="auto"/>
          <w:lang w:val="en-US" w:eastAsia="zh-CN"/>
        </w:rPr>
        <w:t>5</w:t>
      </w:r>
      <w:r>
        <w:rPr>
          <w:rFonts w:hint="eastAsia" w:cs="Times New Roman"/>
          <w:color w:val="auto"/>
          <w:lang w:val="en-US" w:eastAsia="zh-CN"/>
        </w:rPr>
        <w:t>：鸡西</w:t>
      </w:r>
      <w:r>
        <w:rPr>
          <w:rFonts w:hint="eastAsia" w:ascii="Times New Roman" w:hAnsi="Times New Roman" w:eastAsia="宋体" w:cs="Times New Roman"/>
          <w:color w:val="auto"/>
          <w:lang w:val="en-US"/>
        </w:rPr>
        <w:t>市</w:t>
      </w:r>
      <w:r>
        <w:rPr>
          <w:rFonts w:ascii="Times New Roman" w:hAnsi="Times New Roman" w:eastAsia="宋体" w:cs="Times New Roman"/>
          <w:color w:val="auto"/>
          <w:lang w:val="en-US"/>
        </w:rPr>
        <w:t>环境分区管控单</w:t>
      </w:r>
      <w:r>
        <w:rPr>
          <w:rFonts w:hint="eastAsia" w:ascii="Times New Roman" w:hAnsi="Times New Roman" w:eastAsia="宋体" w:cs="Times New Roman"/>
          <w:color w:val="auto"/>
          <w:lang w:val="en-US" w:eastAsia="zh-CN"/>
        </w:rPr>
        <w:t>元图</w:t>
      </w:r>
      <w:bookmarkEnd w:id="30"/>
    </w:p>
    <w:p w14:paraId="208FD26C">
      <w:pPr>
        <w:pStyle w:val="25"/>
        <w:tabs>
          <w:tab w:val="left" w:pos="520"/>
        </w:tabs>
        <w:ind w:left="0" w:leftChars="0" w:firstLine="0" w:firstLineChars="0"/>
        <w:jc w:val="both"/>
        <w:rPr>
          <w:rFonts w:hint="eastAsia" w:eastAsia="宋体"/>
          <w:color w:val="auto"/>
          <w:lang w:eastAsia="zh-CN"/>
        </w:rPr>
        <w:sectPr>
          <w:pgSz w:w="16838" w:h="11906" w:orient="landscape"/>
          <w:pgMar w:top="1304" w:right="1531" w:bottom="1304" w:left="1531" w:header="851" w:footer="851" w:gutter="0"/>
          <w:pgNumType w:fmt="decimal"/>
          <w:cols w:space="720" w:num="1"/>
          <w:docGrid w:linePitch="312" w:charSpace="0"/>
        </w:sectPr>
      </w:pPr>
      <w:r>
        <w:rPr>
          <w:color w:val="auto"/>
        </w:rPr>
        <mc:AlternateContent>
          <mc:Choice Requires="wps">
            <w:drawing>
              <wp:anchor distT="0" distB="0" distL="114300" distR="114300" simplePos="0" relativeHeight="251660288" behindDoc="0" locked="0" layoutInCell="1" allowOverlap="1">
                <wp:simplePos x="0" y="0"/>
                <wp:positionH relativeFrom="column">
                  <wp:posOffset>4881245</wp:posOffset>
                </wp:positionH>
                <wp:positionV relativeFrom="paragraph">
                  <wp:posOffset>3183890</wp:posOffset>
                </wp:positionV>
                <wp:extent cx="1083310" cy="252095"/>
                <wp:effectExtent l="271145" t="334645" r="17145" b="22860"/>
                <wp:wrapNone/>
                <wp:docPr id="14" name="矩形标注 141"/>
                <wp:cNvGraphicFramePr/>
                <a:graphic xmlns:a="http://schemas.openxmlformats.org/drawingml/2006/main">
                  <a:graphicData uri="http://schemas.microsoft.com/office/word/2010/wordprocessingShape">
                    <wps:wsp>
                      <wps:cNvSpPr>
                        <a:spLocks noChangeArrowheads="1"/>
                      </wps:cNvSpPr>
                      <wps:spPr bwMode="auto">
                        <a:xfrm>
                          <a:off x="6105375" y="5046014"/>
                          <a:ext cx="1082969" cy="251653"/>
                        </a:xfrm>
                        <a:prstGeom prst="wedgeRectCallout">
                          <a:avLst>
                            <a:gd name="adj1" fmla="val -71991"/>
                            <a:gd name="adj2" fmla="val -174722"/>
                          </a:avLst>
                        </a:prstGeom>
                        <a:noFill/>
                        <a:ln w="6350">
                          <a:solidFill>
                            <a:srgbClr val="FF0000"/>
                          </a:solidFill>
                          <a:miter lim="800000"/>
                        </a:ln>
                        <a:effectLst/>
                      </wps:spPr>
                      <wps:txbx>
                        <w:txbxContent>
                          <w:p w14:paraId="1A6FB18E">
                            <w:pPr>
                              <w:jc w:val="center"/>
                              <w:rPr>
                                <w:b/>
                                <w:bCs/>
                                <w:color w:val="FF0000"/>
                              </w:rPr>
                            </w:pPr>
                            <w:r>
                              <w:rPr>
                                <w:rFonts w:hint="eastAsia"/>
                                <w:b/>
                                <w:bCs/>
                                <w:color w:val="FF0000"/>
                                <w:sz w:val="24"/>
                              </w:rPr>
                              <w:t>本项目</w:t>
                            </w:r>
                            <w:r>
                              <w:rPr>
                                <w:rFonts w:hint="eastAsia"/>
                                <w:b/>
                                <w:bCs/>
                                <w:color w:val="FF0000"/>
                              </w:rPr>
                              <w:t>厂址</w:t>
                            </w:r>
                          </w:p>
                        </w:txbxContent>
                      </wps:txbx>
                      <wps:bodyPr rot="0" vert="horz" wrap="square" lIns="91440" tIns="18000" rIns="91440" bIns="18000" anchor="t" anchorCtr="0" upright="1">
                        <a:noAutofit/>
                      </wps:bodyPr>
                    </wps:wsp>
                  </a:graphicData>
                </a:graphic>
              </wp:anchor>
            </w:drawing>
          </mc:Choice>
          <mc:Fallback>
            <w:pict>
              <v:shape id="矩形标注 141" o:spid="_x0000_s1026" o:spt="61" type="#_x0000_t61" style="position:absolute;left:0pt;margin-left:384.35pt;margin-top:250.7pt;height:19.85pt;width:85.3pt;z-index:251660288;mso-width-relative:page;mso-height-relative:page;" filled="f" stroked="t" coordsize="21600,21600" o:gfxdata="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Grinq2gAAAAsBAAAPAAAAAAAA&#10;AAEAIAAAACIAAABkcnMvZG93bnJldi54bWxQSwECFAAUAAAACACHTuJAXC5zwoICAADUBAAADgAA&#10;AAAAAAABACAAAAApAQAAZHJzL2Uyb0RvYy54bWxQSwUGAAAAAAYABgBZAQAAHQYAAAAA&#10;" adj="-4750,-26940">
                <v:fill on="f" focussize="0,0"/>
                <v:stroke weight="0.5pt" color="#FF0000" miterlimit="8" joinstyle="miter"/>
                <v:imagedata o:title=""/>
                <o:lock v:ext="edit" aspectratio="f"/>
                <v:textbox inset="2.54mm,0.5mm,2.54mm,0.5mm">
                  <w:txbxContent>
                    <w:p w14:paraId="1A6FB18E">
                      <w:pPr>
                        <w:jc w:val="center"/>
                        <w:rPr>
                          <w:b/>
                          <w:bCs/>
                          <w:color w:val="FF0000"/>
                        </w:rPr>
                      </w:pPr>
                      <w:r>
                        <w:rPr>
                          <w:rFonts w:hint="eastAsia"/>
                          <w:b/>
                          <w:bCs/>
                          <w:color w:val="FF0000"/>
                          <w:sz w:val="24"/>
                        </w:rPr>
                        <w:t>本项目</w:t>
                      </w:r>
                      <w:r>
                        <w:rPr>
                          <w:rFonts w:hint="eastAsia"/>
                          <w:b/>
                          <w:bCs/>
                          <w:color w:val="FF0000"/>
                        </w:rPr>
                        <w:t>厂址</w:t>
                      </w:r>
                    </w:p>
                  </w:txbxContent>
                </v:textbox>
              </v:shape>
            </w:pict>
          </mc:Fallback>
        </mc:AlternateContent>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4434205</wp:posOffset>
                </wp:positionH>
                <wp:positionV relativeFrom="paragraph">
                  <wp:posOffset>2711450</wp:posOffset>
                </wp:positionV>
                <wp:extent cx="610870" cy="412750"/>
                <wp:effectExtent l="0" t="0" r="0" b="0"/>
                <wp:wrapNone/>
                <wp:docPr id="15" name="文本框 9"/>
                <wp:cNvGraphicFramePr/>
                <a:graphic xmlns:a="http://schemas.openxmlformats.org/drawingml/2006/main">
                  <a:graphicData uri="http://schemas.microsoft.com/office/word/2010/wordprocessingShape">
                    <wps:wsp>
                      <wps:cNvSpPr txBox="1"/>
                      <wps:spPr>
                        <a:xfrm>
                          <a:off x="0" y="0"/>
                          <a:ext cx="610870" cy="412750"/>
                        </a:xfrm>
                        <a:prstGeom prst="rect">
                          <a:avLst/>
                        </a:prstGeom>
                        <a:noFill/>
                        <a:ln>
                          <a:noFill/>
                        </a:ln>
                      </wps:spPr>
                      <wps:txbx>
                        <w:txbxContent>
                          <w:p w14:paraId="715D4B1B">
                            <w:pPr>
                              <w:rPr>
                                <w:color w:val="FF0000"/>
                              </w:rPr>
                            </w:pPr>
                            <w:r>
                              <w:rPr>
                                <w:rFonts w:hint="default" w:ascii="Times New Roman" w:hAnsi="Times New Roman" w:cs="Times New Roman"/>
                                <w:color w:val="7030A0"/>
                              </w:rPr>
                              <w:t>▲</w:t>
                            </w:r>
                          </w:p>
                        </w:txbxContent>
                      </wps:txbx>
                      <wps:bodyPr upright="1"/>
                    </wps:wsp>
                  </a:graphicData>
                </a:graphic>
              </wp:anchor>
            </w:drawing>
          </mc:Choice>
          <mc:Fallback>
            <w:pict>
              <v:shape id="文本框 9" o:spid="_x0000_s1026" o:spt="202" type="#_x0000_t202" style="position:absolute;left:0pt;margin-left:349.15pt;margin-top:213.5pt;height:32.5pt;width:48.1pt;z-index:251661312;mso-width-relative:page;mso-height-relative:page;" filled="f" stroked="f" coordsize="21600,21600" o:gfxdata="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Pi9/Z&#10;AAAACwEAAA8AAAAAAAAAAQAgAAAAIgAAAGRycy9kb3ducmV2LnhtbFBLAQIUABQAAAAIAIdO4kB+&#10;b0sCrQEAAE4DAAAOAAAAAAAAAAEAIAAAACgBAABkcnMvZTJvRG9jLnhtbFBLBQYAAAAABgAGAFkB&#10;AABHBQAAAAA=&#10;">
                <v:fill on="f" focussize="0,0"/>
                <v:stroke on="f"/>
                <v:imagedata o:title=""/>
                <o:lock v:ext="edit" aspectratio="f"/>
                <v:textbox>
                  <w:txbxContent>
                    <w:p w14:paraId="715D4B1B">
                      <w:pPr>
                        <w:rPr>
                          <w:color w:val="FF0000"/>
                        </w:rPr>
                      </w:pPr>
                      <w:r>
                        <w:rPr>
                          <w:rFonts w:hint="default" w:ascii="Times New Roman" w:hAnsi="Times New Roman" w:cs="Times New Roman"/>
                          <w:color w:val="7030A0"/>
                        </w:rPr>
                        <w:t>▲</w:t>
                      </w:r>
                    </w:p>
                  </w:txbxContent>
                </v:textbox>
              </v:shape>
            </w:pict>
          </mc:Fallback>
        </mc:AlternateContent>
      </w:r>
      <w:r>
        <w:rPr>
          <w:rFonts w:hint="eastAsia" w:eastAsia="宋体"/>
          <w:color w:val="auto"/>
          <w:lang w:eastAsia="zh-CN"/>
        </w:rPr>
        <w:drawing>
          <wp:inline distT="0" distB="0" distL="114300" distR="114300">
            <wp:extent cx="8347075" cy="5452110"/>
            <wp:effectExtent l="0" t="0" r="15875" b="15240"/>
            <wp:docPr id="33" name="图片 33" descr="鸡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鸡西图"/>
                    <pic:cNvPicPr>
                      <a:picLocks noChangeAspect="1"/>
                    </pic:cNvPicPr>
                  </pic:nvPicPr>
                  <pic:blipFill>
                    <a:blip r:embed="rId51"/>
                    <a:stretch>
                      <a:fillRect/>
                    </a:stretch>
                  </pic:blipFill>
                  <pic:spPr>
                    <a:xfrm>
                      <a:off x="0" y="0"/>
                      <a:ext cx="8347075" cy="5452110"/>
                    </a:xfrm>
                    <a:prstGeom prst="rect">
                      <a:avLst/>
                    </a:prstGeom>
                  </pic:spPr>
                </pic:pic>
              </a:graphicData>
            </a:graphic>
          </wp:inline>
        </w:drawing>
      </w:r>
    </w:p>
    <w:p w14:paraId="4AB603F8">
      <w:pPr>
        <w:pStyle w:val="2"/>
        <w:spacing w:before="0" w:after="0" w:line="360" w:lineRule="auto"/>
        <w:ind w:left="0" w:firstLine="0"/>
        <w:rPr>
          <w:rFonts w:eastAsia="宋体"/>
          <w:snapToGrid w:val="0"/>
          <w:color w:val="auto"/>
          <w:sz w:val="32"/>
          <w:szCs w:val="32"/>
        </w:rPr>
      </w:pPr>
      <w:bookmarkStart w:id="31" w:name="_Toc30943"/>
      <w:r>
        <w:rPr>
          <w:rFonts w:eastAsia="宋体"/>
          <w:snapToGrid w:val="0"/>
          <w:color w:val="auto"/>
          <w:sz w:val="28"/>
        </w:rPr>
        <w:t>附件</w:t>
      </w:r>
      <w:bookmarkEnd w:id="31"/>
    </w:p>
    <w:p w14:paraId="3233BFBC">
      <w:pPr>
        <w:pStyle w:val="77"/>
        <w:rPr>
          <w:rFonts w:hint="eastAsia"/>
          <w:color w:val="auto"/>
          <w:lang w:eastAsia="zh-CN"/>
        </w:rPr>
      </w:pPr>
      <w:bookmarkStart w:id="32" w:name="_Toc18681"/>
      <w:bookmarkStart w:id="33" w:name="_Hlk68104001"/>
      <w:r>
        <w:rPr>
          <w:color w:val="auto"/>
          <w:sz w:val="28"/>
          <w:szCs w:val="28"/>
        </w:rPr>
        <w:t>附件1：营业执照</w:t>
      </w:r>
      <w:bookmarkEnd w:id="32"/>
      <w:bookmarkEnd w:id="33"/>
    </w:p>
    <w:p w14:paraId="58C4EB17">
      <w:pPr>
        <w:pStyle w:val="39"/>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rPr>
          <w:rFonts w:hint="eastAsia"/>
          <w:color w:val="auto"/>
          <w:lang w:eastAsia="zh-CN"/>
        </w:rPr>
        <w:sectPr>
          <w:pgSz w:w="11906" w:h="16838"/>
          <w:pgMar w:top="1361" w:right="1701" w:bottom="1247" w:left="1701" w:header="851" w:footer="851" w:gutter="0"/>
          <w:pgNumType w:fmt="decimal"/>
          <w:cols w:space="720" w:num="1"/>
          <w:docGrid w:linePitch="312" w:charSpace="0"/>
        </w:sectPr>
      </w:pPr>
      <w:r>
        <w:rPr>
          <w:rFonts w:hint="eastAsia"/>
          <w:color w:val="auto"/>
          <w:lang w:eastAsia="zh-CN"/>
        </w:rPr>
        <w:drawing>
          <wp:inline distT="0" distB="0" distL="114300" distR="114300">
            <wp:extent cx="5394325" cy="8007350"/>
            <wp:effectExtent l="0" t="0" r="15875" b="12700"/>
            <wp:docPr id="31" name="图片 31" descr="172335963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23359638232"/>
                    <pic:cNvPicPr>
                      <a:picLocks noChangeAspect="1"/>
                    </pic:cNvPicPr>
                  </pic:nvPicPr>
                  <pic:blipFill>
                    <a:blip r:embed="rId52"/>
                    <a:stretch>
                      <a:fillRect/>
                    </a:stretch>
                  </pic:blipFill>
                  <pic:spPr>
                    <a:xfrm>
                      <a:off x="0" y="0"/>
                      <a:ext cx="5394325" cy="8007350"/>
                    </a:xfrm>
                    <a:prstGeom prst="rect">
                      <a:avLst/>
                    </a:prstGeom>
                  </pic:spPr>
                </pic:pic>
              </a:graphicData>
            </a:graphic>
          </wp:inline>
        </w:drawing>
      </w:r>
    </w:p>
    <w:p w14:paraId="06D6A19F">
      <w:pPr>
        <w:pStyle w:val="77"/>
        <w:rPr>
          <w:rFonts w:hint="eastAsia"/>
          <w:color w:val="auto"/>
          <w:sz w:val="28"/>
          <w:szCs w:val="28"/>
          <w:lang w:val="en-US" w:eastAsia="zh-CN"/>
        </w:rPr>
      </w:pPr>
      <w:bookmarkStart w:id="34" w:name="_Toc4239"/>
      <w:r>
        <w:rPr>
          <w:rFonts w:hint="eastAsia"/>
          <w:color w:val="auto"/>
          <w:sz w:val="28"/>
          <w:szCs w:val="28"/>
          <w:lang w:eastAsia="zh-CN"/>
        </w:rPr>
        <w:t>附件</w:t>
      </w:r>
      <w:r>
        <w:rPr>
          <w:rFonts w:hint="eastAsia"/>
          <w:color w:val="auto"/>
          <w:sz w:val="28"/>
          <w:szCs w:val="28"/>
          <w:lang w:val="en-US" w:eastAsia="zh-CN"/>
        </w:rPr>
        <w:t>2：土地手续</w:t>
      </w:r>
      <w:bookmarkEnd w:id="34"/>
    </w:p>
    <w:p w14:paraId="12E59C88">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r>
        <w:rPr>
          <w:rFonts w:hint="eastAsia"/>
          <w:color w:val="auto"/>
          <w:sz w:val="28"/>
          <w:szCs w:val="28"/>
          <w:lang w:val="en-US" w:eastAsia="zh-CN"/>
        </w:rPr>
        <w:drawing>
          <wp:inline distT="0" distB="0" distL="114300" distR="114300">
            <wp:extent cx="5626735" cy="8054340"/>
            <wp:effectExtent l="0" t="0" r="12065" b="3810"/>
            <wp:docPr id="29" name="图片 29" descr="172335955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23359552690"/>
                    <pic:cNvPicPr>
                      <a:picLocks noChangeAspect="1"/>
                    </pic:cNvPicPr>
                  </pic:nvPicPr>
                  <pic:blipFill>
                    <a:blip r:embed="rId53"/>
                    <a:stretch>
                      <a:fillRect/>
                    </a:stretch>
                  </pic:blipFill>
                  <pic:spPr>
                    <a:xfrm>
                      <a:off x="0" y="0"/>
                      <a:ext cx="5626735" cy="8054340"/>
                    </a:xfrm>
                    <a:prstGeom prst="rect">
                      <a:avLst/>
                    </a:prstGeom>
                  </pic:spPr>
                </pic:pic>
              </a:graphicData>
            </a:graphic>
          </wp:inline>
        </w:drawing>
      </w:r>
      <w:r>
        <w:rPr>
          <w:rFonts w:hint="eastAsia"/>
          <w:color w:val="auto"/>
          <w:sz w:val="28"/>
          <w:szCs w:val="28"/>
          <w:lang w:val="en-US" w:eastAsia="zh-CN"/>
        </w:rPr>
        <w:drawing>
          <wp:inline distT="0" distB="0" distL="114300" distR="114300">
            <wp:extent cx="5269230" cy="7041515"/>
            <wp:effectExtent l="0" t="0" r="7620" b="6985"/>
            <wp:docPr id="95" name="图片 95" descr="172723557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727235578159"/>
                    <pic:cNvPicPr>
                      <a:picLocks noChangeAspect="1"/>
                    </pic:cNvPicPr>
                  </pic:nvPicPr>
                  <pic:blipFill>
                    <a:blip r:embed="rId54"/>
                    <a:stretch>
                      <a:fillRect/>
                    </a:stretch>
                  </pic:blipFill>
                  <pic:spPr>
                    <a:xfrm>
                      <a:off x="0" y="0"/>
                      <a:ext cx="5269230" cy="7041515"/>
                    </a:xfrm>
                    <a:prstGeom prst="rect">
                      <a:avLst/>
                    </a:prstGeom>
                  </pic:spPr>
                </pic:pic>
              </a:graphicData>
            </a:graphic>
          </wp:inline>
        </w:drawing>
      </w:r>
    </w:p>
    <w:p w14:paraId="048797BD">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p>
    <w:p w14:paraId="2A8F523E">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p>
    <w:p w14:paraId="3112CDB6">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p>
    <w:p w14:paraId="4F4A3519">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p>
    <w:p w14:paraId="480ADCDB">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lang w:val="en-US" w:eastAsia="zh-CN"/>
        </w:rPr>
      </w:pPr>
    </w:p>
    <w:p w14:paraId="7B17CE7D">
      <w:pPr>
        <w:pStyle w:val="77"/>
        <w:rPr>
          <w:rFonts w:hint="eastAsia"/>
          <w:color w:val="auto"/>
          <w:sz w:val="28"/>
          <w:szCs w:val="28"/>
        </w:rPr>
      </w:pPr>
      <w:bookmarkStart w:id="35" w:name="_Toc8078"/>
      <w:r>
        <w:rPr>
          <w:rFonts w:hint="eastAsia"/>
          <w:color w:val="auto"/>
          <w:sz w:val="28"/>
          <w:szCs w:val="28"/>
        </w:rPr>
        <w:t>附件</w:t>
      </w:r>
      <w:r>
        <w:rPr>
          <w:rFonts w:hint="eastAsia"/>
          <w:color w:val="auto"/>
          <w:sz w:val="28"/>
          <w:szCs w:val="28"/>
          <w:lang w:val="en-US" w:eastAsia="zh-CN"/>
        </w:rPr>
        <w:t>3</w:t>
      </w:r>
      <w:r>
        <w:rPr>
          <w:rFonts w:hint="eastAsia"/>
          <w:color w:val="auto"/>
          <w:sz w:val="28"/>
          <w:szCs w:val="28"/>
        </w:rPr>
        <w:t>：监测报告</w:t>
      </w:r>
      <w:bookmarkEnd w:id="35"/>
    </w:p>
    <w:p w14:paraId="510265DE">
      <w:pPr>
        <w:pStyle w:val="23"/>
        <w:keepNext w:val="0"/>
        <w:keepLines w:val="0"/>
        <w:pageBreakBefore w:val="0"/>
        <w:widowControl w:val="0"/>
        <w:kinsoku/>
        <w:wordWrap/>
        <w:overflowPunct/>
        <w:topLinePunct w:val="0"/>
        <w:bidi w:val="0"/>
        <w:adjustRightInd/>
        <w:snapToGrid/>
        <w:spacing w:beforeAutospacing="0" w:afterAutospacing="0"/>
        <w:ind w:left="0" w:leftChars="0" w:firstLine="0" w:firstLineChars="0"/>
        <w:textAlignment w:val="auto"/>
        <w:outlineLvl w:val="9"/>
        <w:rPr>
          <w:rFonts w:hint="eastAsia" w:eastAsia="宋体"/>
          <w:color w:val="auto"/>
          <w:lang w:eastAsia="zh-CN"/>
        </w:rPr>
        <w:sectPr>
          <w:headerReference r:id="rId13" w:type="first"/>
          <w:footerReference r:id="rId15" w:type="first"/>
          <w:headerReference r:id="rId12" w:type="default"/>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titlePg/>
          <w:docGrid w:type="lines" w:linePitch="326" w:charSpace="0"/>
        </w:sectPr>
      </w:pPr>
      <w:r>
        <w:rPr>
          <w:rFonts w:hint="eastAsia" w:eastAsia="宋体"/>
          <w:color w:val="auto"/>
          <w:lang w:eastAsia="zh-CN"/>
        </w:rPr>
        <w:drawing>
          <wp:inline distT="0" distB="0" distL="114300" distR="114300">
            <wp:extent cx="5269230" cy="8156575"/>
            <wp:effectExtent l="0" t="0" r="7620" b="15875"/>
            <wp:docPr id="19" name="图片 19" descr="虎林市双硕农业(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虎林市双硕农业(1)_00"/>
                    <pic:cNvPicPr>
                      <a:picLocks noChangeAspect="1"/>
                    </pic:cNvPicPr>
                  </pic:nvPicPr>
                  <pic:blipFill>
                    <a:blip r:embed="rId55"/>
                    <a:stretch>
                      <a:fillRect/>
                    </a:stretch>
                  </pic:blipFill>
                  <pic:spPr>
                    <a:xfrm>
                      <a:off x="0" y="0"/>
                      <a:ext cx="5269230" cy="8156575"/>
                    </a:xfrm>
                    <a:prstGeom prst="rect">
                      <a:avLst/>
                    </a:prstGeom>
                  </pic:spPr>
                </pic:pic>
              </a:graphicData>
            </a:graphic>
          </wp:inline>
        </w:drawing>
      </w:r>
      <w:r>
        <w:rPr>
          <w:rFonts w:hint="eastAsia" w:eastAsia="宋体"/>
          <w:color w:val="auto"/>
          <w:lang w:eastAsia="zh-CN"/>
        </w:rPr>
        <w:drawing>
          <wp:inline distT="0" distB="0" distL="114300" distR="114300">
            <wp:extent cx="5427345" cy="8554085"/>
            <wp:effectExtent l="0" t="0" r="1905" b="18415"/>
            <wp:docPr id="18" name="图片 18" descr="虎林市双硕农业(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虎林市双硕农业(1)_01"/>
                    <pic:cNvPicPr>
                      <a:picLocks noChangeAspect="1"/>
                    </pic:cNvPicPr>
                  </pic:nvPicPr>
                  <pic:blipFill>
                    <a:blip r:embed="rId56"/>
                    <a:stretch>
                      <a:fillRect/>
                    </a:stretch>
                  </pic:blipFill>
                  <pic:spPr>
                    <a:xfrm>
                      <a:off x="0" y="0"/>
                      <a:ext cx="5427345" cy="8554085"/>
                    </a:xfrm>
                    <a:prstGeom prst="rect">
                      <a:avLst/>
                    </a:prstGeom>
                  </pic:spPr>
                </pic:pic>
              </a:graphicData>
            </a:graphic>
          </wp:inline>
        </w:drawing>
      </w:r>
      <w:r>
        <w:rPr>
          <w:rFonts w:hint="eastAsia" w:eastAsia="宋体"/>
          <w:color w:val="auto"/>
          <w:lang w:eastAsia="zh-CN"/>
        </w:rPr>
        <w:drawing>
          <wp:inline distT="0" distB="0" distL="114300" distR="114300">
            <wp:extent cx="5347970" cy="8451215"/>
            <wp:effectExtent l="0" t="0" r="5080" b="6985"/>
            <wp:docPr id="4" name="图片 4" descr="虎林市双硕农业(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虎林市双硕农业(1)_02"/>
                    <pic:cNvPicPr>
                      <a:picLocks noChangeAspect="1"/>
                    </pic:cNvPicPr>
                  </pic:nvPicPr>
                  <pic:blipFill>
                    <a:blip r:embed="rId57"/>
                    <a:stretch>
                      <a:fillRect/>
                    </a:stretch>
                  </pic:blipFill>
                  <pic:spPr>
                    <a:xfrm>
                      <a:off x="0" y="0"/>
                      <a:ext cx="5347970" cy="8451215"/>
                    </a:xfrm>
                    <a:prstGeom prst="rect">
                      <a:avLst/>
                    </a:prstGeom>
                  </pic:spPr>
                </pic:pic>
              </a:graphicData>
            </a:graphic>
          </wp:inline>
        </w:drawing>
      </w:r>
      <w:r>
        <w:rPr>
          <w:rFonts w:hint="eastAsia" w:eastAsia="宋体"/>
          <w:color w:val="auto"/>
          <w:lang w:eastAsia="zh-CN"/>
        </w:rPr>
        <w:drawing>
          <wp:inline distT="0" distB="0" distL="114300" distR="114300">
            <wp:extent cx="5403850" cy="8529955"/>
            <wp:effectExtent l="0" t="0" r="6350" b="4445"/>
            <wp:docPr id="1" name="图片 1" descr="虎林市双硕农业(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虎林市双硕农业(1)_03"/>
                    <pic:cNvPicPr>
                      <a:picLocks noChangeAspect="1"/>
                    </pic:cNvPicPr>
                  </pic:nvPicPr>
                  <pic:blipFill>
                    <a:blip r:embed="rId58"/>
                    <a:stretch>
                      <a:fillRect/>
                    </a:stretch>
                  </pic:blipFill>
                  <pic:spPr>
                    <a:xfrm>
                      <a:off x="0" y="0"/>
                      <a:ext cx="5403850" cy="8529955"/>
                    </a:xfrm>
                    <a:prstGeom prst="rect">
                      <a:avLst/>
                    </a:prstGeom>
                  </pic:spPr>
                </pic:pic>
              </a:graphicData>
            </a:graphic>
          </wp:inline>
        </w:drawing>
      </w:r>
      <w:r>
        <w:rPr>
          <w:rFonts w:hint="eastAsia" w:eastAsia="宋体"/>
          <w:color w:val="auto"/>
          <w:lang w:eastAsia="zh-CN"/>
        </w:rPr>
        <w:drawing>
          <wp:inline distT="0" distB="0" distL="114300" distR="114300">
            <wp:extent cx="5474970" cy="8474075"/>
            <wp:effectExtent l="0" t="0" r="11430" b="3175"/>
            <wp:docPr id="26" name="图片 26" descr="虎林市双硕农业(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虎林市双硕农业(1)_04"/>
                    <pic:cNvPicPr>
                      <a:picLocks noChangeAspect="1"/>
                    </pic:cNvPicPr>
                  </pic:nvPicPr>
                  <pic:blipFill>
                    <a:blip r:embed="rId59"/>
                    <a:stretch>
                      <a:fillRect/>
                    </a:stretch>
                  </pic:blipFill>
                  <pic:spPr>
                    <a:xfrm>
                      <a:off x="0" y="0"/>
                      <a:ext cx="5474970" cy="8474075"/>
                    </a:xfrm>
                    <a:prstGeom prst="rect">
                      <a:avLst/>
                    </a:prstGeom>
                  </pic:spPr>
                </pic:pic>
              </a:graphicData>
            </a:graphic>
          </wp:inline>
        </w:drawing>
      </w:r>
      <w:r>
        <w:rPr>
          <w:rFonts w:hint="eastAsia" w:eastAsia="宋体"/>
          <w:color w:val="auto"/>
          <w:lang w:eastAsia="zh-CN"/>
        </w:rPr>
        <w:drawing>
          <wp:inline distT="0" distB="0" distL="114300" distR="114300">
            <wp:extent cx="5268595" cy="8216265"/>
            <wp:effectExtent l="0" t="0" r="8255" b="13335"/>
            <wp:docPr id="94" name="图片 94" descr="da487d55695ee9becc7d8550ce8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da487d55695ee9becc7d8550ce83734"/>
                    <pic:cNvPicPr>
                      <a:picLocks noChangeAspect="1"/>
                    </pic:cNvPicPr>
                  </pic:nvPicPr>
                  <pic:blipFill>
                    <a:blip r:embed="rId60"/>
                    <a:stretch>
                      <a:fillRect/>
                    </a:stretch>
                  </pic:blipFill>
                  <pic:spPr>
                    <a:xfrm>
                      <a:off x="0" y="0"/>
                      <a:ext cx="5268595" cy="8216265"/>
                    </a:xfrm>
                    <a:prstGeom prst="rect">
                      <a:avLst/>
                    </a:prstGeom>
                  </pic:spPr>
                </pic:pic>
              </a:graphicData>
            </a:graphic>
          </wp:inline>
        </w:drawing>
      </w:r>
    </w:p>
    <w:p w14:paraId="5B8A02EA">
      <w:pPr>
        <w:pStyle w:val="77"/>
        <w:rPr>
          <w:color w:val="auto"/>
          <w:sz w:val="28"/>
          <w:szCs w:val="28"/>
        </w:rPr>
      </w:pPr>
      <w:bookmarkStart w:id="36" w:name="_Toc22778"/>
      <w:r>
        <w:rPr>
          <w:rFonts w:hint="eastAsia"/>
          <w:color w:val="auto"/>
          <w:sz w:val="28"/>
          <w:szCs w:val="28"/>
        </w:rPr>
        <w:t>附件</w:t>
      </w:r>
      <w:r>
        <w:rPr>
          <w:rFonts w:hint="eastAsia"/>
          <w:color w:val="auto"/>
          <w:sz w:val="28"/>
          <w:szCs w:val="28"/>
          <w:lang w:val="en-US" w:eastAsia="zh-CN"/>
        </w:rPr>
        <w:t>4</w:t>
      </w:r>
      <w:r>
        <w:rPr>
          <w:rFonts w:hint="eastAsia"/>
          <w:color w:val="auto"/>
          <w:sz w:val="28"/>
          <w:szCs w:val="28"/>
        </w:rPr>
        <w:t>：燃料成分检测报告</w:t>
      </w:r>
      <w:bookmarkEnd w:id="36"/>
    </w:p>
    <w:p w14:paraId="79141D55">
      <w:pPr>
        <w:jc w:val="center"/>
        <w:rPr>
          <w:color w:val="auto"/>
        </w:rPr>
      </w:pPr>
      <w:r>
        <w:rPr>
          <w:rFonts w:hint="default" w:ascii="Times New Roman" w:hAnsi="Times New Roman" w:eastAsia="宋体" w:cs="Times New Roman"/>
          <w:b/>
          <w:color w:val="auto"/>
          <w:sz w:val="44"/>
          <w:szCs w:val="44"/>
          <w:highlight w:val="none"/>
        </w:rPr>
        <w:drawing>
          <wp:inline distT="0" distB="0" distL="114935" distR="114935">
            <wp:extent cx="5421630" cy="8079105"/>
            <wp:effectExtent l="0" t="0" r="7620" b="17145"/>
            <wp:docPr id="27" name="图片 10" descr="217db9a935ae26391d1f36490781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descr="217db9a935ae26391d1f36490781d33"/>
                    <pic:cNvPicPr>
                      <a:picLocks noChangeAspect="1"/>
                    </pic:cNvPicPr>
                  </pic:nvPicPr>
                  <pic:blipFill>
                    <a:blip r:embed="rId61"/>
                    <a:stretch>
                      <a:fillRect/>
                    </a:stretch>
                  </pic:blipFill>
                  <pic:spPr>
                    <a:xfrm>
                      <a:off x="0" y="0"/>
                      <a:ext cx="5421630" cy="8079105"/>
                    </a:xfrm>
                    <a:prstGeom prst="rect">
                      <a:avLst/>
                    </a:prstGeom>
                    <a:noFill/>
                    <a:ln>
                      <a:noFill/>
                    </a:ln>
                  </pic:spPr>
                </pic:pic>
              </a:graphicData>
            </a:graphic>
          </wp:inline>
        </w:drawing>
      </w:r>
    </w:p>
    <w:p w14:paraId="2EC3ECA6">
      <w:pPr>
        <w:pStyle w:val="77"/>
        <w:rPr>
          <w:rFonts w:hint="default" w:eastAsia="宋体"/>
          <w:color w:val="auto"/>
          <w:sz w:val="28"/>
          <w:szCs w:val="28"/>
          <w:lang w:val="en-US" w:eastAsia="zh-CN"/>
        </w:rPr>
      </w:pPr>
      <w:bookmarkStart w:id="37" w:name="_Toc29290"/>
      <w:r>
        <w:rPr>
          <w:rFonts w:hint="eastAsia"/>
          <w:color w:val="auto"/>
          <w:sz w:val="28"/>
          <w:szCs w:val="28"/>
          <w:lang w:eastAsia="zh-CN"/>
        </w:rPr>
        <w:t>附件</w:t>
      </w:r>
      <w:r>
        <w:rPr>
          <w:rFonts w:hint="eastAsia"/>
          <w:color w:val="auto"/>
          <w:sz w:val="28"/>
          <w:szCs w:val="28"/>
          <w:lang w:val="en-US" w:eastAsia="zh-CN"/>
        </w:rPr>
        <w:t>5：虎林市声环境功能区划分方案</w:t>
      </w:r>
      <w:bookmarkEnd w:id="37"/>
    </w:p>
    <w:p w14:paraId="3CD3B32B">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eastAsia="宋体"/>
          <w:color w:val="auto"/>
          <w:sz w:val="28"/>
          <w:szCs w:val="28"/>
          <w:lang w:eastAsia="zh-CN"/>
        </w:rPr>
      </w:pPr>
      <w:bookmarkStart w:id="38" w:name="_Toc8540"/>
      <w:r>
        <w:rPr>
          <w:rFonts w:hint="eastAsia" w:eastAsia="宋体"/>
          <w:color w:val="auto"/>
          <w:sz w:val="28"/>
          <w:szCs w:val="28"/>
          <w:lang w:eastAsia="zh-CN"/>
        </w:rPr>
        <w:drawing>
          <wp:inline distT="0" distB="0" distL="114300" distR="114300">
            <wp:extent cx="5394960" cy="8066405"/>
            <wp:effectExtent l="0" t="0" r="15240" b="10795"/>
            <wp:docPr id="5" name="图片 5" descr="17043562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04356214428"/>
                    <pic:cNvPicPr>
                      <a:picLocks noChangeAspect="1"/>
                    </pic:cNvPicPr>
                  </pic:nvPicPr>
                  <pic:blipFill>
                    <a:blip r:embed="rId62"/>
                    <a:stretch>
                      <a:fillRect/>
                    </a:stretch>
                  </pic:blipFill>
                  <pic:spPr>
                    <a:xfrm>
                      <a:off x="0" y="0"/>
                      <a:ext cx="5394960" cy="806640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610860" cy="8467725"/>
            <wp:effectExtent l="0" t="0" r="8890" b="9525"/>
            <wp:docPr id="6" name="图片 6" descr="170435625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04356254531"/>
                    <pic:cNvPicPr>
                      <a:picLocks noChangeAspect="1"/>
                    </pic:cNvPicPr>
                  </pic:nvPicPr>
                  <pic:blipFill>
                    <a:blip r:embed="rId63"/>
                    <a:stretch>
                      <a:fillRect/>
                    </a:stretch>
                  </pic:blipFill>
                  <pic:spPr>
                    <a:xfrm>
                      <a:off x="0" y="0"/>
                      <a:ext cx="5610860" cy="8467725"/>
                    </a:xfrm>
                    <a:prstGeom prst="rect">
                      <a:avLst/>
                    </a:prstGeom>
                  </pic:spPr>
                </pic:pic>
              </a:graphicData>
            </a:graphic>
          </wp:inline>
        </w:drawing>
      </w:r>
      <w:r>
        <w:rPr>
          <w:color w:val="auto"/>
        </w:rPr>
        <w:drawing>
          <wp:inline distT="0" distB="0" distL="114300" distR="114300">
            <wp:extent cx="5684520" cy="8307070"/>
            <wp:effectExtent l="0" t="0" r="11430" b="17780"/>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64"/>
                    <a:stretch>
                      <a:fillRect/>
                    </a:stretch>
                  </pic:blipFill>
                  <pic:spPr>
                    <a:xfrm>
                      <a:off x="0" y="0"/>
                      <a:ext cx="5684520" cy="8307070"/>
                    </a:xfrm>
                    <a:prstGeom prst="rect">
                      <a:avLst/>
                    </a:prstGeom>
                    <a:noFill/>
                    <a:ln>
                      <a:noFill/>
                    </a:ln>
                  </pic:spPr>
                </pic:pic>
              </a:graphicData>
            </a:graphic>
          </wp:inline>
        </w:drawing>
      </w:r>
      <w:r>
        <w:rPr>
          <w:color w:val="auto"/>
        </w:rPr>
        <w:drawing>
          <wp:inline distT="0" distB="0" distL="114300" distR="114300">
            <wp:extent cx="5395595" cy="8525510"/>
            <wp:effectExtent l="0" t="0" r="14605" b="889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65"/>
                    <a:stretch>
                      <a:fillRect/>
                    </a:stretch>
                  </pic:blipFill>
                  <pic:spPr>
                    <a:xfrm>
                      <a:off x="0" y="0"/>
                      <a:ext cx="5395595" cy="8525510"/>
                    </a:xfrm>
                    <a:prstGeom prst="rect">
                      <a:avLst/>
                    </a:prstGeom>
                    <a:noFill/>
                    <a:ln>
                      <a:noFill/>
                    </a:ln>
                  </pic:spPr>
                </pic:pic>
              </a:graphicData>
            </a:graphic>
          </wp:inline>
        </w:drawing>
      </w:r>
      <w:r>
        <w:rPr>
          <w:color w:val="auto"/>
        </w:rPr>
        <w:drawing>
          <wp:inline distT="0" distB="0" distL="114300" distR="114300">
            <wp:extent cx="5398770" cy="8413750"/>
            <wp:effectExtent l="0" t="0" r="11430" b="6350"/>
            <wp:docPr id="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pic:cNvPicPr>
                      <a:picLocks noChangeAspect="1"/>
                    </pic:cNvPicPr>
                  </pic:nvPicPr>
                  <pic:blipFill>
                    <a:blip r:embed="rId66"/>
                    <a:stretch>
                      <a:fillRect/>
                    </a:stretch>
                  </pic:blipFill>
                  <pic:spPr>
                    <a:xfrm>
                      <a:off x="0" y="0"/>
                      <a:ext cx="5398770" cy="8413750"/>
                    </a:xfrm>
                    <a:prstGeom prst="rect">
                      <a:avLst/>
                    </a:prstGeom>
                    <a:noFill/>
                    <a:ln>
                      <a:noFill/>
                    </a:ln>
                  </pic:spPr>
                </pic:pic>
              </a:graphicData>
            </a:graphic>
          </wp:inline>
        </w:drawing>
      </w:r>
      <w:bookmarkEnd w:id="38"/>
    </w:p>
    <w:p w14:paraId="4CB219EC">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color w:val="auto"/>
          <w:sz w:val="28"/>
          <w:szCs w:val="28"/>
        </w:rPr>
      </w:pPr>
      <w:bookmarkStart w:id="39" w:name="_Toc9655"/>
      <w:r>
        <w:rPr>
          <w:color w:val="auto"/>
        </w:rPr>
        <w:drawing>
          <wp:inline distT="0" distB="0" distL="114300" distR="114300">
            <wp:extent cx="5395595" cy="8485505"/>
            <wp:effectExtent l="0" t="0" r="14605" b="10795"/>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67"/>
                    <a:stretch>
                      <a:fillRect/>
                    </a:stretch>
                  </pic:blipFill>
                  <pic:spPr>
                    <a:xfrm>
                      <a:off x="0" y="0"/>
                      <a:ext cx="5395595" cy="8485505"/>
                    </a:xfrm>
                    <a:prstGeom prst="rect">
                      <a:avLst/>
                    </a:prstGeom>
                    <a:noFill/>
                    <a:ln>
                      <a:noFill/>
                    </a:ln>
                  </pic:spPr>
                </pic:pic>
              </a:graphicData>
            </a:graphic>
          </wp:inline>
        </w:drawing>
      </w:r>
      <w:bookmarkEnd w:id="39"/>
    </w:p>
    <w:p w14:paraId="337FE3FF">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eastAsia="宋体"/>
          <w:color w:val="auto"/>
          <w:sz w:val="28"/>
          <w:szCs w:val="28"/>
          <w:lang w:eastAsia="zh-CN"/>
        </w:rPr>
      </w:pPr>
      <w:bookmarkStart w:id="40" w:name="_Toc27105"/>
      <w:r>
        <w:rPr>
          <w:color w:val="auto"/>
        </w:rPr>
        <w:drawing>
          <wp:inline distT="0" distB="0" distL="114300" distR="114300">
            <wp:extent cx="5398770" cy="8419465"/>
            <wp:effectExtent l="0" t="0" r="11430" b="635"/>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68"/>
                    <a:stretch>
                      <a:fillRect/>
                    </a:stretch>
                  </pic:blipFill>
                  <pic:spPr>
                    <a:xfrm>
                      <a:off x="0" y="0"/>
                      <a:ext cx="5398770" cy="8419465"/>
                    </a:xfrm>
                    <a:prstGeom prst="rect">
                      <a:avLst/>
                    </a:prstGeom>
                    <a:noFill/>
                    <a:ln>
                      <a:noFill/>
                    </a:ln>
                  </pic:spPr>
                </pic:pic>
              </a:graphicData>
            </a:graphic>
          </wp:inline>
        </w:drawing>
      </w:r>
      <w:r>
        <w:rPr>
          <w:rFonts w:hint="eastAsia" w:eastAsia="宋体"/>
          <w:color w:val="auto"/>
          <w:sz w:val="28"/>
          <w:szCs w:val="28"/>
          <w:lang w:eastAsia="zh-CN"/>
        </w:rPr>
        <w:drawing>
          <wp:inline distT="0" distB="0" distL="114300" distR="114300">
            <wp:extent cx="5501640" cy="8568055"/>
            <wp:effectExtent l="0" t="0" r="3810" b="4445"/>
            <wp:docPr id="23" name="图片 23" descr="170435666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04356665778"/>
                    <pic:cNvPicPr>
                      <a:picLocks noChangeAspect="1"/>
                    </pic:cNvPicPr>
                  </pic:nvPicPr>
                  <pic:blipFill>
                    <a:blip r:embed="rId69"/>
                    <a:stretch>
                      <a:fillRect/>
                    </a:stretch>
                  </pic:blipFill>
                  <pic:spPr>
                    <a:xfrm>
                      <a:off x="0" y="0"/>
                      <a:ext cx="5501640" cy="856805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394960" cy="8535035"/>
            <wp:effectExtent l="0" t="0" r="15240" b="18415"/>
            <wp:docPr id="24" name="图片 24" descr="170435668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04356686634"/>
                    <pic:cNvPicPr>
                      <a:picLocks noChangeAspect="1"/>
                    </pic:cNvPicPr>
                  </pic:nvPicPr>
                  <pic:blipFill>
                    <a:blip r:embed="rId70"/>
                    <a:stretch>
                      <a:fillRect/>
                    </a:stretch>
                  </pic:blipFill>
                  <pic:spPr>
                    <a:xfrm>
                      <a:off x="0" y="0"/>
                      <a:ext cx="5394960" cy="853503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398135" cy="8429625"/>
            <wp:effectExtent l="0" t="0" r="12065" b="9525"/>
            <wp:docPr id="25" name="图片 25" descr="170435670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04356708326"/>
                    <pic:cNvPicPr>
                      <a:picLocks noChangeAspect="1"/>
                    </pic:cNvPicPr>
                  </pic:nvPicPr>
                  <pic:blipFill>
                    <a:blip r:embed="rId71"/>
                    <a:stretch>
                      <a:fillRect/>
                    </a:stretch>
                  </pic:blipFill>
                  <pic:spPr>
                    <a:xfrm>
                      <a:off x="0" y="0"/>
                      <a:ext cx="5398135" cy="8429625"/>
                    </a:xfrm>
                    <a:prstGeom prst="rect">
                      <a:avLst/>
                    </a:prstGeom>
                  </pic:spPr>
                </pic:pic>
              </a:graphicData>
            </a:graphic>
          </wp:inline>
        </w:drawing>
      </w:r>
      <w:bookmarkEnd w:id="40"/>
    </w:p>
    <w:p w14:paraId="47C02842">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eastAsia="宋体"/>
          <w:color w:val="auto"/>
          <w:sz w:val="28"/>
          <w:szCs w:val="28"/>
          <w:lang w:eastAsia="zh-CN"/>
        </w:rPr>
      </w:pPr>
      <w:bookmarkStart w:id="41" w:name="_Toc11877"/>
      <w:r>
        <w:rPr>
          <w:rFonts w:hint="eastAsia" w:eastAsia="宋体"/>
          <w:color w:val="auto"/>
          <w:sz w:val="28"/>
          <w:szCs w:val="28"/>
          <w:lang w:eastAsia="zh-CN"/>
        </w:rPr>
        <w:drawing>
          <wp:inline distT="0" distB="0" distL="114300" distR="114300">
            <wp:extent cx="5473700" cy="8423275"/>
            <wp:effectExtent l="0" t="0" r="12700" b="15875"/>
            <wp:docPr id="28" name="图片 28" descr="170435674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04356741354"/>
                    <pic:cNvPicPr>
                      <a:picLocks noChangeAspect="1"/>
                    </pic:cNvPicPr>
                  </pic:nvPicPr>
                  <pic:blipFill>
                    <a:blip r:embed="rId72"/>
                    <a:stretch>
                      <a:fillRect/>
                    </a:stretch>
                  </pic:blipFill>
                  <pic:spPr>
                    <a:xfrm>
                      <a:off x="0" y="0"/>
                      <a:ext cx="5473700" cy="842327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398770" cy="8459470"/>
            <wp:effectExtent l="0" t="0" r="11430" b="17780"/>
            <wp:docPr id="35" name="图片 35" descr="170435678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04356782058"/>
                    <pic:cNvPicPr>
                      <a:picLocks noChangeAspect="1"/>
                    </pic:cNvPicPr>
                  </pic:nvPicPr>
                  <pic:blipFill>
                    <a:blip r:embed="rId73"/>
                    <a:stretch>
                      <a:fillRect/>
                    </a:stretch>
                  </pic:blipFill>
                  <pic:spPr>
                    <a:xfrm>
                      <a:off x="0" y="0"/>
                      <a:ext cx="5398770" cy="8459470"/>
                    </a:xfrm>
                    <a:prstGeom prst="rect">
                      <a:avLst/>
                    </a:prstGeom>
                  </pic:spPr>
                </pic:pic>
              </a:graphicData>
            </a:graphic>
          </wp:inline>
        </w:drawing>
      </w:r>
      <w:bookmarkEnd w:id="41"/>
    </w:p>
    <w:p w14:paraId="711DE1B7">
      <w:pPr>
        <w:pStyle w:val="77"/>
        <w:keepNext w:val="0"/>
        <w:keepLines w:val="0"/>
        <w:pageBreakBefore w:val="0"/>
        <w:widowControl w:val="0"/>
        <w:kinsoku/>
        <w:wordWrap/>
        <w:overflowPunct/>
        <w:topLinePunct w:val="0"/>
        <w:autoSpaceDE/>
        <w:autoSpaceDN/>
        <w:bidi w:val="0"/>
        <w:adjustRightInd/>
        <w:snapToGrid/>
        <w:textAlignment w:val="auto"/>
        <w:outlineLvl w:val="9"/>
        <w:rPr>
          <w:rFonts w:hint="eastAsia" w:eastAsia="宋体"/>
          <w:color w:val="auto"/>
          <w:sz w:val="28"/>
          <w:szCs w:val="28"/>
          <w:lang w:eastAsia="zh-CN"/>
        </w:rPr>
      </w:pPr>
      <w:bookmarkStart w:id="42" w:name="_Toc24510"/>
      <w:r>
        <w:rPr>
          <w:rFonts w:hint="eastAsia" w:eastAsia="宋体"/>
          <w:color w:val="auto"/>
          <w:sz w:val="28"/>
          <w:szCs w:val="28"/>
          <w:lang w:eastAsia="zh-CN"/>
        </w:rPr>
        <w:drawing>
          <wp:inline distT="0" distB="0" distL="114300" distR="114300">
            <wp:extent cx="5399405" cy="8449945"/>
            <wp:effectExtent l="0" t="0" r="10795" b="8255"/>
            <wp:docPr id="37" name="图片 37" descr="170435684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04356840261"/>
                    <pic:cNvPicPr>
                      <a:picLocks noChangeAspect="1"/>
                    </pic:cNvPicPr>
                  </pic:nvPicPr>
                  <pic:blipFill>
                    <a:blip r:embed="rId74"/>
                    <a:stretch>
                      <a:fillRect/>
                    </a:stretch>
                  </pic:blipFill>
                  <pic:spPr>
                    <a:xfrm>
                      <a:off x="0" y="0"/>
                      <a:ext cx="5399405" cy="844994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395595" cy="8444865"/>
            <wp:effectExtent l="0" t="0" r="14605" b="13335"/>
            <wp:docPr id="38" name="图片 38" descr="170435686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04356865424"/>
                    <pic:cNvPicPr>
                      <a:picLocks noChangeAspect="1"/>
                    </pic:cNvPicPr>
                  </pic:nvPicPr>
                  <pic:blipFill>
                    <a:blip r:embed="rId75"/>
                    <a:stretch>
                      <a:fillRect/>
                    </a:stretch>
                  </pic:blipFill>
                  <pic:spPr>
                    <a:xfrm>
                      <a:off x="0" y="0"/>
                      <a:ext cx="5395595" cy="8444865"/>
                    </a:xfrm>
                    <a:prstGeom prst="rect">
                      <a:avLst/>
                    </a:prstGeom>
                  </pic:spPr>
                </pic:pic>
              </a:graphicData>
            </a:graphic>
          </wp:inline>
        </w:drawing>
      </w:r>
      <w:r>
        <w:rPr>
          <w:rFonts w:hint="eastAsia" w:eastAsia="宋体"/>
          <w:color w:val="auto"/>
          <w:sz w:val="28"/>
          <w:szCs w:val="28"/>
          <w:lang w:eastAsia="zh-CN"/>
        </w:rPr>
        <w:drawing>
          <wp:inline distT="0" distB="0" distL="114300" distR="114300">
            <wp:extent cx="5394325" cy="8364220"/>
            <wp:effectExtent l="0" t="0" r="15875" b="17780"/>
            <wp:docPr id="39" name="图片 39" descr="170435688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04356885098"/>
                    <pic:cNvPicPr>
                      <a:picLocks noChangeAspect="1"/>
                    </pic:cNvPicPr>
                  </pic:nvPicPr>
                  <pic:blipFill>
                    <a:blip r:embed="rId76"/>
                    <a:stretch>
                      <a:fillRect/>
                    </a:stretch>
                  </pic:blipFill>
                  <pic:spPr>
                    <a:xfrm>
                      <a:off x="0" y="0"/>
                      <a:ext cx="5394325" cy="8364220"/>
                    </a:xfrm>
                    <a:prstGeom prst="rect">
                      <a:avLst/>
                    </a:prstGeom>
                  </pic:spPr>
                </pic:pic>
              </a:graphicData>
            </a:graphic>
          </wp:inline>
        </w:drawing>
      </w:r>
      <w:r>
        <w:rPr>
          <w:color w:val="auto"/>
        </w:rPr>
        <w:drawing>
          <wp:inline distT="0" distB="0" distL="114300" distR="114300">
            <wp:extent cx="5394960" cy="8525510"/>
            <wp:effectExtent l="0" t="0" r="15240" b="8890"/>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77"/>
                    <a:stretch>
                      <a:fillRect/>
                    </a:stretch>
                  </pic:blipFill>
                  <pic:spPr>
                    <a:xfrm>
                      <a:off x="0" y="0"/>
                      <a:ext cx="5394960" cy="8525510"/>
                    </a:xfrm>
                    <a:prstGeom prst="rect">
                      <a:avLst/>
                    </a:prstGeom>
                    <a:noFill/>
                    <a:ln>
                      <a:noFill/>
                    </a:ln>
                  </pic:spPr>
                </pic:pic>
              </a:graphicData>
            </a:graphic>
          </wp:inline>
        </w:drawing>
      </w:r>
      <w:r>
        <w:rPr>
          <w:rFonts w:hint="eastAsia" w:eastAsia="宋体"/>
          <w:color w:val="auto"/>
          <w:sz w:val="28"/>
          <w:szCs w:val="28"/>
          <w:lang w:eastAsia="zh-CN"/>
        </w:rPr>
        <w:drawing>
          <wp:inline distT="0" distB="0" distL="114300" distR="114300">
            <wp:extent cx="5398135" cy="8482330"/>
            <wp:effectExtent l="0" t="0" r="12065" b="13970"/>
            <wp:docPr id="44" name="图片 44" descr="170435692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04356924199"/>
                    <pic:cNvPicPr>
                      <a:picLocks noChangeAspect="1"/>
                    </pic:cNvPicPr>
                  </pic:nvPicPr>
                  <pic:blipFill>
                    <a:blip r:embed="rId78"/>
                    <a:stretch>
                      <a:fillRect/>
                    </a:stretch>
                  </pic:blipFill>
                  <pic:spPr>
                    <a:xfrm>
                      <a:off x="0" y="0"/>
                      <a:ext cx="5398135" cy="8482330"/>
                    </a:xfrm>
                    <a:prstGeom prst="rect">
                      <a:avLst/>
                    </a:prstGeom>
                  </pic:spPr>
                </pic:pic>
              </a:graphicData>
            </a:graphic>
          </wp:inline>
        </w:drawing>
      </w:r>
      <w:r>
        <w:rPr>
          <w:color w:val="auto"/>
        </w:rPr>
        <w:drawing>
          <wp:inline distT="0" distB="0" distL="114300" distR="114300">
            <wp:extent cx="5539740" cy="8541385"/>
            <wp:effectExtent l="0" t="0" r="3810" b="12065"/>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79"/>
                    <a:stretch>
                      <a:fillRect/>
                    </a:stretch>
                  </pic:blipFill>
                  <pic:spPr>
                    <a:xfrm>
                      <a:off x="0" y="0"/>
                      <a:ext cx="5539740" cy="8541385"/>
                    </a:xfrm>
                    <a:prstGeom prst="rect">
                      <a:avLst/>
                    </a:prstGeom>
                    <a:noFill/>
                    <a:ln>
                      <a:noFill/>
                    </a:ln>
                  </pic:spPr>
                </pic:pic>
              </a:graphicData>
            </a:graphic>
          </wp:inline>
        </w:drawing>
      </w:r>
      <w:bookmarkEnd w:id="42"/>
    </w:p>
    <w:p w14:paraId="22049FA6">
      <w:pPr>
        <w:pStyle w:val="77"/>
        <w:rPr>
          <w:rFonts w:ascii="黑体" w:hAnsi="黑体" w:eastAsia="黑体"/>
          <w:color w:val="auto"/>
          <w:sz w:val="32"/>
          <w:szCs w:val="32"/>
        </w:rPr>
      </w:pPr>
      <w:bookmarkStart w:id="43" w:name="_Toc10800"/>
      <w:r>
        <w:rPr>
          <w:rFonts w:hint="eastAsia"/>
          <w:color w:val="auto"/>
          <w:sz w:val="28"/>
          <w:szCs w:val="28"/>
        </w:rPr>
        <w:t>附件</w:t>
      </w:r>
      <w:r>
        <w:rPr>
          <w:rFonts w:hint="eastAsia"/>
          <w:color w:val="auto"/>
          <w:sz w:val="28"/>
          <w:szCs w:val="28"/>
          <w:lang w:val="en-US" w:eastAsia="zh-CN"/>
        </w:rPr>
        <w:t>6</w:t>
      </w:r>
      <w:r>
        <w:rPr>
          <w:rFonts w:hint="eastAsia"/>
          <w:color w:val="auto"/>
          <w:sz w:val="28"/>
          <w:szCs w:val="28"/>
        </w:rPr>
        <w:t>：核定总量计算说明</w:t>
      </w:r>
      <w:bookmarkEnd w:id="43"/>
    </w:p>
    <w:p w14:paraId="42CB20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rPr>
      </w:pPr>
      <w:bookmarkStart w:id="44" w:name="_Toc31220"/>
      <w:r>
        <w:rPr>
          <w:rFonts w:hint="eastAsia"/>
          <w:color w:val="auto"/>
          <w:sz w:val="24"/>
        </w:rPr>
        <w:t>一、工业炉窑</w:t>
      </w:r>
      <w:bookmarkEnd w:id="44"/>
    </w:p>
    <w:p w14:paraId="5144E63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highlight w:val="none"/>
        </w:rPr>
      </w:pPr>
      <w:r>
        <w:rPr>
          <w:rFonts w:hint="eastAsia"/>
          <w:color w:val="auto"/>
          <w:sz w:val="24"/>
          <w:highlight w:val="none"/>
        </w:rPr>
        <w:t>本项目自建1台</w:t>
      </w:r>
      <w:r>
        <w:rPr>
          <w:rFonts w:hint="eastAsia" w:cs="Times New Roman"/>
          <w:bCs/>
          <w:color w:val="auto"/>
          <w:sz w:val="24"/>
          <w:highlight w:val="none"/>
          <w:lang w:val="en-US" w:eastAsia="zh-CN"/>
        </w:rPr>
        <w:t>600万kcal</w:t>
      </w:r>
      <w:r>
        <w:rPr>
          <w:rFonts w:hint="eastAsia"/>
          <w:color w:val="auto"/>
          <w:sz w:val="24"/>
          <w:highlight w:val="none"/>
        </w:rPr>
        <w:t>燃</w:t>
      </w:r>
      <w:r>
        <w:rPr>
          <w:rFonts w:hint="eastAsia"/>
          <w:color w:val="auto"/>
          <w:sz w:val="24"/>
          <w:highlight w:val="none"/>
          <w:lang w:eastAsia="zh-CN"/>
        </w:rPr>
        <w:t>生物质</w:t>
      </w:r>
      <w:r>
        <w:rPr>
          <w:rFonts w:hint="eastAsia"/>
          <w:color w:val="auto"/>
          <w:sz w:val="24"/>
          <w:highlight w:val="none"/>
        </w:rPr>
        <w:t>热风炉，用于烘干塔热源，年用</w:t>
      </w:r>
      <w:r>
        <w:rPr>
          <w:rFonts w:hint="eastAsia"/>
          <w:color w:val="auto"/>
          <w:sz w:val="24"/>
          <w:highlight w:val="none"/>
          <w:lang w:eastAsia="zh-CN"/>
        </w:rPr>
        <w:t>生物质颗粒燃料</w:t>
      </w:r>
      <w:r>
        <w:rPr>
          <w:rFonts w:hint="eastAsia"/>
          <w:color w:val="auto"/>
          <w:sz w:val="24"/>
          <w:highlight w:val="none"/>
          <w:lang w:val="en-US" w:eastAsia="zh-CN"/>
        </w:rPr>
        <w:t>1762</w:t>
      </w:r>
      <w:r>
        <w:rPr>
          <w:rFonts w:hint="eastAsia"/>
          <w:color w:val="auto"/>
          <w:sz w:val="24"/>
          <w:highlight w:val="none"/>
        </w:rPr>
        <w:t>吨。本次评价参照《排污许可证申请与核发技术规范 工业窑炉》（HJ1121—2020）中绩效法公式及参考绩效值计算烟尘、二氧化硫及氮氧化物污染物核定排放量。</w:t>
      </w:r>
    </w:p>
    <w:p w14:paraId="716807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rPr>
      </w:pPr>
      <w:r>
        <w:rPr>
          <w:rFonts w:hint="eastAsia"/>
          <w:color w:val="auto"/>
          <w:sz w:val="24"/>
        </w:rPr>
        <w:t>①绩效法计算公式如下：</w:t>
      </w:r>
    </w:p>
    <w:p w14:paraId="26574B40">
      <w:pPr>
        <w:pStyle w:val="127"/>
        <w:keepNext w:val="0"/>
        <w:keepLines w:val="0"/>
        <w:pageBreakBefore w:val="0"/>
        <w:widowControl w:val="0"/>
        <w:kinsoku/>
        <w:wordWrap/>
        <w:overflowPunct/>
        <w:topLinePunct w:val="0"/>
        <w:autoSpaceDE/>
        <w:autoSpaceDN/>
        <w:bidi w:val="0"/>
        <w:adjustRightInd/>
        <w:snapToGrid/>
        <w:ind w:firstLine="0"/>
        <w:jc w:val="center"/>
        <w:textAlignment w:val="auto"/>
        <w:outlineLvl w:val="9"/>
        <w:rPr>
          <w:color w:val="auto"/>
        </w:rPr>
      </w:pPr>
      <w:r>
        <w:rPr>
          <w:rFonts w:hint="eastAsia"/>
          <w:color w:val="auto"/>
          <w:position w:val="-10"/>
        </w:rPr>
        <w:object>
          <v:shape id="_x0000_i1031" o:spt="75" type="#_x0000_t75" style="height:17.25pt;width:77.25pt;" o:ole="t" filled="f" o:preferrelative="t" stroked="f" coordsize="21600,21600">
            <v:path/>
            <v:fill on="f" focussize="0,0"/>
            <v:stroke on="f" joinstyle="miter"/>
            <v:imagedata r:id="rId81" o:title=""/>
            <o:lock v:ext="edit" aspectratio="t"/>
            <w10:wrap type="none"/>
            <w10:anchorlock/>
          </v:shape>
          <o:OLEObject Type="Embed" ProgID="Equations" ShapeID="_x0000_i1031" DrawAspect="Content" ObjectID="_1468075731" r:id="rId80">
            <o:LockedField>false</o:LockedField>
          </o:OLEObject>
        </w:object>
      </w:r>
    </w:p>
    <w:p w14:paraId="6D4A506B">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color w:val="auto"/>
          <w:sz w:val="24"/>
        </w:rPr>
      </w:pPr>
      <w:r>
        <w:rPr>
          <w:rFonts w:hint="eastAsia"/>
          <w:color w:val="auto"/>
          <w:position w:val="-28"/>
          <w:sz w:val="24"/>
        </w:rPr>
        <w:object>
          <v:shape id="_x0000_i1032" o:spt="75" type="#_x0000_t75" style="height:37.5pt;width:83.25pt;" o:ole="t" filled="f" o:preferrelative="t" stroked="f" coordsize="21600,21600">
            <v:path/>
            <v:fill on="f" focussize="0,0"/>
            <v:stroke on="f" joinstyle="miter"/>
            <v:imagedata r:id="rId83" o:title=""/>
            <o:lock v:ext="edit" aspectratio="t"/>
            <w10:wrap type="none"/>
            <w10:anchorlock/>
          </v:shape>
          <o:OLEObject Type="Embed" ProgID="Equations" ShapeID="_x0000_i1032" DrawAspect="Content" ObjectID="_1468075732" r:id="rId82">
            <o:LockedField>false</o:LockedField>
          </o:OLEObject>
        </w:object>
      </w:r>
    </w:p>
    <w:p w14:paraId="16FBE7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color w:val="auto"/>
          <w:sz w:val="24"/>
        </w:rPr>
      </w:pPr>
      <w:r>
        <w:rPr>
          <w:color w:val="auto"/>
          <w:sz w:val="24"/>
        </w:rPr>
        <w:t>式中：</w:t>
      </w:r>
      <w:r>
        <w:rPr>
          <w:rFonts w:hint="eastAsia"/>
          <w:color w:val="auto"/>
          <w:sz w:val="24"/>
        </w:rPr>
        <w:t>E</w:t>
      </w:r>
      <w:r>
        <w:rPr>
          <w:rFonts w:hint="eastAsia"/>
          <w:color w:val="auto"/>
          <w:sz w:val="24"/>
          <w:vertAlign w:val="subscript"/>
        </w:rPr>
        <w:t>核定量</w:t>
      </w:r>
      <w:r>
        <w:rPr>
          <w:color w:val="auto"/>
          <w:sz w:val="24"/>
        </w:rPr>
        <w:t>—</w:t>
      </w:r>
      <w:r>
        <w:rPr>
          <w:rFonts w:hint="eastAsia"/>
          <w:color w:val="auto"/>
          <w:sz w:val="24"/>
        </w:rPr>
        <w:t>染物物核定排放量</w:t>
      </w:r>
      <w:r>
        <w:rPr>
          <w:color w:val="auto"/>
          <w:sz w:val="24"/>
        </w:rPr>
        <w:t>，</w:t>
      </w:r>
      <w:r>
        <w:rPr>
          <w:rFonts w:hint="eastAsia"/>
          <w:color w:val="auto"/>
          <w:sz w:val="24"/>
        </w:rPr>
        <w:t>t/a；</w:t>
      </w:r>
    </w:p>
    <w:p w14:paraId="542799ED">
      <w:pPr>
        <w:pStyle w:val="42"/>
        <w:keepNext w:val="0"/>
        <w:keepLines w:val="0"/>
        <w:pageBreakBefore w:val="0"/>
        <w:widowControl w:val="0"/>
        <w:kinsoku/>
        <w:wordWrap/>
        <w:overflowPunct/>
        <w:topLinePunct w:val="0"/>
        <w:autoSpaceDE/>
        <w:autoSpaceDN/>
        <w:bidi w:val="0"/>
        <w:adjustRightInd/>
        <w:snapToGrid/>
        <w:ind w:firstLine="1200" w:firstLineChars="500"/>
        <w:textAlignment w:val="auto"/>
        <w:outlineLvl w:val="9"/>
        <w:rPr>
          <w:rFonts w:ascii="Times New Roman" w:hAnsi="Times New Roman" w:cs="Times New Roman"/>
          <w:color w:val="auto"/>
        </w:rPr>
      </w:pPr>
      <w:r>
        <w:rPr>
          <w:rFonts w:hint="eastAsia" w:ascii="Times New Roman" w:hAnsi="Times New Roman" w:cs="Times New Roman"/>
          <w:color w:val="auto"/>
        </w:rPr>
        <w:t>M</w:t>
      </w:r>
      <w:r>
        <w:rPr>
          <w:rFonts w:hint="eastAsia" w:ascii="Times New Roman" w:hAnsi="Times New Roman" w:cs="Times New Roman"/>
          <w:color w:val="auto"/>
          <w:vertAlign w:val="subscript"/>
        </w:rPr>
        <w:t>i</w:t>
      </w:r>
      <w:r>
        <w:rPr>
          <w:rFonts w:ascii="Times New Roman" w:hAnsi="Times New Roman" w:cs="Times New Roman"/>
          <w:color w:val="auto"/>
        </w:rPr>
        <w:t>—</w:t>
      </w:r>
      <w:r>
        <w:rPr>
          <w:rFonts w:hint="eastAsia" w:ascii="Times New Roman" w:hAnsi="Times New Roman" w:cs="Times New Roman"/>
          <w:color w:val="auto"/>
        </w:rPr>
        <w:t>第i个排放口污染年核定排放量，t/a；</w:t>
      </w:r>
    </w:p>
    <w:p w14:paraId="1FA38539">
      <w:pPr>
        <w:pStyle w:val="42"/>
        <w:keepNext w:val="0"/>
        <w:keepLines w:val="0"/>
        <w:pageBreakBefore w:val="0"/>
        <w:widowControl w:val="0"/>
        <w:kinsoku/>
        <w:wordWrap/>
        <w:overflowPunct/>
        <w:topLinePunct w:val="0"/>
        <w:autoSpaceDE/>
        <w:autoSpaceDN/>
        <w:bidi w:val="0"/>
        <w:adjustRightInd/>
        <w:snapToGrid/>
        <w:ind w:firstLine="1200" w:firstLineChars="500"/>
        <w:textAlignment w:val="auto"/>
        <w:outlineLvl w:val="9"/>
        <w:rPr>
          <w:rFonts w:ascii="Times New Roman" w:hAnsi="Times New Roman" w:cs="Times New Roman"/>
          <w:color w:val="auto"/>
        </w:rPr>
      </w:pPr>
      <w:r>
        <w:rPr>
          <w:rFonts w:hint="eastAsia" w:ascii="Times New Roman" w:hAnsi="Times New Roman" w:cs="Times New Roman"/>
          <w:color w:val="auto"/>
        </w:rPr>
        <w:t>R</w:t>
      </w:r>
      <w:r>
        <w:rPr>
          <w:rFonts w:ascii="Times New Roman" w:hAnsi="Times New Roman" w:cs="Times New Roman"/>
          <w:color w:val="auto"/>
        </w:rPr>
        <w:t>—</w:t>
      </w:r>
      <w:r>
        <w:rPr>
          <w:rFonts w:hint="eastAsia" w:ascii="Times New Roman" w:hAnsi="Times New Roman" w:cs="Times New Roman"/>
          <w:color w:val="auto"/>
        </w:rPr>
        <w:t>第 i 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hint="eastAsia" w:ascii="Times New Roman" w:hAnsi="Times New Roman" w:cs="Times New Roman"/>
          <w:color w:val="auto"/>
          <w:vertAlign w:val="superscript"/>
        </w:rPr>
        <w:t>3</w:t>
      </w:r>
      <w:r>
        <w:rPr>
          <w:rFonts w:hint="eastAsia" w:ascii="Times New Roman" w:hAnsi="Times New Roman" w:cs="Times New Roman"/>
          <w:color w:val="auto"/>
        </w:rPr>
        <w:t>；</w:t>
      </w:r>
    </w:p>
    <w:p w14:paraId="1BAA63DB">
      <w:pPr>
        <w:pStyle w:val="42"/>
        <w:keepNext w:val="0"/>
        <w:keepLines w:val="0"/>
        <w:pageBreakBefore w:val="0"/>
        <w:widowControl w:val="0"/>
        <w:kinsoku/>
        <w:wordWrap/>
        <w:overflowPunct/>
        <w:topLinePunct w:val="0"/>
        <w:autoSpaceDE/>
        <w:autoSpaceDN/>
        <w:bidi w:val="0"/>
        <w:adjustRightInd/>
        <w:snapToGrid/>
        <w:ind w:firstLine="1200" w:firstLineChars="500"/>
        <w:textAlignment w:val="auto"/>
        <w:outlineLvl w:val="9"/>
        <w:rPr>
          <w:rFonts w:ascii="Times New Roman" w:hAnsi="Times New Roman" w:cs="Times New Roman"/>
          <w:color w:val="auto"/>
        </w:rPr>
      </w:pPr>
      <w:r>
        <w:rPr>
          <w:rFonts w:hint="eastAsia" w:ascii="Times New Roman" w:hAnsi="Times New Roman" w:cs="Times New Roman"/>
          <w:color w:val="auto"/>
        </w:rPr>
        <w:t>G</w:t>
      </w:r>
      <w:r>
        <w:rPr>
          <w:rFonts w:ascii="Times New Roman" w:hAnsi="Times New Roman" w:cs="Times New Roman"/>
          <w:color w:val="auto"/>
        </w:rPr>
        <w:t>—</w:t>
      </w:r>
      <w:r>
        <w:rPr>
          <w:rFonts w:hint="eastAsia" w:ascii="Times New Roman" w:hAnsi="Times New Roman" w:cs="Times New Roman"/>
          <w:color w:val="auto"/>
        </w:rPr>
        <w:t>绩效值，kg/t 产品，kg/t 燃料或 kg/m</w:t>
      </w:r>
      <w:r>
        <w:rPr>
          <w:rFonts w:hint="eastAsia" w:ascii="Times New Roman" w:hAnsi="Times New Roman" w:cs="Times New Roman"/>
          <w:color w:val="auto"/>
          <w:vertAlign w:val="superscript"/>
        </w:rPr>
        <w:t>3</w:t>
      </w:r>
      <w:r>
        <w:rPr>
          <w:rFonts w:hint="eastAsia" w:ascii="Times New Roman" w:hAnsi="Times New Roman" w:cs="Times New Roman"/>
          <w:color w:val="auto"/>
        </w:rPr>
        <w:t xml:space="preserve"> 燃料；</w:t>
      </w:r>
    </w:p>
    <w:p w14:paraId="6E07E0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rPr>
      </w:pPr>
      <w:r>
        <w:rPr>
          <w:rFonts w:hint="eastAsia"/>
          <w:color w:val="auto"/>
          <w:sz w:val="24"/>
        </w:rPr>
        <w:t>本项目使用的</w:t>
      </w:r>
      <w:r>
        <w:rPr>
          <w:rFonts w:hint="eastAsia"/>
          <w:color w:val="auto"/>
          <w:sz w:val="24"/>
          <w:lang w:eastAsia="zh-CN"/>
        </w:rPr>
        <w:t>生物质</w:t>
      </w:r>
      <w:r>
        <w:rPr>
          <w:rFonts w:hint="eastAsia"/>
          <w:color w:val="auto"/>
          <w:sz w:val="24"/>
        </w:rPr>
        <w:t>低位发热量为</w:t>
      </w:r>
      <w:r>
        <w:rPr>
          <w:rFonts w:hint="eastAsia"/>
          <w:color w:val="auto"/>
          <w:sz w:val="24"/>
          <w:lang w:val="en-US" w:eastAsia="zh-CN"/>
        </w:rPr>
        <w:t>16.77</w:t>
      </w:r>
      <w:r>
        <w:rPr>
          <w:rFonts w:hint="eastAsia"/>
          <w:color w:val="auto"/>
          <w:sz w:val="24"/>
        </w:rPr>
        <w:t>MJ/kg，对照《排污许可证申请与核发技术规范 工业窑炉》（HJ1121—2020）表6采用插值法计算绩效值结果见下表。</w:t>
      </w:r>
    </w:p>
    <w:p w14:paraId="4AC68244">
      <w:pPr>
        <w:pStyle w:val="64"/>
        <w:keepNext w:val="0"/>
        <w:keepLines w:val="0"/>
        <w:pageBreakBefore w:val="0"/>
        <w:widowControl w:val="0"/>
        <w:kinsoku/>
        <w:wordWrap/>
        <w:overflowPunct/>
        <w:topLinePunct w:val="0"/>
        <w:autoSpaceDE/>
        <w:autoSpaceDN/>
        <w:bidi w:val="0"/>
        <w:adjustRightInd/>
        <w:snapToGrid/>
        <w:textAlignment w:val="auto"/>
        <w:outlineLvl w:val="9"/>
        <w:rPr>
          <w:b/>
          <w:bCs/>
          <w:color w:val="auto"/>
        </w:rPr>
      </w:pPr>
      <w:r>
        <w:rPr>
          <w:b/>
          <w:bCs/>
          <w:color w:val="auto"/>
        </w:rPr>
        <w:t>表</w:t>
      </w:r>
      <w:r>
        <w:rPr>
          <w:rFonts w:hint="eastAsia"/>
          <w:b/>
          <w:bCs/>
          <w:color w:val="auto"/>
        </w:rPr>
        <w:t>1参考绩效值</w:t>
      </w:r>
      <w:r>
        <w:rPr>
          <w:b/>
          <w:bCs/>
          <w:color w:val="auto"/>
        </w:rPr>
        <w:t>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08"/>
        <w:gridCol w:w="1971"/>
        <w:gridCol w:w="1971"/>
        <w:gridCol w:w="1972"/>
      </w:tblGrid>
      <w:tr w14:paraId="43282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4"/>
            <w:tcBorders>
              <w:tl2br w:val="nil"/>
              <w:tr2bl w:val="nil"/>
            </w:tcBorders>
            <w:noWrap/>
          </w:tcPr>
          <w:p w14:paraId="24405618">
            <w:pPr>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9"/>
              <w:rPr>
                <w:color w:val="auto"/>
                <w:szCs w:val="21"/>
              </w:rPr>
            </w:pPr>
            <w:r>
              <w:rPr>
                <w:rFonts w:hint="eastAsia"/>
                <w:color w:val="auto"/>
                <w:szCs w:val="21"/>
              </w:rPr>
              <w:t>固体燃料</w:t>
            </w:r>
          </w:p>
        </w:tc>
      </w:tr>
      <w:tr w14:paraId="4FA72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l2br w:val="nil"/>
              <w:tr2bl w:val="nil"/>
            </w:tcBorders>
            <w:noWrap/>
          </w:tcPr>
          <w:p w14:paraId="29DDDBC3">
            <w:pPr>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9"/>
              <w:rPr>
                <w:color w:val="auto"/>
                <w:szCs w:val="21"/>
              </w:rPr>
            </w:pPr>
            <w:r>
              <w:rPr>
                <w:rFonts w:hint="eastAsia"/>
                <w:color w:val="auto"/>
                <w:szCs w:val="21"/>
              </w:rPr>
              <w:t>低位热值（MJ/kg）</w:t>
            </w:r>
          </w:p>
        </w:tc>
        <w:tc>
          <w:tcPr>
            <w:tcW w:w="1971" w:type="dxa"/>
            <w:tcBorders>
              <w:tl2br w:val="nil"/>
              <w:tr2bl w:val="nil"/>
            </w:tcBorders>
            <w:noWrap/>
            <w:vAlign w:val="top"/>
          </w:tcPr>
          <w:p w14:paraId="156502F8">
            <w:pPr>
              <w:spacing w:line="320" w:lineRule="exact"/>
              <w:jc w:val="center"/>
              <w:rPr>
                <w:color w:val="auto"/>
                <w:szCs w:val="21"/>
              </w:rPr>
            </w:pPr>
            <w:r>
              <w:rPr>
                <w:rFonts w:hint="eastAsia" w:cs="Times New Roman"/>
                <w:caps w:val="0"/>
                <w:color w:val="auto"/>
                <w:szCs w:val="21"/>
                <w:highlight w:val="none"/>
                <w:lang w:val="en-US" w:eastAsia="zh-CN"/>
              </w:rPr>
              <w:t>16.75</w:t>
            </w:r>
          </w:p>
        </w:tc>
        <w:tc>
          <w:tcPr>
            <w:tcW w:w="1971" w:type="dxa"/>
            <w:tcBorders>
              <w:tl2br w:val="nil"/>
              <w:tr2bl w:val="nil"/>
            </w:tcBorders>
            <w:noWrap/>
            <w:vAlign w:val="top"/>
          </w:tcPr>
          <w:p w14:paraId="2AE34EC6">
            <w:pPr>
              <w:spacing w:line="320" w:lineRule="exact"/>
              <w:jc w:val="center"/>
              <w:rPr>
                <w:rFonts w:hint="default"/>
                <w:b/>
                <w:bCs/>
                <w:color w:val="auto"/>
                <w:szCs w:val="21"/>
                <w:lang w:val="en-US"/>
              </w:rPr>
            </w:pPr>
            <w:r>
              <w:rPr>
                <w:rFonts w:hint="eastAsia" w:cs="Times New Roman"/>
                <w:b/>
                <w:bCs/>
                <w:caps w:val="0"/>
                <w:color w:val="auto"/>
                <w:szCs w:val="21"/>
                <w:highlight w:val="none"/>
                <w:lang w:val="en-US" w:eastAsia="zh-CN"/>
              </w:rPr>
              <w:t>16.77</w:t>
            </w:r>
          </w:p>
        </w:tc>
        <w:tc>
          <w:tcPr>
            <w:tcW w:w="1972" w:type="dxa"/>
            <w:tcBorders>
              <w:tl2br w:val="nil"/>
              <w:tr2bl w:val="nil"/>
            </w:tcBorders>
            <w:noWrap/>
            <w:vAlign w:val="top"/>
          </w:tcPr>
          <w:p w14:paraId="7A8750BD">
            <w:pPr>
              <w:spacing w:line="320" w:lineRule="exact"/>
              <w:jc w:val="center"/>
              <w:rPr>
                <w:color w:val="auto"/>
                <w:szCs w:val="21"/>
              </w:rPr>
            </w:pPr>
            <w:r>
              <w:rPr>
                <w:rFonts w:hint="eastAsia" w:cs="Times New Roman"/>
                <w:caps w:val="0"/>
                <w:color w:val="auto"/>
                <w:szCs w:val="21"/>
                <w:highlight w:val="none"/>
                <w:lang w:val="en-US" w:eastAsia="zh-CN"/>
              </w:rPr>
              <w:t>18.84</w:t>
            </w:r>
          </w:p>
        </w:tc>
      </w:tr>
      <w:tr w14:paraId="4A20E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l2br w:val="nil"/>
              <w:tr2bl w:val="nil"/>
            </w:tcBorders>
            <w:noWrap/>
          </w:tcPr>
          <w:p w14:paraId="1B47BC02">
            <w:pPr>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9"/>
              <w:rPr>
                <w:color w:val="auto"/>
                <w:szCs w:val="21"/>
              </w:rPr>
            </w:pPr>
            <w:r>
              <w:rPr>
                <w:rFonts w:hint="eastAsia"/>
                <w:color w:val="auto"/>
                <w:szCs w:val="21"/>
              </w:rPr>
              <w:t>颗粒物绩效值（kg/t）</w:t>
            </w:r>
          </w:p>
        </w:tc>
        <w:tc>
          <w:tcPr>
            <w:tcW w:w="1971" w:type="dxa"/>
            <w:tcBorders>
              <w:tl2br w:val="nil"/>
              <w:tr2bl w:val="nil"/>
            </w:tcBorders>
            <w:noWrap/>
            <w:vAlign w:val="top"/>
          </w:tcPr>
          <w:p w14:paraId="20F2FCB9">
            <w:pPr>
              <w:spacing w:line="320" w:lineRule="exact"/>
              <w:jc w:val="center"/>
              <w:rPr>
                <w:color w:val="auto"/>
                <w:szCs w:val="21"/>
              </w:rPr>
            </w:pPr>
            <w:r>
              <w:rPr>
                <w:rFonts w:hint="eastAsia" w:cs="Times New Roman"/>
                <w:caps w:val="0"/>
                <w:color w:val="auto"/>
                <w:szCs w:val="21"/>
                <w:highlight w:val="none"/>
                <w:lang w:val="en-US" w:eastAsia="zh-CN"/>
              </w:rPr>
              <w:t>0.252</w:t>
            </w:r>
          </w:p>
        </w:tc>
        <w:tc>
          <w:tcPr>
            <w:tcW w:w="1971" w:type="dxa"/>
            <w:tcBorders>
              <w:tl2br w:val="nil"/>
              <w:tr2bl w:val="nil"/>
            </w:tcBorders>
            <w:noWrap/>
            <w:vAlign w:val="top"/>
          </w:tcPr>
          <w:p w14:paraId="274F0E2E">
            <w:pPr>
              <w:spacing w:line="320" w:lineRule="exact"/>
              <w:jc w:val="center"/>
              <w:rPr>
                <w:rFonts w:hint="default"/>
                <w:b/>
                <w:bCs/>
                <w:color w:val="auto"/>
                <w:szCs w:val="21"/>
                <w:lang w:val="en-US"/>
              </w:rPr>
            </w:pPr>
            <w:r>
              <w:rPr>
                <w:rFonts w:hint="eastAsia" w:cs="Times New Roman"/>
                <w:b/>
                <w:bCs/>
                <w:caps w:val="0"/>
                <w:color w:val="auto"/>
                <w:szCs w:val="21"/>
                <w:highlight w:val="none"/>
                <w:lang w:val="en-US" w:eastAsia="zh-CN"/>
              </w:rPr>
              <w:t>0.252</w:t>
            </w:r>
          </w:p>
        </w:tc>
        <w:tc>
          <w:tcPr>
            <w:tcW w:w="1972" w:type="dxa"/>
            <w:tcBorders>
              <w:tl2br w:val="nil"/>
              <w:tr2bl w:val="nil"/>
            </w:tcBorders>
            <w:noWrap/>
            <w:vAlign w:val="top"/>
          </w:tcPr>
          <w:p w14:paraId="0A7587E0">
            <w:pPr>
              <w:spacing w:line="320" w:lineRule="exact"/>
              <w:jc w:val="center"/>
              <w:rPr>
                <w:color w:val="auto"/>
                <w:szCs w:val="21"/>
              </w:rPr>
            </w:pPr>
            <w:r>
              <w:rPr>
                <w:rFonts w:hint="eastAsia" w:cs="Times New Roman"/>
                <w:caps w:val="0"/>
                <w:color w:val="auto"/>
                <w:szCs w:val="21"/>
                <w:highlight w:val="none"/>
                <w:lang w:val="en-US" w:eastAsia="zh-CN"/>
              </w:rPr>
              <w:t>0.276</w:t>
            </w:r>
          </w:p>
        </w:tc>
      </w:tr>
      <w:tr w14:paraId="52E81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l2br w:val="nil"/>
              <w:tr2bl w:val="nil"/>
            </w:tcBorders>
            <w:noWrap/>
          </w:tcPr>
          <w:p w14:paraId="7805B404">
            <w:pPr>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9"/>
              <w:rPr>
                <w:color w:val="auto"/>
                <w:szCs w:val="21"/>
              </w:rPr>
            </w:pPr>
            <w:r>
              <w:rPr>
                <w:rFonts w:hint="eastAsia"/>
                <w:color w:val="auto"/>
                <w:szCs w:val="21"/>
              </w:rPr>
              <w:t>二氧化硫绩效值（kg/t）</w:t>
            </w:r>
          </w:p>
        </w:tc>
        <w:tc>
          <w:tcPr>
            <w:tcW w:w="1971" w:type="dxa"/>
            <w:tcBorders>
              <w:tl2br w:val="nil"/>
              <w:tr2bl w:val="nil"/>
            </w:tcBorders>
            <w:noWrap/>
            <w:vAlign w:val="top"/>
          </w:tcPr>
          <w:p w14:paraId="64CE44BB">
            <w:pPr>
              <w:spacing w:line="320" w:lineRule="exact"/>
              <w:jc w:val="center"/>
              <w:rPr>
                <w:color w:val="auto"/>
                <w:szCs w:val="21"/>
              </w:rPr>
            </w:pPr>
            <w:r>
              <w:rPr>
                <w:rFonts w:hint="eastAsia" w:cs="Times New Roman"/>
                <w:caps w:val="0"/>
                <w:color w:val="auto"/>
                <w:szCs w:val="21"/>
                <w:highlight w:val="none"/>
                <w:lang w:val="en-US" w:eastAsia="zh-CN"/>
              </w:rPr>
              <w:t>0.839</w:t>
            </w:r>
          </w:p>
        </w:tc>
        <w:tc>
          <w:tcPr>
            <w:tcW w:w="1971" w:type="dxa"/>
            <w:tcBorders>
              <w:tl2br w:val="nil"/>
              <w:tr2bl w:val="nil"/>
            </w:tcBorders>
            <w:noWrap/>
            <w:vAlign w:val="top"/>
          </w:tcPr>
          <w:p w14:paraId="5094EE44">
            <w:pPr>
              <w:spacing w:line="320" w:lineRule="exact"/>
              <w:jc w:val="center"/>
              <w:rPr>
                <w:rFonts w:hint="default"/>
                <w:b/>
                <w:bCs/>
                <w:color w:val="auto"/>
                <w:szCs w:val="21"/>
                <w:lang w:val="en-US"/>
              </w:rPr>
            </w:pPr>
            <w:r>
              <w:rPr>
                <w:rFonts w:hint="eastAsia" w:cs="Times New Roman"/>
                <w:b/>
                <w:bCs/>
                <w:caps w:val="0"/>
                <w:color w:val="auto"/>
                <w:szCs w:val="21"/>
                <w:highlight w:val="none"/>
                <w:lang w:val="en-US" w:eastAsia="zh-CN"/>
              </w:rPr>
              <w:t>0.84</w:t>
            </w:r>
          </w:p>
        </w:tc>
        <w:tc>
          <w:tcPr>
            <w:tcW w:w="1972" w:type="dxa"/>
            <w:tcBorders>
              <w:tl2br w:val="nil"/>
              <w:tr2bl w:val="nil"/>
            </w:tcBorders>
            <w:noWrap/>
            <w:vAlign w:val="top"/>
          </w:tcPr>
          <w:p w14:paraId="4AEED4E9">
            <w:pPr>
              <w:spacing w:line="320" w:lineRule="exact"/>
              <w:jc w:val="center"/>
              <w:rPr>
                <w:color w:val="auto"/>
                <w:szCs w:val="21"/>
              </w:rPr>
            </w:pPr>
            <w:r>
              <w:rPr>
                <w:rFonts w:hint="eastAsia" w:cs="Times New Roman"/>
                <w:caps w:val="0"/>
                <w:color w:val="auto"/>
                <w:szCs w:val="21"/>
                <w:highlight w:val="none"/>
                <w:lang w:val="en-US" w:eastAsia="zh-CN"/>
              </w:rPr>
              <w:t>0.919</w:t>
            </w:r>
          </w:p>
        </w:tc>
      </w:tr>
      <w:tr w14:paraId="64DFF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08" w:type="dxa"/>
            <w:tcBorders>
              <w:tl2br w:val="nil"/>
              <w:tr2bl w:val="nil"/>
            </w:tcBorders>
            <w:noWrap/>
          </w:tcPr>
          <w:p w14:paraId="4CD8404E">
            <w:pPr>
              <w:keepNext w:val="0"/>
              <w:keepLines w:val="0"/>
              <w:pageBreakBefore w:val="0"/>
              <w:widowControl w:val="0"/>
              <w:kinsoku/>
              <w:wordWrap/>
              <w:overflowPunct/>
              <w:topLinePunct w:val="0"/>
              <w:autoSpaceDE/>
              <w:autoSpaceDN/>
              <w:bidi w:val="0"/>
              <w:adjustRightInd/>
              <w:snapToGrid/>
              <w:spacing w:line="320" w:lineRule="exact"/>
              <w:jc w:val="center"/>
              <w:textAlignment w:val="auto"/>
              <w:outlineLvl w:val="9"/>
              <w:rPr>
                <w:color w:val="auto"/>
                <w:szCs w:val="21"/>
              </w:rPr>
            </w:pPr>
            <w:r>
              <w:rPr>
                <w:rFonts w:hint="eastAsia"/>
                <w:color w:val="auto"/>
                <w:szCs w:val="21"/>
              </w:rPr>
              <w:t>氮氧化物绩效值（kg/t）</w:t>
            </w:r>
          </w:p>
        </w:tc>
        <w:tc>
          <w:tcPr>
            <w:tcW w:w="1971" w:type="dxa"/>
            <w:tcBorders>
              <w:tl2br w:val="nil"/>
              <w:tr2bl w:val="nil"/>
            </w:tcBorders>
            <w:noWrap/>
            <w:vAlign w:val="top"/>
          </w:tcPr>
          <w:p w14:paraId="06F42BCE">
            <w:pPr>
              <w:spacing w:line="320" w:lineRule="exact"/>
              <w:jc w:val="center"/>
              <w:rPr>
                <w:color w:val="auto"/>
                <w:szCs w:val="21"/>
              </w:rPr>
            </w:pPr>
            <w:r>
              <w:rPr>
                <w:rFonts w:hint="eastAsia" w:cs="Times New Roman"/>
                <w:caps w:val="0"/>
                <w:color w:val="auto"/>
                <w:szCs w:val="21"/>
                <w:highlight w:val="none"/>
                <w:lang w:val="en-US" w:eastAsia="zh-CN"/>
              </w:rPr>
              <w:t>2.516</w:t>
            </w:r>
          </w:p>
        </w:tc>
        <w:tc>
          <w:tcPr>
            <w:tcW w:w="1971" w:type="dxa"/>
            <w:tcBorders>
              <w:tl2br w:val="nil"/>
              <w:tr2bl w:val="nil"/>
            </w:tcBorders>
            <w:noWrap/>
            <w:vAlign w:val="top"/>
          </w:tcPr>
          <w:p w14:paraId="40DF3105">
            <w:pPr>
              <w:spacing w:line="320" w:lineRule="exact"/>
              <w:jc w:val="center"/>
              <w:rPr>
                <w:rFonts w:hint="default"/>
                <w:b/>
                <w:bCs/>
                <w:color w:val="auto"/>
                <w:szCs w:val="21"/>
                <w:lang w:val="en-US"/>
              </w:rPr>
            </w:pPr>
            <w:r>
              <w:rPr>
                <w:rFonts w:hint="eastAsia" w:cs="Times New Roman"/>
                <w:b/>
                <w:bCs/>
                <w:caps w:val="0"/>
                <w:color w:val="auto"/>
                <w:szCs w:val="21"/>
                <w:highlight w:val="none"/>
                <w:lang w:val="en-US" w:eastAsia="zh-CN"/>
              </w:rPr>
              <w:t>2.518</w:t>
            </w:r>
          </w:p>
        </w:tc>
        <w:tc>
          <w:tcPr>
            <w:tcW w:w="1972" w:type="dxa"/>
            <w:tcBorders>
              <w:tl2br w:val="nil"/>
              <w:tr2bl w:val="nil"/>
            </w:tcBorders>
            <w:noWrap/>
            <w:vAlign w:val="top"/>
          </w:tcPr>
          <w:p w14:paraId="4FA4312E">
            <w:pPr>
              <w:spacing w:line="320" w:lineRule="exact"/>
              <w:jc w:val="center"/>
              <w:rPr>
                <w:color w:val="auto"/>
                <w:szCs w:val="21"/>
              </w:rPr>
            </w:pPr>
            <w:r>
              <w:rPr>
                <w:rFonts w:hint="eastAsia" w:cs="Times New Roman"/>
                <w:caps w:val="0"/>
                <w:color w:val="auto"/>
                <w:szCs w:val="21"/>
                <w:highlight w:val="none"/>
                <w:lang w:val="en-US" w:eastAsia="zh-CN"/>
              </w:rPr>
              <w:t>2.756</w:t>
            </w:r>
          </w:p>
        </w:tc>
      </w:tr>
    </w:tbl>
    <w:p w14:paraId="6EB310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rPr>
      </w:pPr>
      <w:r>
        <w:rPr>
          <w:rFonts w:hint="eastAsia"/>
          <w:color w:val="auto"/>
          <w:sz w:val="24"/>
        </w:rPr>
        <w:t>则本项目大气污染物核定量计算结果如下：</w:t>
      </w:r>
    </w:p>
    <w:p w14:paraId="5F9C8090">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color w:val="auto"/>
          <w:sz w:val="24"/>
        </w:rPr>
      </w:pPr>
      <w:r>
        <w:rPr>
          <w:rFonts w:hint="eastAsia"/>
          <w:color w:val="auto"/>
          <w:position w:val="-14"/>
          <w:sz w:val="24"/>
        </w:rPr>
        <w:object>
          <v:shape id="_x0000_i1033" o:spt="75" type="#_x0000_t75" style="height:21.05pt;width:286.25pt;" o:ole="t" filled="f" o:preferrelative="t" stroked="f" coordsize="21600,21600">
            <v:path/>
            <v:fill on="f" focussize="0,0"/>
            <v:stroke on="f"/>
            <v:imagedata r:id="rId85" o:title=""/>
            <o:lock v:ext="edit" aspectratio="t"/>
            <w10:wrap type="none"/>
            <w10:anchorlock/>
          </v:shape>
          <o:OLEObject Type="Embed" ProgID="Equations" ShapeID="_x0000_i1033" DrawAspect="Content" ObjectID="_1468075733" r:id="rId84">
            <o:LockedField>false</o:LockedField>
          </o:OLEObject>
        </w:object>
      </w:r>
    </w:p>
    <w:p w14:paraId="1B9047BC">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color w:val="auto"/>
          <w:sz w:val="24"/>
        </w:rPr>
      </w:pPr>
      <w:r>
        <w:rPr>
          <w:rFonts w:hint="eastAsia"/>
          <w:color w:val="auto"/>
          <w:position w:val="-14"/>
          <w:sz w:val="24"/>
        </w:rPr>
        <w:object>
          <v:shape id="_x0000_i1034" o:spt="75" type="#_x0000_t75" style="height:21.05pt;width:278.6pt;" o:ole="t" filled="f" o:preferrelative="t" stroked="f" coordsize="21600,21600">
            <v:path/>
            <v:fill on="f" focussize="0,0"/>
            <v:stroke on="f"/>
            <v:imagedata r:id="rId87" o:title=""/>
            <o:lock v:ext="edit" aspectratio="t"/>
            <w10:wrap type="none"/>
            <w10:anchorlock/>
          </v:shape>
          <o:OLEObject Type="Embed" ProgID="Equations" ShapeID="_x0000_i1034" DrawAspect="Content" ObjectID="_1468075734" r:id="rId86">
            <o:LockedField>false</o:LockedField>
          </o:OLEObject>
        </w:object>
      </w:r>
    </w:p>
    <w:p w14:paraId="3BF574F1">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color w:val="auto"/>
          <w:sz w:val="24"/>
        </w:rPr>
      </w:pPr>
      <w:r>
        <w:rPr>
          <w:rFonts w:hint="eastAsia"/>
          <w:color w:val="auto"/>
          <w:position w:val="-14"/>
          <w:sz w:val="24"/>
        </w:rPr>
        <w:object>
          <v:shape id="_x0000_i1035" o:spt="75" type="#_x0000_t75" style="height:21.05pt;width:293.8pt;" o:ole="t" filled="f" o:preferrelative="t" stroked="f" coordsize="21600,21600">
            <v:path/>
            <v:fill on="f" focussize="0,0"/>
            <v:stroke on="f"/>
            <v:imagedata r:id="rId89" o:title=""/>
            <o:lock v:ext="edit" aspectratio="t"/>
            <w10:wrap type="none"/>
            <w10:anchorlock/>
          </v:shape>
          <o:OLEObject Type="Embed" ProgID="Equations" ShapeID="_x0000_i1035" DrawAspect="Content" ObjectID="_1468075735" r:id="rId88">
            <o:LockedField>false</o:LockedField>
          </o:OLEObject>
        </w:object>
      </w:r>
    </w:p>
    <w:p w14:paraId="214050B2">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9"/>
        <w:rPr>
          <w:rFonts w:hint="eastAsia"/>
          <w:color w:val="auto"/>
          <w:sz w:val="24"/>
        </w:rPr>
      </w:pPr>
      <w:bookmarkStart w:id="45" w:name="_Toc11269"/>
    </w:p>
    <w:p w14:paraId="04C7DD60">
      <w:pPr>
        <w:pStyle w:val="9"/>
        <w:rPr>
          <w:rFonts w:hint="eastAsia"/>
          <w:color w:val="auto"/>
        </w:rPr>
      </w:pPr>
    </w:p>
    <w:p w14:paraId="3F16D4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color w:val="auto"/>
          <w:sz w:val="24"/>
        </w:rPr>
      </w:pPr>
      <w:r>
        <w:rPr>
          <w:rFonts w:hint="eastAsia"/>
          <w:color w:val="auto"/>
          <w:sz w:val="24"/>
        </w:rPr>
        <w:t>二、工业粉尘</w:t>
      </w:r>
      <w:bookmarkEnd w:id="45"/>
    </w:p>
    <w:p w14:paraId="153D5B42">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outlineLvl w:val="9"/>
        <w:rPr>
          <w:color w:val="auto"/>
          <w:sz w:val="24"/>
        </w:rPr>
      </w:pPr>
      <w:bookmarkStart w:id="46" w:name="_Toc7685"/>
      <w:r>
        <w:rPr>
          <w:color w:val="auto"/>
          <w:sz w:val="24"/>
        </w:rPr>
        <w:t>（</w:t>
      </w:r>
      <w:r>
        <w:rPr>
          <w:rFonts w:hint="eastAsia"/>
          <w:color w:val="auto"/>
          <w:sz w:val="24"/>
        </w:rPr>
        <w:t>1</w:t>
      </w:r>
      <w:r>
        <w:rPr>
          <w:color w:val="auto"/>
          <w:sz w:val="24"/>
        </w:rPr>
        <w:t>）烘干塔</w:t>
      </w:r>
      <w:r>
        <w:rPr>
          <w:rFonts w:hint="eastAsia"/>
          <w:color w:val="auto"/>
          <w:sz w:val="24"/>
        </w:rPr>
        <w:t>粉尘</w:t>
      </w:r>
      <w:bookmarkEnd w:id="46"/>
    </w:p>
    <w:p w14:paraId="4A86C6A7">
      <w:pPr>
        <w:widowControl/>
        <w:spacing w:line="360" w:lineRule="auto"/>
        <w:ind w:firstLine="480" w:firstLineChars="200"/>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本项目使用烘干塔</w:t>
      </w:r>
      <w:r>
        <w:rPr>
          <w:rFonts w:hint="eastAsia" w:ascii="Times New Roman" w:hAnsi="Times New Roman" w:eastAsia="宋体" w:cs="Times New Roman"/>
          <w:color w:val="auto"/>
          <w:spacing w:val="0"/>
          <w:sz w:val="24"/>
          <w:szCs w:val="24"/>
          <w:highlight w:val="none"/>
          <w:lang w:val="en-US" w:eastAsia="zh-CN"/>
        </w:rPr>
        <w:t>烘干</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w:t>
      </w:r>
      <w:r>
        <w:rPr>
          <w:rFonts w:hint="eastAsia" w:cs="Times New Roman"/>
          <w:color w:val="auto"/>
          <w:spacing w:val="0"/>
          <w:sz w:val="24"/>
          <w:szCs w:val="24"/>
          <w:highlight w:val="none"/>
          <w:lang w:val="en-US" w:eastAsia="zh-CN"/>
        </w:rPr>
        <w:t>250000</w:t>
      </w:r>
      <w:r>
        <w:rPr>
          <w:rFonts w:hint="eastAsia" w:ascii="Times New Roman" w:hAnsi="Times New Roman" w:eastAsia="宋体" w:cs="Times New Roman"/>
          <w:color w:val="auto"/>
          <w:spacing w:val="0"/>
          <w:sz w:val="24"/>
          <w:szCs w:val="24"/>
          <w:highlight w:val="none"/>
          <w:lang w:val="en-US" w:eastAsia="zh-CN"/>
        </w:rPr>
        <w:t>t，烘干后为</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干粮</w:t>
      </w:r>
      <w:r>
        <w:rPr>
          <w:rFonts w:hint="eastAsia" w:cs="Times New Roman"/>
          <w:color w:val="auto"/>
          <w:spacing w:val="0"/>
          <w:sz w:val="24"/>
          <w:szCs w:val="24"/>
          <w:highlight w:val="none"/>
          <w:lang w:val="en-US" w:eastAsia="zh-CN"/>
        </w:rPr>
        <w:t>20316.26</w:t>
      </w:r>
      <w:r>
        <w:rPr>
          <w:rFonts w:hint="eastAsia" w:ascii="Times New Roman" w:hAnsi="Times New Roman" w:eastAsia="宋体" w:cs="Times New Roman"/>
          <w:color w:val="auto"/>
          <w:spacing w:val="0"/>
          <w:sz w:val="24"/>
          <w:szCs w:val="24"/>
          <w:highlight w:val="none"/>
          <w:lang w:val="en-US" w:eastAsia="zh-CN"/>
        </w:rPr>
        <w:t>t/a，</w:t>
      </w:r>
      <w:r>
        <w:rPr>
          <w:rFonts w:hint="default" w:ascii="Times New Roman" w:hAnsi="Times New Roman" w:eastAsia="宋体" w:cs="Times New Roman"/>
          <w:color w:val="auto"/>
          <w:spacing w:val="0"/>
          <w:sz w:val="24"/>
          <w:szCs w:val="24"/>
          <w:highlight w:val="none"/>
          <w:lang w:val="en-US" w:eastAsia="zh-CN"/>
        </w:rPr>
        <w:t>年使用烘干塔</w:t>
      </w:r>
      <w:r>
        <w:rPr>
          <w:rFonts w:hint="eastAsia" w:cs="Times New Roman"/>
          <w:color w:val="auto"/>
          <w:spacing w:val="0"/>
          <w:sz w:val="24"/>
          <w:szCs w:val="24"/>
          <w:highlight w:val="none"/>
          <w:lang w:val="en-US" w:eastAsia="zh-CN"/>
        </w:rPr>
        <w:t>1200</w:t>
      </w:r>
      <w:r>
        <w:rPr>
          <w:rFonts w:hint="eastAsia" w:ascii="Times New Roman" w:hAnsi="Times New Roman" w:eastAsia="宋体" w:cs="Times New Roman"/>
          <w:color w:val="auto"/>
          <w:spacing w:val="0"/>
          <w:sz w:val="24"/>
          <w:szCs w:val="24"/>
          <w:highlight w:val="none"/>
          <w:lang w:val="en-US" w:eastAsia="zh-CN"/>
        </w:rPr>
        <w:t>h</w:t>
      </w:r>
      <w:r>
        <w:rPr>
          <w:rFonts w:hint="default" w:ascii="Times New Roman" w:hAnsi="Times New Roman" w:eastAsia="宋体" w:cs="Times New Roman"/>
          <w:color w:val="auto"/>
          <w:spacing w:val="0"/>
          <w:sz w:val="24"/>
          <w:szCs w:val="24"/>
          <w:highlight w:val="none"/>
          <w:lang w:val="en-US" w:eastAsia="zh-CN"/>
        </w:rPr>
        <w:t>，</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潮粮烘干过程</w:t>
      </w:r>
      <w:r>
        <w:rPr>
          <w:rFonts w:hint="default" w:ascii="Times New Roman" w:hAnsi="Times New Roman" w:eastAsia="宋体" w:cs="Times New Roman"/>
          <w:color w:val="auto"/>
          <w:spacing w:val="0"/>
          <w:sz w:val="24"/>
          <w:szCs w:val="24"/>
          <w:highlight w:val="none"/>
          <w:lang w:val="en-US" w:eastAsia="zh-CN"/>
        </w:rPr>
        <w:t>产生</w:t>
      </w:r>
      <w:r>
        <w:rPr>
          <w:rFonts w:hint="eastAsia" w:ascii="Times New Roman" w:hAnsi="Times New Roman" w:eastAsia="宋体" w:cs="Times New Roman"/>
          <w:color w:val="auto"/>
          <w:spacing w:val="0"/>
          <w:sz w:val="24"/>
          <w:szCs w:val="24"/>
          <w:highlight w:val="none"/>
          <w:lang w:val="en-US" w:eastAsia="zh-CN"/>
        </w:rPr>
        <w:t>少量颗粒物。</w:t>
      </w:r>
      <w:r>
        <w:rPr>
          <w:rFonts w:hint="default" w:ascii="Times New Roman" w:hAnsi="Times New Roman" w:eastAsia="宋体" w:cs="Times New Roman"/>
          <w:color w:val="auto"/>
          <w:spacing w:val="0"/>
          <w:sz w:val="24"/>
          <w:szCs w:val="24"/>
          <w:highlight w:val="none"/>
          <w:lang w:val="en-US" w:eastAsia="zh-CN"/>
        </w:rPr>
        <w:t>根据《逸散性工业粉尘控制技术（中国环境科学出版社）》，</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第五章 谷物贮存</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中</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柱式谷物干燥</w:t>
      </w:r>
      <w:r>
        <w:rPr>
          <w:rFonts w:hint="eastAsia" w:ascii="Times New Roman" w:hAnsi="Times New Roman" w:eastAsia="宋体" w:cs="Times New Roman"/>
          <w:color w:val="auto"/>
          <w:spacing w:val="0"/>
          <w:sz w:val="24"/>
          <w:szCs w:val="24"/>
          <w:highlight w:val="none"/>
          <w:lang w:val="en-US" w:eastAsia="zh-CN"/>
        </w:rPr>
        <w:t>”的逸散尘排放因子</w:t>
      </w:r>
      <w:r>
        <w:rPr>
          <w:rFonts w:hint="default" w:ascii="Times New Roman" w:hAnsi="Times New Roman" w:eastAsia="宋体" w:cs="Times New Roman"/>
          <w:color w:val="auto"/>
          <w:spacing w:val="0"/>
          <w:sz w:val="24"/>
          <w:szCs w:val="24"/>
          <w:highlight w:val="none"/>
          <w:lang w:val="en-US" w:eastAsia="zh-CN"/>
        </w:rPr>
        <w:t>为0.25kg/t（干燥料），</w:t>
      </w:r>
      <w:r>
        <w:rPr>
          <w:rFonts w:hint="eastAsia" w:ascii="Times New Roman" w:hAnsi="Times New Roman" w:eastAsia="宋体" w:cs="Times New Roman"/>
          <w:color w:val="auto"/>
          <w:spacing w:val="0"/>
          <w:sz w:val="24"/>
          <w:szCs w:val="24"/>
          <w:highlight w:val="none"/>
          <w:lang w:val="en-US" w:eastAsia="zh-CN"/>
        </w:rPr>
        <w:t>则本项目烘干塔废气中颗粒物产生量</w:t>
      </w:r>
      <w:r>
        <w:rPr>
          <w:rFonts w:hint="eastAsia" w:cs="Times New Roman"/>
          <w:color w:val="auto"/>
          <w:spacing w:val="0"/>
          <w:sz w:val="24"/>
          <w:szCs w:val="24"/>
          <w:highlight w:val="none"/>
          <w:lang w:val="en-US" w:eastAsia="zh-CN"/>
        </w:rPr>
        <w:t>5.08</w:t>
      </w:r>
      <w:r>
        <w:rPr>
          <w:rFonts w:hint="default" w:ascii="Times New Roman" w:hAnsi="Times New Roman" w:eastAsia="宋体" w:cs="Times New Roman"/>
          <w:color w:val="auto"/>
          <w:spacing w:val="0"/>
          <w:sz w:val="24"/>
          <w:szCs w:val="24"/>
          <w:highlight w:val="none"/>
          <w:lang w:val="en-US" w:eastAsia="zh-CN"/>
        </w:rPr>
        <w:t>t/a，产生速率</w:t>
      </w:r>
      <w:r>
        <w:rPr>
          <w:rFonts w:hint="eastAsia" w:cs="Times New Roman"/>
          <w:color w:val="auto"/>
          <w:spacing w:val="0"/>
          <w:sz w:val="24"/>
          <w:szCs w:val="24"/>
          <w:highlight w:val="none"/>
          <w:lang w:val="en-US" w:eastAsia="zh-CN"/>
        </w:rPr>
        <w:t>4.23</w:t>
      </w:r>
      <w:r>
        <w:rPr>
          <w:rFonts w:hint="default" w:ascii="Times New Roman" w:hAnsi="Times New Roman" w:eastAsia="宋体" w:cs="Times New Roman"/>
          <w:color w:val="auto"/>
          <w:spacing w:val="0"/>
          <w:sz w:val="24"/>
          <w:szCs w:val="24"/>
          <w:highlight w:val="none"/>
          <w:lang w:val="en-US" w:eastAsia="zh-CN"/>
        </w:rPr>
        <w:t>kg/h，</w:t>
      </w:r>
      <w:r>
        <w:rPr>
          <w:rFonts w:hint="eastAsia" w:hAnsi="宋体" w:cs="Times New Roman"/>
          <w:color w:val="auto"/>
          <w:sz w:val="24"/>
          <w:highlight w:val="none"/>
          <w:lang w:eastAsia="zh-CN"/>
        </w:rPr>
        <w:t>烘干塔塔体设置彩钢罩，</w:t>
      </w:r>
      <w:r>
        <w:rPr>
          <w:rFonts w:hAnsi="宋体" w:cs="Times New Roman"/>
          <w:color w:val="auto"/>
          <w:sz w:val="24"/>
          <w:highlight w:val="none"/>
        </w:rPr>
        <w:t>能有效控制杂质及大粒径粉尘的排放，</w:t>
      </w:r>
      <w:r>
        <w:rPr>
          <w:rFonts w:hint="eastAsia" w:ascii="Times New Roman" w:hAnsi="Times New Roman" w:eastAsia="宋体" w:cs="Times New Roman"/>
          <w:bCs/>
          <w:color w:val="auto"/>
          <w:sz w:val="24"/>
          <w:highlight w:val="none"/>
          <w:lang w:val="en-US" w:eastAsia="zh-CN"/>
        </w:rPr>
        <w:t>烘干塔塔底设置围挡，沉降的粉尘定期清扫收集</w:t>
      </w:r>
      <w:r>
        <w:rPr>
          <w:rFonts w:hint="eastAsia"/>
          <w:bCs/>
          <w:color w:val="auto"/>
          <w:sz w:val="24"/>
          <w:highlight w:val="none"/>
        </w:rPr>
        <w:t>。</w:t>
      </w:r>
      <w:r>
        <w:rPr>
          <w:rFonts w:hint="eastAsia" w:hAnsi="宋体" w:cs="Times New Roman"/>
          <w:color w:val="auto"/>
          <w:sz w:val="24"/>
          <w:highlight w:val="none"/>
        </w:rPr>
        <w:t>参照《扬尘源颗粒物排放清单编制技术指南》中围挡遮围对</w:t>
      </w:r>
      <w:r>
        <w:rPr>
          <w:rFonts w:hAnsi="宋体" w:cs="Times New Roman"/>
          <w:color w:val="auto"/>
          <w:sz w:val="24"/>
          <w:highlight w:val="none"/>
        </w:rPr>
        <w:t xml:space="preserve">TSP </w:t>
      </w:r>
      <w:r>
        <w:rPr>
          <w:rFonts w:hint="eastAsia" w:hAnsi="宋体" w:cs="Times New Roman"/>
          <w:color w:val="auto"/>
          <w:sz w:val="24"/>
          <w:highlight w:val="none"/>
        </w:rPr>
        <w:t>的控制效率，本项目抑尘效率按</w:t>
      </w:r>
      <w:r>
        <w:rPr>
          <w:rFonts w:hAnsi="宋体" w:cs="Times New Roman"/>
          <w:color w:val="auto"/>
          <w:sz w:val="24"/>
          <w:highlight w:val="none"/>
        </w:rPr>
        <w:t>90%</w:t>
      </w:r>
      <w:r>
        <w:rPr>
          <w:rFonts w:hint="eastAsia" w:hAnsi="宋体" w:cs="Times New Roman"/>
          <w:color w:val="auto"/>
          <w:sz w:val="24"/>
          <w:highlight w:val="none"/>
        </w:rPr>
        <w:t>计，</w:t>
      </w:r>
      <w:r>
        <w:rPr>
          <w:rFonts w:hAnsi="宋体" w:cs="Times New Roman"/>
          <w:color w:val="auto"/>
          <w:sz w:val="24"/>
          <w:highlight w:val="none"/>
        </w:rPr>
        <w:t>烘干塔废气经塔体两侧排气孔排出，</w:t>
      </w:r>
      <w:r>
        <w:rPr>
          <w:rFonts w:hint="eastAsia" w:hAnsi="宋体" w:cs="Times New Roman"/>
          <w:color w:val="auto"/>
          <w:sz w:val="24"/>
          <w:highlight w:val="none"/>
        </w:rPr>
        <w:t>则颗粒物</w:t>
      </w:r>
      <w:r>
        <w:rPr>
          <w:rFonts w:hAnsi="宋体" w:cs="Times New Roman"/>
          <w:color w:val="auto"/>
          <w:sz w:val="24"/>
          <w:highlight w:val="none"/>
        </w:rPr>
        <w:t>排放速率为</w:t>
      </w:r>
      <w:r>
        <w:rPr>
          <w:rFonts w:hint="eastAsia" w:hAnsi="宋体" w:cs="Times New Roman"/>
          <w:color w:val="auto"/>
          <w:sz w:val="24"/>
          <w:highlight w:val="none"/>
          <w:lang w:val="en-US" w:eastAsia="zh-CN"/>
        </w:rPr>
        <w:t>0.423</w:t>
      </w:r>
      <w:r>
        <w:rPr>
          <w:rFonts w:hAnsi="宋体" w:cs="Times New Roman"/>
          <w:color w:val="auto"/>
          <w:sz w:val="24"/>
          <w:highlight w:val="none"/>
        </w:rPr>
        <w:t>kg/h，排放量为</w:t>
      </w:r>
      <w:r>
        <w:rPr>
          <w:rFonts w:hint="eastAsia" w:hAnsi="宋体" w:cs="Times New Roman"/>
          <w:color w:val="auto"/>
          <w:sz w:val="24"/>
          <w:highlight w:val="none"/>
          <w:lang w:val="en-US" w:eastAsia="zh-CN"/>
        </w:rPr>
        <w:t>0.508</w:t>
      </w:r>
      <w:r>
        <w:rPr>
          <w:rFonts w:hAnsi="宋体" w:cs="Times New Roman"/>
          <w:color w:val="auto"/>
          <w:sz w:val="24"/>
          <w:highlight w:val="none"/>
        </w:rPr>
        <w:t>t/a。</w:t>
      </w:r>
    </w:p>
    <w:p w14:paraId="0021351C">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color w:val="auto"/>
          <w:sz w:val="24"/>
        </w:rPr>
      </w:pPr>
      <w:bookmarkStart w:id="47" w:name="_Toc5850"/>
      <w:r>
        <w:rPr>
          <w:color w:val="auto"/>
          <w:sz w:val="24"/>
        </w:rPr>
        <w:t>（</w:t>
      </w:r>
      <w:r>
        <w:rPr>
          <w:rFonts w:hint="eastAsia"/>
          <w:color w:val="auto"/>
          <w:sz w:val="24"/>
        </w:rPr>
        <w:t>2</w:t>
      </w:r>
      <w:r>
        <w:rPr>
          <w:color w:val="auto"/>
          <w:sz w:val="24"/>
        </w:rPr>
        <w:t>）粮食筛分、输送过程等工艺粉尘</w:t>
      </w:r>
      <w:bookmarkEnd w:id="47"/>
    </w:p>
    <w:p w14:paraId="3D9D8F5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bCs/>
          <w:color w:val="auto"/>
          <w:szCs w:val="21"/>
          <w:highlight w:val="none"/>
        </w:rPr>
      </w:pPr>
      <w:r>
        <w:rPr>
          <w:rFonts w:hint="eastAsia" w:ascii="Times New Roman" w:hAnsi="Times New Roman" w:eastAsia="宋体" w:cs="Times New Roman"/>
          <w:color w:val="auto"/>
          <w:spacing w:val="0"/>
          <w:sz w:val="24"/>
          <w:szCs w:val="24"/>
          <w:highlight w:val="none"/>
          <w:lang w:val="en-US" w:eastAsia="zh-CN"/>
        </w:rPr>
        <w:t>根据</w:t>
      </w:r>
      <w:r>
        <w:rPr>
          <w:rFonts w:hint="default" w:ascii="Times New Roman" w:hAnsi="Times New Roman" w:eastAsia="宋体" w:cs="Times New Roman"/>
          <w:color w:val="auto"/>
          <w:spacing w:val="0"/>
          <w:sz w:val="24"/>
          <w:szCs w:val="24"/>
          <w:highlight w:val="none"/>
          <w:lang w:val="en-US" w:eastAsia="zh-CN"/>
        </w:rPr>
        <w:t>《逸散性工业粉尘控制技术（中国环境科学出版社）》，</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第五章 谷物贮存</w:t>
      </w:r>
      <w:r>
        <w:rPr>
          <w:rFonts w:hint="eastAsia" w:ascii="Times New Roman" w:hAnsi="Times New Roman" w:eastAsia="宋体" w:cs="Times New Roman"/>
          <w:color w:val="auto"/>
          <w:spacing w:val="0"/>
          <w:sz w:val="24"/>
          <w:szCs w:val="24"/>
          <w:highlight w:val="none"/>
          <w:lang w:val="en-US" w:eastAsia="zh-CN"/>
        </w:rPr>
        <w:t>”中“过筛和清理”的逸散尘排放因子为0.1kg/t（过筛和清理料），本项目运营期年加工</w:t>
      </w:r>
      <w:r>
        <w:rPr>
          <w:rFonts w:hint="eastAsia" w:cs="Times New Roman"/>
          <w:color w:val="auto"/>
          <w:spacing w:val="0"/>
          <w:sz w:val="24"/>
          <w:szCs w:val="24"/>
          <w:highlight w:val="none"/>
          <w:lang w:val="en-US" w:eastAsia="zh-CN"/>
        </w:rPr>
        <w:t>玉米</w:t>
      </w:r>
      <w:r>
        <w:rPr>
          <w:rFonts w:hint="eastAsia" w:ascii="Times New Roman" w:hAnsi="Times New Roman" w:eastAsia="宋体" w:cs="Times New Roman"/>
          <w:color w:val="auto"/>
          <w:spacing w:val="0"/>
          <w:sz w:val="24"/>
          <w:szCs w:val="24"/>
          <w:highlight w:val="none"/>
          <w:lang w:val="en-US" w:eastAsia="zh-CN"/>
        </w:rPr>
        <w:t>潮粮</w:t>
      </w:r>
      <w:r>
        <w:rPr>
          <w:rFonts w:hint="eastAsia" w:cs="Times New Roman"/>
          <w:color w:val="auto"/>
          <w:spacing w:val="0"/>
          <w:sz w:val="24"/>
          <w:szCs w:val="24"/>
          <w:highlight w:val="none"/>
          <w:lang w:val="en-US" w:eastAsia="zh-CN"/>
        </w:rPr>
        <w:t>25000</w:t>
      </w:r>
      <w:r>
        <w:rPr>
          <w:rFonts w:hint="eastAsia" w:ascii="Times New Roman" w:hAnsi="Times New Roman" w:eastAsia="宋体" w:cs="Times New Roman"/>
          <w:color w:val="auto"/>
          <w:spacing w:val="0"/>
          <w:sz w:val="24"/>
          <w:szCs w:val="24"/>
          <w:highlight w:val="none"/>
          <w:lang w:val="en-US" w:eastAsia="zh-CN"/>
        </w:rPr>
        <w:t>t，因此颗粒物的产生量为</w:t>
      </w:r>
      <w:r>
        <w:rPr>
          <w:rFonts w:hint="eastAsia" w:cs="Times New Roman"/>
          <w:color w:val="auto"/>
          <w:spacing w:val="0"/>
          <w:sz w:val="24"/>
          <w:szCs w:val="24"/>
          <w:highlight w:val="none"/>
          <w:lang w:val="en-US" w:eastAsia="zh-CN"/>
        </w:rPr>
        <w:t>2.5</w:t>
      </w:r>
      <w:r>
        <w:rPr>
          <w:rFonts w:hint="eastAsia" w:ascii="Times New Roman" w:hAnsi="Times New Roman" w:eastAsia="宋体" w:cs="Times New Roman"/>
          <w:color w:val="auto"/>
          <w:spacing w:val="0"/>
          <w:sz w:val="24"/>
          <w:szCs w:val="24"/>
          <w:highlight w:val="none"/>
          <w:lang w:val="en-US" w:eastAsia="zh-CN"/>
        </w:rPr>
        <w:t>t/a，</w:t>
      </w:r>
      <w:r>
        <w:rPr>
          <w:rFonts w:hint="eastAsia" w:cs="Times New Roman"/>
          <w:color w:val="auto"/>
          <w:spacing w:val="0"/>
          <w:sz w:val="24"/>
          <w:szCs w:val="24"/>
          <w:highlight w:val="none"/>
          <w:lang w:val="en-US" w:eastAsia="zh-CN"/>
        </w:rPr>
        <w:t>2.08</w:t>
      </w:r>
      <w:r>
        <w:rPr>
          <w:rFonts w:hint="eastAsia" w:ascii="Times New Roman" w:hAnsi="Times New Roman" w:eastAsia="宋体" w:cs="Times New Roman"/>
          <w:color w:val="auto"/>
          <w:spacing w:val="0"/>
          <w:sz w:val="24"/>
          <w:szCs w:val="24"/>
          <w:highlight w:val="none"/>
          <w:lang w:val="en-US" w:eastAsia="zh-CN"/>
        </w:rPr>
        <w:t>kg/h。本项目采取输送传送带封闭设置，装卸区设置遮挡设施，清选工艺采用封闭式清理筛，根据《逸散性工业粉尘控制技术</w:t>
      </w:r>
      <w:r>
        <w:rPr>
          <w:rFonts w:hint="default" w:ascii="Times New Roman" w:hAnsi="Times New Roman" w:eastAsia="宋体" w:cs="Times New Roman"/>
          <w:color w:val="auto"/>
          <w:spacing w:val="0"/>
          <w:sz w:val="24"/>
          <w:szCs w:val="24"/>
          <w:highlight w:val="none"/>
          <w:lang w:val="en-US" w:eastAsia="zh-CN"/>
        </w:rPr>
        <w:t>（中国环境科学出版社）</w:t>
      </w:r>
      <w:r>
        <w:rPr>
          <w:rFonts w:hint="eastAsia" w:ascii="Times New Roman" w:hAnsi="Times New Roman" w:eastAsia="宋体" w:cs="Times New Roman"/>
          <w:color w:val="auto"/>
          <w:spacing w:val="0"/>
          <w:sz w:val="24"/>
          <w:szCs w:val="24"/>
          <w:highlight w:val="none"/>
          <w:lang w:val="en-US" w:eastAsia="zh-CN"/>
        </w:rPr>
        <w:t>》采取上述措施后颗粒物排放量可减少约90%，颗粒物排放量约为</w:t>
      </w:r>
      <w:r>
        <w:rPr>
          <w:rFonts w:hint="eastAsia" w:cs="Times New Roman"/>
          <w:color w:val="auto"/>
          <w:spacing w:val="0"/>
          <w:sz w:val="24"/>
          <w:szCs w:val="24"/>
          <w:highlight w:val="none"/>
          <w:lang w:val="en-US" w:eastAsia="zh-CN"/>
        </w:rPr>
        <w:t>0.25</w:t>
      </w:r>
      <w:r>
        <w:rPr>
          <w:rFonts w:hint="eastAsia" w:ascii="Times New Roman" w:hAnsi="Times New Roman" w:eastAsia="宋体" w:cs="Times New Roman"/>
          <w:color w:val="auto"/>
          <w:spacing w:val="0"/>
          <w:sz w:val="24"/>
          <w:szCs w:val="24"/>
          <w:highlight w:val="none"/>
          <w:lang w:val="en-US" w:eastAsia="zh-CN"/>
        </w:rPr>
        <w:t>t/a，</w:t>
      </w:r>
      <w:r>
        <w:rPr>
          <w:rFonts w:hint="eastAsia" w:cs="Times New Roman"/>
          <w:color w:val="auto"/>
          <w:spacing w:val="0"/>
          <w:sz w:val="24"/>
          <w:szCs w:val="24"/>
          <w:highlight w:val="none"/>
          <w:lang w:val="en-US" w:eastAsia="zh-CN"/>
        </w:rPr>
        <w:t>0.208</w:t>
      </w:r>
      <w:r>
        <w:rPr>
          <w:rFonts w:hint="eastAsia" w:ascii="Times New Roman" w:hAnsi="Times New Roman" w:eastAsia="宋体" w:cs="Times New Roman"/>
          <w:color w:val="auto"/>
          <w:spacing w:val="0"/>
          <w:sz w:val="24"/>
          <w:szCs w:val="24"/>
          <w:highlight w:val="none"/>
          <w:lang w:val="en-US" w:eastAsia="zh-CN"/>
        </w:rPr>
        <w:t>kg/h。</w:t>
      </w:r>
    </w:p>
    <w:p w14:paraId="31057F73">
      <w:pPr>
        <w:spacing w:line="360" w:lineRule="auto"/>
        <w:ind w:firstLine="480" w:firstLineChars="200"/>
        <w:rPr>
          <w:bCs/>
          <w:color w:val="auto"/>
          <w:sz w:val="24"/>
        </w:rPr>
      </w:pPr>
      <w:r>
        <w:rPr>
          <w:rFonts w:hint="eastAsia"/>
          <w:bCs/>
          <w:color w:val="auto"/>
          <w:sz w:val="24"/>
        </w:rPr>
        <w:t>综上，</w:t>
      </w:r>
      <w:r>
        <w:rPr>
          <w:bCs/>
          <w:color w:val="auto"/>
          <w:sz w:val="24"/>
        </w:rPr>
        <w:t>本项目</w:t>
      </w:r>
      <w:r>
        <w:rPr>
          <w:rFonts w:hint="eastAsia"/>
          <w:bCs/>
          <w:color w:val="auto"/>
          <w:sz w:val="24"/>
        </w:rPr>
        <w:t>工业粉尘</w:t>
      </w:r>
      <w:r>
        <w:rPr>
          <w:bCs/>
          <w:color w:val="auto"/>
          <w:sz w:val="24"/>
        </w:rPr>
        <w:t>排放总量</w:t>
      </w:r>
      <w:r>
        <w:rPr>
          <w:rFonts w:hint="eastAsia"/>
          <w:bCs/>
          <w:color w:val="auto"/>
          <w:sz w:val="24"/>
        </w:rPr>
        <w:t>为</w:t>
      </w:r>
      <w:r>
        <w:rPr>
          <w:rFonts w:hint="eastAsia"/>
          <w:bCs/>
          <w:color w:val="auto"/>
          <w:sz w:val="24"/>
          <w:lang w:val="en-US" w:eastAsia="zh-CN"/>
        </w:rPr>
        <w:t>0.758</w:t>
      </w:r>
      <w:r>
        <w:rPr>
          <w:bCs/>
          <w:color w:val="auto"/>
          <w:sz w:val="24"/>
        </w:rPr>
        <w:t>t/a</w:t>
      </w:r>
      <w:r>
        <w:rPr>
          <w:rFonts w:hint="eastAsia"/>
          <w:bCs/>
          <w:color w:val="auto"/>
          <w:sz w:val="24"/>
        </w:rPr>
        <w:t>。</w:t>
      </w:r>
    </w:p>
    <w:p w14:paraId="4F7BCB4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outlineLvl w:val="9"/>
        <w:rPr>
          <w:color w:val="auto"/>
        </w:rPr>
      </w:pPr>
      <w:bookmarkStart w:id="48" w:name="_Toc18823"/>
      <w:r>
        <w:rPr>
          <w:rFonts w:hint="eastAsia"/>
          <w:color w:val="auto"/>
          <w:sz w:val="24"/>
        </w:rPr>
        <w:t>三、污染物排放核定量</w:t>
      </w:r>
      <w:bookmarkEnd w:id="48"/>
    </w:p>
    <w:p w14:paraId="33B28581">
      <w:pPr>
        <w:keepNext w:val="0"/>
        <w:keepLines w:val="0"/>
        <w:pageBreakBefore w:val="0"/>
        <w:widowControl w:val="0"/>
        <w:kinsoku/>
        <w:wordWrap/>
        <w:overflowPunct/>
        <w:topLinePunct w:val="0"/>
        <w:autoSpaceDE/>
        <w:autoSpaceDN/>
        <w:bidi w:val="0"/>
        <w:jc w:val="center"/>
        <w:textAlignment w:val="auto"/>
        <w:outlineLvl w:val="9"/>
        <w:rPr>
          <w:b/>
          <w:bCs/>
          <w:color w:val="auto"/>
          <w:kern w:val="0"/>
          <w:szCs w:val="20"/>
        </w:rPr>
      </w:pPr>
      <w:r>
        <w:rPr>
          <w:rFonts w:hint="eastAsia"/>
          <w:b/>
          <w:bCs/>
          <w:color w:val="auto"/>
          <w:kern w:val="0"/>
          <w:szCs w:val="20"/>
        </w:rPr>
        <w:t>表2 污染物核定排放量计算表</w:t>
      </w:r>
    </w:p>
    <w:tbl>
      <w:tblPr>
        <w:tblStyle w:val="32"/>
        <w:tblW w:w="40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8"/>
        <w:gridCol w:w="1411"/>
        <w:gridCol w:w="2395"/>
        <w:gridCol w:w="2170"/>
      </w:tblGrid>
      <w:tr w14:paraId="0FEC0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28" w:type="pct"/>
            <w:tcBorders>
              <w:top w:val="single" w:color="auto" w:sz="4" w:space="0"/>
              <w:left w:val="single" w:color="auto" w:sz="4" w:space="0"/>
              <w:bottom w:val="single" w:color="auto" w:sz="4" w:space="0"/>
              <w:right w:val="single" w:color="auto" w:sz="4" w:space="0"/>
            </w:tcBorders>
            <w:noWrap/>
            <w:vAlign w:val="center"/>
          </w:tcPr>
          <w:p w14:paraId="39EE1BB7">
            <w:pPr>
              <w:keepNext w:val="0"/>
              <w:keepLines w:val="0"/>
              <w:pageBreakBefore w:val="0"/>
              <w:widowControl w:val="0"/>
              <w:kinsoku/>
              <w:wordWrap/>
              <w:overflowPunct/>
              <w:topLinePunct w:val="0"/>
              <w:autoSpaceDE/>
              <w:autoSpaceDN/>
              <w:bidi w:val="0"/>
              <w:adjustRightInd w:val="0"/>
              <w:snapToGrid w:val="0"/>
              <w:jc w:val="center"/>
              <w:textAlignment w:val="auto"/>
              <w:outlineLvl w:val="9"/>
              <w:rPr>
                <w:b/>
                <w:color w:val="auto"/>
                <w:sz w:val="24"/>
              </w:rPr>
            </w:pPr>
            <w:r>
              <w:rPr>
                <w:rFonts w:hint="eastAsia"/>
                <w:b/>
                <w:color w:val="auto"/>
                <w:sz w:val="24"/>
              </w:rPr>
              <w:t>污染物名称</w:t>
            </w:r>
          </w:p>
        </w:tc>
        <w:tc>
          <w:tcPr>
            <w:tcW w:w="997" w:type="pct"/>
            <w:tcBorders>
              <w:top w:val="single" w:color="auto" w:sz="4" w:space="0"/>
              <w:left w:val="single" w:color="auto" w:sz="4" w:space="0"/>
              <w:bottom w:val="single" w:color="auto" w:sz="4" w:space="0"/>
              <w:right w:val="single" w:color="auto" w:sz="4" w:space="0"/>
            </w:tcBorders>
            <w:noWrap/>
            <w:vAlign w:val="center"/>
          </w:tcPr>
          <w:p w14:paraId="63C74292">
            <w:pPr>
              <w:keepNext w:val="0"/>
              <w:keepLines w:val="0"/>
              <w:pageBreakBefore w:val="0"/>
              <w:widowControl w:val="0"/>
              <w:kinsoku/>
              <w:wordWrap/>
              <w:overflowPunct/>
              <w:topLinePunct w:val="0"/>
              <w:autoSpaceDE/>
              <w:autoSpaceDN/>
              <w:bidi w:val="0"/>
              <w:adjustRightInd w:val="0"/>
              <w:snapToGrid w:val="0"/>
              <w:jc w:val="center"/>
              <w:textAlignment w:val="auto"/>
              <w:outlineLvl w:val="9"/>
              <w:rPr>
                <w:b/>
                <w:color w:val="auto"/>
                <w:sz w:val="24"/>
                <w:vertAlign w:val="subscript"/>
              </w:rPr>
            </w:pPr>
            <w:r>
              <w:rPr>
                <w:b/>
                <w:color w:val="auto"/>
                <w:sz w:val="24"/>
              </w:rPr>
              <w:t>工业粉尘</w:t>
            </w:r>
          </w:p>
        </w:tc>
        <w:tc>
          <w:tcPr>
            <w:tcW w:w="1632" w:type="pct"/>
            <w:tcBorders>
              <w:top w:val="single" w:color="auto" w:sz="4" w:space="0"/>
              <w:left w:val="single" w:color="auto" w:sz="4" w:space="0"/>
              <w:bottom w:val="single" w:color="auto" w:sz="4" w:space="0"/>
              <w:right w:val="single" w:color="auto" w:sz="4" w:space="0"/>
            </w:tcBorders>
            <w:noWrap/>
            <w:vAlign w:val="center"/>
          </w:tcPr>
          <w:p w14:paraId="326DD5D2">
            <w:pPr>
              <w:keepNext w:val="0"/>
              <w:keepLines w:val="0"/>
              <w:pageBreakBefore w:val="0"/>
              <w:widowControl w:val="0"/>
              <w:kinsoku/>
              <w:wordWrap/>
              <w:overflowPunct/>
              <w:topLinePunct w:val="0"/>
              <w:autoSpaceDE/>
              <w:autoSpaceDN/>
              <w:bidi w:val="0"/>
              <w:jc w:val="center"/>
              <w:textAlignment w:val="auto"/>
              <w:outlineLvl w:val="9"/>
              <w:rPr>
                <w:b/>
                <w:color w:val="auto"/>
                <w:sz w:val="24"/>
                <w:vertAlign w:val="subscript"/>
              </w:rPr>
            </w:pPr>
            <w:r>
              <w:rPr>
                <w:b/>
                <w:color w:val="auto"/>
                <w:sz w:val="24"/>
              </w:rPr>
              <w:t>工业炉窑</w:t>
            </w:r>
          </w:p>
        </w:tc>
        <w:tc>
          <w:tcPr>
            <w:tcW w:w="1141" w:type="pct"/>
            <w:tcBorders>
              <w:top w:val="single" w:color="auto" w:sz="4" w:space="0"/>
              <w:left w:val="single" w:color="auto" w:sz="4" w:space="0"/>
              <w:bottom w:val="single" w:color="auto" w:sz="4" w:space="0"/>
              <w:right w:val="single" w:color="auto" w:sz="4" w:space="0"/>
            </w:tcBorders>
            <w:noWrap/>
            <w:vAlign w:val="center"/>
          </w:tcPr>
          <w:p w14:paraId="57375979">
            <w:pPr>
              <w:keepNext w:val="0"/>
              <w:keepLines w:val="0"/>
              <w:pageBreakBefore w:val="0"/>
              <w:widowControl w:val="0"/>
              <w:kinsoku/>
              <w:wordWrap/>
              <w:overflowPunct/>
              <w:topLinePunct w:val="0"/>
              <w:autoSpaceDE/>
              <w:autoSpaceDN/>
              <w:bidi w:val="0"/>
              <w:jc w:val="center"/>
              <w:textAlignment w:val="auto"/>
              <w:outlineLvl w:val="9"/>
              <w:rPr>
                <w:color w:val="auto"/>
                <w:sz w:val="24"/>
              </w:rPr>
            </w:pPr>
            <w:r>
              <w:rPr>
                <w:rFonts w:hint="eastAsia"/>
                <w:b/>
                <w:color w:val="auto"/>
                <w:sz w:val="24"/>
              </w:rPr>
              <w:t>核定排放量（</w:t>
            </w:r>
            <w:r>
              <w:rPr>
                <w:b/>
                <w:color w:val="auto"/>
                <w:sz w:val="24"/>
              </w:rPr>
              <w:t>t/a</w:t>
            </w:r>
            <w:r>
              <w:rPr>
                <w:rFonts w:hint="eastAsia"/>
                <w:b/>
                <w:color w:val="auto"/>
                <w:sz w:val="24"/>
              </w:rPr>
              <w:t>）</w:t>
            </w:r>
          </w:p>
        </w:tc>
      </w:tr>
      <w:tr w14:paraId="5D17E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228" w:type="pct"/>
            <w:tcBorders>
              <w:top w:val="single" w:color="auto" w:sz="4" w:space="0"/>
              <w:left w:val="single" w:color="auto" w:sz="4" w:space="0"/>
              <w:bottom w:val="single" w:color="auto" w:sz="4" w:space="0"/>
              <w:right w:val="single" w:color="auto" w:sz="4" w:space="0"/>
            </w:tcBorders>
            <w:noWrap/>
            <w:vAlign w:val="center"/>
          </w:tcPr>
          <w:p w14:paraId="284A287C">
            <w:pPr>
              <w:keepNext w:val="0"/>
              <w:keepLines w:val="0"/>
              <w:pageBreakBefore w:val="0"/>
              <w:widowControl w:val="0"/>
              <w:kinsoku/>
              <w:wordWrap/>
              <w:overflowPunct/>
              <w:topLinePunct w:val="0"/>
              <w:autoSpaceDE/>
              <w:autoSpaceDN/>
              <w:bidi w:val="0"/>
              <w:adjustRightInd w:val="0"/>
              <w:snapToGrid w:val="0"/>
              <w:jc w:val="center"/>
              <w:textAlignment w:val="auto"/>
              <w:outlineLvl w:val="9"/>
              <w:rPr>
                <w:color w:val="auto"/>
                <w:sz w:val="24"/>
              </w:rPr>
            </w:pPr>
            <w:r>
              <w:rPr>
                <w:rFonts w:hint="eastAsia"/>
                <w:color w:val="auto"/>
                <w:sz w:val="24"/>
              </w:rPr>
              <w:t>颗粒物</w:t>
            </w:r>
          </w:p>
        </w:tc>
        <w:tc>
          <w:tcPr>
            <w:tcW w:w="997" w:type="pct"/>
            <w:tcBorders>
              <w:top w:val="single" w:color="auto" w:sz="4" w:space="0"/>
              <w:left w:val="single" w:color="auto" w:sz="4" w:space="0"/>
              <w:bottom w:val="single" w:color="auto" w:sz="4" w:space="0"/>
              <w:right w:val="single" w:color="auto" w:sz="4" w:space="0"/>
            </w:tcBorders>
            <w:noWrap/>
            <w:vAlign w:val="center"/>
          </w:tcPr>
          <w:p w14:paraId="398F81D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eastAsia="宋体"/>
                <w:color w:val="auto"/>
                <w:sz w:val="24"/>
                <w:lang w:val="en-US" w:eastAsia="zh-CN"/>
              </w:rPr>
            </w:pPr>
            <w:r>
              <w:rPr>
                <w:rFonts w:hint="eastAsia"/>
                <w:color w:val="auto"/>
                <w:sz w:val="24"/>
                <w:lang w:val="en-US" w:eastAsia="zh-CN"/>
              </w:rPr>
              <w:t>0.758</w:t>
            </w:r>
          </w:p>
        </w:tc>
        <w:tc>
          <w:tcPr>
            <w:tcW w:w="1632" w:type="pct"/>
            <w:tcBorders>
              <w:top w:val="single" w:color="auto" w:sz="4" w:space="0"/>
              <w:left w:val="single" w:color="auto" w:sz="4" w:space="0"/>
              <w:bottom w:val="single" w:color="auto" w:sz="4" w:space="0"/>
              <w:right w:val="single" w:color="auto" w:sz="4" w:space="0"/>
            </w:tcBorders>
            <w:noWrap/>
            <w:vAlign w:val="center"/>
          </w:tcPr>
          <w:p w14:paraId="23A8E80E">
            <w:pPr>
              <w:keepNext w:val="0"/>
              <w:keepLines w:val="0"/>
              <w:pageBreakBefore w:val="0"/>
              <w:widowControl w:val="0"/>
              <w:kinsoku/>
              <w:wordWrap/>
              <w:overflowPunct/>
              <w:topLinePunct w:val="0"/>
              <w:autoSpaceDE/>
              <w:autoSpaceDN/>
              <w:bidi w:val="0"/>
              <w:jc w:val="center"/>
              <w:textAlignment w:val="auto"/>
              <w:outlineLvl w:val="9"/>
              <w:rPr>
                <w:rFonts w:hint="default" w:eastAsia="宋体"/>
                <w:color w:val="auto"/>
                <w:sz w:val="24"/>
                <w:lang w:val="en-US" w:eastAsia="zh-CN"/>
              </w:rPr>
            </w:pPr>
            <w:r>
              <w:rPr>
                <w:rFonts w:hint="eastAsia"/>
                <w:color w:val="auto"/>
                <w:sz w:val="24"/>
                <w:lang w:val="en-US" w:eastAsia="zh-CN"/>
              </w:rPr>
              <w:t>0.444</w:t>
            </w:r>
          </w:p>
        </w:tc>
        <w:tc>
          <w:tcPr>
            <w:tcW w:w="1141" w:type="pct"/>
            <w:tcBorders>
              <w:top w:val="single" w:color="auto" w:sz="4" w:space="0"/>
              <w:left w:val="single" w:color="auto" w:sz="4" w:space="0"/>
              <w:bottom w:val="single" w:color="auto" w:sz="4" w:space="0"/>
              <w:right w:val="single" w:color="auto" w:sz="4" w:space="0"/>
            </w:tcBorders>
            <w:noWrap/>
            <w:vAlign w:val="center"/>
          </w:tcPr>
          <w:p w14:paraId="3D2D7BEE">
            <w:pPr>
              <w:keepNext w:val="0"/>
              <w:keepLines w:val="0"/>
              <w:pageBreakBefore w:val="0"/>
              <w:widowControl w:val="0"/>
              <w:kinsoku/>
              <w:wordWrap/>
              <w:overflowPunct/>
              <w:topLinePunct w:val="0"/>
              <w:autoSpaceDE/>
              <w:autoSpaceDN/>
              <w:bidi w:val="0"/>
              <w:jc w:val="center"/>
              <w:textAlignment w:val="auto"/>
              <w:outlineLvl w:val="9"/>
              <w:rPr>
                <w:rFonts w:hint="default" w:eastAsia="宋体"/>
                <w:color w:val="auto"/>
                <w:sz w:val="24"/>
                <w:lang w:val="en-US" w:eastAsia="zh-CN"/>
              </w:rPr>
            </w:pPr>
            <w:r>
              <w:rPr>
                <w:rFonts w:hint="eastAsia"/>
                <w:color w:val="auto"/>
                <w:sz w:val="24"/>
                <w:lang w:val="en-US" w:eastAsia="zh-CN"/>
              </w:rPr>
              <w:t>1.202</w:t>
            </w:r>
          </w:p>
        </w:tc>
      </w:tr>
      <w:tr w14:paraId="13814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28" w:type="pct"/>
            <w:tcBorders>
              <w:top w:val="single" w:color="auto" w:sz="4" w:space="0"/>
              <w:left w:val="single" w:color="auto" w:sz="4" w:space="0"/>
              <w:bottom w:val="single" w:color="auto" w:sz="4" w:space="0"/>
              <w:right w:val="single" w:color="auto" w:sz="4" w:space="0"/>
            </w:tcBorders>
            <w:noWrap/>
            <w:vAlign w:val="center"/>
          </w:tcPr>
          <w:p w14:paraId="4CFF0A80">
            <w:pPr>
              <w:keepNext w:val="0"/>
              <w:keepLines w:val="0"/>
              <w:pageBreakBefore w:val="0"/>
              <w:widowControl w:val="0"/>
              <w:kinsoku/>
              <w:wordWrap/>
              <w:overflowPunct/>
              <w:topLinePunct w:val="0"/>
              <w:autoSpaceDE/>
              <w:autoSpaceDN/>
              <w:bidi w:val="0"/>
              <w:adjustRightInd w:val="0"/>
              <w:snapToGrid w:val="0"/>
              <w:jc w:val="center"/>
              <w:textAlignment w:val="auto"/>
              <w:outlineLvl w:val="9"/>
              <w:rPr>
                <w:color w:val="auto"/>
                <w:sz w:val="24"/>
              </w:rPr>
            </w:pPr>
            <w:r>
              <w:rPr>
                <w:color w:val="auto"/>
                <w:sz w:val="24"/>
              </w:rPr>
              <w:t>SO</w:t>
            </w:r>
            <w:r>
              <w:rPr>
                <w:color w:val="auto"/>
                <w:sz w:val="24"/>
                <w:vertAlign w:val="subscript"/>
              </w:rPr>
              <w:t>2</w:t>
            </w:r>
          </w:p>
        </w:tc>
        <w:tc>
          <w:tcPr>
            <w:tcW w:w="997" w:type="pct"/>
            <w:tcBorders>
              <w:top w:val="single" w:color="auto" w:sz="4" w:space="0"/>
              <w:left w:val="single" w:color="auto" w:sz="4" w:space="0"/>
              <w:bottom w:val="single" w:color="auto" w:sz="4" w:space="0"/>
              <w:right w:val="single" w:color="auto" w:sz="4" w:space="0"/>
            </w:tcBorders>
            <w:noWrap/>
            <w:vAlign w:val="center"/>
          </w:tcPr>
          <w:p w14:paraId="79563D54">
            <w:pPr>
              <w:keepNext w:val="0"/>
              <w:keepLines w:val="0"/>
              <w:pageBreakBefore w:val="0"/>
              <w:widowControl w:val="0"/>
              <w:kinsoku/>
              <w:wordWrap/>
              <w:overflowPunct/>
              <w:topLinePunct w:val="0"/>
              <w:autoSpaceDE/>
              <w:autoSpaceDN/>
              <w:bidi w:val="0"/>
              <w:adjustRightInd w:val="0"/>
              <w:snapToGrid w:val="0"/>
              <w:jc w:val="center"/>
              <w:textAlignment w:val="auto"/>
              <w:outlineLvl w:val="9"/>
              <w:rPr>
                <w:color w:val="auto"/>
                <w:sz w:val="24"/>
              </w:rPr>
            </w:pPr>
            <w:r>
              <w:rPr>
                <w:rFonts w:hint="eastAsia"/>
                <w:color w:val="auto"/>
                <w:sz w:val="24"/>
              </w:rPr>
              <w:t>/</w:t>
            </w:r>
          </w:p>
        </w:tc>
        <w:tc>
          <w:tcPr>
            <w:tcW w:w="1632" w:type="pct"/>
            <w:tcBorders>
              <w:top w:val="single" w:color="auto" w:sz="4" w:space="0"/>
              <w:left w:val="single" w:color="auto" w:sz="4" w:space="0"/>
              <w:bottom w:val="single" w:color="auto" w:sz="4" w:space="0"/>
              <w:right w:val="single" w:color="auto" w:sz="4" w:space="0"/>
            </w:tcBorders>
            <w:noWrap/>
            <w:vAlign w:val="center"/>
          </w:tcPr>
          <w:p w14:paraId="1E04FD0E">
            <w:pPr>
              <w:keepNext w:val="0"/>
              <w:keepLines w:val="0"/>
              <w:pageBreakBefore w:val="0"/>
              <w:widowControl w:val="0"/>
              <w:kinsoku/>
              <w:wordWrap/>
              <w:overflowPunct/>
              <w:topLinePunct w:val="0"/>
              <w:autoSpaceDE/>
              <w:autoSpaceDN/>
              <w:bidi w:val="0"/>
              <w:jc w:val="center"/>
              <w:textAlignment w:val="auto"/>
              <w:outlineLvl w:val="9"/>
              <w:rPr>
                <w:rFonts w:hint="default" w:eastAsia="宋体"/>
                <w:color w:val="auto"/>
                <w:sz w:val="24"/>
                <w:lang w:val="en-US" w:eastAsia="zh-CN"/>
              </w:rPr>
            </w:pPr>
            <w:r>
              <w:rPr>
                <w:rFonts w:hint="eastAsia"/>
                <w:color w:val="auto"/>
                <w:sz w:val="24"/>
                <w:lang w:val="en-US" w:eastAsia="zh-CN"/>
              </w:rPr>
              <w:t>1.48</w:t>
            </w:r>
          </w:p>
        </w:tc>
        <w:tc>
          <w:tcPr>
            <w:tcW w:w="1726" w:type="dxa"/>
            <w:tcBorders>
              <w:top w:val="single" w:color="auto" w:sz="4" w:space="0"/>
              <w:left w:val="single" w:color="auto" w:sz="4" w:space="0"/>
              <w:bottom w:val="single" w:color="auto" w:sz="4" w:space="0"/>
              <w:right w:val="single" w:color="auto" w:sz="4" w:space="0"/>
            </w:tcBorders>
            <w:noWrap/>
            <w:vAlign w:val="center"/>
          </w:tcPr>
          <w:p w14:paraId="2D3774F9">
            <w:pPr>
              <w:keepNext w:val="0"/>
              <w:keepLines w:val="0"/>
              <w:pageBreakBefore w:val="0"/>
              <w:widowControl w:val="0"/>
              <w:kinsoku/>
              <w:wordWrap/>
              <w:overflowPunct/>
              <w:topLinePunct w:val="0"/>
              <w:autoSpaceDE/>
              <w:autoSpaceDN/>
              <w:bidi w:val="0"/>
              <w:jc w:val="center"/>
              <w:textAlignment w:val="auto"/>
              <w:outlineLvl w:val="9"/>
              <w:rPr>
                <w:color w:val="auto"/>
                <w:sz w:val="24"/>
              </w:rPr>
            </w:pPr>
            <w:r>
              <w:rPr>
                <w:rFonts w:hint="eastAsia"/>
                <w:color w:val="auto"/>
                <w:sz w:val="24"/>
                <w:lang w:val="en-US" w:eastAsia="zh-CN"/>
              </w:rPr>
              <w:t>1.48</w:t>
            </w:r>
          </w:p>
        </w:tc>
      </w:tr>
      <w:tr w14:paraId="7C1B2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28" w:type="pct"/>
            <w:tcBorders>
              <w:top w:val="single" w:color="auto" w:sz="4" w:space="0"/>
              <w:left w:val="single" w:color="auto" w:sz="4" w:space="0"/>
              <w:bottom w:val="single" w:color="auto" w:sz="4" w:space="0"/>
              <w:right w:val="single" w:color="auto" w:sz="4" w:space="0"/>
            </w:tcBorders>
            <w:noWrap/>
            <w:vAlign w:val="center"/>
          </w:tcPr>
          <w:p w14:paraId="01EADBD7">
            <w:pPr>
              <w:keepNext w:val="0"/>
              <w:keepLines w:val="0"/>
              <w:pageBreakBefore w:val="0"/>
              <w:widowControl w:val="0"/>
              <w:kinsoku/>
              <w:wordWrap/>
              <w:overflowPunct/>
              <w:topLinePunct w:val="0"/>
              <w:autoSpaceDE/>
              <w:autoSpaceDN/>
              <w:bidi w:val="0"/>
              <w:adjustRightInd w:val="0"/>
              <w:snapToGrid w:val="0"/>
              <w:jc w:val="center"/>
              <w:textAlignment w:val="auto"/>
              <w:outlineLvl w:val="9"/>
              <w:rPr>
                <w:color w:val="auto"/>
                <w:sz w:val="24"/>
              </w:rPr>
            </w:pPr>
            <w:r>
              <w:rPr>
                <w:color w:val="auto"/>
                <w:sz w:val="24"/>
              </w:rPr>
              <w:t>NO</w:t>
            </w:r>
            <w:r>
              <w:rPr>
                <w:color w:val="auto"/>
                <w:sz w:val="24"/>
                <w:vertAlign w:val="subscript"/>
              </w:rPr>
              <w:t>X</w:t>
            </w:r>
          </w:p>
        </w:tc>
        <w:tc>
          <w:tcPr>
            <w:tcW w:w="997" w:type="pct"/>
            <w:tcBorders>
              <w:top w:val="single" w:color="auto" w:sz="4" w:space="0"/>
              <w:left w:val="single" w:color="auto" w:sz="4" w:space="0"/>
              <w:bottom w:val="single" w:color="auto" w:sz="4" w:space="0"/>
              <w:right w:val="single" w:color="auto" w:sz="4" w:space="0"/>
            </w:tcBorders>
            <w:noWrap/>
            <w:vAlign w:val="center"/>
          </w:tcPr>
          <w:p w14:paraId="19F86B11">
            <w:pPr>
              <w:keepNext w:val="0"/>
              <w:keepLines w:val="0"/>
              <w:pageBreakBefore w:val="0"/>
              <w:widowControl w:val="0"/>
              <w:kinsoku/>
              <w:wordWrap/>
              <w:overflowPunct/>
              <w:topLinePunct w:val="0"/>
              <w:autoSpaceDE/>
              <w:autoSpaceDN/>
              <w:bidi w:val="0"/>
              <w:adjustRightInd w:val="0"/>
              <w:snapToGrid w:val="0"/>
              <w:jc w:val="center"/>
              <w:textAlignment w:val="auto"/>
              <w:outlineLvl w:val="9"/>
              <w:rPr>
                <w:color w:val="auto"/>
                <w:sz w:val="24"/>
              </w:rPr>
            </w:pPr>
            <w:r>
              <w:rPr>
                <w:rFonts w:hint="eastAsia"/>
                <w:color w:val="auto"/>
                <w:sz w:val="24"/>
              </w:rPr>
              <w:t>/</w:t>
            </w:r>
          </w:p>
        </w:tc>
        <w:tc>
          <w:tcPr>
            <w:tcW w:w="1632" w:type="pct"/>
            <w:tcBorders>
              <w:top w:val="single" w:color="auto" w:sz="4" w:space="0"/>
              <w:left w:val="single" w:color="auto" w:sz="4" w:space="0"/>
              <w:bottom w:val="single" w:color="auto" w:sz="4" w:space="0"/>
              <w:right w:val="single" w:color="auto" w:sz="4" w:space="0"/>
            </w:tcBorders>
            <w:noWrap/>
            <w:vAlign w:val="center"/>
          </w:tcPr>
          <w:p w14:paraId="13144939">
            <w:pPr>
              <w:keepNext w:val="0"/>
              <w:keepLines w:val="0"/>
              <w:pageBreakBefore w:val="0"/>
              <w:widowControl w:val="0"/>
              <w:kinsoku/>
              <w:wordWrap/>
              <w:overflowPunct/>
              <w:topLinePunct w:val="0"/>
              <w:autoSpaceDE/>
              <w:autoSpaceDN/>
              <w:bidi w:val="0"/>
              <w:jc w:val="center"/>
              <w:textAlignment w:val="auto"/>
              <w:outlineLvl w:val="9"/>
              <w:rPr>
                <w:rFonts w:hint="default" w:eastAsia="宋体"/>
                <w:color w:val="auto"/>
                <w:sz w:val="24"/>
                <w:lang w:val="en-US" w:eastAsia="zh-CN"/>
              </w:rPr>
            </w:pPr>
            <w:r>
              <w:rPr>
                <w:rFonts w:hint="eastAsia"/>
                <w:color w:val="auto"/>
                <w:sz w:val="24"/>
                <w:lang w:val="en-US" w:eastAsia="zh-CN"/>
              </w:rPr>
              <w:t>4.437</w:t>
            </w:r>
          </w:p>
        </w:tc>
        <w:tc>
          <w:tcPr>
            <w:tcW w:w="1726" w:type="dxa"/>
            <w:tcBorders>
              <w:top w:val="single" w:color="auto" w:sz="4" w:space="0"/>
              <w:left w:val="single" w:color="auto" w:sz="4" w:space="0"/>
              <w:bottom w:val="single" w:color="auto" w:sz="4" w:space="0"/>
              <w:right w:val="single" w:color="auto" w:sz="4" w:space="0"/>
            </w:tcBorders>
            <w:noWrap/>
            <w:vAlign w:val="center"/>
          </w:tcPr>
          <w:p w14:paraId="51677B91">
            <w:pPr>
              <w:keepNext w:val="0"/>
              <w:keepLines w:val="0"/>
              <w:pageBreakBefore w:val="0"/>
              <w:widowControl w:val="0"/>
              <w:kinsoku/>
              <w:wordWrap/>
              <w:overflowPunct/>
              <w:topLinePunct w:val="0"/>
              <w:autoSpaceDE/>
              <w:autoSpaceDN/>
              <w:bidi w:val="0"/>
              <w:jc w:val="center"/>
              <w:textAlignment w:val="auto"/>
              <w:outlineLvl w:val="9"/>
              <w:rPr>
                <w:rFonts w:hint="default"/>
                <w:color w:val="auto"/>
                <w:sz w:val="24"/>
                <w:lang w:val="en-US"/>
              </w:rPr>
            </w:pPr>
            <w:r>
              <w:rPr>
                <w:rFonts w:hint="eastAsia"/>
                <w:color w:val="auto"/>
                <w:sz w:val="24"/>
                <w:lang w:val="en-US" w:eastAsia="zh-CN"/>
              </w:rPr>
              <w:t>4.437</w:t>
            </w:r>
          </w:p>
        </w:tc>
      </w:tr>
    </w:tbl>
    <w:p w14:paraId="3DBCDEC8">
      <w:pPr>
        <w:keepNext w:val="0"/>
        <w:keepLines w:val="0"/>
        <w:pageBreakBefore w:val="0"/>
        <w:widowControl w:val="0"/>
        <w:kinsoku/>
        <w:wordWrap/>
        <w:overflowPunct/>
        <w:topLinePunct w:val="0"/>
        <w:autoSpaceDE/>
        <w:autoSpaceDN/>
        <w:bidi w:val="0"/>
        <w:spacing w:beforeLines="50" w:line="360" w:lineRule="auto"/>
        <w:ind w:firstLine="360" w:firstLineChars="150"/>
        <w:textAlignment w:val="auto"/>
        <w:outlineLvl w:val="9"/>
        <w:rPr>
          <w:color w:val="auto"/>
        </w:rPr>
      </w:pPr>
      <w:r>
        <w:rPr>
          <w:rFonts w:hint="eastAsia"/>
          <w:color w:val="auto"/>
          <w:sz w:val="24"/>
        </w:rPr>
        <w:t>综上，本项目核定颗粒物排放量</w:t>
      </w:r>
      <w:r>
        <w:rPr>
          <w:rFonts w:hint="eastAsia"/>
          <w:color w:val="auto"/>
          <w:sz w:val="24"/>
          <w:lang w:eastAsia="zh-CN"/>
        </w:rPr>
        <w:t>为</w:t>
      </w:r>
      <w:r>
        <w:rPr>
          <w:rFonts w:hint="eastAsia"/>
          <w:color w:val="auto"/>
          <w:sz w:val="24"/>
          <w:lang w:val="en-US" w:eastAsia="zh-CN"/>
        </w:rPr>
        <w:t>1.202</w:t>
      </w:r>
      <w:r>
        <w:rPr>
          <w:rFonts w:hint="eastAsia"/>
          <w:color w:val="auto"/>
          <w:sz w:val="24"/>
        </w:rPr>
        <w:t>t/a；核定</w:t>
      </w:r>
      <w:r>
        <w:rPr>
          <w:color w:val="auto"/>
          <w:sz w:val="24"/>
        </w:rPr>
        <w:t>SO</w:t>
      </w:r>
      <w:r>
        <w:rPr>
          <w:color w:val="auto"/>
          <w:sz w:val="24"/>
          <w:vertAlign w:val="subscript"/>
        </w:rPr>
        <w:t>2</w:t>
      </w:r>
      <w:r>
        <w:rPr>
          <w:rFonts w:hint="eastAsia"/>
          <w:color w:val="auto"/>
          <w:sz w:val="24"/>
        </w:rPr>
        <w:t>排放量为</w:t>
      </w:r>
      <w:r>
        <w:rPr>
          <w:rFonts w:hint="eastAsia"/>
          <w:color w:val="auto"/>
          <w:sz w:val="24"/>
          <w:lang w:val="en-US" w:eastAsia="zh-CN"/>
        </w:rPr>
        <w:t>1.48</w:t>
      </w:r>
      <w:r>
        <w:rPr>
          <w:rFonts w:hint="eastAsia"/>
          <w:color w:val="auto"/>
          <w:sz w:val="24"/>
        </w:rPr>
        <w:t>t/a；核定</w:t>
      </w:r>
      <w:r>
        <w:rPr>
          <w:color w:val="auto"/>
          <w:sz w:val="24"/>
        </w:rPr>
        <w:t>NO</w:t>
      </w:r>
      <w:r>
        <w:rPr>
          <w:color w:val="auto"/>
          <w:sz w:val="24"/>
          <w:vertAlign w:val="subscript"/>
        </w:rPr>
        <w:t>x</w:t>
      </w:r>
      <w:r>
        <w:rPr>
          <w:rFonts w:hint="eastAsia"/>
          <w:color w:val="auto"/>
          <w:sz w:val="24"/>
        </w:rPr>
        <w:t>排放量为</w:t>
      </w:r>
      <w:r>
        <w:rPr>
          <w:rFonts w:hint="eastAsia"/>
          <w:color w:val="auto"/>
          <w:sz w:val="24"/>
          <w:lang w:val="en-US" w:eastAsia="zh-CN"/>
        </w:rPr>
        <w:t>4.437</w:t>
      </w:r>
      <w:r>
        <w:rPr>
          <w:rFonts w:hint="eastAsia"/>
          <w:color w:val="auto"/>
          <w:sz w:val="24"/>
        </w:rPr>
        <w:t>t/a。</w:t>
      </w:r>
    </w:p>
    <w:p w14:paraId="2D7B67DF">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17517787">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6214C90F">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6607094A">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4AEB9175">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63BA8B31">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p>
    <w:p w14:paraId="09DEF41D">
      <w:pPr>
        <w:pStyle w:val="77"/>
        <w:rPr>
          <w:rFonts w:hint="default" w:ascii="Times New Roman" w:hAnsi="Times New Roman" w:eastAsia="宋体" w:cs="Times New Roman"/>
          <w:color w:val="auto"/>
          <w:sz w:val="28"/>
          <w:szCs w:val="28"/>
          <w:lang w:val="en-US" w:eastAsia="zh-CN"/>
        </w:rPr>
      </w:pPr>
      <w:bookmarkStart w:id="49" w:name="_Toc14095"/>
      <w:r>
        <w:rPr>
          <w:rFonts w:hint="eastAsia" w:ascii="Times New Roman" w:hAnsi="Times New Roman" w:eastAsia="宋体" w:cs="Times New Roman"/>
          <w:color w:val="auto"/>
          <w:sz w:val="28"/>
          <w:szCs w:val="28"/>
          <w:lang w:val="en-US" w:eastAsia="zh-CN"/>
        </w:rPr>
        <w:t>附件7：现有工程环评批复</w:t>
      </w:r>
      <w:bookmarkEnd w:id="49"/>
    </w:p>
    <w:p w14:paraId="5D68250A">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r>
        <w:rPr>
          <w:rFonts w:hint="eastAsia" w:ascii="Times New Roman" w:hAnsi="Times New Roman" w:eastAsia="宋体" w:cs="Times New Roman"/>
          <w:b/>
          <w:snapToGrid w:val="0"/>
          <w:color w:val="auto"/>
          <w:kern w:val="2"/>
          <w:sz w:val="28"/>
          <w:szCs w:val="28"/>
          <w:lang w:val="en-US" w:eastAsia="zh-CN" w:bidi="ar-SA"/>
        </w:rPr>
        <w:drawing>
          <wp:inline distT="0" distB="0" distL="114300" distR="114300">
            <wp:extent cx="6012180" cy="8096250"/>
            <wp:effectExtent l="0" t="0" r="7620" b="0"/>
            <wp:docPr id="32" name="图片 32" descr="172335977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23359771319"/>
                    <pic:cNvPicPr>
                      <a:picLocks noChangeAspect="1"/>
                    </pic:cNvPicPr>
                  </pic:nvPicPr>
                  <pic:blipFill>
                    <a:blip r:embed="rId90"/>
                    <a:stretch>
                      <a:fillRect/>
                    </a:stretch>
                  </pic:blipFill>
                  <pic:spPr>
                    <a:xfrm>
                      <a:off x="0" y="0"/>
                      <a:ext cx="6012180" cy="8096250"/>
                    </a:xfrm>
                    <a:prstGeom prst="rect">
                      <a:avLst/>
                    </a:prstGeom>
                  </pic:spPr>
                </pic:pic>
              </a:graphicData>
            </a:graphic>
          </wp:inline>
        </w:drawing>
      </w:r>
    </w:p>
    <w:p w14:paraId="1F557785">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r>
        <w:rPr>
          <w:rFonts w:hint="eastAsia" w:ascii="Times New Roman" w:hAnsi="Times New Roman" w:eastAsia="宋体" w:cs="Times New Roman"/>
          <w:b/>
          <w:snapToGrid w:val="0"/>
          <w:color w:val="auto"/>
          <w:kern w:val="2"/>
          <w:sz w:val="28"/>
          <w:szCs w:val="28"/>
          <w:lang w:val="en-US" w:eastAsia="zh-CN" w:bidi="ar-SA"/>
        </w:rPr>
        <w:drawing>
          <wp:inline distT="0" distB="0" distL="114300" distR="114300">
            <wp:extent cx="6016625" cy="8237220"/>
            <wp:effectExtent l="0" t="0" r="3175" b="11430"/>
            <wp:docPr id="48" name="图片 48" descr="172335979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23359793609"/>
                    <pic:cNvPicPr>
                      <a:picLocks noChangeAspect="1"/>
                    </pic:cNvPicPr>
                  </pic:nvPicPr>
                  <pic:blipFill>
                    <a:blip r:embed="rId91"/>
                    <a:stretch>
                      <a:fillRect/>
                    </a:stretch>
                  </pic:blipFill>
                  <pic:spPr>
                    <a:xfrm>
                      <a:off x="0" y="0"/>
                      <a:ext cx="6016625" cy="8237220"/>
                    </a:xfrm>
                    <a:prstGeom prst="rect">
                      <a:avLst/>
                    </a:prstGeom>
                  </pic:spPr>
                </pic:pic>
              </a:graphicData>
            </a:graphic>
          </wp:inline>
        </w:drawing>
      </w:r>
    </w:p>
    <w:p w14:paraId="1E1C78B5">
      <w:pPr>
        <w:keepNext w:val="0"/>
        <w:keepLines w:val="0"/>
        <w:pageBreakBefore w:val="0"/>
        <w:widowControl w:val="0"/>
        <w:kinsoku/>
        <w:wordWrap/>
        <w:overflowPunct/>
        <w:topLinePunct w:val="0"/>
        <w:autoSpaceDE/>
        <w:autoSpaceDN/>
        <w:bidi w:val="0"/>
        <w:adjustRightInd/>
        <w:snapToGrid/>
        <w:textAlignment w:val="auto"/>
        <w:outlineLvl w:val="9"/>
        <w:rPr>
          <w:rFonts w:hint="eastAsia" w:ascii="Times New Roman" w:hAnsi="Times New Roman" w:eastAsia="宋体" w:cs="Times New Roman"/>
          <w:b/>
          <w:snapToGrid w:val="0"/>
          <w:color w:val="auto"/>
          <w:kern w:val="2"/>
          <w:sz w:val="28"/>
          <w:szCs w:val="28"/>
          <w:lang w:val="en-US" w:eastAsia="zh-CN" w:bidi="ar-SA"/>
        </w:rPr>
      </w:pPr>
      <w:r>
        <w:rPr>
          <w:rFonts w:hint="eastAsia" w:ascii="Times New Roman" w:hAnsi="Times New Roman" w:eastAsia="宋体" w:cs="Times New Roman"/>
          <w:b/>
          <w:snapToGrid w:val="0"/>
          <w:color w:val="auto"/>
          <w:kern w:val="2"/>
          <w:sz w:val="28"/>
          <w:szCs w:val="28"/>
          <w:lang w:val="en-US" w:eastAsia="zh-CN" w:bidi="ar-SA"/>
        </w:rPr>
        <w:drawing>
          <wp:inline distT="0" distB="0" distL="114300" distR="114300">
            <wp:extent cx="6022340" cy="8367395"/>
            <wp:effectExtent l="0" t="0" r="16510" b="14605"/>
            <wp:docPr id="54" name="图片 54" descr="17233598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723359812399"/>
                    <pic:cNvPicPr>
                      <a:picLocks noChangeAspect="1"/>
                    </pic:cNvPicPr>
                  </pic:nvPicPr>
                  <pic:blipFill>
                    <a:blip r:embed="rId92"/>
                    <a:stretch>
                      <a:fillRect/>
                    </a:stretch>
                  </pic:blipFill>
                  <pic:spPr>
                    <a:xfrm>
                      <a:off x="0" y="0"/>
                      <a:ext cx="6022340" cy="8367395"/>
                    </a:xfrm>
                    <a:prstGeom prst="rect">
                      <a:avLst/>
                    </a:prstGeom>
                  </pic:spPr>
                </pic:pic>
              </a:graphicData>
            </a:graphic>
          </wp:inline>
        </w:drawing>
      </w:r>
      <w:r>
        <w:rPr>
          <w:rFonts w:hint="eastAsia" w:ascii="Times New Roman" w:hAnsi="Times New Roman" w:eastAsia="宋体" w:cs="Times New Roman"/>
          <w:b/>
          <w:snapToGrid w:val="0"/>
          <w:color w:val="auto"/>
          <w:kern w:val="2"/>
          <w:sz w:val="28"/>
          <w:szCs w:val="28"/>
          <w:lang w:val="en-US" w:eastAsia="zh-CN" w:bidi="ar-SA"/>
        </w:rPr>
        <w:drawing>
          <wp:inline distT="0" distB="0" distL="114300" distR="114300">
            <wp:extent cx="5941060" cy="8141335"/>
            <wp:effectExtent l="0" t="0" r="2540" b="12065"/>
            <wp:docPr id="57" name="图片 57" descr="172335983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23359830863"/>
                    <pic:cNvPicPr>
                      <a:picLocks noChangeAspect="1"/>
                    </pic:cNvPicPr>
                  </pic:nvPicPr>
                  <pic:blipFill>
                    <a:blip r:embed="rId93"/>
                    <a:stretch>
                      <a:fillRect/>
                    </a:stretch>
                  </pic:blipFill>
                  <pic:spPr>
                    <a:xfrm>
                      <a:off x="0" y="0"/>
                      <a:ext cx="5941060" cy="8141335"/>
                    </a:xfrm>
                    <a:prstGeom prst="rect">
                      <a:avLst/>
                    </a:prstGeom>
                  </pic:spPr>
                </pic:pic>
              </a:graphicData>
            </a:graphic>
          </wp:inline>
        </w:drawing>
      </w:r>
    </w:p>
    <w:p w14:paraId="448379B9">
      <w:pPr>
        <w:pStyle w:val="40"/>
        <w:rPr>
          <w:rFonts w:hint="eastAsia" w:ascii="Times New Roman" w:hAnsi="Times New Roman" w:eastAsia="宋体" w:cs="Times New Roman"/>
          <w:b/>
          <w:snapToGrid w:val="0"/>
          <w:color w:val="auto"/>
          <w:kern w:val="2"/>
          <w:sz w:val="28"/>
          <w:szCs w:val="28"/>
          <w:lang w:val="en-US" w:eastAsia="zh-CN" w:bidi="ar-SA"/>
        </w:rPr>
      </w:pPr>
    </w:p>
    <w:p w14:paraId="3CF43F41">
      <w:pPr>
        <w:rPr>
          <w:rFonts w:hint="default"/>
          <w:color w:val="auto"/>
          <w:lang w:val="en-US" w:eastAsia="zh-CN"/>
        </w:rPr>
      </w:pPr>
    </w:p>
    <w:p w14:paraId="0F63DD10">
      <w:pPr>
        <w:pStyle w:val="77"/>
        <w:rPr>
          <w:rFonts w:hint="eastAsia"/>
          <w:color w:val="auto"/>
          <w:lang w:val="en-US" w:eastAsia="zh-CN"/>
        </w:rPr>
      </w:pPr>
      <w:bookmarkStart w:id="50" w:name="_Toc29329"/>
      <w:bookmarkStart w:id="51" w:name="_GoBack"/>
      <w:bookmarkEnd w:id="51"/>
      <w:r>
        <w:rPr>
          <w:rFonts w:hint="eastAsia" w:ascii="Times New Roman" w:hAnsi="Times New Roman" w:eastAsia="宋体" w:cs="Times New Roman"/>
          <w:color w:val="auto"/>
          <w:sz w:val="28"/>
          <w:szCs w:val="28"/>
          <w:lang w:val="en-US" w:eastAsia="zh-CN"/>
        </w:rPr>
        <w:t>附件8：生态环境分区管控分析报告</w:t>
      </w:r>
      <w:bookmarkEnd w:id="50"/>
    </w:p>
    <w:p w14:paraId="61F98EEE">
      <w:pPr>
        <w:rPr>
          <w:rFonts w:hint="default"/>
          <w:color w:val="auto"/>
          <w:lang w:val="en-US" w:eastAsia="zh-CN"/>
        </w:rPr>
      </w:pPr>
      <w:r>
        <w:rPr>
          <w:rFonts w:hint="default"/>
          <w:color w:val="auto"/>
          <w:lang w:val="en-US" w:eastAsia="zh-CN"/>
        </w:rPr>
        <w:drawing>
          <wp:inline distT="0" distB="0" distL="114300" distR="114300">
            <wp:extent cx="5902960" cy="4174490"/>
            <wp:effectExtent l="0" t="0" r="2540" b="16510"/>
            <wp:docPr id="85" name="图片 85" descr="虎林市双硕农业科技有限公司粮食烘干建设_2024年08月19日090923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虎林市双硕农业科技有限公司粮食烘干建设_2024年08月19日090923_分析报告_00"/>
                    <pic:cNvPicPr>
                      <a:picLocks noChangeAspect="1"/>
                    </pic:cNvPicPr>
                  </pic:nvPicPr>
                  <pic:blipFill>
                    <a:blip r:embed="rId94"/>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3618230"/>
            <wp:effectExtent l="0" t="0" r="2540" b="1270"/>
            <wp:docPr id="84" name="图片 84" descr="虎林市双硕农业科技有限公司粮食烘干建设_2024年08月19日090923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虎林市双硕农业科技有限公司粮食烘干建设_2024年08月19日090923_分析报告_01"/>
                    <pic:cNvPicPr>
                      <a:picLocks noChangeAspect="1"/>
                    </pic:cNvPicPr>
                  </pic:nvPicPr>
                  <pic:blipFill>
                    <a:blip r:embed="rId95"/>
                    <a:stretch>
                      <a:fillRect/>
                    </a:stretch>
                  </pic:blipFill>
                  <pic:spPr>
                    <a:xfrm>
                      <a:off x="0" y="0"/>
                      <a:ext cx="5902960" cy="361823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3" name="图片 83" descr="虎林市双硕农业科技有限公司粮食烘干建设_2024年08月19日090923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虎林市双硕农业科技有限公司粮食烘干建设_2024年08月19日090923_分析报告_02"/>
                    <pic:cNvPicPr>
                      <a:picLocks noChangeAspect="1"/>
                    </pic:cNvPicPr>
                  </pic:nvPicPr>
                  <pic:blipFill>
                    <a:blip r:embed="rId96"/>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2" name="图片 82" descr="虎林市双硕农业科技有限公司粮食烘干建设_2024年08月19日090923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虎林市双硕农业科技有限公司粮食烘干建设_2024年08月19日090923_分析报告_03"/>
                    <pic:cNvPicPr>
                      <a:picLocks noChangeAspect="1"/>
                    </pic:cNvPicPr>
                  </pic:nvPicPr>
                  <pic:blipFill>
                    <a:blip r:embed="rId97"/>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91" name="图片 91" descr="虎林市双硕农业科技有限公司粮食烘干建设_2024年08月19日090923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虎林市双硕农业科技有限公司粮食烘干建设_2024年08月19日090923_分析报告_04"/>
                    <pic:cNvPicPr>
                      <a:picLocks noChangeAspect="1"/>
                    </pic:cNvPicPr>
                  </pic:nvPicPr>
                  <pic:blipFill>
                    <a:blip r:embed="rId98"/>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90" name="图片 90" descr="虎林市双硕农业科技有限公司粮食烘干建设_2024年08月19日090923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虎林市双硕农业科技有限公司粮食烘干建设_2024年08月19日090923_分析报告_05"/>
                    <pic:cNvPicPr>
                      <a:picLocks noChangeAspect="1"/>
                    </pic:cNvPicPr>
                  </pic:nvPicPr>
                  <pic:blipFill>
                    <a:blip r:embed="rId99"/>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9" name="图片 89" descr="虎林市双硕农业科技有限公司粮食烘干建设_2024年08月19日090923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虎林市双硕农业科技有限公司粮食烘干建设_2024年08月19日090923_分析报告_06"/>
                    <pic:cNvPicPr>
                      <a:picLocks noChangeAspect="1"/>
                    </pic:cNvPicPr>
                  </pic:nvPicPr>
                  <pic:blipFill>
                    <a:blip r:embed="rId100"/>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8" name="图片 88" descr="虎林市双硕农业科技有限公司粮食烘干建设_2024年08月19日090923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虎林市双硕农业科技有限公司粮食烘干建设_2024年08月19日090923_分析报告_07"/>
                    <pic:cNvPicPr>
                      <a:picLocks noChangeAspect="1"/>
                    </pic:cNvPicPr>
                  </pic:nvPicPr>
                  <pic:blipFill>
                    <a:blip r:embed="rId101"/>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7" name="图片 87" descr="虎林市双硕农业科技有限公司粮食烘干建设_2024年08月19日090923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虎林市双硕农业科技有限公司粮食烘干建设_2024年08月19日090923_分析报告_08"/>
                    <pic:cNvPicPr>
                      <a:picLocks noChangeAspect="1"/>
                    </pic:cNvPicPr>
                  </pic:nvPicPr>
                  <pic:blipFill>
                    <a:blip r:embed="rId102"/>
                    <a:stretch>
                      <a:fillRect/>
                    </a:stretch>
                  </pic:blipFill>
                  <pic:spPr>
                    <a:xfrm>
                      <a:off x="0" y="0"/>
                      <a:ext cx="5902960" cy="4174490"/>
                    </a:xfrm>
                    <a:prstGeom prst="rect">
                      <a:avLst/>
                    </a:prstGeom>
                  </pic:spPr>
                </pic:pic>
              </a:graphicData>
            </a:graphic>
          </wp:inline>
        </w:drawing>
      </w:r>
      <w:r>
        <w:rPr>
          <w:rFonts w:hint="default"/>
          <w:color w:val="auto"/>
          <w:lang w:val="en-US" w:eastAsia="zh-CN"/>
        </w:rPr>
        <w:drawing>
          <wp:inline distT="0" distB="0" distL="114300" distR="114300">
            <wp:extent cx="5902960" cy="4174490"/>
            <wp:effectExtent l="0" t="0" r="2540" b="16510"/>
            <wp:docPr id="86" name="图片 86" descr="虎林市双硕农业科技有限公司粮食烘干建设_2024年08月19日090923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虎林市双硕农业科技有限公司粮食烘干建设_2024年08月19日090923_分析报告_09"/>
                    <pic:cNvPicPr>
                      <a:picLocks noChangeAspect="1"/>
                    </pic:cNvPicPr>
                  </pic:nvPicPr>
                  <pic:blipFill>
                    <a:blip r:embed="rId103"/>
                    <a:stretch>
                      <a:fillRect/>
                    </a:stretch>
                  </pic:blipFill>
                  <pic:spPr>
                    <a:xfrm>
                      <a:off x="0" y="0"/>
                      <a:ext cx="5902960" cy="4174490"/>
                    </a:xfrm>
                    <a:prstGeom prst="rect">
                      <a:avLst/>
                    </a:prstGeom>
                  </pic:spPr>
                </pic:pic>
              </a:graphicData>
            </a:graphic>
          </wp:inline>
        </w:drawing>
      </w:r>
    </w:p>
    <w:sectPr>
      <w:footerReference r:id="rId16" w:type="default"/>
      <w:pgSz w:w="11906" w:h="16838"/>
      <w:pgMar w:top="1701" w:right="1304" w:bottom="1701" w:left="1304"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等线">
    <w:altName w:val="Arial Unicode MS"/>
    <w:panose1 w:val="00000000000000000000"/>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等线 Light">
    <w:altName w:val="宋体"/>
    <w:panose1 w:val="00000000000000000000"/>
    <w:charset w:val="86"/>
    <w:family w:val="auto"/>
    <w:pitch w:val="default"/>
    <w:sig w:usb0="00000000" w:usb1="00000000" w:usb2="00000016" w:usb3="00000000" w:csb0="0004000F" w:csb1="00000000"/>
  </w:font>
  <w:font w:name="微软雅黑">
    <w:panose1 w:val="020B0503020204020204"/>
    <w:charset w:val="86"/>
    <w:family w:val="swiss"/>
    <w:pitch w:val="default"/>
    <w:sig w:usb0="80000287" w:usb1="280F3C52" w:usb2="00000016" w:usb3="00000000" w:csb0="0004001F" w:csb1="00000000"/>
  </w:font>
  <w:font w:name="Arial Black">
    <w:panose1 w:val="020B0A04020102020204"/>
    <w:charset w:val="00"/>
    <w:family w:val="swiss"/>
    <w:pitch w:val="default"/>
    <w:sig w:usb0="00000287" w:usb1="00000000" w:usb2="00000000" w:usb3="00000000" w:csb0="2000009F" w:csb1="DFD70000"/>
  </w:font>
  <w:font w:name="TimesNewRomanPS-BoldMT">
    <w:altName w:val="Times New Roman"/>
    <w:panose1 w:val="00000000000000000000"/>
    <w:charset w:val="00"/>
    <w:family w:val="roman"/>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 w:name="Times New Roman Regular">
    <w:altName w:val="Times New Roman"/>
    <w:panose1 w:val="02020603050405020304"/>
    <w:charset w:val="00"/>
    <w:family w:val="auto"/>
    <w:pitch w:val="default"/>
    <w:sig w:usb0="00000000"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B15B6">
    <w:pPr>
      <w:pStyle w:val="18"/>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E7A40">
    <w:pPr>
      <w:pStyle w:val="18"/>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DBA9BE">
                          <w:pPr>
                            <w:pStyle w:val="18"/>
                          </w:pPr>
                          <w:r>
                            <w:fldChar w:fldCharType="begin"/>
                          </w:r>
                          <w:r>
                            <w:instrText xml:space="preserve"> PAGE  \* MERGEFORMAT </w:instrText>
                          </w:r>
                          <w:r>
                            <w:fldChar w:fldCharType="separate"/>
                          </w:r>
                          <w:r>
                            <w:t>3</w:t>
                          </w:r>
                          <w:r>
                            <w:fldChar w:fldCharType="end"/>
                          </w:r>
                        </w:p>
                      </w:txbxContent>
                    </wps:txbx>
                    <wps:bodyPr wrap="none" lIns="0" tIns="0" rIns="0" bIns="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ouQksoBAACbAwAADgAAAGRycy9lMm9Eb2MueG1srVPNjtMwEL4j8Q6W&#10;79Rph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n5JieMWJ375/u3y49fl51ey&#10;XGaB+gA15t0FzEzDWz/g2sx+QGfmPaho8xcZEYyjvOervHJIRORH69V6XWFIYGy+ID57eB4ipHfS&#10;W5KNhkacX5GVnz5AGlPnlFzN+VttTJmhcX85EDN7WO597DFbadgPE6G9b8/Ip8fRN9ThplNi3jtU&#10;Nm/JbMTZ2M/GMUR96Moa5XoQ3hwTNlF6yxVG2Kkwzqywm/YrL8Wf95L18E9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ouQksoBAACbAwAADgAAAAAAAAABACAAAAAeAQAAZHJzL2Uyb0Rv&#10;Yy54bWxQSwUGAAAAAAYABgBZAQAAWgUAAAAA&#10;">
              <v:fill on="f" focussize="0,0"/>
              <v:stroke on="f"/>
              <v:imagedata o:title=""/>
              <o:lock v:ext="edit" aspectratio="f"/>
              <v:textbox inset="0mm,0mm,0mm,0mm" style="mso-fit-shape-to-text:t;">
                <w:txbxContent>
                  <w:p w14:paraId="21DBA9BE">
                    <w:pPr>
                      <w:pStyle w:val="1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22A47">
    <w:pPr>
      <w:pStyle w:val="1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0EC3C7">
                          <w:pPr>
                            <w:pStyle w:val="18"/>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EU/obIAQAAmgMAAA4AAAAAAAAAAQAgAAAAHgEAAGRycy9lMm9Eb2Mu&#10;eG1sUEsFBgAAAAAGAAYAWQEAAFgFAAAAAA==&#10;">
              <v:fill on="f" focussize="0,0"/>
              <v:stroke on="f"/>
              <v:imagedata o:title=""/>
              <o:lock v:ext="edit" aspectratio="f"/>
              <v:textbox inset="0mm,0mm,0mm,0mm" style="mso-fit-shape-to-text:t;">
                <w:txbxContent>
                  <w:p w14:paraId="3B0EC3C7">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90B5FB">
    <w:pPr>
      <w:pStyle w:val="18"/>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1990586558"/>
                          </w:sdtPr>
                          <w:sdtContent>
                            <w:p w14:paraId="6A3AC74F">
                              <w:pPr>
                                <w:pStyle w:val="18"/>
                                <w:jc w:val="center"/>
                              </w:pPr>
                              <w:r>
                                <w:fldChar w:fldCharType="begin"/>
                              </w:r>
                              <w:r>
                                <w:instrText xml:space="preserve">PAGE   \* MERGEFORMAT</w:instrText>
                              </w:r>
                              <w:r>
                                <w:fldChar w:fldCharType="separate"/>
                              </w:r>
                              <w:r>
                                <w:rPr>
                                  <w:lang w:val="zh-CN"/>
                                </w:rPr>
                                <w:t>44</w:t>
                              </w:r>
                              <w:r>
                                <w:rPr>
                                  <w:lang w:val="zh-CN"/>
                                </w:rPr>
                                <w:fldChar w:fldCharType="end"/>
                              </w:r>
                            </w:p>
                          </w:sdtContent>
                        </w:sdt>
                        <w:p w14:paraId="59F5842F"/>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CNXx8oBAACaAwAADgAAAAAAAAABACAAAAAeAQAAZHJzL2Uyb0Rv&#10;Yy54bWxQSwUGAAAAAAYABgBZAQAAWgUAAAAA&#10;">
              <v:fill on="f" focussize="0,0"/>
              <v:stroke on="f"/>
              <v:imagedata o:title=""/>
              <o:lock v:ext="edit" aspectratio="f"/>
              <v:textbox inset="0mm,0mm,0mm,0mm" style="mso-fit-shape-to-text:t;">
                <w:txbxContent>
                  <w:sdt>
                    <w:sdtPr>
                      <w:id w:val="1990586558"/>
                    </w:sdtPr>
                    <w:sdtContent>
                      <w:p w14:paraId="6A3AC74F">
                        <w:pPr>
                          <w:pStyle w:val="18"/>
                          <w:jc w:val="center"/>
                        </w:pPr>
                        <w:r>
                          <w:fldChar w:fldCharType="begin"/>
                        </w:r>
                        <w:r>
                          <w:instrText xml:space="preserve">PAGE   \* MERGEFORMAT</w:instrText>
                        </w:r>
                        <w:r>
                          <w:fldChar w:fldCharType="separate"/>
                        </w:r>
                        <w:r>
                          <w:rPr>
                            <w:lang w:val="zh-CN"/>
                          </w:rPr>
                          <w:t>44</w:t>
                        </w:r>
                        <w:r>
                          <w:rPr>
                            <w:lang w:val="zh-CN"/>
                          </w:rPr>
                          <w:fldChar w:fldCharType="end"/>
                        </w:r>
                      </w:p>
                    </w:sdtContent>
                  </w:sdt>
                  <w:p w14:paraId="59F5842F"/>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E176FF">
    <w:pPr>
      <w:pStyle w:val="18"/>
      <w:framePr w:wrap="around" w:vAnchor="text" w:hAnchor="margin" w:xAlign="center" w:y="1"/>
      <w:rPr>
        <w:rStyle w:val="34"/>
      </w:rPr>
    </w:pPr>
    <w:r>
      <w:fldChar w:fldCharType="begin"/>
    </w:r>
    <w:r>
      <w:rPr>
        <w:rStyle w:val="34"/>
      </w:rPr>
      <w:instrText xml:space="preserve">PAGE  </w:instrText>
    </w:r>
    <w:r>
      <w:fldChar w:fldCharType="end"/>
    </w:r>
  </w:p>
  <w:p w14:paraId="08999DC4">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7B52A">
    <w:pPr>
      <w:pStyle w:val="18"/>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365677678"/>
                          </w:sdtPr>
                          <w:sdtContent>
                            <w:p w14:paraId="4C2AD9DA">
                              <w:pPr>
                                <w:pStyle w:val="18"/>
                                <w:jc w:val="center"/>
                              </w:pPr>
                              <w:r>
                                <w:fldChar w:fldCharType="begin"/>
                              </w:r>
                              <w:r>
                                <w:instrText xml:space="preserve">PAGE   \* MERGEFORMAT</w:instrText>
                              </w:r>
                              <w:r>
                                <w:fldChar w:fldCharType="separate"/>
                              </w:r>
                              <w:r>
                                <w:rPr>
                                  <w:lang w:val="zh-CN"/>
                                </w:rPr>
                                <w:t>6</w:t>
                              </w:r>
                              <w:r>
                                <w:rPr>
                                  <w:lang w:val="zh-CN"/>
                                </w:rPr>
                                <w:fldChar w:fldCharType="end"/>
                              </w:r>
                            </w:p>
                          </w:sdtContent>
                        </w:sdt>
                        <w:p w14:paraId="654556F3"/>
                      </w:txbxContent>
                    </wps:txbx>
                    <wps:bodyPr wrap="none" lIns="0" tIns="0" rIns="0" bIns="0" upright="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GLzdcoBAACbAwAADgAAAGRycy9lMm9Eb2MueG1srVPNjtMwEL4j8Q6W&#10;79RpJ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n5JieMWJ375/u3y49fl51ey&#10;XGWB+gA15t0FzEzDWz/g2sx+QGfmPaho8xcZEYyjvOervHJIRORH69V6XWFIYGy+ID57eB4ipHfS&#10;W5KNhkacX5GVnz5AGlPnlFzN+VttTJmhcX85EDN7WO597DFbadgPE6G9b8/Ip8fRN9ThplNi3jtU&#10;Nm/JbMTZ2M/GMUR96Moa5XoQ3hwTNlF6yxVG2Kkwzqywm/YrL8Wf95L18E9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zGLzdcoBAACbAwAADgAAAAAAAAABACAAAAAeAQAAZHJzL2Uyb0Rv&#10;Yy54bWxQSwUGAAAAAAYABgBZAQAAWgUAAAAA&#10;">
              <v:fill on="f" focussize="0,0"/>
              <v:stroke on="f"/>
              <v:imagedata o:title=""/>
              <o:lock v:ext="edit" aspectratio="f"/>
              <v:textbox inset="0mm,0mm,0mm,0mm" style="mso-fit-shape-to-text:t;">
                <w:txbxContent>
                  <w:sdt>
                    <w:sdtPr>
                      <w:id w:val="-365677678"/>
                    </w:sdtPr>
                    <w:sdtContent>
                      <w:p w14:paraId="4C2AD9DA">
                        <w:pPr>
                          <w:pStyle w:val="18"/>
                          <w:jc w:val="center"/>
                        </w:pPr>
                        <w:r>
                          <w:fldChar w:fldCharType="begin"/>
                        </w:r>
                        <w:r>
                          <w:instrText xml:space="preserve">PAGE   \* MERGEFORMAT</w:instrText>
                        </w:r>
                        <w:r>
                          <w:fldChar w:fldCharType="separate"/>
                        </w:r>
                        <w:r>
                          <w:rPr>
                            <w:lang w:val="zh-CN"/>
                          </w:rPr>
                          <w:t>6</w:t>
                        </w:r>
                        <w:r>
                          <w:rPr>
                            <w:lang w:val="zh-CN"/>
                          </w:rPr>
                          <w:fldChar w:fldCharType="end"/>
                        </w:r>
                      </w:p>
                    </w:sdtContent>
                  </w:sdt>
                  <w:p w14:paraId="654556F3"/>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BEF79">
    <w:pPr>
      <w:pStyle w:val="18"/>
      <w:jc w:val="cente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76"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376622230"/>
                          </w:sdtPr>
                          <w:sdtContent>
                            <w:p w14:paraId="20E37340">
                              <w:pPr>
                                <w:pStyle w:val="18"/>
                                <w:jc w:val="center"/>
                              </w:pPr>
                              <w:r>
                                <w:fldChar w:fldCharType="begin"/>
                              </w:r>
                              <w:r>
                                <w:instrText xml:space="preserve">PAGE   \* MERGEFORMAT</w:instrText>
                              </w:r>
                              <w:r>
                                <w:fldChar w:fldCharType="separate"/>
                              </w:r>
                              <w:r>
                                <w:rPr>
                                  <w:lang w:val="zh-CN"/>
                                </w:rPr>
                                <w:t>13</w:t>
                              </w:r>
                              <w:r>
                                <w:rPr>
                                  <w:lang w:val="zh-CN"/>
                                </w:rPr>
                                <w:fldChar w:fldCharType="end"/>
                              </w:r>
                            </w:p>
                          </w:sdtContent>
                        </w:sdt>
                        <w:p w14:paraId="19B91535"/>
                      </w:txbxContent>
                    </wps:txbx>
                    <wps:bodyPr wrap="none" lIns="0" tIns="0" rIns="0" bIns="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0pr6soBAACbAwAADgAAAGRycy9lMm9Eb2MueG1srVPNjtMwEL4j8Q6W&#10;79RpkZY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tuGvrqhxHGLE798/3b58evy8ytZ&#10;vswC9QFqzLsPmJmGN37AtZn9gM7Me1DR5i8yIhhHec9XeeWQiMiP1qv1usKQwNh8QXz28DxESG+l&#10;tyQbDY04vyIrP72HNKbOKbma83famDJD4/5yIGb2sNz72GO20rAfJkJ7356RT4+jb6jDTafEvHOo&#10;bN6S2YizsZ+NY4j60JU1yvUgvD4mbKL0liuMsFNhnFlhN+1XXoo/7yXr4Z/a/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d0pr6soBAACbAwAADgAAAAAAAAABACAAAAAeAQAAZHJzL2Uyb0Rv&#10;Yy54bWxQSwUGAAAAAAYABgBZAQAAWgUAAAAA&#10;">
              <v:fill on="f" focussize="0,0"/>
              <v:stroke on="f"/>
              <v:imagedata o:title=""/>
              <o:lock v:ext="edit" aspectratio="f"/>
              <v:textbox inset="0mm,0mm,0mm,0mm" style="mso-fit-shape-to-text:t;">
                <w:txbxContent>
                  <w:sdt>
                    <w:sdtPr>
                      <w:id w:val="-376622230"/>
                    </w:sdtPr>
                    <w:sdtContent>
                      <w:p w14:paraId="20E37340">
                        <w:pPr>
                          <w:pStyle w:val="18"/>
                          <w:jc w:val="center"/>
                        </w:pPr>
                        <w:r>
                          <w:fldChar w:fldCharType="begin"/>
                        </w:r>
                        <w:r>
                          <w:instrText xml:space="preserve">PAGE   \* MERGEFORMAT</w:instrText>
                        </w:r>
                        <w:r>
                          <w:fldChar w:fldCharType="separate"/>
                        </w:r>
                        <w:r>
                          <w:rPr>
                            <w:lang w:val="zh-CN"/>
                          </w:rPr>
                          <w:t>13</w:t>
                        </w:r>
                        <w:r>
                          <w:rPr>
                            <w:lang w:val="zh-CN"/>
                          </w:rPr>
                          <w:fldChar w:fldCharType="end"/>
                        </w:r>
                      </w:p>
                    </w:sdtContent>
                  </w:sdt>
                  <w:p w14:paraId="19B91535"/>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30D4C1">
    <w:pPr>
      <w:pStyle w:val="18"/>
      <w:jc w:val="cente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803360438"/>
                          </w:sdtPr>
                          <w:sdtContent>
                            <w:p w14:paraId="3FBEA605">
                              <w:pPr>
                                <w:pStyle w:val="18"/>
                                <w:jc w:val="center"/>
                              </w:pPr>
                              <w:r>
                                <w:fldChar w:fldCharType="begin"/>
                              </w:r>
                              <w:r>
                                <w:instrText xml:space="preserve">PAGE   \* MERGEFORMAT</w:instrText>
                              </w:r>
                              <w:r>
                                <w:fldChar w:fldCharType="separate"/>
                              </w:r>
                              <w:r>
                                <w:rPr>
                                  <w:lang w:val="zh-CN"/>
                                </w:rPr>
                                <w:t>19</w:t>
                              </w:r>
                              <w:r>
                                <w:rPr>
                                  <w:lang w:val="zh-CN"/>
                                </w:rPr>
                                <w:fldChar w:fldCharType="end"/>
                              </w:r>
                            </w:p>
                          </w:sdtContent>
                        </w:sdt>
                        <w:p w14:paraId="33F4380F"/>
                      </w:txbxContent>
                    </wps:txbx>
                    <wps:bodyPr wrap="none" lIns="0" tIns="0" rIns="0" bIns="0" upright="0">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2bdFYMoBAACbAwAADgAAAAAAAAABACAAAAAeAQAAZHJzL2Uyb0Rv&#10;Yy54bWxQSwUGAAAAAAYABgBZAQAAWgUAAAAA&#10;">
              <v:fill on="f" focussize="0,0"/>
              <v:stroke on="f"/>
              <v:imagedata o:title=""/>
              <o:lock v:ext="edit" aspectratio="f"/>
              <v:textbox inset="0mm,0mm,0mm,0mm" style="mso-fit-shape-to-text:t;">
                <w:txbxContent>
                  <w:sdt>
                    <w:sdtPr>
                      <w:id w:val="803360438"/>
                    </w:sdtPr>
                    <w:sdtContent>
                      <w:p w14:paraId="3FBEA605">
                        <w:pPr>
                          <w:pStyle w:val="18"/>
                          <w:jc w:val="center"/>
                        </w:pPr>
                        <w:r>
                          <w:fldChar w:fldCharType="begin"/>
                        </w:r>
                        <w:r>
                          <w:instrText xml:space="preserve">PAGE   \* MERGEFORMAT</w:instrText>
                        </w:r>
                        <w:r>
                          <w:fldChar w:fldCharType="separate"/>
                        </w:r>
                        <w:r>
                          <w:rPr>
                            <w:lang w:val="zh-CN"/>
                          </w:rPr>
                          <w:t>19</w:t>
                        </w:r>
                        <w:r>
                          <w:rPr>
                            <w:lang w:val="zh-CN"/>
                          </w:rPr>
                          <w:fldChar w:fldCharType="end"/>
                        </w:r>
                      </w:p>
                    </w:sdtContent>
                  </w:sdt>
                  <w:p w14:paraId="33F4380F"/>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28305">
    <w:pPr>
      <w:pStyle w:val="18"/>
      <w:jc w:val="cente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109671166"/>
                          </w:sdtPr>
                          <w:sdtContent>
                            <w:p w14:paraId="1E632249">
                              <w:pPr>
                                <w:pStyle w:val="18"/>
                                <w:jc w:val="center"/>
                              </w:pPr>
                              <w:r>
                                <w:fldChar w:fldCharType="begin"/>
                              </w:r>
                              <w:r>
                                <w:instrText xml:space="preserve">PAGE   \* MERGEFORMAT</w:instrText>
                              </w:r>
                              <w:r>
                                <w:fldChar w:fldCharType="separate"/>
                              </w:r>
                              <w:r>
                                <w:rPr>
                                  <w:lang w:val="zh-CN"/>
                                </w:rPr>
                                <w:t>26</w:t>
                              </w:r>
                              <w:r>
                                <w:rPr>
                                  <w:lang w:val="zh-CN"/>
                                </w:rPr>
                                <w:fldChar w:fldCharType="end"/>
                              </w:r>
                            </w:p>
                          </w:sdtContent>
                        </w:sdt>
                        <w:p w14:paraId="1A901851"/>
                      </w:txbxContent>
                    </wps:txbx>
                    <wps:bodyPr wrap="none" lIns="0" tIns="0" rIns="0" bIns="0" upright="0">
                      <a:spAutoFit/>
                    </wps:bodyPr>
                  </wps:wsp>
                </a:graphicData>
              </a:graphic>
            </wp:anchor>
          </w:drawing>
        </mc:Choice>
        <mc:Fallback>
          <w:pict>
            <v:shape id="文本框 15"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JI2OByQEAAJsDAAAOAAAAAAAAAAEAIAAAAB4BAABkcnMvZTJvRG9j&#10;LnhtbFBLBQYAAAAABgAGAFkBAABZBQAAAAA=&#10;">
              <v:fill on="f" focussize="0,0"/>
              <v:stroke on="f"/>
              <v:imagedata o:title=""/>
              <o:lock v:ext="edit" aspectratio="f"/>
              <v:textbox inset="0mm,0mm,0mm,0mm" style="mso-fit-shape-to-text:t;">
                <w:txbxContent>
                  <w:sdt>
                    <w:sdtPr>
                      <w:id w:val="-109671166"/>
                    </w:sdtPr>
                    <w:sdtContent>
                      <w:p w14:paraId="1E632249">
                        <w:pPr>
                          <w:pStyle w:val="18"/>
                          <w:jc w:val="center"/>
                        </w:pPr>
                        <w:r>
                          <w:fldChar w:fldCharType="begin"/>
                        </w:r>
                        <w:r>
                          <w:instrText xml:space="preserve">PAGE   \* MERGEFORMAT</w:instrText>
                        </w:r>
                        <w:r>
                          <w:fldChar w:fldCharType="separate"/>
                        </w:r>
                        <w:r>
                          <w:rPr>
                            <w:lang w:val="zh-CN"/>
                          </w:rPr>
                          <w:t>26</w:t>
                        </w:r>
                        <w:r>
                          <w:rPr>
                            <w:lang w:val="zh-CN"/>
                          </w:rPr>
                          <w:fldChar w:fldCharType="end"/>
                        </w:r>
                      </w:p>
                    </w:sdtContent>
                  </w:sdt>
                  <w:p w14:paraId="1A901851"/>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AB20C">
    <w:pPr>
      <w:pStyle w:val="18"/>
      <w:jc w:val="cente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1343973018"/>
                          </w:sdtPr>
                          <w:sdtContent>
                            <w:p w14:paraId="47418B82">
                              <w:pPr>
                                <w:pStyle w:val="18"/>
                                <w:jc w:val="center"/>
                              </w:pPr>
                              <w:r>
                                <w:fldChar w:fldCharType="begin"/>
                              </w:r>
                              <w:r>
                                <w:instrText xml:space="preserve">PAGE   \* MERGEFORMAT</w:instrText>
                              </w:r>
                              <w:r>
                                <w:fldChar w:fldCharType="separate"/>
                              </w:r>
                              <w:r>
                                <w:rPr>
                                  <w:lang w:val="zh-CN"/>
                                </w:rPr>
                                <w:t>28</w:t>
                              </w:r>
                              <w:r>
                                <w:rPr>
                                  <w:lang w:val="zh-CN"/>
                                </w:rPr>
                                <w:fldChar w:fldCharType="end"/>
                              </w:r>
                            </w:p>
                          </w:sdtContent>
                        </w:sdt>
                        <w:p w14:paraId="30BD243E"/>
                      </w:txbxContent>
                    </wps:txbx>
                    <wps:bodyPr wrap="none" lIns="0" tIns="0" rIns="0" bIns="0" upright="0">
                      <a:spAutoFit/>
                    </wps:bodyPr>
                  </wps:wsp>
                </a:graphicData>
              </a:graphic>
            </wp:anchor>
          </w:drawing>
        </mc:Choice>
        <mc:Fallback>
          <w:pict>
            <v:shape id="文本框 1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48oAZsoBAACbAwAADgAAAAAAAAABACAAAAAeAQAAZHJzL2Uyb0Rv&#10;Yy54bWxQSwUGAAAAAAYABgBZAQAAWgUAAAAA&#10;">
              <v:fill on="f" focussize="0,0"/>
              <v:stroke on="f"/>
              <v:imagedata o:title=""/>
              <o:lock v:ext="edit" aspectratio="f"/>
              <v:textbox inset="0mm,0mm,0mm,0mm" style="mso-fit-shape-to-text:t;">
                <w:txbxContent>
                  <w:sdt>
                    <w:sdtPr>
                      <w:id w:val="1343973018"/>
                    </w:sdtPr>
                    <w:sdtContent>
                      <w:p w14:paraId="47418B82">
                        <w:pPr>
                          <w:pStyle w:val="18"/>
                          <w:jc w:val="center"/>
                        </w:pPr>
                        <w:r>
                          <w:fldChar w:fldCharType="begin"/>
                        </w:r>
                        <w:r>
                          <w:instrText xml:space="preserve">PAGE   \* MERGEFORMAT</w:instrText>
                        </w:r>
                        <w:r>
                          <w:fldChar w:fldCharType="separate"/>
                        </w:r>
                        <w:r>
                          <w:rPr>
                            <w:lang w:val="zh-CN"/>
                          </w:rPr>
                          <w:t>28</w:t>
                        </w:r>
                        <w:r>
                          <w:rPr>
                            <w:lang w:val="zh-CN"/>
                          </w:rPr>
                          <w:fldChar w:fldCharType="end"/>
                        </w:r>
                      </w:p>
                    </w:sdtContent>
                  </w:sdt>
                  <w:p w14:paraId="30BD243E"/>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2A40B">
    <w:pPr>
      <w:pStyle w:val="18"/>
      <w:jc w:val="cente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526873058"/>
                          </w:sdtPr>
                          <w:sdtContent>
                            <w:p w14:paraId="01E6C161">
                              <w:pPr>
                                <w:pStyle w:val="18"/>
                                <w:jc w:val="center"/>
                              </w:pPr>
                              <w:r>
                                <w:fldChar w:fldCharType="begin"/>
                              </w:r>
                              <w:r>
                                <w:instrText xml:space="preserve">PAGE   \* MERGEFORMAT</w:instrText>
                              </w:r>
                              <w:r>
                                <w:fldChar w:fldCharType="separate"/>
                              </w:r>
                              <w:r>
                                <w:rPr>
                                  <w:lang w:val="zh-CN"/>
                                </w:rPr>
                                <w:t>29</w:t>
                              </w:r>
                              <w:r>
                                <w:rPr>
                                  <w:lang w:val="zh-CN"/>
                                </w:rPr>
                                <w:fldChar w:fldCharType="end"/>
                              </w:r>
                            </w:p>
                          </w:sdtContent>
                        </w:sdt>
                        <w:p w14:paraId="1057BA97"/>
                      </w:txbxContent>
                    </wps:txbx>
                    <wps:bodyPr wrap="none" lIns="0" tIns="0" rIns="0" bIns="0" upright="0">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VUz0soBAACbAwAADgAAAAAAAAABACAAAAAeAQAAZHJzL2Uyb0Rv&#10;Yy54bWxQSwUGAAAAAAYABgBZAQAAWgUAAAAA&#10;">
              <v:fill on="f" focussize="0,0"/>
              <v:stroke on="f"/>
              <v:imagedata o:title=""/>
              <o:lock v:ext="edit" aspectratio="f"/>
              <v:textbox inset="0mm,0mm,0mm,0mm" style="mso-fit-shape-to-text:t;">
                <w:txbxContent>
                  <w:sdt>
                    <w:sdtPr>
                      <w:id w:val="-526873058"/>
                    </w:sdtPr>
                    <w:sdtContent>
                      <w:p w14:paraId="01E6C161">
                        <w:pPr>
                          <w:pStyle w:val="18"/>
                          <w:jc w:val="center"/>
                        </w:pPr>
                        <w:r>
                          <w:fldChar w:fldCharType="begin"/>
                        </w:r>
                        <w:r>
                          <w:instrText xml:space="preserve">PAGE   \* MERGEFORMAT</w:instrText>
                        </w:r>
                        <w:r>
                          <w:fldChar w:fldCharType="separate"/>
                        </w:r>
                        <w:r>
                          <w:rPr>
                            <w:lang w:val="zh-CN"/>
                          </w:rPr>
                          <w:t>29</w:t>
                        </w:r>
                        <w:r>
                          <w:rPr>
                            <w:lang w:val="zh-CN"/>
                          </w:rPr>
                          <w:fldChar w:fldCharType="end"/>
                        </w:r>
                      </w:p>
                    </w:sdtContent>
                  </w:sdt>
                  <w:p w14:paraId="1057BA97"/>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F3A90">
    <w:pPr>
      <w:pStyle w:val="18"/>
      <w:jc w:val="cente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sdt>
                          <w:sdtPr>
                            <w:id w:val="-654683143"/>
                          </w:sdtPr>
                          <w:sdtContent>
                            <w:p w14:paraId="1E879979">
                              <w:pPr>
                                <w:pStyle w:val="18"/>
                                <w:jc w:val="center"/>
                              </w:pPr>
                              <w:r>
                                <w:fldChar w:fldCharType="begin"/>
                              </w:r>
                              <w:r>
                                <w:instrText xml:space="preserve">PAGE   \* MERGEFORMAT</w:instrText>
                              </w:r>
                              <w:r>
                                <w:fldChar w:fldCharType="separate"/>
                              </w:r>
                              <w:r>
                                <w:rPr>
                                  <w:lang w:val="zh-CN"/>
                                </w:rPr>
                                <w:t>43</w:t>
                              </w:r>
                              <w:r>
                                <w:rPr>
                                  <w:lang w:val="zh-CN"/>
                                </w:rPr>
                                <w:fldChar w:fldCharType="end"/>
                              </w:r>
                            </w:p>
                          </w:sdtContent>
                        </w:sdt>
                        <w:p w14:paraId="3765D84E"/>
                      </w:txbxContent>
                    </wps:txbx>
                    <wps:bodyPr wrap="none" lIns="0" tIns="0" rIns="0" bIns="0" upright="0">
                      <a:spAutoFit/>
                    </wps:bodyPr>
                  </wps:wsp>
                </a:graphicData>
              </a:graphic>
            </wp:anchor>
          </w:drawing>
        </mc:Choice>
        <mc:Fallback>
          <w:pict>
            <v:shape id="文本框 18"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44CHgsoBAACbAwAADgAAAAAAAAABACAAAAAeAQAAZHJzL2Uyb0Rv&#10;Yy54bWxQSwUGAAAAAAYABgBZAQAAWgUAAAAA&#10;">
              <v:fill on="f" focussize="0,0"/>
              <v:stroke on="f"/>
              <v:imagedata o:title=""/>
              <o:lock v:ext="edit" aspectratio="f"/>
              <v:textbox inset="0mm,0mm,0mm,0mm" style="mso-fit-shape-to-text:t;">
                <w:txbxContent>
                  <w:sdt>
                    <w:sdtPr>
                      <w:id w:val="-654683143"/>
                    </w:sdtPr>
                    <w:sdtContent>
                      <w:p w14:paraId="1E879979">
                        <w:pPr>
                          <w:pStyle w:val="18"/>
                          <w:jc w:val="center"/>
                        </w:pPr>
                        <w:r>
                          <w:fldChar w:fldCharType="begin"/>
                        </w:r>
                        <w:r>
                          <w:instrText xml:space="preserve">PAGE   \* MERGEFORMAT</w:instrText>
                        </w:r>
                        <w:r>
                          <w:fldChar w:fldCharType="separate"/>
                        </w:r>
                        <w:r>
                          <w:rPr>
                            <w:lang w:val="zh-CN"/>
                          </w:rPr>
                          <w:t>43</w:t>
                        </w:r>
                        <w:r>
                          <w:rPr>
                            <w:lang w:val="zh-CN"/>
                          </w:rPr>
                          <w:fldChar w:fldCharType="end"/>
                        </w:r>
                      </w:p>
                    </w:sdtContent>
                  </w:sdt>
                  <w:p w14:paraId="3765D84E"/>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B69C6C">
    <w:pPr>
      <w:pStyle w:val="19"/>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664A3D">
    <w:pPr>
      <w:pStyle w:val="19"/>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62CAFB"/>
    <w:multiLevelType w:val="singleLevel"/>
    <w:tmpl w:val="AA62CAFB"/>
    <w:lvl w:ilvl="0" w:tentative="0">
      <w:start w:val="2"/>
      <w:numFmt w:val="decimal"/>
      <w:suff w:val="nothing"/>
      <w:lvlText w:val="（%1）"/>
      <w:lvlJc w:val="left"/>
    </w:lvl>
  </w:abstractNum>
  <w:abstractNum w:abstractNumId="1">
    <w:nsid w:val="E4F19374"/>
    <w:multiLevelType w:val="singleLevel"/>
    <w:tmpl w:val="E4F19374"/>
    <w:lvl w:ilvl="0" w:tentative="0">
      <w:start w:val="1"/>
      <w:numFmt w:val="decimal"/>
      <w:suff w:val="nothing"/>
      <w:lvlText w:val="%1、"/>
      <w:lvlJc w:val="left"/>
    </w:lvl>
  </w:abstractNum>
  <w:abstractNum w:abstractNumId="2">
    <w:nsid w:val="059B5744"/>
    <w:multiLevelType w:val="singleLevel"/>
    <w:tmpl w:val="059B5744"/>
    <w:lvl w:ilvl="0" w:tentative="0">
      <w:start w:val="2"/>
      <w:numFmt w:val="decimal"/>
      <w:suff w:val="nothing"/>
      <w:lvlText w:val="%1、"/>
      <w:lvlJc w:val="left"/>
    </w:lvl>
  </w:abstractNum>
  <w:abstractNum w:abstractNumId="3">
    <w:nsid w:val="155218AF"/>
    <w:multiLevelType w:val="multilevel"/>
    <w:tmpl w:val="155218AF"/>
    <w:lvl w:ilvl="0" w:tentative="0">
      <w:start w:val="1"/>
      <w:numFmt w:val="decimal"/>
      <w:pStyle w:val="123"/>
      <w:lvlText w:val="表%1"/>
      <w:lvlJc w:val="left"/>
      <w:pPr>
        <w:ind w:left="620" w:hanging="420"/>
      </w:pPr>
      <w:rPr>
        <w:rFonts w:hint="default"/>
      </w:rPr>
    </w:lvl>
    <w:lvl w:ilvl="1" w:tentative="0">
      <w:start w:val="1"/>
      <w:numFmt w:val="lowerLetter"/>
      <w:lvlText w:val="%2)"/>
      <w:lvlJc w:val="left"/>
      <w:pPr>
        <w:ind w:left="1040" w:hanging="420"/>
      </w:pPr>
    </w:lvl>
    <w:lvl w:ilvl="2" w:tentative="0">
      <w:start w:val="1"/>
      <w:numFmt w:val="lowerRoman"/>
      <w:lvlText w:val="%3."/>
      <w:lvlJc w:val="right"/>
      <w:pPr>
        <w:ind w:left="1460" w:hanging="420"/>
      </w:pPr>
    </w:lvl>
    <w:lvl w:ilvl="3" w:tentative="0">
      <w:start w:val="1"/>
      <w:numFmt w:val="decimal"/>
      <w:lvlText w:val="%4."/>
      <w:lvlJc w:val="left"/>
      <w:pPr>
        <w:ind w:left="1880" w:hanging="420"/>
      </w:pPr>
    </w:lvl>
    <w:lvl w:ilvl="4" w:tentative="0">
      <w:start w:val="1"/>
      <w:numFmt w:val="lowerLetter"/>
      <w:lvlText w:val="%5)"/>
      <w:lvlJc w:val="left"/>
      <w:pPr>
        <w:ind w:left="2300" w:hanging="420"/>
      </w:pPr>
    </w:lvl>
    <w:lvl w:ilvl="5" w:tentative="0">
      <w:start w:val="1"/>
      <w:numFmt w:val="lowerRoman"/>
      <w:lvlText w:val="%6."/>
      <w:lvlJc w:val="right"/>
      <w:pPr>
        <w:ind w:left="2720" w:hanging="420"/>
      </w:pPr>
    </w:lvl>
    <w:lvl w:ilvl="6" w:tentative="0">
      <w:start w:val="1"/>
      <w:numFmt w:val="decimal"/>
      <w:lvlText w:val="%7."/>
      <w:lvlJc w:val="left"/>
      <w:pPr>
        <w:ind w:left="3140" w:hanging="420"/>
      </w:pPr>
    </w:lvl>
    <w:lvl w:ilvl="7" w:tentative="0">
      <w:start w:val="1"/>
      <w:numFmt w:val="lowerLetter"/>
      <w:lvlText w:val="%8)"/>
      <w:lvlJc w:val="left"/>
      <w:pPr>
        <w:ind w:left="3560" w:hanging="420"/>
      </w:pPr>
    </w:lvl>
    <w:lvl w:ilvl="8" w:tentative="0">
      <w:start w:val="1"/>
      <w:numFmt w:val="lowerRoman"/>
      <w:lvlText w:val="%9."/>
      <w:lvlJc w:val="right"/>
      <w:pPr>
        <w:ind w:left="3980" w:hanging="420"/>
      </w:pPr>
    </w:lvl>
  </w:abstractNum>
  <w:abstractNum w:abstractNumId="4">
    <w:nsid w:val="48A4D9A7"/>
    <w:multiLevelType w:val="singleLevel"/>
    <w:tmpl w:val="48A4D9A7"/>
    <w:lvl w:ilvl="0" w:tentative="0">
      <w:start w:val="8"/>
      <w:numFmt w:val="decimal"/>
      <w:suff w:val="nothing"/>
      <w:lvlText w:val="%1、"/>
      <w:lvlJc w:val="left"/>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yM2JmMDZmYTUyODBlYzQwZmYzNjk4MDljMTQwOTgifQ=="/>
  </w:docVars>
  <w:rsids>
    <w:rsidRoot w:val="00A14947"/>
    <w:rsid w:val="00001987"/>
    <w:rsid w:val="00002EB7"/>
    <w:rsid w:val="000060B3"/>
    <w:rsid w:val="0001425B"/>
    <w:rsid w:val="00017A92"/>
    <w:rsid w:val="000205D1"/>
    <w:rsid w:val="00021378"/>
    <w:rsid w:val="0002489A"/>
    <w:rsid w:val="0004364B"/>
    <w:rsid w:val="000466F8"/>
    <w:rsid w:val="000476E3"/>
    <w:rsid w:val="0005435D"/>
    <w:rsid w:val="00054898"/>
    <w:rsid w:val="00055427"/>
    <w:rsid w:val="000560E2"/>
    <w:rsid w:val="00061B1F"/>
    <w:rsid w:val="00063390"/>
    <w:rsid w:val="0007080C"/>
    <w:rsid w:val="00071064"/>
    <w:rsid w:val="00071835"/>
    <w:rsid w:val="00072FF0"/>
    <w:rsid w:val="000733C4"/>
    <w:rsid w:val="00074783"/>
    <w:rsid w:val="00074B16"/>
    <w:rsid w:val="0008070B"/>
    <w:rsid w:val="000810AC"/>
    <w:rsid w:val="0008121A"/>
    <w:rsid w:val="00081A02"/>
    <w:rsid w:val="00082231"/>
    <w:rsid w:val="00082973"/>
    <w:rsid w:val="000843B3"/>
    <w:rsid w:val="000869E9"/>
    <w:rsid w:val="0009180D"/>
    <w:rsid w:val="00092D38"/>
    <w:rsid w:val="0009377B"/>
    <w:rsid w:val="00095151"/>
    <w:rsid w:val="000A1786"/>
    <w:rsid w:val="000A20C9"/>
    <w:rsid w:val="000B058F"/>
    <w:rsid w:val="000B29BD"/>
    <w:rsid w:val="000B4467"/>
    <w:rsid w:val="000B4DB9"/>
    <w:rsid w:val="000B7D03"/>
    <w:rsid w:val="000C09AC"/>
    <w:rsid w:val="000C2EBF"/>
    <w:rsid w:val="000C2F1F"/>
    <w:rsid w:val="000C767F"/>
    <w:rsid w:val="000D4DC5"/>
    <w:rsid w:val="000D5A44"/>
    <w:rsid w:val="000E3ED2"/>
    <w:rsid w:val="000F4B8A"/>
    <w:rsid w:val="00100B9A"/>
    <w:rsid w:val="0010461D"/>
    <w:rsid w:val="00106C12"/>
    <w:rsid w:val="00126303"/>
    <w:rsid w:val="00131F42"/>
    <w:rsid w:val="00132559"/>
    <w:rsid w:val="001335FB"/>
    <w:rsid w:val="001357F1"/>
    <w:rsid w:val="00140FA8"/>
    <w:rsid w:val="00141E2A"/>
    <w:rsid w:val="00142E82"/>
    <w:rsid w:val="00142FEB"/>
    <w:rsid w:val="00143A2D"/>
    <w:rsid w:val="00145A41"/>
    <w:rsid w:val="00151675"/>
    <w:rsid w:val="00157435"/>
    <w:rsid w:val="00161D0B"/>
    <w:rsid w:val="001639E6"/>
    <w:rsid w:val="00165744"/>
    <w:rsid w:val="00167E43"/>
    <w:rsid w:val="00171038"/>
    <w:rsid w:val="00174EB2"/>
    <w:rsid w:val="0017504D"/>
    <w:rsid w:val="0017653C"/>
    <w:rsid w:val="0017671A"/>
    <w:rsid w:val="00177422"/>
    <w:rsid w:val="001821F8"/>
    <w:rsid w:val="00184590"/>
    <w:rsid w:val="001870D1"/>
    <w:rsid w:val="0018781E"/>
    <w:rsid w:val="0019262D"/>
    <w:rsid w:val="00192D26"/>
    <w:rsid w:val="00193363"/>
    <w:rsid w:val="001A1B35"/>
    <w:rsid w:val="001A356C"/>
    <w:rsid w:val="001A48A2"/>
    <w:rsid w:val="001A5E36"/>
    <w:rsid w:val="001A60F7"/>
    <w:rsid w:val="001A6F61"/>
    <w:rsid w:val="001B636B"/>
    <w:rsid w:val="001B72B8"/>
    <w:rsid w:val="001C1687"/>
    <w:rsid w:val="001C37A0"/>
    <w:rsid w:val="001C69B3"/>
    <w:rsid w:val="001D5595"/>
    <w:rsid w:val="001D5EE2"/>
    <w:rsid w:val="001D7874"/>
    <w:rsid w:val="001D7F22"/>
    <w:rsid w:val="001F0F17"/>
    <w:rsid w:val="001F3347"/>
    <w:rsid w:val="001F69E4"/>
    <w:rsid w:val="002125B4"/>
    <w:rsid w:val="00212942"/>
    <w:rsid w:val="00214946"/>
    <w:rsid w:val="002155B8"/>
    <w:rsid w:val="002203E1"/>
    <w:rsid w:val="00224839"/>
    <w:rsid w:val="002249B2"/>
    <w:rsid w:val="00226574"/>
    <w:rsid w:val="002278EC"/>
    <w:rsid w:val="0023280E"/>
    <w:rsid w:val="002377D1"/>
    <w:rsid w:val="00245699"/>
    <w:rsid w:val="002506BC"/>
    <w:rsid w:val="00254345"/>
    <w:rsid w:val="00264557"/>
    <w:rsid w:val="00265F0D"/>
    <w:rsid w:val="0026763C"/>
    <w:rsid w:val="002725C8"/>
    <w:rsid w:val="002756BE"/>
    <w:rsid w:val="00275CC9"/>
    <w:rsid w:val="0027645A"/>
    <w:rsid w:val="002805AB"/>
    <w:rsid w:val="00284204"/>
    <w:rsid w:val="00287A54"/>
    <w:rsid w:val="002903D9"/>
    <w:rsid w:val="00291773"/>
    <w:rsid w:val="00293188"/>
    <w:rsid w:val="00295874"/>
    <w:rsid w:val="002A0673"/>
    <w:rsid w:val="002A168C"/>
    <w:rsid w:val="002A3DC7"/>
    <w:rsid w:val="002B1D6F"/>
    <w:rsid w:val="002B49E2"/>
    <w:rsid w:val="002B7B00"/>
    <w:rsid w:val="002B7C44"/>
    <w:rsid w:val="002C03AE"/>
    <w:rsid w:val="002C2B17"/>
    <w:rsid w:val="002D3DD0"/>
    <w:rsid w:val="002D51C3"/>
    <w:rsid w:val="002D75C3"/>
    <w:rsid w:val="002E1F3A"/>
    <w:rsid w:val="002E298A"/>
    <w:rsid w:val="002F0EF5"/>
    <w:rsid w:val="002F7530"/>
    <w:rsid w:val="002F7953"/>
    <w:rsid w:val="00301978"/>
    <w:rsid w:val="0030332C"/>
    <w:rsid w:val="003051C2"/>
    <w:rsid w:val="00312296"/>
    <w:rsid w:val="00312E31"/>
    <w:rsid w:val="00312FDF"/>
    <w:rsid w:val="00314F0E"/>
    <w:rsid w:val="00317A7D"/>
    <w:rsid w:val="003209E9"/>
    <w:rsid w:val="00321D8E"/>
    <w:rsid w:val="0032232D"/>
    <w:rsid w:val="003247EB"/>
    <w:rsid w:val="00325632"/>
    <w:rsid w:val="00325928"/>
    <w:rsid w:val="0032682B"/>
    <w:rsid w:val="003322D4"/>
    <w:rsid w:val="00332863"/>
    <w:rsid w:val="003344F8"/>
    <w:rsid w:val="0033684D"/>
    <w:rsid w:val="00337B42"/>
    <w:rsid w:val="0034052D"/>
    <w:rsid w:val="00341B42"/>
    <w:rsid w:val="0034348F"/>
    <w:rsid w:val="00347986"/>
    <w:rsid w:val="00356653"/>
    <w:rsid w:val="0035743F"/>
    <w:rsid w:val="00357BE2"/>
    <w:rsid w:val="0036170C"/>
    <w:rsid w:val="00366E0F"/>
    <w:rsid w:val="00367953"/>
    <w:rsid w:val="0037086C"/>
    <w:rsid w:val="00376ED9"/>
    <w:rsid w:val="00377449"/>
    <w:rsid w:val="00381A72"/>
    <w:rsid w:val="00384676"/>
    <w:rsid w:val="00390857"/>
    <w:rsid w:val="003A020F"/>
    <w:rsid w:val="003A2BA8"/>
    <w:rsid w:val="003A3757"/>
    <w:rsid w:val="003A4BF3"/>
    <w:rsid w:val="003B21B6"/>
    <w:rsid w:val="003B420D"/>
    <w:rsid w:val="003C2F2C"/>
    <w:rsid w:val="003C30EE"/>
    <w:rsid w:val="003C339D"/>
    <w:rsid w:val="003C6C16"/>
    <w:rsid w:val="003D2C4F"/>
    <w:rsid w:val="003D6882"/>
    <w:rsid w:val="003D794D"/>
    <w:rsid w:val="003E220A"/>
    <w:rsid w:val="003E29CD"/>
    <w:rsid w:val="003E3058"/>
    <w:rsid w:val="003E76A9"/>
    <w:rsid w:val="003E7D57"/>
    <w:rsid w:val="003F0809"/>
    <w:rsid w:val="003F2B7B"/>
    <w:rsid w:val="003F3031"/>
    <w:rsid w:val="003F6A8C"/>
    <w:rsid w:val="003F755C"/>
    <w:rsid w:val="004007F4"/>
    <w:rsid w:val="00400F23"/>
    <w:rsid w:val="00401402"/>
    <w:rsid w:val="004067C9"/>
    <w:rsid w:val="00406F01"/>
    <w:rsid w:val="00416D38"/>
    <w:rsid w:val="00416D50"/>
    <w:rsid w:val="00416FD5"/>
    <w:rsid w:val="00417772"/>
    <w:rsid w:val="0042012F"/>
    <w:rsid w:val="00420E6A"/>
    <w:rsid w:val="00425A9E"/>
    <w:rsid w:val="00426D6B"/>
    <w:rsid w:val="00431E6C"/>
    <w:rsid w:val="004338E0"/>
    <w:rsid w:val="00433CE7"/>
    <w:rsid w:val="00444FCE"/>
    <w:rsid w:val="00452738"/>
    <w:rsid w:val="00452E18"/>
    <w:rsid w:val="00454DF1"/>
    <w:rsid w:val="00456091"/>
    <w:rsid w:val="00465057"/>
    <w:rsid w:val="00465657"/>
    <w:rsid w:val="00465972"/>
    <w:rsid w:val="00466321"/>
    <w:rsid w:val="00472FB2"/>
    <w:rsid w:val="00473130"/>
    <w:rsid w:val="00476F57"/>
    <w:rsid w:val="00477ECC"/>
    <w:rsid w:val="00484B9B"/>
    <w:rsid w:val="004855F6"/>
    <w:rsid w:val="0048661E"/>
    <w:rsid w:val="0049184E"/>
    <w:rsid w:val="00492597"/>
    <w:rsid w:val="00494670"/>
    <w:rsid w:val="00496A9F"/>
    <w:rsid w:val="004A0334"/>
    <w:rsid w:val="004A3823"/>
    <w:rsid w:val="004B3CE2"/>
    <w:rsid w:val="004B67BF"/>
    <w:rsid w:val="004C0798"/>
    <w:rsid w:val="004C3E89"/>
    <w:rsid w:val="004D0FA0"/>
    <w:rsid w:val="004D5C97"/>
    <w:rsid w:val="004D7243"/>
    <w:rsid w:val="004E11E1"/>
    <w:rsid w:val="004E1208"/>
    <w:rsid w:val="004E2857"/>
    <w:rsid w:val="004E6946"/>
    <w:rsid w:val="004F1AD8"/>
    <w:rsid w:val="004F3425"/>
    <w:rsid w:val="00501C8B"/>
    <w:rsid w:val="005039CB"/>
    <w:rsid w:val="0050558F"/>
    <w:rsid w:val="00506286"/>
    <w:rsid w:val="00510813"/>
    <w:rsid w:val="00511990"/>
    <w:rsid w:val="00511DE0"/>
    <w:rsid w:val="00514586"/>
    <w:rsid w:val="00514870"/>
    <w:rsid w:val="00514B9B"/>
    <w:rsid w:val="00517F02"/>
    <w:rsid w:val="00524303"/>
    <w:rsid w:val="005258A2"/>
    <w:rsid w:val="005331B8"/>
    <w:rsid w:val="00534CB5"/>
    <w:rsid w:val="00537053"/>
    <w:rsid w:val="005401AE"/>
    <w:rsid w:val="00542E07"/>
    <w:rsid w:val="005430B2"/>
    <w:rsid w:val="00545424"/>
    <w:rsid w:val="00550F9C"/>
    <w:rsid w:val="00554A7B"/>
    <w:rsid w:val="0055572C"/>
    <w:rsid w:val="0056106A"/>
    <w:rsid w:val="00561613"/>
    <w:rsid w:val="00561A76"/>
    <w:rsid w:val="0056587B"/>
    <w:rsid w:val="00567A1F"/>
    <w:rsid w:val="005720AE"/>
    <w:rsid w:val="005729DE"/>
    <w:rsid w:val="00574EBF"/>
    <w:rsid w:val="0057507F"/>
    <w:rsid w:val="00590903"/>
    <w:rsid w:val="00594D77"/>
    <w:rsid w:val="005969E4"/>
    <w:rsid w:val="005A06B7"/>
    <w:rsid w:val="005A0A32"/>
    <w:rsid w:val="005A1759"/>
    <w:rsid w:val="005A3E77"/>
    <w:rsid w:val="005A5B89"/>
    <w:rsid w:val="005A6354"/>
    <w:rsid w:val="005A68A7"/>
    <w:rsid w:val="005B716F"/>
    <w:rsid w:val="005C0439"/>
    <w:rsid w:val="005C470A"/>
    <w:rsid w:val="005D34AA"/>
    <w:rsid w:val="005D35CE"/>
    <w:rsid w:val="005D36AB"/>
    <w:rsid w:val="005E3DA5"/>
    <w:rsid w:val="005E5CF2"/>
    <w:rsid w:val="00604720"/>
    <w:rsid w:val="006130D1"/>
    <w:rsid w:val="0061705F"/>
    <w:rsid w:val="00617420"/>
    <w:rsid w:val="00617989"/>
    <w:rsid w:val="00617CC3"/>
    <w:rsid w:val="006338FA"/>
    <w:rsid w:val="00635AD9"/>
    <w:rsid w:val="006377A6"/>
    <w:rsid w:val="00637A3D"/>
    <w:rsid w:val="006411EF"/>
    <w:rsid w:val="00641974"/>
    <w:rsid w:val="006463BE"/>
    <w:rsid w:val="00647CA0"/>
    <w:rsid w:val="006600B4"/>
    <w:rsid w:val="006619D4"/>
    <w:rsid w:val="00661D4D"/>
    <w:rsid w:val="00665A01"/>
    <w:rsid w:val="00674273"/>
    <w:rsid w:val="006748B8"/>
    <w:rsid w:val="00676335"/>
    <w:rsid w:val="006775C3"/>
    <w:rsid w:val="00684B64"/>
    <w:rsid w:val="0069290A"/>
    <w:rsid w:val="006938FC"/>
    <w:rsid w:val="00696970"/>
    <w:rsid w:val="0069775A"/>
    <w:rsid w:val="00697813"/>
    <w:rsid w:val="006A3EE8"/>
    <w:rsid w:val="006A72BF"/>
    <w:rsid w:val="006A7994"/>
    <w:rsid w:val="006B03F2"/>
    <w:rsid w:val="006B1204"/>
    <w:rsid w:val="006B17C5"/>
    <w:rsid w:val="006B1B76"/>
    <w:rsid w:val="006B37DC"/>
    <w:rsid w:val="006B4F68"/>
    <w:rsid w:val="006B70A5"/>
    <w:rsid w:val="006C0592"/>
    <w:rsid w:val="006C152C"/>
    <w:rsid w:val="006C1695"/>
    <w:rsid w:val="006C272E"/>
    <w:rsid w:val="006C5479"/>
    <w:rsid w:val="006C68A0"/>
    <w:rsid w:val="006D13B5"/>
    <w:rsid w:val="006D70FC"/>
    <w:rsid w:val="006E12FF"/>
    <w:rsid w:val="006E607E"/>
    <w:rsid w:val="006F2D06"/>
    <w:rsid w:val="006F4958"/>
    <w:rsid w:val="006F5374"/>
    <w:rsid w:val="00702C36"/>
    <w:rsid w:val="0070361A"/>
    <w:rsid w:val="00703E4B"/>
    <w:rsid w:val="007045AA"/>
    <w:rsid w:val="00706C5D"/>
    <w:rsid w:val="0071505D"/>
    <w:rsid w:val="00715DF7"/>
    <w:rsid w:val="007162C6"/>
    <w:rsid w:val="007233AA"/>
    <w:rsid w:val="00732670"/>
    <w:rsid w:val="00732922"/>
    <w:rsid w:val="00733295"/>
    <w:rsid w:val="00735E23"/>
    <w:rsid w:val="007403C5"/>
    <w:rsid w:val="007437FA"/>
    <w:rsid w:val="0075021F"/>
    <w:rsid w:val="0075162E"/>
    <w:rsid w:val="00754034"/>
    <w:rsid w:val="00755657"/>
    <w:rsid w:val="00755807"/>
    <w:rsid w:val="007562DA"/>
    <w:rsid w:val="00756556"/>
    <w:rsid w:val="007618C4"/>
    <w:rsid w:val="007634DD"/>
    <w:rsid w:val="00763C1A"/>
    <w:rsid w:val="007651AC"/>
    <w:rsid w:val="00765B0E"/>
    <w:rsid w:val="00767980"/>
    <w:rsid w:val="00770B19"/>
    <w:rsid w:val="007712B9"/>
    <w:rsid w:val="0077463F"/>
    <w:rsid w:val="007836EA"/>
    <w:rsid w:val="00784CDA"/>
    <w:rsid w:val="007857C3"/>
    <w:rsid w:val="007874BA"/>
    <w:rsid w:val="007906C4"/>
    <w:rsid w:val="00791D35"/>
    <w:rsid w:val="007940EA"/>
    <w:rsid w:val="007967E8"/>
    <w:rsid w:val="007A0589"/>
    <w:rsid w:val="007A1F6E"/>
    <w:rsid w:val="007A2170"/>
    <w:rsid w:val="007A22BF"/>
    <w:rsid w:val="007A3323"/>
    <w:rsid w:val="007A4C43"/>
    <w:rsid w:val="007A5FCB"/>
    <w:rsid w:val="007B227F"/>
    <w:rsid w:val="007B72B8"/>
    <w:rsid w:val="007B7A58"/>
    <w:rsid w:val="007C21B5"/>
    <w:rsid w:val="007C5336"/>
    <w:rsid w:val="007D7288"/>
    <w:rsid w:val="007E4BD2"/>
    <w:rsid w:val="007F217D"/>
    <w:rsid w:val="00800593"/>
    <w:rsid w:val="00801393"/>
    <w:rsid w:val="00802F88"/>
    <w:rsid w:val="00803822"/>
    <w:rsid w:val="0081293E"/>
    <w:rsid w:val="00815465"/>
    <w:rsid w:val="00817E9A"/>
    <w:rsid w:val="00821BF0"/>
    <w:rsid w:val="0082535F"/>
    <w:rsid w:val="008272BC"/>
    <w:rsid w:val="008306BD"/>
    <w:rsid w:val="00831A80"/>
    <w:rsid w:val="008320F1"/>
    <w:rsid w:val="00833743"/>
    <w:rsid w:val="008340A4"/>
    <w:rsid w:val="00843692"/>
    <w:rsid w:val="008644BB"/>
    <w:rsid w:val="00864F9F"/>
    <w:rsid w:val="00866494"/>
    <w:rsid w:val="0086766B"/>
    <w:rsid w:val="0087135F"/>
    <w:rsid w:val="00872D94"/>
    <w:rsid w:val="00873AB6"/>
    <w:rsid w:val="00874132"/>
    <w:rsid w:val="00875088"/>
    <w:rsid w:val="00876B45"/>
    <w:rsid w:val="00880364"/>
    <w:rsid w:val="00880C2E"/>
    <w:rsid w:val="008875D5"/>
    <w:rsid w:val="0089145F"/>
    <w:rsid w:val="00891592"/>
    <w:rsid w:val="00891E9E"/>
    <w:rsid w:val="008A2F68"/>
    <w:rsid w:val="008A68AE"/>
    <w:rsid w:val="008A6FA6"/>
    <w:rsid w:val="008B06F2"/>
    <w:rsid w:val="008B2AAA"/>
    <w:rsid w:val="008B461E"/>
    <w:rsid w:val="008B4FA6"/>
    <w:rsid w:val="008B5282"/>
    <w:rsid w:val="008B61B3"/>
    <w:rsid w:val="008B7C17"/>
    <w:rsid w:val="008C2D01"/>
    <w:rsid w:val="008C40E6"/>
    <w:rsid w:val="008D0F7A"/>
    <w:rsid w:val="008D17E0"/>
    <w:rsid w:val="008D28B7"/>
    <w:rsid w:val="008D2DE9"/>
    <w:rsid w:val="008D2E21"/>
    <w:rsid w:val="008D68E4"/>
    <w:rsid w:val="008D79A6"/>
    <w:rsid w:val="008E0506"/>
    <w:rsid w:val="008E0CFF"/>
    <w:rsid w:val="008E5D6B"/>
    <w:rsid w:val="008E76F0"/>
    <w:rsid w:val="008F1007"/>
    <w:rsid w:val="008F15FE"/>
    <w:rsid w:val="008F2D29"/>
    <w:rsid w:val="008F5187"/>
    <w:rsid w:val="008F60D8"/>
    <w:rsid w:val="008F7A4B"/>
    <w:rsid w:val="00902727"/>
    <w:rsid w:val="0090312B"/>
    <w:rsid w:val="0090361C"/>
    <w:rsid w:val="0091535F"/>
    <w:rsid w:val="00915968"/>
    <w:rsid w:val="0091736D"/>
    <w:rsid w:val="00917479"/>
    <w:rsid w:val="009225F0"/>
    <w:rsid w:val="00925A2F"/>
    <w:rsid w:val="0093037A"/>
    <w:rsid w:val="0093251C"/>
    <w:rsid w:val="009364EC"/>
    <w:rsid w:val="0094154D"/>
    <w:rsid w:val="0094414D"/>
    <w:rsid w:val="0095155F"/>
    <w:rsid w:val="00954429"/>
    <w:rsid w:val="009563CE"/>
    <w:rsid w:val="00961820"/>
    <w:rsid w:val="009732AF"/>
    <w:rsid w:val="00975161"/>
    <w:rsid w:val="00976328"/>
    <w:rsid w:val="0097680D"/>
    <w:rsid w:val="009769E8"/>
    <w:rsid w:val="009805B6"/>
    <w:rsid w:val="00982438"/>
    <w:rsid w:val="009838C5"/>
    <w:rsid w:val="0098404C"/>
    <w:rsid w:val="00985283"/>
    <w:rsid w:val="00993269"/>
    <w:rsid w:val="00994F25"/>
    <w:rsid w:val="00994FC0"/>
    <w:rsid w:val="00995992"/>
    <w:rsid w:val="009A03E5"/>
    <w:rsid w:val="009A0F3B"/>
    <w:rsid w:val="009A1BB4"/>
    <w:rsid w:val="009A2628"/>
    <w:rsid w:val="009A3200"/>
    <w:rsid w:val="009B0897"/>
    <w:rsid w:val="009B1C6C"/>
    <w:rsid w:val="009B5C89"/>
    <w:rsid w:val="009B7BD9"/>
    <w:rsid w:val="009C0EDB"/>
    <w:rsid w:val="009C56B5"/>
    <w:rsid w:val="009C727A"/>
    <w:rsid w:val="009C7DD5"/>
    <w:rsid w:val="009E227D"/>
    <w:rsid w:val="009E5019"/>
    <w:rsid w:val="009F312C"/>
    <w:rsid w:val="00A04F1B"/>
    <w:rsid w:val="00A0501B"/>
    <w:rsid w:val="00A10ACB"/>
    <w:rsid w:val="00A115FE"/>
    <w:rsid w:val="00A125EE"/>
    <w:rsid w:val="00A14947"/>
    <w:rsid w:val="00A163D9"/>
    <w:rsid w:val="00A218A5"/>
    <w:rsid w:val="00A32A83"/>
    <w:rsid w:val="00A33ED4"/>
    <w:rsid w:val="00A342A6"/>
    <w:rsid w:val="00A368DB"/>
    <w:rsid w:val="00A37560"/>
    <w:rsid w:val="00A423AA"/>
    <w:rsid w:val="00A433BC"/>
    <w:rsid w:val="00A443A3"/>
    <w:rsid w:val="00A446C6"/>
    <w:rsid w:val="00A44781"/>
    <w:rsid w:val="00A53EC6"/>
    <w:rsid w:val="00A5482D"/>
    <w:rsid w:val="00A55C0F"/>
    <w:rsid w:val="00A55FE5"/>
    <w:rsid w:val="00A61E83"/>
    <w:rsid w:val="00A726BC"/>
    <w:rsid w:val="00A74353"/>
    <w:rsid w:val="00A75A8B"/>
    <w:rsid w:val="00A81942"/>
    <w:rsid w:val="00A82DD4"/>
    <w:rsid w:val="00A82F0B"/>
    <w:rsid w:val="00A8713F"/>
    <w:rsid w:val="00A90BA1"/>
    <w:rsid w:val="00A91400"/>
    <w:rsid w:val="00A97A9A"/>
    <w:rsid w:val="00AA0671"/>
    <w:rsid w:val="00AA23EC"/>
    <w:rsid w:val="00AA2531"/>
    <w:rsid w:val="00AA2812"/>
    <w:rsid w:val="00AA2982"/>
    <w:rsid w:val="00AB1E09"/>
    <w:rsid w:val="00AB5330"/>
    <w:rsid w:val="00AB7747"/>
    <w:rsid w:val="00AC058D"/>
    <w:rsid w:val="00AC14CE"/>
    <w:rsid w:val="00AC2A56"/>
    <w:rsid w:val="00AC6378"/>
    <w:rsid w:val="00AC7807"/>
    <w:rsid w:val="00AD055E"/>
    <w:rsid w:val="00AD4657"/>
    <w:rsid w:val="00AD47A7"/>
    <w:rsid w:val="00AE0EB7"/>
    <w:rsid w:val="00AF0CBF"/>
    <w:rsid w:val="00AF257F"/>
    <w:rsid w:val="00AF33CF"/>
    <w:rsid w:val="00AF4D50"/>
    <w:rsid w:val="00AF6179"/>
    <w:rsid w:val="00AF73F5"/>
    <w:rsid w:val="00B02DCA"/>
    <w:rsid w:val="00B06806"/>
    <w:rsid w:val="00B07D87"/>
    <w:rsid w:val="00B1295A"/>
    <w:rsid w:val="00B12CF4"/>
    <w:rsid w:val="00B15ADD"/>
    <w:rsid w:val="00B20A45"/>
    <w:rsid w:val="00B22C5C"/>
    <w:rsid w:val="00B239D1"/>
    <w:rsid w:val="00B2470F"/>
    <w:rsid w:val="00B24F30"/>
    <w:rsid w:val="00B30226"/>
    <w:rsid w:val="00B31694"/>
    <w:rsid w:val="00B31ABF"/>
    <w:rsid w:val="00B33BE3"/>
    <w:rsid w:val="00B37711"/>
    <w:rsid w:val="00B4740B"/>
    <w:rsid w:val="00B5006E"/>
    <w:rsid w:val="00B53682"/>
    <w:rsid w:val="00B53B5D"/>
    <w:rsid w:val="00B6055E"/>
    <w:rsid w:val="00B6317D"/>
    <w:rsid w:val="00B65A8A"/>
    <w:rsid w:val="00B7723F"/>
    <w:rsid w:val="00B77ED5"/>
    <w:rsid w:val="00B80534"/>
    <w:rsid w:val="00B8415C"/>
    <w:rsid w:val="00B8433C"/>
    <w:rsid w:val="00B87491"/>
    <w:rsid w:val="00B93209"/>
    <w:rsid w:val="00B97D14"/>
    <w:rsid w:val="00BA29E9"/>
    <w:rsid w:val="00BA56D6"/>
    <w:rsid w:val="00BA7142"/>
    <w:rsid w:val="00BB237C"/>
    <w:rsid w:val="00BB2E30"/>
    <w:rsid w:val="00BB2FAE"/>
    <w:rsid w:val="00BB41A3"/>
    <w:rsid w:val="00BC08A3"/>
    <w:rsid w:val="00BC32DC"/>
    <w:rsid w:val="00BC35B6"/>
    <w:rsid w:val="00BC77FB"/>
    <w:rsid w:val="00BD1B51"/>
    <w:rsid w:val="00BD4596"/>
    <w:rsid w:val="00BD79E4"/>
    <w:rsid w:val="00BE0F1E"/>
    <w:rsid w:val="00BE1405"/>
    <w:rsid w:val="00BE274F"/>
    <w:rsid w:val="00BE312D"/>
    <w:rsid w:val="00BE414B"/>
    <w:rsid w:val="00BE61A5"/>
    <w:rsid w:val="00BF1C20"/>
    <w:rsid w:val="00BF33A1"/>
    <w:rsid w:val="00C00A65"/>
    <w:rsid w:val="00C01026"/>
    <w:rsid w:val="00C042C1"/>
    <w:rsid w:val="00C10578"/>
    <w:rsid w:val="00C135BC"/>
    <w:rsid w:val="00C15441"/>
    <w:rsid w:val="00C15B81"/>
    <w:rsid w:val="00C15C95"/>
    <w:rsid w:val="00C161F7"/>
    <w:rsid w:val="00C20E7D"/>
    <w:rsid w:val="00C23B42"/>
    <w:rsid w:val="00C2596A"/>
    <w:rsid w:val="00C27537"/>
    <w:rsid w:val="00C27DD2"/>
    <w:rsid w:val="00C302A1"/>
    <w:rsid w:val="00C3071A"/>
    <w:rsid w:val="00C328FE"/>
    <w:rsid w:val="00C33507"/>
    <w:rsid w:val="00C338E4"/>
    <w:rsid w:val="00C352F0"/>
    <w:rsid w:val="00C35C3D"/>
    <w:rsid w:val="00C41187"/>
    <w:rsid w:val="00C43CB1"/>
    <w:rsid w:val="00C4409D"/>
    <w:rsid w:val="00C44E72"/>
    <w:rsid w:val="00C45A06"/>
    <w:rsid w:val="00C46942"/>
    <w:rsid w:val="00C469AB"/>
    <w:rsid w:val="00C46E5C"/>
    <w:rsid w:val="00C47E5B"/>
    <w:rsid w:val="00C51A3C"/>
    <w:rsid w:val="00C554D6"/>
    <w:rsid w:val="00C57C49"/>
    <w:rsid w:val="00C60FCA"/>
    <w:rsid w:val="00C61E4B"/>
    <w:rsid w:val="00C64BFF"/>
    <w:rsid w:val="00C704E9"/>
    <w:rsid w:val="00C70E7D"/>
    <w:rsid w:val="00C763C9"/>
    <w:rsid w:val="00C80057"/>
    <w:rsid w:val="00C813FB"/>
    <w:rsid w:val="00C82232"/>
    <w:rsid w:val="00C82746"/>
    <w:rsid w:val="00C82913"/>
    <w:rsid w:val="00C82BCE"/>
    <w:rsid w:val="00C87C8A"/>
    <w:rsid w:val="00C90164"/>
    <w:rsid w:val="00C90C94"/>
    <w:rsid w:val="00C972B1"/>
    <w:rsid w:val="00CA2CCE"/>
    <w:rsid w:val="00CA43FD"/>
    <w:rsid w:val="00CA7EF8"/>
    <w:rsid w:val="00CB0D16"/>
    <w:rsid w:val="00CC042F"/>
    <w:rsid w:val="00CC3BF9"/>
    <w:rsid w:val="00CC489B"/>
    <w:rsid w:val="00CC61EA"/>
    <w:rsid w:val="00CD25D6"/>
    <w:rsid w:val="00CD2BCD"/>
    <w:rsid w:val="00CD3A4C"/>
    <w:rsid w:val="00CE0A5F"/>
    <w:rsid w:val="00CE10E9"/>
    <w:rsid w:val="00CE2910"/>
    <w:rsid w:val="00CE5393"/>
    <w:rsid w:val="00CF36BE"/>
    <w:rsid w:val="00CF6000"/>
    <w:rsid w:val="00CF6209"/>
    <w:rsid w:val="00D003F3"/>
    <w:rsid w:val="00D01401"/>
    <w:rsid w:val="00D01F4F"/>
    <w:rsid w:val="00D0364F"/>
    <w:rsid w:val="00D06834"/>
    <w:rsid w:val="00D108AC"/>
    <w:rsid w:val="00D13D89"/>
    <w:rsid w:val="00D14971"/>
    <w:rsid w:val="00D25846"/>
    <w:rsid w:val="00D308ED"/>
    <w:rsid w:val="00D31C3D"/>
    <w:rsid w:val="00D36D86"/>
    <w:rsid w:val="00D428AA"/>
    <w:rsid w:val="00D50A34"/>
    <w:rsid w:val="00D53EFA"/>
    <w:rsid w:val="00D575D4"/>
    <w:rsid w:val="00D705E0"/>
    <w:rsid w:val="00D70BC8"/>
    <w:rsid w:val="00D72206"/>
    <w:rsid w:val="00D77E60"/>
    <w:rsid w:val="00D836A4"/>
    <w:rsid w:val="00D84508"/>
    <w:rsid w:val="00D9103A"/>
    <w:rsid w:val="00D941B1"/>
    <w:rsid w:val="00D94A7C"/>
    <w:rsid w:val="00D95896"/>
    <w:rsid w:val="00D96A97"/>
    <w:rsid w:val="00DB08DF"/>
    <w:rsid w:val="00DB2983"/>
    <w:rsid w:val="00DB3E71"/>
    <w:rsid w:val="00DB66E8"/>
    <w:rsid w:val="00DC1257"/>
    <w:rsid w:val="00DC25DC"/>
    <w:rsid w:val="00DC2AE4"/>
    <w:rsid w:val="00DC3DC0"/>
    <w:rsid w:val="00DC5B2B"/>
    <w:rsid w:val="00DC7163"/>
    <w:rsid w:val="00DD318D"/>
    <w:rsid w:val="00DD3313"/>
    <w:rsid w:val="00DD3E07"/>
    <w:rsid w:val="00DD422F"/>
    <w:rsid w:val="00DE417B"/>
    <w:rsid w:val="00DF2E12"/>
    <w:rsid w:val="00DF514A"/>
    <w:rsid w:val="00DF6690"/>
    <w:rsid w:val="00DF6804"/>
    <w:rsid w:val="00E0007E"/>
    <w:rsid w:val="00E0358D"/>
    <w:rsid w:val="00E04323"/>
    <w:rsid w:val="00E070A2"/>
    <w:rsid w:val="00E07659"/>
    <w:rsid w:val="00E103A7"/>
    <w:rsid w:val="00E11644"/>
    <w:rsid w:val="00E13DE9"/>
    <w:rsid w:val="00E14689"/>
    <w:rsid w:val="00E14BD9"/>
    <w:rsid w:val="00E25A9E"/>
    <w:rsid w:val="00E2656A"/>
    <w:rsid w:val="00E305E7"/>
    <w:rsid w:val="00E310BC"/>
    <w:rsid w:val="00E34732"/>
    <w:rsid w:val="00E35DE5"/>
    <w:rsid w:val="00E405CC"/>
    <w:rsid w:val="00E412D0"/>
    <w:rsid w:val="00E42AF6"/>
    <w:rsid w:val="00E442E0"/>
    <w:rsid w:val="00E51B8D"/>
    <w:rsid w:val="00E538F9"/>
    <w:rsid w:val="00E56149"/>
    <w:rsid w:val="00E56322"/>
    <w:rsid w:val="00E60982"/>
    <w:rsid w:val="00E61EC2"/>
    <w:rsid w:val="00E62C62"/>
    <w:rsid w:val="00E64D7B"/>
    <w:rsid w:val="00E654C1"/>
    <w:rsid w:val="00E65D97"/>
    <w:rsid w:val="00E67797"/>
    <w:rsid w:val="00E67B11"/>
    <w:rsid w:val="00E72118"/>
    <w:rsid w:val="00E72A5A"/>
    <w:rsid w:val="00E73354"/>
    <w:rsid w:val="00E740BF"/>
    <w:rsid w:val="00E74C67"/>
    <w:rsid w:val="00E82F58"/>
    <w:rsid w:val="00E9242D"/>
    <w:rsid w:val="00E95893"/>
    <w:rsid w:val="00E977C9"/>
    <w:rsid w:val="00EA558E"/>
    <w:rsid w:val="00EB5255"/>
    <w:rsid w:val="00EB5C47"/>
    <w:rsid w:val="00EC159D"/>
    <w:rsid w:val="00EC5FDC"/>
    <w:rsid w:val="00ED0639"/>
    <w:rsid w:val="00ED0ACD"/>
    <w:rsid w:val="00ED526E"/>
    <w:rsid w:val="00ED5B58"/>
    <w:rsid w:val="00ED6686"/>
    <w:rsid w:val="00EF37A1"/>
    <w:rsid w:val="00EF4755"/>
    <w:rsid w:val="00EF5155"/>
    <w:rsid w:val="00EF7135"/>
    <w:rsid w:val="00EF774A"/>
    <w:rsid w:val="00F004F0"/>
    <w:rsid w:val="00F0165A"/>
    <w:rsid w:val="00F027DB"/>
    <w:rsid w:val="00F0552A"/>
    <w:rsid w:val="00F079FC"/>
    <w:rsid w:val="00F137AB"/>
    <w:rsid w:val="00F14A7A"/>
    <w:rsid w:val="00F1603B"/>
    <w:rsid w:val="00F22985"/>
    <w:rsid w:val="00F3383E"/>
    <w:rsid w:val="00F37B0B"/>
    <w:rsid w:val="00F37FCB"/>
    <w:rsid w:val="00F42D83"/>
    <w:rsid w:val="00F43BE2"/>
    <w:rsid w:val="00F442E7"/>
    <w:rsid w:val="00F465A7"/>
    <w:rsid w:val="00F50656"/>
    <w:rsid w:val="00F50B7C"/>
    <w:rsid w:val="00F550E6"/>
    <w:rsid w:val="00F60D18"/>
    <w:rsid w:val="00F61E88"/>
    <w:rsid w:val="00F63B7C"/>
    <w:rsid w:val="00F66C3B"/>
    <w:rsid w:val="00F72847"/>
    <w:rsid w:val="00F74345"/>
    <w:rsid w:val="00F7496F"/>
    <w:rsid w:val="00F8078D"/>
    <w:rsid w:val="00F80A0A"/>
    <w:rsid w:val="00F82B19"/>
    <w:rsid w:val="00F84D4E"/>
    <w:rsid w:val="00F87143"/>
    <w:rsid w:val="00F9212D"/>
    <w:rsid w:val="00F9236C"/>
    <w:rsid w:val="00F935F2"/>
    <w:rsid w:val="00F9444B"/>
    <w:rsid w:val="00F965DA"/>
    <w:rsid w:val="00FA406A"/>
    <w:rsid w:val="00FA4D19"/>
    <w:rsid w:val="00FA529F"/>
    <w:rsid w:val="00FA579C"/>
    <w:rsid w:val="00FB503A"/>
    <w:rsid w:val="00FB516C"/>
    <w:rsid w:val="00FC193C"/>
    <w:rsid w:val="00FC2292"/>
    <w:rsid w:val="00FC31C8"/>
    <w:rsid w:val="00FC3E74"/>
    <w:rsid w:val="00FD0236"/>
    <w:rsid w:val="00FD122E"/>
    <w:rsid w:val="00FD18F4"/>
    <w:rsid w:val="00FD54DB"/>
    <w:rsid w:val="00FD5C3D"/>
    <w:rsid w:val="00FD619F"/>
    <w:rsid w:val="00FE0C1A"/>
    <w:rsid w:val="00FE12F1"/>
    <w:rsid w:val="00FE2066"/>
    <w:rsid w:val="00FE4269"/>
    <w:rsid w:val="00FE47AF"/>
    <w:rsid w:val="00FE6CD8"/>
    <w:rsid w:val="00FE6E67"/>
    <w:rsid w:val="00FF0E18"/>
    <w:rsid w:val="00FF2080"/>
    <w:rsid w:val="00FF2F99"/>
    <w:rsid w:val="00FF600C"/>
    <w:rsid w:val="00FF7C96"/>
    <w:rsid w:val="01290F7E"/>
    <w:rsid w:val="012C1C11"/>
    <w:rsid w:val="015D1E09"/>
    <w:rsid w:val="01C8100C"/>
    <w:rsid w:val="0234694A"/>
    <w:rsid w:val="02697903"/>
    <w:rsid w:val="02F96569"/>
    <w:rsid w:val="03EA7B21"/>
    <w:rsid w:val="05F83EAE"/>
    <w:rsid w:val="063E7D85"/>
    <w:rsid w:val="0680392B"/>
    <w:rsid w:val="06C05DD3"/>
    <w:rsid w:val="072230B2"/>
    <w:rsid w:val="07293586"/>
    <w:rsid w:val="07295285"/>
    <w:rsid w:val="07636392"/>
    <w:rsid w:val="07770C56"/>
    <w:rsid w:val="07816281"/>
    <w:rsid w:val="08114DA5"/>
    <w:rsid w:val="092217DD"/>
    <w:rsid w:val="093A7294"/>
    <w:rsid w:val="09535671"/>
    <w:rsid w:val="0A263993"/>
    <w:rsid w:val="0A2D3AC2"/>
    <w:rsid w:val="0A611B7B"/>
    <w:rsid w:val="0AA755DF"/>
    <w:rsid w:val="0AE17EC3"/>
    <w:rsid w:val="0B120D44"/>
    <w:rsid w:val="0BD27BF6"/>
    <w:rsid w:val="0C286F67"/>
    <w:rsid w:val="0C3B3C7D"/>
    <w:rsid w:val="0C3B6F66"/>
    <w:rsid w:val="0CAB2EAE"/>
    <w:rsid w:val="0D227B78"/>
    <w:rsid w:val="0D621C7D"/>
    <w:rsid w:val="0D652B59"/>
    <w:rsid w:val="0DD64BA5"/>
    <w:rsid w:val="0E73034D"/>
    <w:rsid w:val="0E735A2A"/>
    <w:rsid w:val="0F13775A"/>
    <w:rsid w:val="0F5F45FE"/>
    <w:rsid w:val="0F6F1D39"/>
    <w:rsid w:val="0F9A112B"/>
    <w:rsid w:val="10562278"/>
    <w:rsid w:val="106D2F64"/>
    <w:rsid w:val="108846DB"/>
    <w:rsid w:val="10B63710"/>
    <w:rsid w:val="10E83DBC"/>
    <w:rsid w:val="10F10820"/>
    <w:rsid w:val="111C2F7A"/>
    <w:rsid w:val="11665CA1"/>
    <w:rsid w:val="122A0740"/>
    <w:rsid w:val="12992ACC"/>
    <w:rsid w:val="13951726"/>
    <w:rsid w:val="14396509"/>
    <w:rsid w:val="14DD2C3C"/>
    <w:rsid w:val="14F62F7C"/>
    <w:rsid w:val="16087E1D"/>
    <w:rsid w:val="169268C0"/>
    <w:rsid w:val="1740476B"/>
    <w:rsid w:val="17701D14"/>
    <w:rsid w:val="17735226"/>
    <w:rsid w:val="189F624C"/>
    <w:rsid w:val="1A1C66C0"/>
    <w:rsid w:val="1A42393B"/>
    <w:rsid w:val="1AAD45DE"/>
    <w:rsid w:val="1B046F80"/>
    <w:rsid w:val="1B3267B5"/>
    <w:rsid w:val="1B40161D"/>
    <w:rsid w:val="1B441859"/>
    <w:rsid w:val="1B6606B1"/>
    <w:rsid w:val="1C250B8D"/>
    <w:rsid w:val="1C5E7925"/>
    <w:rsid w:val="1CD87F09"/>
    <w:rsid w:val="1CFD070F"/>
    <w:rsid w:val="1D5F6196"/>
    <w:rsid w:val="1D6132A5"/>
    <w:rsid w:val="1D8E56D5"/>
    <w:rsid w:val="1DFC4209"/>
    <w:rsid w:val="1E7A43DA"/>
    <w:rsid w:val="1FE7539E"/>
    <w:rsid w:val="20671BE0"/>
    <w:rsid w:val="20963CB8"/>
    <w:rsid w:val="20A81A1B"/>
    <w:rsid w:val="20B07FB6"/>
    <w:rsid w:val="20B646FB"/>
    <w:rsid w:val="213B74B1"/>
    <w:rsid w:val="215A2310"/>
    <w:rsid w:val="21944456"/>
    <w:rsid w:val="21C942D5"/>
    <w:rsid w:val="21DE318A"/>
    <w:rsid w:val="21EF5B80"/>
    <w:rsid w:val="22576990"/>
    <w:rsid w:val="22A644F8"/>
    <w:rsid w:val="22F47480"/>
    <w:rsid w:val="239D21D1"/>
    <w:rsid w:val="23DE1C48"/>
    <w:rsid w:val="240210CD"/>
    <w:rsid w:val="24BF09F7"/>
    <w:rsid w:val="252D53FE"/>
    <w:rsid w:val="2550377C"/>
    <w:rsid w:val="25EC2D81"/>
    <w:rsid w:val="25FC11C5"/>
    <w:rsid w:val="2632065D"/>
    <w:rsid w:val="277057A2"/>
    <w:rsid w:val="27A62C58"/>
    <w:rsid w:val="284163F5"/>
    <w:rsid w:val="29206EB8"/>
    <w:rsid w:val="29595666"/>
    <w:rsid w:val="29874881"/>
    <w:rsid w:val="29DF0736"/>
    <w:rsid w:val="29E325E0"/>
    <w:rsid w:val="2A452503"/>
    <w:rsid w:val="2BA20ED3"/>
    <w:rsid w:val="2BA936A8"/>
    <w:rsid w:val="2C315A5A"/>
    <w:rsid w:val="2C4B1C25"/>
    <w:rsid w:val="2D4F53DA"/>
    <w:rsid w:val="2D9A22B7"/>
    <w:rsid w:val="2D9E56F5"/>
    <w:rsid w:val="2E667F96"/>
    <w:rsid w:val="2E8226AB"/>
    <w:rsid w:val="2EBE4E35"/>
    <w:rsid w:val="2EE026E0"/>
    <w:rsid w:val="2F5E4DDE"/>
    <w:rsid w:val="2FD065E6"/>
    <w:rsid w:val="2FD96870"/>
    <w:rsid w:val="302503EA"/>
    <w:rsid w:val="30532960"/>
    <w:rsid w:val="30580BC9"/>
    <w:rsid w:val="30A3461D"/>
    <w:rsid w:val="30D6387C"/>
    <w:rsid w:val="311E2ED7"/>
    <w:rsid w:val="312C2F4C"/>
    <w:rsid w:val="315619EE"/>
    <w:rsid w:val="315C449C"/>
    <w:rsid w:val="31B82709"/>
    <w:rsid w:val="31D05482"/>
    <w:rsid w:val="321A1044"/>
    <w:rsid w:val="322E08AD"/>
    <w:rsid w:val="32400B34"/>
    <w:rsid w:val="329E6876"/>
    <w:rsid w:val="332567D1"/>
    <w:rsid w:val="333015F2"/>
    <w:rsid w:val="33301A6C"/>
    <w:rsid w:val="334B6320"/>
    <w:rsid w:val="33D934D4"/>
    <w:rsid w:val="33FE2F6A"/>
    <w:rsid w:val="3406331A"/>
    <w:rsid w:val="340E07E5"/>
    <w:rsid w:val="34235BF7"/>
    <w:rsid w:val="34F64F8A"/>
    <w:rsid w:val="358C5FA8"/>
    <w:rsid w:val="35C15DF1"/>
    <w:rsid w:val="35E26089"/>
    <w:rsid w:val="36074A7F"/>
    <w:rsid w:val="361B57F3"/>
    <w:rsid w:val="367C373A"/>
    <w:rsid w:val="36923549"/>
    <w:rsid w:val="36B75FBF"/>
    <w:rsid w:val="36BD0C45"/>
    <w:rsid w:val="36DC514E"/>
    <w:rsid w:val="37E00298"/>
    <w:rsid w:val="37EC5614"/>
    <w:rsid w:val="382A5DCD"/>
    <w:rsid w:val="38B302F9"/>
    <w:rsid w:val="38F12CD3"/>
    <w:rsid w:val="38F94775"/>
    <w:rsid w:val="392971ED"/>
    <w:rsid w:val="39325651"/>
    <w:rsid w:val="39CC64C0"/>
    <w:rsid w:val="3A3706F7"/>
    <w:rsid w:val="3A872856"/>
    <w:rsid w:val="3B3763D1"/>
    <w:rsid w:val="3B8D7E67"/>
    <w:rsid w:val="3C1E0115"/>
    <w:rsid w:val="3C2F6E1E"/>
    <w:rsid w:val="3C4F64BA"/>
    <w:rsid w:val="3C515A5F"/>
    <w:rsid w:val="3C6D3C52"/>
    <w:rsid w:val="3CDA245A"/>
    <w:rsid w:val="3D1E06B7"/>
    <w:rsid w:val="3D515972"/>
    <w:rsid w:val="3EDA0523"/>
    <w:rsid w:val="3F18161C"/>
    <w:rsid w:val="3FFB0094"/>
    <w:rsid w:val="407A6407"/>
    <w:rsid w:val="4200449D"/>
    <w:rsid w:val="42107F1F"/>
    <w:rsid w:val="423A3BCC"/>
    <w:rsid w:val="424E57D2"/>
    <w:rsid w:val="42B26C49"/>
    <w:rsid w:val="42C153A1"/>
    <w:rsid w:val="433A6FE6"/>
    <w:rsid w:val="43480868"/>
    <w:rsid w:val="4350713C"/>
    <w:rsid w:val="436653E0"/>
    <w:rsid w:val="43AE4BF9"/>
    <w:rsid w:val="43C4431A"/>
    <w:rsid w:val="44B26CE5"/>
    <w:rsid w:val="44B951CC"/>
    <w:rsid w:val="44CD14E0"/>
    <w:rsid w:val="44F20B0B"/>
    <w:rsid w:val="452E5F4C"/>
    <w:rsid w:val="45612018"/>
    <w:rsid w:val="458946E9"/>
    <w:rsid w:val="45A47C0E"/>
    <w:rsid w:val="46025C4A"/>
    <w:rsid w:val="46577FD6"/>
    <w:rsid w:val="46D955A7"/>
    <w:rsid w:val="47133957"/>
    <w:rsid w:val="47630598"/>
    <w:rsid w:val="4797623E"/>
    <w:rsid w:val="47A07E0C"/>
    <w:rsid w:val="47A658D9"/>
    <w:rsid w:val="47BD642E"/>
    <w:rsid w:val="48581EBD"/>
    <w:rsid w:val="4870272E"/>
    <w:rsid w:val="487F2642"/>
    <w:rsid w:val="49BD0C38"/>
    <w:rsid w:val="49C478B2"/>
    <w:rsid w:val="49DC7715"/>
    <w:rsid w:val="4A023139"/>
    <w:rsid w:val="4A495B4E"/>
    <w:rsid w:val="4A7B576F"/>
    <w:rsid w:val="4A8B63B2"/>
    <w:rsid w:val="4AF561A9"/>
    <w:rsid w:val="4B6F4499"/>
    <w:rsid w:val="4BD57E06"/>
    <w:rsid w:val="4C4A0649"/>
    <w:rsid w:val="4C7E5ECA"/>
    <w:rsid w:val="4C876AA5"/>
    <w:rsid w:val="4C946B06"/>
    <w:rsid w:val="4CB64E91"/>
    <w:rsid w:val="4CBD5E90"/>
    <w:rsid w:val="4D0E00FB"/>
    <w:rsid w:val="4D176606"/>
    <w:rsid w:val="4D813B40"/>
    <w:rsid w:val="4DEC4FB0"/>
    <w:rsid w:val="4E075D8A"/>
    <w:rsid w:val="4E745F04"/>
    <w:rsid w:val="4EC00FAD"/>
    <w:rsid w:val="4F9843DC"/>
    <w:rsid w:val="4FAF5596"/>
    <w:rsid w:val="4FC62A8C"/>
    <w:rsid w:val="4FE20F0D"/>
    <w:rsid w:val="4FE51552"/>
    <w:rsid w:val="502017D0"/>
    <w:rsid w:val="504F4913"/>
    <w:rsid w:val="50504C4B"/>
    <w:rsid w:val="509C6E7C"/>
    <w:rsid w:val="5162104E"/>
    <w:rsid w:val="517C3DC9"/>
    <w:rsid w:val="521473E2"/>
    <w:rsid w:val="530E6A58"/>
    <w:rsid w:val="53A039CC"/>
    <w:rsid w:val="53A1505A"/>
    <w:rsid w:val="54063E08"/>
    <w:rsid w:val="543437E8"/>
    <w:rsid w:val="54F73313"/>
    <w:rsid w:val="54F80955"/>
    <w:rsid w:val="555170A7"/>
    <w:rsid w:val="55536543"/>
    <w:rsid w:val="557365D7"/>
    <w:rsid w:val="5587536D"/>
    <w:rsid w:val="559B174B"/>
    <w:rsid w:val="55CE0CF4"/>
    <w:rsid w:val="56042AD6"/>
    <w:rsid w:val="56AB2379"/>
    <w:rsid w:val="56B22A9C"/>
    <w:rsid w:val="572D6B0C"/>
    <w:rsid w:val="57B67217"/>
    <w:rsid w:val="57B72A76"/>
    <w:rsid w:val="57C3426C"/>
    <w:rsid w:val="57CE1F93"/>
    <w:rsid w:val="588743D1"/>
    <w:rsid w:val="5887701A"/>
    <w:rsid w:val="59C0439F"/>
    <w:rsid w:val="59C2517F"/>
    <w:rsid w:val="5A1A3501"/>
    <w:rsid w:val="5ABE2233"/>
    <w:rsid w:val="5B2F5A0D"/>
    <w:rsid w:val="5B437E46"/>
    <w:rsid w:val="5BCC6C81"/>
    <w:rsid w:val="5BDF5D95"/>
    <w:rsid w:val="5BFE7528"/>
    <w:rsid w:val="5C1E0828"/>
    <w:rsid w:val="5C302218"/>
    <w:rsid w:val="5CC3625B"/>
    <w:rsid w:val="5D3704C6"/>
    <w:rsid w:val="5D3C5161"/>
    <w:rsid w:val="5DB55149"/>
    <w:rsid w:val="5DDF34D2"/>
    <w:rsid w:val="5E2467F1"/>
    <w:rsid w:val="5E4502F2"/>
    <w:rsid w:val="5EE1576D"/>
    <w:rsid w:val="5F1A2B43"/>
    <w:rsid w:val="5F60495E"/>
    <w:rsid w:val="5FB837BB"/>
    <w:rsid w:val="60596D20"/>
    <w:rsid w:val="60CC405A"/>
    <w:rsid w:val="6177455A"/>
    <w:rsid w:val="61E215D8"/>
    <w:rsid w:val="621B3775"/>
    <w:rsid w:val="62364782"/>
    <w:rsid w:val="62FD5632"/>
    <w:rsid w:val="6394356A"/>
    <w:rsid w:val="63A85798"/>
    <w:rsid w:val="63C61B2C"/>
    <w:rsid w:val="63D40BE9"/>
    <w:rsid w:val="64102431"/>
    <w:rsid w:val="64A5243A"/>
    <w:rsid w:val="64F531DE"/>
    <w:rsid w:val="65373578"/>
    <w:rsid w:val="6629798D"/>
    <w:rsid w:val="662A5FF7"/>
    <w:rsid w:val="66DB1F08"/>
    <w:rsid w:val="671F124A"/>
    <w:rsid w:val="677A33C6"/>
    <w:rsid w:val="681F6961"/>
    <w:rsid w:val="68610A2F"/>
    <w:rsid w:val="68805514"/>
    <w:rsid w:val="68992F0C"/>
    <w:rsid w:val="691666EC"/>
    <w:rsid w:val="69316E2F"/>
    <w:rsid w:val="694E2071"/>
    <w:rsid w:val="69766163"/>
    <w:rsid w:val="697A3B33"/>
    <w:rsid w:val="69D44760"/>
    <w:rsid w:val="69E200FA"/>
    <w:rsid w:val="69E6375C"/>
    <w:rsid w:val="6A520EC7"/>
    <w:rsid w:val="6A563236"/>
    <w:rsid w:val="6AEA3566"/>
    <w:rsid w:val="6AF87E20"/>
    <w:rsid w:val="6B30336F"/>
    <w:rsid w:val="6B322639"/>
    <w:rsid w:val="6B715E17"/>
    <w:rsid w:val="6C5D2A45"/>
    <w:rsid w:val="6C636C38"/>
    <w:rsid w:val="6DB34098"/>
    <w:rsid w:val="6DB545B6"/>
    <w:rsid w:val="6DE02FB4"/>
    <w:rsid w:val="6E514CED"/>
    <w:rsid w:val="6EB563D5"/>
    <w:rsid w:val="6ED92677"/>
    <w:rsid w:val="6F225983"/>
    <w:rsid w:val="6FF06A16"/>
    <w:rsid w:val="6FFC5590"/>
    <w:rsid w:val="7043452C"/>
    <w:rsid w:val="70492C45"/>
    <w:rsid w:val="706D1DD0"/>
    <w:rsid w:val="70856B87"/>
    <w:rsid w:val="70D527EE"/>
    <w:rsid w:val="710C0F61"/>
    <w:rsid w:val="71196856"/>
    <w:rsid w:val="715B5300"/>
    <w:rsid w:val="71D27F8A"/>
    <w:rsid w:val="72553024"/>
    <w:rsid w:val="73122968"/>
    <w:rsid w:val="731F5D5E"/>
    <w:rsid w:val="73C51AD5"/>
    <w:rsid w:val="741E793C"/>
    <w:rsid w:val="745439CF"/>
    <w:rsid w:val="745E3944"/>
    <w:rsid w:val="74F61165"/>
    <w:rsid w:val="75236056"/>
    <w:rsid w:val="75B360DF"/>
    <w:rsid w:val="7635099D"/>
    <w:rsid w:val="764F5136"/>
    <w:rsid w:val="76902966"/>
    <w:rsid w:val="775931AC"/>
    <w:rsid w:val="77762421"/>
    <w:rsid w:val="77AD0BCB"/>
    <w:rsid w:val="77B56B1F"/>
    <w:rsid w:val="780F09F4"/>
    <w:rsid w:val="78A90480"/>
    <w:rsid w:val="79023031"/>
    <w:rsid w:val="79155CAE"/>
    <w:rsid w:val="7973278E"/>
    <w:rsid w:val="7A364017"/>
    <w:rsid w:val="7A365869"/>
    <w:rsid w:val="7A4F24B2"/>
    <w:rsid w:val="7A7D2CCB"/>
    <w:rsid w:val="7A8265E1"/>
    <w:rsid w:val="7B686D42"/>
    <w:rsid w:val="7B841746"/>
    <w:rsid w:val="7C6C5AC7"/>
    <w:rsid w:val="7C977E07"/>
    <w:rsid w:val="7CC6544B"/>
    <w:rsid w:val="7CFA4EEE"/>
    <w:rsid w:val="7D0239FF"/>
    <w:rsid w:val="7D5219FB"/>
    <w:rsid w:val="7D5E40CD"/>
    <w:rsid w:val="7D9E2A59"/>
    <w:rsid w:val="7DCD56F2"/>
    <w:rsid w:val="7F001CE7"/>
    <w:rsid w:val="7F8C482C"/>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semiHidden/>
    <w:unhideWhenUsed/>
    <w:qFormat/>
    <w:uiPriority w:val="0"/>
    <w:pPr>
      <w:spacing w:beforeAutospacing="1" w:afterAutospacing="1"/>
      <w:jc w:val="left"/>
      <w:outlineLvl w:val="1"/>
    </w:pPr>
    <w:rPr>
      <w:rFonts w:hint="eastAsia" w:ascii="宋体" w:hAnsi="宋体"/>
      <w:b/>
      <w:bCs/>
      <w:kern w:val="0"/>
      <w:sz w:val="36"/>
      <w:szCs w:val="36"/>
    </w:rPr>
  </w:style>
  <w:style w:type="paragraph" w:styleId="4">
    <w:name w:val="heading 4"/>
    <w:basedOn w:val="1"/>
    <w:next w:val="1"/>
    <w:autoRedefine/>
    <w:unhideWhenUsed/>
    <w:qFormat/>
    <w:uiPriority w:val="9"/>
    <w:pPr>
      <w:keepNext/>
      <w:keepLines/>
      <w:spacing w:line="372" w:lineRule="auto"/>
      <w:outlineLvl w:val="3"/>
    </w:pPr>
    <w:rPr>
      <w:rFonts w:ascii="Arial" w:hAnsi="Arial" w:eastAsia="黑体"/>
      <w:b/>
      <w:sz w:val="28"/>
    </w:rPr>
  </w:style>
  <w:style w:type="character" w:default="1" w:styleId="33">
    <w:name w:val="Default Paragraph Font"/>
    <w:autoRedefine/>
    <w:semiHidden/>
    <w:unhideWhenUsed/>
    <w:qFormat/>
    <w:uiPriority w:val="1"/>
  </w:style>
  <w:style w:type="table" w:default="1" w:styleId="31">
    <w:name w:val="Normal Table"/>
    <w:autoRedefine/>
    <w:semiHidden/>
    <w:unhideWhenUsed/>
    <w:qFormat/>
    <w:uiPriority w:val="99"/>
    <w:tblPr>
      <w:tblCellMar>
        <w:top w:w="0" w:type="dxa"/>
        <w:left w:w="108" w:type="dxa"/>
        <w:bottom w:w="0" w:type="dxa"/>
        <w:right w:w="108" w:type="dxa"/>
      </w:tblCellMar>
    </w:tblPr>
  </w:style>
  <w:style w:type="paragraph" w:styleId="5">
    <w:name w:val="table of authorities"/>
    <w:basedOn w:val="1"/>
    <w:next w:val="1"/>
    <w:autoRedefine/>
    <w:qFormat/>
    <w:uiPriority w:val="0"/>
    <w:pPr>
      <w:ind w:left="420" w:leftChars="200" w:firstLine="640" w:firstLineChars="200"/>
    </w:pPr>
  </w:style>
  <w:style w:type="paragraph" w:styleId="6">
    <w:name w:val="Normal Indent"/>
    <w:basedOn w:val="1"/>
    <w:autoRedefine/>
    <w:unhideWhenUsed/>
    <w:qFormat/>
    <w:uiPriority w:val="0"/>
    <w:pPr>
      <w:spacing w:line="560" w:lineRule="exact"/>
      <w:ind w:firstLine="200" w:firstLineChars="200"/>
    </w:pPr>
    <w:rPr>
      <w:rFonts w:ascii="仿宋_GB2312" w:hAnsi="Calibri" w:eastAsia="仿宋_GB2312"/>
      <w:sz w:val="28"/>
      <w:szCs w:val="20"/>
    </w:rPr>
  </w:style>
  <w:style w:type="paragraph" w:styleId="7">
    <w:name w:val="caption"/>
    <w:basedOn w:val="1"/>
    <w:next w:val="1"/>
    <w:autoRedefine/>
    <w:qFormat/>
    <w:uiPriority w:val="0"/>
    <w:pPr>
      <w:spacing w:before="152" w:after="160"/>
      <w:jc w:val="center"/>
    </w:pPr>
    <w:rPr>
      <w:rFonts w:cs="Arial"/>
      <w:szCs w:val="21"/>
    </w:rPr>
  </w:style>
  <w:style w:type="paragraph" w:styleId="8">
    <w:name w:val="annotation text"/>
    <w:basedOn w:val="1"/>
    <w:link w:val="52"/>
    <w:autoRedefine/>
    <w:semiHidden/>
    <w:qFormat/>
    <w:uiPriority w:val="0"/>
    <w:pPr>
      <w:jc w:val="left"/>
    </w:pPr>
    <w:rPr>
      <w:kern w:val="0"/>
      <w:sz w:val="24"/>
      <w:szCs w:val="20"/>
    </w:rPr>
  </w:style>
  <w:style w:type="paragraph" w:styleId="9">
    <w:name w:val="Body Text"/>
    <w:basedOn w:val="1"/>
    <w:next w:val="10"/>
    <w:link w:val="51"/>
    <w:autoRedefine/>
    <w:qFormat/>
    <w:uiPriority w:val="0"/>
    <w:pPr>
      <w:widowControl/>
      <w:snapToGrid w:val="0"/>
      <w:spacing w:before="60" w:after="160" w:line="259" w:lineRule="auto"/>
      <w:ind w:right="113"/>
    </w:pPr>
    <w:rPr>
      <w:kern w:val="0"/>
      <w:sz w:val="18"/>
      <w:szCs w:val="20"/>
    </w:rPr>
  </w:style>
  <w:style w:type="paragraph" w:customStyle="1" w:styleId="10">
    <w:name w:val="Normal (Web)1"/>
    <w:basedOn w:val="1"/>
    <w:next w:val="11"/>
    <w:autoRedefine/>
    <w:qFormat/>
    <w:uiPriority w:val="0"/>
    <w:pPr>
      <w:widowControl/>
    </w:pPr>
    <w:rPr>
      <w:rFonts w:ascii="宋体"/>
      <w:sz w:val="24"/>
      <w:szCs w:val="21"/>
    </w:rPr>
  </w:style>
  <w:style w:type="paragraph" w:customStyle="1" w:styleId="11">
    <w:name w:val="Date1"/>
    <w:basedOn w:val="1"/>
    <w:next w:val="1"/>
    <w:autoRedefine/>
    <w:qFormat/>
    <w:uiPriority w:val="0"/>
    <w:pPr>
      <w:autoSpaceDE w:val="0"/>
      <w:autoSpaceDN w:val="0"/>
      <w:adjustRightInd w:val="0"/>
      <w:textAlignment w:val="baseline"/>
    </w:pPr>
    <w:rPr>
      <w:rFonts w:ascii="宋体"/>
      <w:spacing w:val="5"/>
      <w:kern w:val="0"/>
      <w:sz w:val="24"/>
      <w:szCs w:val="20"/>
    </w:rPr>
  </w:style>
  <w:style w:type="paragraph" w:styleId="12">
    <w:name w:val="Body Text Indent"/>
    <w:basedOn w:val="1"/>
    <w:next w:val="13"/>
    <w:link w:val="60"/>
    <w:autoRedefine/>
    <w:qFormat/>
    <w:uiPriority w:val="0"/>
    <w:pPr>
      <w:spacing w:after="120"/>
      <w:ind w:left="420" w:leftChars="200"/>
    </w:pPr>
    <w:rPr>
      <w:kern w:val="0"/>
      <w:sz w:val="24"/>
      <w:szCs w:val="20"/>
    </w:rPr>
  </w:style>
  <w:style w:type="paragraph" w:customStyle="1" w:styleId="13">
    <w:name w:val="样式 正文文本缩进 + 行距: 1.5 倍行距"/>
    <w:basedOn w:val="12"/>
    <w:autoRedefine/>
    <w:qFormat/>
    <w:uiPriority w:val="0"/>
    <w:pPr>
      <w:spacing w:after="120"/>
      <w:ind w:left="90" w:leftChars="32" w:firstLine="560"/>
    </w:pPr>
    <w:rPr>
      <w:rFonts w:ascii="Times New Roman" w:hAnsi="Times New Roman"/>
      <w:lang w:val="en-US"/>
    </w:rPr>
  </w:style>
  <w:style w:type="paragraph" w:styleId="14">
    <w:name w:val="Plain Text"/>
    <w:basedOn w:val="1"/>
    <w:link w:val="71"/>
    <w:autoRedefine/>
    <w:unhideWhenUsed/>
    <w:qFormat/>
    <w:uiPriority w:val="0"/>
    <w:rPr>
      <w:rFonts w:ascii="宋体" w:hAnsi="Courier New"/>
      <w:kern w:val="0"/>
      <w:sz w:val="20"/>
      <w:szCs w:val="21"/>
    </w:rPr>
  </w:style>
  <w:style w:type="paragraph" w:styleId="15">
    <w:name w:val="Date"/>
    <w:basedOn w:val="1"/>
    <w:next w:val="1"/>
    <w:link w:val="47"/>
    <w:autoRedefine/>
    <w:qFormat/>
    <w:uiPriority w:val="0"/>
    <w:pPr>
      <w:ind w:left="100" w:leftChars="2500"/>
    </w:pPr>
    <w:rPr>
      <w:kern w:val="0"/>
      <w:sz w:val="24"/>
      <w:szCs w:val="20"/>
    </w:rPr>
  </w:style>
  <w:style w:type="paragraph" w:styleId="16">
    <w:name w:val="Body Text Indent 2"/>
    <w:basedOn w:val="1"/>
    <w:next w:val="1"/>
    <w:link w:val="82"/>
    <w:autoRedefine/>
    <w:qFormat/>
    <w:uiPriority w:val="0"/>
    <w:pPr>
      <w:spacing w:after="120" w:line="480" w:lineRule="auto"/>
      <w:ind w:left="420" w:leftChars="200"/>
    </w:pPr>
  </w:style>
  <w:style w:type="paragraph" w:styleId="17">
    <w:name w:val="Balloon Text"/>
    <w:basedOn w:val="1"/>
    <w:link w:val="56"/>
    <w:autoRedefine/>
    <w:semiHidden/>
    <w:qFormat/>
    <w:uiPriority w:val="0"/>
    <w:rPr>
      <w:kern w:val="0"/>
      <w:sz w:val="18"/>
      <w:szCs w:val="20"/>
    </w:rPr>
  </w:style>
  <w:style w:type="paragraph" w:styleId="18">
    <w:name w:val="footer"/>
    <w:basedOn w:val="1"/>
    <w:link w:val="46"/>
    <w:autoRedefine/>
    <w:qFormat/>
    <w:uiPriority w:val="99"/>
    <w:pPr>
      <w:tabs>
        <w:tab w:val="center" w:pos="4153"/>
        <w:tab w:val="right" w:pos="8306"/>
      </w:tabs>
      <w:snapToGrid w:val="0"/>
      <w:jc w:val="left"/>
    </w:pPr>
    <w:rPr>
      <w:kern w:val="0"/>
      <w:sz w:val="18"/>
      <w:szCs w:val="20"/>
    </w:rPr>
  </w:style>
  <w:style w:type="paragraph" w:styleId="19">
    <w:name w:val="header"/>
    <w:basedOn w:val="1"/>
    <w:next w:val="20"/>
    <w:link w:val="58"/>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0">
    <w:name w:val="样式5"/>
    <w:basedOn w:val="1"/>
    <w:autoRedefine/>
    <w:qFormat/>
    <w:uiPriority w:val="0"/>
    <w:pPr>
      <w:spacing w:before="0" w:after="0" w:line="380" w:lineRule="exact"/>
      <w:ind w:firstLine="566" w:firstLineChars="202"/>
    </w:pPr>
    <w:rPr>
      <w:rFonts w:eastAsia="华文行楷"/>
    </w:rPr>
  </w:style>
  <w:style w:type="paragraph" w:styleId="21">
    <w:name w:val="toc 1"/>
    <w:basedOn w:val="1"/>
    <w:next w:val="1"/>
    <w:autoRedefine/>
    <w:qFormat/>
    <w:uiPriority w:val="39"/>
    <w:pPr>
      <w:spacing w:before="120" w:after="120"/>
      <w:jc w:val="left"/>
    </w:pPr>
    <w:rPr>
      <w:rFonts w:ascii="等线" w:eastAsia="等线"/>
      <w:b/>
      <w:bCs/>
      <w:caps/>
      <w:sz w:val="20"/>
      <w:szCs w:val="20"/>
    </w:rPr>
  </w:style>
  <w:style w:type="paragraph" w:styleId="22">
    <w:name w:val="List"/>
    <w:basedOn w:val="1"/>
    <w:next w:val="1"/>
    <w:qFormat/>
    <w:uiPriority w:val="0"/>
    <w:pPr>
      <w:ind w:left="200" w:hanging="200" w:hangingChars="200"/>
    </w:pPr>
  </w:style>
  <w:style w:type="paragraph" w:styleId="23">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4">
    <w:name w:val="toc 2"/>
    <w:basedOn w:val="1"/>
    <w:next w:val="1"/>
    <w:autoRedefine/>
    <w:qFormat/>
    <w:uiPriority w:val="0"/>
    <w:pPr>
      <w:ind w:left="420" w:leftChars="200"/>
    </w:pPr>
    <w:rPr>
      <w:sz w:val="24"/>
    </w:rPr>
  </w:style>
  <w:style w:type="paragraph" w:styleId="25">
    <w:name w:val="Message Header"/>
    <w:basedOn w:val="1"/>
    <w:autoRedefine/>
    <w:qFormat/>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s="Arial"/>
      <w:color w:val="000000"/>
      <w:sz w:val="24"/>
    </w:rPr>
  </w:style>
  <w:style w:type="paragraph" w:styleId="26">
    <w:name w:val="Normal (Web)"/>
    <w:basedOn w:val="1"/>
    <w:link w:val="49"/>
    <w:autoRedefine/>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1"/>
    <w:qFormat/>
    <w:uiPriority w:val="0"/>
    <w:pPr>
      <w:spacing w:before="240" w:after="60"/>
      <w:jc w:val="center"/>
      <w:outlineLvl w:val="0"/>
    </w:pPr>
    <w:rPr>
      <w:rFonts w:ascii="等线 Light" w:hAnsi="等线 Light"/>
      <w:b/>
      <w:bCs/>
      <w:sz w:val="32"/>
      <w:szCs w:val="32"/>
    </w:rPr>
  </w:style>
  <w:style w:type="paragraph" w:styleId="28">
    <w:name w:val="annotation subject"/>
    <w:basedOn w:val="8"/>
    <w:next w:val="8"/>
    <w:link w:val="57"/>
    <w:autoRedefine/>
    <w:semiHidden/>
    <w:qFormat/>
    <w:uiPriority w:val="0"/>
    <w:rPr>
      <w:b/>
    </w:rPr>
  </w:style>
  <w:style w:type="paragraph" w:styleId="29">
    <w:name w:val="Body Text First Indent"/>
    <w:basedOn w:val="9"/>
    <w:next w:val="1"/>
    <w:link w:val="83"/>
    <w:autoRedefine/>
    <w:qFormat/>
    <w:uiPriority w:val="99"/>
    <w:pPr>
      <w:spacing w:after="120"/>
      <w:ind w:firstLine="420" w:firstLineChars="100"/>
    </w:pPr>
  </w:style>
  <w:style w:type="paragraph" w:styleId="30">
    <w:name w:val="Body Text First Indent 2"/>
    <w:basedOn w:val="12"/>
    <w:next w:val="1"/>
    <w:link w:val="85"/>
    <w:autoRedefine/>
    <w:unhideWhenUsed/>
    <w:qFormat/>
    <w:uiPriority w:val="99"/>
    <w:pPr>
      <w:ind w:firstLine="420" w:firstLineChars="200"/>
    </w:pPr>
    <w:rPr>
      <w:rFonts w:ascii="Calibri" w:hAnsi="Calibri"/>
      <w:kern w:val="2"/>
      <w:sz w:val="21"/>
      <w:szCs w:val="22"/>
    </w:rPr>
  </w:style>
  <w:style w:type="table" w:styleId="32">
    <w:name w:val="Table Grid"/>
    <w:basedOn w:val="31"/>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4">
    <w:name w:val="page number"/>
    <w:basedOn w:val="33"/>
    <w:autoRedefine/>
    <w:qFormat/>
    <w:uiPriority w:val="0"/>
  </w:style>
  <w:style w:type="character" w:styleId="35">
    <w:name w:val="FollowedHyperlink"/>
    <w:basedOn w:val="33"/>
    <w:autoRedefine/>
    <w:qFormat/>
    <w:uiPriority w:val="0"/>
    <w:rPr>
      <w:color w:val="000000"/>
      <w:u w:val="none"/>
    </w:rPr>
  </w:style>
  <w:style w:type="character" w:styleId="36">
    <w:name w:val="Emphasis"/>
    <w:basedOn w:val="33"/>
    <w:autoRedefine/>
    <w:qFormat/>
    <w:uiPriority w:val="0"/>
  </w:style>
  <w:style w:type="character" w:styleId="37">
    <w:name w:val="Hyperlink"/>
    <w:basedOn w:val="33"/>
    <w:autoRedefine/>
    <w:qFormat/>
    <w:uiPriority w:val="0"/>
    <w:rPr>
      <w:color w:val="000000"/>
      <w:u w:val="none"/>
    </w:rPr>
  </w:style>
  <w:style w:type="character" w:styleId="38">
    <w:name w:val="annotation reference"/>
    <w:autoRedefine/>
    <w:semiHidden/>
    <w:qFormat/>
    <w:uiPriority w:val="0"/>
    <w:rPr>
      <w:sz w:val="21"/>
    </w:rPr>
  </w:style>
  <w:style w:type="paragraph" w:customStyle="1" w:styleId="39">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0">
    <w:name w:val="Default"/>
    <w:basedOn w:val="41"/>
    <w:next w:val="22"/>
    <w:autoRedefine/>
    <w:qFormat/>
    <w:uiPriority w:val="0"/>
    <w:pPr>
      <w:widowControl w:val="0"/>
      <w:autoSpaceDE w:val="0"/>
      <w:autoSpaceDN w:val="0"/>
    </w:pPr>
    <w:rPr>
      <w:rFonts w:ascii="微软雅黑" w:hAnsi="Times New Roman" w:eastAsia="微软雅黑" w:cs="微软雅黑"/>
      <w:color w:val="000000"/>
      <w:szCs w:val="24"/>
    </w:rPr>
  </w:style>
  <w:style w:type="paragraph" w:customStyle="1" w:styleId="41">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2">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43">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44">
    <w:name w:val="_Style 4"/>
    <w:basedOn w:val="1"/>
    <w:autoRedefine/>
    <w:qFormat/>
    <w:uiPriority w:val="0"/>
  </w:style>
  <w:style w:type="paragraph" w:customStyle="1" w:styleId="45">
    <w:name w:val="样式 正文首行缩进 + 首行缩进:  2 字符1"/>
    <w:basedOn w:val="1"/>
    <w:next w:val="21"/>
    <w:autoRedefine/>
    <w:qFormat/>
    <w:uiPriority w:val="0"/>
    <w:pPr>
      <w:spacing w:line="360" w:lineRule="auto"/>
      <w:ind w:firstLine="480" w:firstLineChars="200"/>
    </w:pPr>
    <w:rPr>
      <w:sz w:val="24"/>
      <w:szCs w:val="20"/>
    </w:rPr>
  </w:style>
  <w:style w:type="character" w:customStyle="1" w:styleId="46">
    <w:name w:val="页脚 Char"/>
    <w:link w:val="18"/>
    <w:autoRedefine/>
    <w:qFormat/>
    <w:uiPriority w:val="99"/>
    <w:rPr>
      <w:sz w:val="18"/>
    </w:rPr>
  </w:style>
  <w:style w:type="character" w:customStyle="1" w:styleId="47">
    <w:name w:val="日期 Char"/>
    <w:link w:val="15"/>
    <w:autoRedefine/>
    <w:qFormat/>
    <w:uiPriority w:val="0"/>
    <w:rPr>
      <w:rFonts w:ascii="Times New Roman" w:hAnsi="Times New Roman" w:eastAsia="宋体"/>
      <w:sz w:val="24"/>
    </w:rPr>
  </w:style>
  <w:style w:type="character" w:customStyle="1" w:styleId="48">
    <w:name w:val="页脚 字符"/>
    <w:basedOn w:val="33"/>
    <w:autoRedefine/>
    <w:qFormat/>
    <w:uiPriority w:val="99"/>
  </w:style>
  <w:style w:type="character" w:customStyle="1" w:styleId="49">
    <w:name w:val="普通(网站) Char"/>
    <w:link w:val="26"/>
    <w:autoRedefine/>
    <w:qFormat/>
    <w:uiPriority w:val="0"/>
    <w:rPr>
      <w:rFonts w:ascii="宋体" w:hAnsi="宋体" w:eastAsia="宋体"/>
      <w:sz w:val="24"/>
    </w:rPr>
  </w:style>
  <w:style w:type="character" w:customStyle="1" w:styleId="50">
    <w:name w:val="正文文本 字符1"/>
    <w:autoRedefine/>
    <w:semiHidden/>
    <w:qFormat/>
    <w:uiPriority w:val="0"/>
    <w:rPr>
      <w:rFonts w:ascii="Times New Roman" w:hAnsi="Times New Roman" w:eastAsia="宋体"/>
      <w:sz w:val="24"/>
    </w:rPr>
  </w:style>
  <w:style w:type="character" w:customStyle="1" w:styleId="51">
    <w:name w:val="正文文本 Char"/>
    <w:link w:val="9"/>
    <w:autoRedefine/>
    <w:qFormat/>
    <w:uiPriority w:val="0"/>
    <w:rPr>
      <w:sz w:val="18"/>
    </w:rPr>
  </w:style>
  <w:style w:type="character" w:customStyle="1" w:styleId="52">
    <w:name w:val="批注文字 Char"/>
    <w:link w:val="8"/>
    <w:autoRedefine/>
    <w:qFormat/>
    <w:uiPriority w:val="0"/>
    <w:rPr>
      <w:rFonts w:ascii="Times New Roman" w:hAnsi="Times New Roman" w:eastAsia="宋体"/>
      <w:sz w:val="24"/>
    </w:rPr>
  </w:style>
  <w:style w:type="character" w:customStyle="1" w:styleId="53">
    <w:name w:val="表格 Char"/>
    <w:link w:val="54"/>
    <w:autoRedefine/>
    <w:qFormat/>
    <w:uiPriority w:val="0"/>
    <w:rPr>
      <w:rFonts w:ascii="宋体"/>
      <w:sz w:val="21"/>
    </w:rPr>
  </w:style>
  <w:style w:type="paragraph" w:customStyle="1" w:styleId="54">
    <w:name w:val="表格"/>
    <w:basedOn w:val="1"/>
    <w:next w:val="1"/>
    <w:link w:val="53"/>
    <w:autoRedefine/>
    <w:qFormat/>
    <w:uiPriority w:val="0"/>
    <w:pPr>
      <w:adjustRightInd w:val="0"/>
      <w:snapToGrid w:val="0"/>
      <w:spacing w:beforeLines="10" w:afterLines="10" w:line="259" w:lineRule="auto"/>
      <w:jc w:val="center"/>
    </w:pPr>
    <w:rPr>
      <w:rFonts w:ascii="宋体"/>
      <w:kern w:val="0"/>
      <w:szCs w:val="20"/>
    </w:rPr>
  </w:style>
  <w:style w:type="character" w:customStyle="1" w:styleId="55">
    <w:name w:val="日期 字符"/>
    <w:autoRedefine/>
    <w:semiHidden/>
    <w:qFormat/>
    <w:uiPriority w:val="0"/>
    <w:rPr>
      <w:rFonts w:ascii="Times New Roman" w:hAnsi="Times New Roman" w:eastAsia="宋体"/>
      <w:sz w:val="24"/>
    </w:rPr>
  </w:style>
  <w:style w:type="character" w:customStyle="1" w:styleId="56">
    <w:name w:val="批注框文本 Char"/>
    <w:link w:val="17"/>
    <w:autoRedefine/>
    <w:semiHidden/>
    <w:qFormat/>
    <w:uiPriority w:val="0"/>
    <w:rPr>
      <w:rFonts w:ascii="Times New Roman" w:hAnsi="Times New Roman" w:eastAsia="宋体"/>
      <w:sz w:val="18"/>
    </w:rPr>
  </w:style>
  <w:style w:type="character" w:customStyle="1" w:styleId="57">
    <w:name w:val="批注主题 Char"/>
    <w:link w:val="28"/>
    <w:autoRedefine/>
    <w:semiHidden/>
    <w:qFormat/>
    <w:uiPriority w:val="0"/>
    <w:rPr>
      <w:rFonts w:ascii="Times New Roman" w:hAnsi="Times New Roman" w:eastAsia="宋体"/>
      <w:b/>
      <w:kern w:val="2"/>
      <w:sz w:val="24"/>
    </w:rPr>
  </w:style>
  <w:style w:type="character" w:customStyle="1" w:styleId="58">
    <w:name w:val="页眉 Char"/>
    <w:link w:val="19"/>
    <w:autoRedefine/>
    <w:qFormat/>
    <w:uiPriority w:val="0"/>
    <w:rPr>
      <w:sz w:val="18"/>
    </w:rPr>
  </w:style>
  <w:style w:type="character" w:customStyle="1" w:styleId="59">
    <w:name w:val="批注文字 字符1"/>
    <w:autoRedefine/>
    <w:semiHidden/>
    <w:qFormat/>
    <w:uiPriority w:val="0"/>
    <w:rPr>
      <w:rFonts w:ascii="Times New Roman" w:hAnsi="Times New Roman" w:eastAsia="宋体"/>
      <w:sz w:val="24"/>
    </w:rPr>
  </w:style>
  <w:style w:type="character" w:customStyle="1" w:styleId="60">
    <w:name w:val="正文文本缩进 Char"/>
    <w:link w:val="12"/>
    <w:autoRedefine/>
    <w:semiHidden/>
    <w:qFormat/>
    <w:uiPriority w:val="0"/>
    <w:rPr>
      <w:rFonts w:ascii="Times New Roman" w:hAnsi="Times New Roman" w:eastAsia="宋体"/>
      <w:sz w:val="24"/>
    </w:rPr>
  </w:style>
  <w:style w:type="paragraph" w:customStyle="1" w:styleId="6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63">
    <w:name w:val="【表头】 Char"/>
    <w:link w:val="64"/>
    <w:autoRedefine/>
    <w:qFormat/>
    <w:uiPriority w:val="0"/>
    <w:rPr>
      <w:sz w:val="21"/>
    </w:rPr>
  </w:style>
  <w:style w:type="paragraph" w:customStyle="1" w:styleId="64">
    <w:name w:val="【表头】"/>
    <w:basedOn w:val="1"/>
    <w:link w:val="63"/>
    <w:autoRedefine/>
    <w:qFormat/>
    <w:uiPriority w:val="0"/>
    <w:pPr>
      <w:jc w:val="center"/>
    </w:pPr>
    <w:rPr>
      <w:kern w:val="0"/>
      <w:szCs w:val="20"/>
    </w:rPr>
  </w:style>
  <w:style w:type="character" w:customStyle="1" w:styleId="65">
    <w:name w:val="【表中文字】 Char"/>
    <w:link w:val="66"/>
    <w:autoRedefine/>
    <w:qFormat/>
    <w:uiPriority w:val="0"/>
    <w:rPr>
      <w:sz w:val="21"/>
    </w:rPr>
  </w:style>
  <w:style w:type="paragraph" w:customStyle="1" w:styleId="66">
    <w:name w:val="【表中文字】"/>
    <w:basedOn w:val="1"/>
    <w:link w:val="65"/>
    <w:autoRedefine/>
    <w:qFormat/>
    <w:uiPriority w:val="0"/>
    <w:pPr>
      <w:jc w:val="center"/>
    </w:pPr>
    <w:rPr>
      <w:kern w:val="0"/>
      <w:szCs w:val="20"/>
    </w:rPr>
  </w:style>
  <w:style w:type="character" w:customStyle="1" w:styleId="67">
    <w:name w:val="❤【表中文字】 Char"/>
    <w:autoRedefine/>
    <w:qFormat/>
    <w:uiPriority w:val="0"/>
    <w:rPr>
      <w:rFonts w:ascii="Times New Roman" w:hAnsi="Times New Roman" w:eastAsia="宋体"/>
      <w:sz w:val="21"/>
    </w:rPr>
  </w:style>
  <w:style w:type="character" w:customStyle="1" w:styleId="68">
    <w:name w:val="【表中文字】宋体/新罗马/五号"/>
    <w:autoRedefine/>
    <w:qFormat/>
    <w:uiPriority w:val="0"/>
    <w:rPr>
      <w:rFonts w:ascii="Times New Roman" w:hAnsi="Times New Roman" w:eastAsia="宋体"/>
      <w:kern w:val="2"/>
      <w:sz w:val="21"/>
      <w:lang w:bidi="ar-SA"/>
    </w:rPr>
  </w:style>
  <w:style w:type="character" w:customStyle="1" w:styleId="69">
    <w:name w:val="【正文】 Char"/>
    <w:link w:val="70"/>
    <w:autoRedefine/>
    <w:qFormat/>
    <w:uiPriority w:val="0"/>
    <w:rPr>
      <w:kern w:val="2"/>
      <w:sz w:val="24"/>
      <w:szCs w:val="24"/>
    </w:rPr>
  </w:style>
  <w:style w:type="paragraph" w:customStyle="1" w:styleId="70">
    <w:name w:val="【正文】"/>
    <w:basedOn w:val="1"/>
    <w:next w:val="25"/>
    <w:link w:val="69"/>
    <w:autoRedefine/>
    <w:qFormat/>
    <w:uiPriority w:val="0"/>
    <w:pPr>
      <w:spacing w:line="360" w:lineRule="auto"/>
      <w:ind w:firstLine="480" w:firstLineChars="200"/>
    </w:pPr>
    <w:rPr>
      <w:sz w:val="24"/>
    </w:rPr>
  </w:style>
  <w:style w:type="character" w:customStyle="1" w:styleId="71">
    <w:name w:val="纯文本 Char"/>
    <w:basedOn w:val="33"/>
    <w:link w:val="14"/>
    <w:autoRedefine/>
    <w:qFormat/>
    <w:uiPriority w:val="0"/>
    <w:rPr>
      <w:rFonts w:ascii="宋体" w:hAnsi="Courier New"/>
      <w:szCs w:val="21"/>
    </w:rPr>
  </w:style>
  <w:style w:type="character" w:customStyle="1" w:styleId="72">
    <w:name w:val="【正文】 Char1"/>
    <w:autoRedefine/>
    <w:qFormat/>
    <w:uiPriority w:val="0"/>
    <w:rPr>
      <w:kern w:val="2"/>
      <w:sz w:val="24"/>
      <w:szCs w:val="24"/>
    </w:rPr>
  </w:style>
  <w:style w:type="character" w:customStyle="1" w:styleId="73">
    <w:name w:val="【表中文字】 Char Char"/>
    <w:autoRedefine/>
    <w:qFormat/>
    <w:uiPriority w:val="0"/>
    <w:rPr>
      <w:kern w:val="2"/>
      <w:sz w:val="21"/>
      <w:szCs w:val="22"/>
    </w:rPr>
  </w:style>
  <w:style w:type="paragraph" w:styleId="74">
    <w:name w:val="List Paragraph"/>
    <w:basedOn w:val="1"/>
    <w:autoRedefine/>
    <w:qFormat/>
    <w:uiPriority w:val="34"/>
    <w:pPr>
      <w:ind w:firstLine="420" w:firstLineChars="200"/>
    </w:pPr>
  </w:style>
  <w:style w:type="paragraph" w:customStyle="1" w:styleId="75">
    <w:name w:val="《正文》"/>
    <w:basedOn w:val="1"/>
    <w:link w:val="76"/>
    <w:autoRedefine/>
    <w:qFormat/>
    <w:uiPriority w:val="0"/>
    <w:pPr>
      <w:spacing w:line="360" w:lineRule="auto"/>
      <w:ind w:firstLine="200" w:firstLineChars="200"/>
    </w:pPr>
    <w:rPr>
      <w:sz w:val="24"/>
    </w:rPr>
  </w:style>
  <w:style w:type="character" w:customStyle="1" w:styleId="76">
    <w:name w:val="《正文》 字符"/>
    <w:link w:val="75"/>
    <w:autoRedefine/>
    <w:qFormat/>
    <w:uiPriority w:val="0"/>
    <w:rPr>
      <w:kern w:val="2"/>
      <w:sz w:val="24"/>
      <w:szCs w:val="24"/>
    </w:rPr>
  </w:style>
  <w:style w:type="paragraph" w:customStyle="1" w:styleId="77">
    <w:name w:val="标题2"/>
    <w:basedOn w:val="70"/>
    <w:link w:val="78"/>
    <w:autoRedefine/>
    <w:qFormat/>
    <w:uiPriority w:val="0"/>
    <w:pPr>
      <w:ind w:firstLine="0" w:firstLineChars="0"/>
      <w:outlineLvl w:val="1"/>
    </w:pPr>
    <w:rPr>
      <w:b/>
      <w:snapToGrid w:val="0"/>
    </w:rPr>
  </w:style>
  <w:style w:type="character" w:customStyle="1" w:styleId="78">
    <w:name w:val="标题2 字符"/>
    <w:link w:val="77"/>
    <w:autoRedefine/>
    <w:qFormat/>
    <w:uiPriority w:val="0"/>
    <w:rPr>
      <w:b/>
      <w:snapToGrid w:val="0"/>
      <w:kern w:val="2"/>
      <w:sz w:val="24"/>
      <w:szCs w:val="24"/>
    </w:rPr>
  </w:style>
  <w:style w:type="paragraph" w:customStyle="1" w:styleId="79">
    <w:name w:val="头表头"/>
    <w:basedOn w:val="66"/>
    <w:link w:val="80"/>
    <w:autoRedefine/>
    <w:qFormat/>
    <w:uiPriority w:val="0"/>
    <w:pPr>
      <w:adjustRightInd w:val="0"/>
      <w:snapToGrid w:val="0"/>
    </w:pPr>
    <w:rPr>
      <w:b/>
      <w:color w:val="000000"/>
      <w:kern w:val="2"/>
      <w:szCs w:val="22"/>
    </w:rPr>
  </w:style>
  <w:style w:type="character" w:customStyle="1" w:styleId="80">
    <w:name w:val="头表头 字符"/>
    <w:link w:val="79"/>
    <w:autoRedefine/>
    <w:qFormat/>
    <w:uiPriority w:val="0"/>
    <w:rPr>
      <w:b/>
      <w:color w:val="000000"/>
      <w:kern w:val="2"/>
      <w:sz w:val="21"/>
      <w:szCs w:val="22"/>
    </w:rPr>
  </w:style>
  <w:style w:type="paragraph" w:customStyle="1" w:styleId="81">
    <w:name w:val="正文文字缩进1"/>
    <w:basedOn w:val="16"/>
    <w:autoRedefine/>
    <w:qFormat/>
    <w:uiPriority w:val="0"/>
    <w:pPr>
      <w:spacing w:after="0" w:line="360" w:lineRule="auto"/>
      <w:ind w:left="0" w:leftChars="0" w:firstLine="560"/>
    </w:pPr>
    <w:rPr>
      <w:rFonts w:ascii="黑体" w:hAnsi="Arial Black" w:eastAsia="黑体"/>
      <w:b/>
      <w:bCs/>
      <w:sz w:val="28"/>
      <w:szCs w:val="20"/>
    </w:rPr>
  </w:style>
  <w:style w:type="character" w:customStyle="1" w:styleId="82">
    <w:name w:val="正文文本缩进 2 Char"/>
    <w:basedOn w:val="33"/>
    <w:link w:val="16"/>
    <w:autoRedefine/>
    <w:qFormat/>
    <w:uiPriority w:val="0"/>
    <w:rPr>
      <w:kern w:val="2"/>
      <w:sz w:val="21"/>
      <w:szCs w:val="24"/>
    </w:rPr>
  </w:style>
  <w:style w:type="character" w:customStyle="1" w:styleId="83">
    <w:name w:val="正文首行缩进 Char"/>
    <w:basedOn w:val="51"/>
    <w:link w:val="29"/>
    <w:autoRedefine/>
    <w:qFormat/>
    <w:uiPriority w:val="99"/>
    <w:rPr>
      <w:kern w:val="2"/>
      <w:sz w:val="21"/>
      <w:szCs w:val="24"/>
    </w:rPr>
  </w:style>
  <w:style w:type="paragraph" w:customStyle="1" w:styleId="84">
    <w:name w:val="biaoneirong"/>
    <w:basedOn w:val="1"/>
    <w:autoRedefine/>
    <w:qFormat/>
    <w:uiPriority w:val="0"/>
    <w:pPr>
      <w:jc w:val="center"/>
    </w:pPr>
    <w:rPr>
      <w:rFonts w:hAnsi="宋体"/>
      <w:szCs w:val="21"/>
    </w:rPr>
  </w:style>
  <w:style w:type="character" w:customStyle="1" w:styleId="85">
    <w:name w:val="正文首行缩进 2 Char"/>
    <w:basedOn w:val="60"/>
    <w:link w:val="30"/>
    <w:autoRedefine/>
    <w:qFormat/>
    <w:uiPriority w:val="99"/>
    <w:rPr>
      <w:rFonts w:ascii="Calibri" w:hAnsi="Calibri" w:eastAsia="宋体"/>
      <w:kern w:val="2"/>
      <w:sz w:val="21"/>
      <w:szCs w:val="22"/>
    </w:rPr>
  </w:style>
  <w:style w:type="character" w:customStyle="1" w:styleId="86">
    <w:name w:val="【表中文字】- 字符"/>
    <w:link w:val="87"/>
    <w:autoRedefine/>
    <w:qFormat/>
    <w:uiPriority w:val="0"/>
    <w:rPr>
      <w:sz w:val="18"/>
    </w:rPr>
  </w:style>
  <w:style w:type="paragraph" w:customStyle="1" w:styleId="87">
    <w:name w:val="【表中文字】-"/>
    <w:basedOn w:val="1"/>
    <w:link w:val="86"/>
    <w:autoRedefine/>
    <w:qFormat/>
    <w:uiPriority w:val="0"/>
    <w:pPr>
      <w:adjustRightInd w:val="0"/>
      <w:snapToGrid w:val="0"/>
      <w:jc w:val="center"/>
    </w:pPr>
    <w:rPr>
      <w:kern w:val="0"/>
      <w:sz w:val="18"/>
      <w:szCs w:val="20"/>
    </w:rPr>
  </w:style>
  <w:style w:type="paragraph" w:customStyle="1" w:styleId="88">
    <w:name w:val="首行缩进正文"/>
    <w:basedOn w:val="70"/>
    <w:link w:val="89"/>
    <w:autoRedefine/>
    <w:qFormat/>
    <w:uiPriority w:val="0"/>
    <w:pPr>
      <w:spacing w:line="240" w:lineRule="auto"/>
      <w:ind w:firstLine="200"/>
    </w:pPr>
    <w:rPr>
      <w:rFonts w:cs="宋体"/>
      <w:color w:val="000000" w:themeColor="text1"/>
      <w:sz w:val="21"/>
      <w14:textFill>
        <w14:solidFill>
          <w14:schemeClr w14:val="tx1"/>
        </w14:solidFill>
      </w14:textFill>
    </w:rPr>
  </w:style>
  <w:style w:type="character" w:customStyle="1" w:styleId="89">
    <w:name w:val="首行缩进正文 字符"/>
    <w:basedOn w:val="69"/>
    <w:link w:val="88"/>
    <w:autoRedefine/>
    <w:qFormat/>
    <w:uiPriority w:val="0"/>
    <w:rPr>
      <w:rFonts w:cs="宋体"/>
      <w:color w:val="000000" w:themeColor="text1"/>
      <w:kern w:val="2"/>
      <w:sz w:val="21"/>
      <w:szCs w:val="24"/>
      <w14:textFill>
        <w14:solidFill>
          <w14:schemeClr w14:val="tx1"/>
        </w14:solidFill>
      </w14:textFill>
    </w:rPr>
  </w:style>
  <w:style w:type="paragraph" w:customStyle="1" w:styleId="90">
    <w:name w:val="表格填充项"/>
    <w:basedOn w:val="1"/>
    <w:autoRedefine/>
    <w:qFormat/>
    <w:uiPriority w:val="0"/>
    <w:pPr>
      <w:spacing w:line="240" w:lineRule="atLeast"/>
      <w:jc w:val="center"/>
    </w:pPr>
    <w:rPr>
      <w:rFonts w:ascii="宋体" w:hAnsi="宋体"/>
      <w:b/>
    </w:rPr>
  </w:style>
  <w:style w:type="paragraph" w:customStyle="1" w:styleId="91">
    <w:name w:val="表格题目"/>
    <w:basedOn w:val="1"/>
    <w:autoRedefine/>
    <w:qFormat/>
    <w:uiPriority w:val="0"/>
    <w:pPr>
      <w:spacing w:line="240" w:lineRule="atLeast"/>
      <w:jc w:val="center"/>
    </w:pPr>
    <w:rPr>
      <w:rFonts w:ascii="黑体" w:hAnsi="宋体" w:eastAsia="黑体"/>
      <w:sz w:val="24"/>
    </w:rPr>
  </w:style>
  <w:style w:type="character" w:customStyle="1" w:styleId="92">
    <w:name w:val="fontstyle01"/>
    <w:autoRedefine/>
    <w:qFormat/>
    <w:uiPriority w:val="0"/>
    <w:rPr>
      <w:rFonts w:hint="eastAsia" w:ascii="宋体" w:hAnsi="宋体" w:eastAsia="宋体"/>
      <w:color w:val="000000"/>
      <w:sz w:val="24"/>
      <w:szCs w:val="24"/>
    </w:rPr>
  </w:style>
  <w:style w:type="character" w:customStyle="1" w:styleId="93">
    <w:name w:val="fontstyle21"/>
    <w:autoRedefine/>
    <w:qFormat/>
    <w:uiPriority w:val="0"/>
    <w:rPr>
      <w:rFonts w:hint="default" w:ascii="TimesNewRomanPS-BoldMT" w:hAnsi="TimesNewRomanPS-BoldMT"/>
      <w:b/>
      <w:bCs/>
      <w:color w:val="000000"/>
      <w:sz w:val="24"/>
      <w:szCs w:val="24"/>
    </w:rPr>
  </w:style>
  <w:style w:type="paragraph" w:customStyle="1" w:styleId="94">
    <w:name w:val="正文内容"/>
    <w:basedOn w:val="1"/>
    <w:autoRedefine/>
    <w:qFormat/>
    <w:uiPriority w:val="0"/>
    <w:pPr>
      <w:ind w:firstLine="200" w:firstLineChars="200"/>
    </w:pPr>
    <w:rPr>
      <w:sz w:val="28"/>
    </w:rPr>
  </w:style>
  <w:style w:type="paragraph" w:customStyle="1" w:styleId="95">
    <w:name w:val="新正文"/>
    <w:basedOn w:val="1"/>
    <w:autoRedefine/>
    <w:qFormat/>
    <w:uiPriority w:val="0"/>
    <w:pPr>
      <w:adjustRightInd w:val="0"/>
      <w:snapToGrid w:val="0"/>
      <w:spacing w:line="480" w:lineRule="exact"/>
      <w:ind w:firstLine="200" w:firstLineChars="200"/>
      <w:jc w:val="left"/>
    </w:pPr>
    <w:rPr>
      <w:rFonts w:ascii="仿宋_GB2312" w:hAnsi="宋体" w:eastAsia="仿宋_GB2312"/>
      <w:kern w:val="0"/>
      <w:sz w:val="28"/>
      <w:szCs w:val="28"/>
    </w:rPr>
  </w:style>
  <w:style w:type="paragraph" w:customStyle="1" w:styleId="96">
    <w:name w:val="cucd-0"/>
    <w:autoRedefine/>
    <w:qFormat/>
    <w:uiPriority w:val="0"/>
    <w:pPr>
      <w:spacing w:line="360" w:lineRule="auto"/>
      <w:ind w:firstLine="480" w:firstLineChars="200"/>
    </w:pPr>
    <w:rPr>
      <w:rFonts w:ascii="Times New Roman" w:hAnsi="Times New Roman" w:eastAsia="宋体" w:cs="Times New Roman"/>
      <w:sz w:val="24"/>
      <w:szCs w:val="22"/>
      <w:lang w:val="en-US" w:eastAsia="zh-CN" w:bidi="ar-SA"/>
    </w:rPr>
  </w:style>
  <w:style w:type="paragraph" w:customStyle="1" w:styleId="97">
    <w:name w:val="Table Paragraph"/>
    <w:basedOn w:val="1"/>
    <w:autoRedefine/>
    <w:qFormat/>
    <w:uiPriority w:val="1"/>
    <w:pPr>
      <w:jc w:val="left"/>
    </w:pPr>
    <w:rPr>
      <w:rFonts w:ascii="Calibri" w:hAnsi="Calibri"/>
      <w:kern w:val="0"/>
      <w:sz w:val="22"/>
      <w:lang w:eastAsia="en-US"/>
    </w:rPr>
  </w:style>
  <w:style w:type="paragraph" w:customStyle="1" w:styleId="98">
    <w:name w:val="表格内容"/>
    <w:basedOn w:val="99"/>
    <w:next w:val="1"/>
    <w:autoRedefine/>
    <w:qFormat/>
    <w:uiPriority w:val="0"/>
    <w:pPr>
      <w:overflowPunct w:val="0"/>
      <w:adjustRightInd w:val="0"/>
      <w:snapToGrid w:val="0"/>
      <w:textAlignment w:val="baseline"/>
    </w:pPr>
    <w:rPr>
      <w:kern w:val="0"/>
      <w:sz w:val="20"/>
      <w:szCs w:val="20"/>
    </w:rPr>
  </w:style>
  <w:style w:type="paragraph" w:customStyle="1" w:styleId="99">
    <w:name w:val="封皮-证书编号"/>
    <w:basedOn w:val="1"/>
    <w:autoRedefine/>
    <w:qFormat/>
    <w:uiPriority w:val="0"/>
    <w:pPr>
      <w:jc w:val="center"/>
    </w:pPr>
    <w:rPr>
      <w:rFonts w:eastAsia="黑体"/>
      <w:sz w:val="28"/>
    </w:rPr>
  </w:style>
  <w:style w:type="paragraph" w:customStyle="1" w:styleId="100">
    <w:name w:val="表头和图片"/>
    <w:basedOn w:val="14"/>
    <w:next w:val="1"/>
    <w:autoRedefine/>
    <w:qFormat/>
    <w:uiPriority w:val="0"/>
    <w:pPr>
      <w:spacing w:line="480" w:lineRule="exact"/>
      <w:jc w:val="center"/>
    </w:pPr>
    <w:rPr>
      <w:rFonts w:ascii="Times New Roman" w:hAnsi="Times New Roman" w:eastAsia="黑体"/>
      <w:b/>
    </w:rPr>
  </w:style>
  <w:style w:type="character" w:customStyle="1" w:styleId="101">
    <w:name w:val="font21"/>
    <w:basedOn w:val="33"/>
    <w:autoRedefine/>
    <w:qFormat/>
    <w:uiPriority w:val="0"/>
    <w:rPr>
      <w:rFonts w:hint="default" w:ascii="Times New Roman" w:hAnsi="Times New Roman" w:cs="Times New Roman"/>
      <w:color w:val="000000"/>
      <w:sz w:val="18"/>
      <w:szCs w:val="18"/>
      <w:u w:val="none"/>
    </w:rPr>
  </w:style>
  <w:style w:type="character" w:customStyle="1" w:styleId="102">
    <w:name w:val="font11"/>
    <w:basedOn w:val="33"/>
    <w:autoRedefine/>
    <w:qFormat/>
    <w:uiPriority w:val="0"/>
    <w:rPr>
      <w:rFonts w:hint="default" w:ascii="Times New Roman" w:hAnsi="Times New Roman" w:cs="Times New Roman"/>
      <w:color w:val="000000"/>
      <w:sz w:val="18"/>
      <w:szCs w:val="18"/>
      <w:u w:val="none"/>
    </w:rPr>
  </w:style>
  <w:style w:type="paragraph" w:customStyle="1" w:styleId="103">
    <w:name w:val="表格中文字"/>
    <w:basedOn w:val="104"/>
    <w:autoRedefine/>
    <w:qFormat/>
    <w:uiPriority w:val="0"/>
    <w:pPr>
      <w:spacing w:line="360" w:lineRule="exact"/>
    </w:pPr>
    <w:rPr>
      <w:rFonts w:ascii="Times New Roman" w:hAnsi="Times New Roman"/>
      <w:szCs w:val="21"/>
    </w:rPr>
  </w:style>
  <w:style w:type="paragraph" w:customStyle="1" w:styleId="104">
    <w:name w:val="填表正文"/>
    <w:basedOn w:val="1"/>
    <w:autoRedefine/>
    <w:qFormat/>
    <w:uiPriority w:val="0"/>
    <w:pPr>
      <w:adjustRightInd w:val="0"/>
      <w:snapToGrid w:val="0"/>
      <w:jc w:val="center"/>
    </w:pPr>
    <w:rPr>
      <w:rFonts w:ascii="宋体" w:hAnsi="Calibri"/>
      <w:color w:val="000000"/>
      <w:kern w:val="0"/>
      <w:szCs w:val="44"/>
    </w:rPr>
  </w:style>
  <w:style w:type="character" w:customStyle="1" w:styleId="105">
    <w:name w:val="cur"/>
    <w:basedOn w:val="33"/>
    <w:autoRedefine/>
    <w:qFormat/>
    <w:uiPriority w:val="0"/>
    <w:rPr>
      <w:color w:val="FFFFFF"/>
      <w:shd w:val="clear" w:color="auto" w:fill="2F6B98"/>
    </w:rPr>
  </w:style>
  <w:style w:type="character" w:customStyle="1" w:styleId="106">
    <w:name w:val="lable"/>
    <w:basedOn w:val="33"/>
    <w:autoRedefine/>
    <w:qFormat/>
    <w:uiPriority w:val="0"/>
    <w:rPr>
      <w:sz w:val="24"/>
      <w:szCs w:val="24"/>
    </w:rPr>
  </w:style>
  <w:style w:type="character" w:customStyle="1" w:styleId="107">
    <w:name w:val="radio-btn"/>
    <w:basedOn w:val="33"/>
    <w:autoRedefine/>
    <w:qFormat/>
    <w:uiPriority w:val="0"/>
    <w:rPr>
      <w:sz w:val="24"/>
      <w:szCs w:val="24"/>
    </w:rPr>
  </w:style>
  <w:style w:type="character" w:customStyle="1" w:styleId="108">
    <w:name w:val="radio-btn1"/>
    <w:basedOn w:val="33"/>
    <w:autoRedefine/>
    <w:qFormat/>
    <w:uiPriority w:val="0"/>
    <w:rPr>
      <w:sz w:val="21"/>
      <w:szCs w:val="21"/>
    </w:rPr>
  </w:style>
  <w:style w:type="character" w:customStyle="1" w:styleId="109">
    <w:name w:val="radio-btn2"/>
    <w:basedOn w:val="33"/>
    <w:autoRedefine/>
    <w:qFormat/>
    <w:uiPriority w:val="0"/>
    <w:rPr>
      <w:sz w:val="24"/>
      <w:szCs w:val="24"/>
    </w:rPr>
  </w:style>
  <w:style w:type="character" w:customStyle="1" w:styleId="110">
    <w:name w:val="znspantitle"/>
    <w:basedOn w:val="33"/>
    <w:autoRedefine/>
    <w:qFormat/>
    <w:uiPriority w:val="0"/>
    <w:rPr>
      <w:b/>
      <w:bCs/>
      <w:color w:val="333333"/>
    </w:rPr>
  </w:style>
  <w:style w:type="character" w:customStyle="1" w:styleId="111">
    <w:name w:val="lishishuju"/>
    <w:basedOn w:val="33"/>
    <w:autoRedefine/>
    <w:qFormat/>
    <w:uiPriority w:val="0"/>
    <w:rPr>
      <w:b/>
      <w:bCs/>
      <w:color w:val="000052"/>
      <w:sz w:val="24"/>
      <w:szCs w:val="24"/>
      <w:bdr w:val="single" w:color="E3E3E3" w:sz="6" w:space="0"/>
    </w:rPr>
  </w:style>
  <w:style w:type="character" w:customStyle="1" w:styleId="112">
    <w:name w:val="disabled"/>
    <w:basedOn w:val="33"/>
    <w:autoRedefine/>
    <w:qFormat/>
    <w:uiPriority w:val="0"/>
    <w:rPr>
      <w:vanish/>
    </w:rPr>
  </w:style>
  <w:style w:type="paragraph" w:customStyle="1" w:styleId="113">
    <w:name w:val="表文"/>
    <w:basedOn w:val="1"/>
    <w:autoRedefine/>
    <w:qFormat/>
    <w:uiPriority w:val="0"/>
    <w:pPr>
      <w:tabs>
        <w:tab w:val="left" w:pos="6480"/>
      </w:tabs>
      <w:spacing w:line="360" w:lineRule="exact"/>
    </w:pPr>
    <w:rPr>
      <w:rFonts w:ascii="宋体" w:hAnsi="宋体"/>
      <w:sz w:val="24"/>
    </w:rPr>
  </w:style>
  <w:style w:type="paragraph" w:customStyle="1" w:styleId="114">
    <w:name w:val="内容"/>
    <w:basedOn w:val="1"/>
    <w:autoRedefine/>
    <w:qFormat/>
    <w:uiPriority w:val="0"/>
    <w:pPr>
      <w:spacing w:beforeLines="50" w:afterLines="50"/>
      <w:ind w:firstLine="200" w:firstLineChars="200"/>
    </w:pPr>
    <w:rPr>
      <w:rFonts w:ascii="宋体"/>
      <w:color w:val="000000"/>
      <w:kern w:val="0"/>
      <w:sz w:val="24"/>
      <w:szCs w:val="20"/>
    </w:rPr>
  </w:style>
  <w:style w:type="paragraph" w:customStyle="1" w:styleId="115">
    <w:name w:val="55表名"/>
    <w:basedOn w:val="1"/>
    <w:autoRedefine/>
    <w:qFormat/>
    <w:uiPriority w:val="0"/>
    <w:pPr>
      <w:spacing w:line="520" w:lineRule="exact"/>
      <w:jc w:val="center"/>
    </w:pPr>
    <w:rPr>
      <w:b/>
      <w:sz w:val="24"/>
    </w:rPr>
  </w:style>
  <w:style w:type="paragraph" w:customStyle="1" w:styleId="116">
    <w:name w:val="正文4"/>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17">
    <w:name w:val="正文1"/>
    <w:autoRedefine/>
    <w:qFormat/>
    <w:uiPriority w:val="0"/>
    <w:pPr>
      <w:widowControl w:val="0"/>
      <w:adjustRightInd w:val="0"/>
      <w:spacing w:line="360" w:lineRule="atLeast"/>
      <w:textAlignment w:val="baseline"/>
    </w:pPr>
    <w:rPr>
      <w:rFonts w:ascii="宋体" w:hAnsi="Times New Roman" w:eastAsia="宋体" w:cs="Times New Roman"/>
      <w:sz w:val="24"/>
      <w:szCs w:val="22"/>
      <w:lang w:val="en-US" w:eastAsia="zh-CN" w:bidi="ar-SA"/>
    </w:rPr>
  </w:style>
  <w:style w:type="paragraph" w:customStyle="1" w:styleId="118">
    <w:name w:val="Char Char Char Char Char Char Char2"/>
    <w:basedOn w:val="1"/>
    <w:autoRedefine/>
    <w:qFormat/>
    <w:uiPriority w:val="0"/>
    <w:pPr>
      <w:snapToGrid w:val="0"/>
      <w:spacing w:line="360" w:lineRule="auto"/>
      <w:ind w:firstLine="529" w:firstLineChars="200"/>
    </w:pPr>
  </w:style>
  <w:style w:type="paragraph" w:customStyle="1" w:styleId="119">
    <w:name w:val="设计表格"/>
    <w:basedOn w:val="1"/>
    <w:autoRedefine/>
    <w:qFormat/>
    <w:uiPriority w:val="0"/>
    <w:pPr>
      <w:adjustRightInd w:val="0"/>
      <w:jc w:val="center"/>
    </w:pPr>
    <w:rPr>
      <w:kern w:val="0"/>
      <w:sz w:val="24"/>
    </w:rPr>
  </w:style>
  <w:style w:type="paragraph" w:customStyle="1" w:styleId="120">
    <w:name w:val="Char Char Char Char Char Char Char1"/>
    <w:basedOn w:val="1"/>
    <w:autoRedefine/>
    <w:qFormat/>
    <w:uiPriority w:val="0"/>
    <w:pPr>
      <w:spacing w:line="360" w:lineRule="auto"/>
      <w:ind w:firstLine="200" w:firstLineChars="200"/>
    </w:pPr>
    <w:rPr>
      <w:rFonts w:ascii="宋体" w:hAnsi="宋体" w:cs="宋体"/>
      <w:sz w:val="24"/>
    </w:rPr>
  </w:style>
  <w:style w:type="paragraph" w:customStyle="1" w:styleId="121">
    <w:name w:val="正文00"/>
    <w:basedOn w:val="1"/>
    <w:next w:val="122"/>
    <w:autoRedefine/>
    <w:qFormat/>
    <w:uiPriority w:val="0"/>
    <w:pPr>
      <w:widowControl/>
      <w:spacing w:line="425" w:lineRule="atLeast"/>
      <w:ind w:left="107" w:leftChars="51" w:right="124" w:rightChars="59" w:firstLine="480"/>
      <w:textAlignment w:val="baseline"/>
    </w:pPr>
    <w:rPr>
      <w:kern w:val="0"/>
      <w:sz w:val="28"/>
      <w:u w:color="000000"/>
    </w:rPr>
  </w:style>
  <w:style w:type="paragraph" w:customStyle="1" w:styleId="122">
    <w:name w:val="样式 Times New Roman 五号 居中1"/>
    <w:basedOn w:val="1"/>
    <w:next w:val="123"/>
    <w:autoRedefine/>
    <w:qFormat/>
    <w:uiPriority w:val="99"/>
    <w:pPr>
      <w:jc w:val="center"/>
    </w:pPr>
    <w:rPr>
      <w:rFonts w:cs="宋体"/>
      <w:szCs w:val="21"/>
    </w:rPr>
  </w:style>
  <w:style w:type="paragraph" w:customStyle="1" w:styleId="123">
    <w:name w:val="表头"/>
    <w:basedOn w:val="124"/>
    <w:next w:val="14"/>
    <w:autoRedefine/>
    <w:qFormat/>
    <w:uiPriority w:val="0"/>
    <w:pPr>
      <w:numPr>
        <w:ilvl w:val="0"/>
        <w:numId w:val="1"/>
      </w:numPr>
    </w:pPr>
    <w:rPr>
      <w:rFonts w:eastAsia="黑体"/>
    </w:rPr>
  </w:style>
  <w:style w:type="paragraph" w:customStyle="1" w:styleId="124">
    <w:name w:val="样式4"/>
    <w:basedOn w:val="1"/>
    <w:autoRedefine/>
    <w:qFormat/>
    <w:uiPriority w:val="0"/>
    <w:pPr>
      <w:adjustRightInd w:val="0"/>
      <w:snapToGrid w:val="0"/>
      <w:jc w:val="center"/>
    </w:pPr>
    <w:rPr>
      <w:sz w:val="24"/>
      <w:szCs w:val="20"/>
    </w:rPr>
  </w:style>
  <w:style w:type="character" w:customStyle="1" w:styleId="125">
    <w:name w:val="NormalCharacter"/>
    <w:autoRedefine/>
    <w:qFormat/>
    <w:uiPriority w:val="0"/>
    <w:rPr>
      <w:rFonts w:ascii="宋体"/>
      <w:sz w:val="24"/>
      <w:lang w:val="en-US" w:eastAsia="zh-CN" w:bidi="ar-SA"/>
    </w:rPr>
  </w:style>
  <w:style w:type="paragraph" w:customStyle="1" w:styleId="126">
    <w:name w:val="1黑体头"/>
    <w:basedOn w:val="1"/>
    <w:autoRedefine/>
    <w:qFormat/>
    <w:uiPriority w:val="0"/>
    <w:pPr>
      <w:spacing w:line="360" w:lineRule="auto"/>
      <w:ind w:firstLine="479" w:firstLineChars="199"/>
      <w:jc w:val="left"/>
      <w:textAlignment w:val="center"/>
    </w:pPr>
    <w:rPr>
      <w:b/>
      <w:sz w:val="24"/>
    </w:rPr>
  </w:style>
  <w:style w:type="paragraph" w:customStyle="1" w:styleId="127">
    <w:name w:val="正文格式"/>
    <w:basedOn w:val="1"/>
    <w:autoRedefine/>
    <w:qFormat/>
    <w:uiPriority w:val="0"/>
    <w:pPr>
      <w:spacing w:line="360" w:lineRule="auto"/>
      <w:ind w:firstLine="482"/>
    </w:pPr>
    <w:rPr>
      <w:sz w:val="24"/>
    </w:rPr>
  </w:style>
  <w:style w:type="paragraph" w:customStyle="1" w:styleId="128">
    <w:name w:val="a-表名"/>
    <w:autoRedefine/>
    <w:qFormat/>
    <w:uiPriority w:val="0"/>
    <w:pPr>
      <w:adjustRightInd w:val="0"/>
      <w:snapToGrid w:val="0"/>
      <w:spacing w:line="500" w:lineRule="exact"/>
      <w:jc w:val="center"/>
    </w:pPr>
    <w:rPr>
      <w:rFonts w:ascii="Times New Roman" w:hAnsi="Times New Roman" w:eastAsia="黑体" w:cs="Times New Roman"/>
      <w:color w:val="000000"/>
      <w:sz w:val="24"/>
      <w:szCs w:val="21"/>
      <w:lang w:val="en-US" w:eastAsia="zh-CN" w:bidi="ar-SA"/>
    </w:rPr>
  </w:style>
  <w:style w:type="paragraph" w:customStyle="1" w:styleId="129">
    <w:name w:val="66表内"/>
    <w:basedOn w:val="16"/>
    <w:autoRedefine/>
    <w:qFormat/>
    <w:uiPriority w:val="0"/>
    <w:pPr>
      <w:jc w:val="center"/>
    </w:pPr>
    <w:rPr>
      <w:szCs w:val="21"/>
    </w:rPr>
  </w:style>
  <w:style w:type="paragraph" w:customStyle="1" w:styleId="130">
    <w:name w:val="填表样式"/>
    <w:basedOn w:val="1"/>
    <w:autoRedefine/>
    <w:qFormat/>
    <w:uiPriority w:val="0"/>
    <w:pPr>
      <w:adjustRightInd w:val="0"/>
      <w:snapToGrid w:val="0"/>
      <w:spacing w:line="360" w:lineRule="auto"/>
      <w:ind w:firstLine="720" w:firstLineChars="200"/>
    </w:pPr>
  </w:style>
  <w:style w:type="paragraph" w:customStyle="1" w:styleId="131">
    <w:name w:val="居中表格内容"/>
    <w:basedOn w:val="1"/>
    <w:autoRedefine/>
    <w:qFormat/>
    <w:uiPriority w:val="0"/>
    <w:pPr>
      <w:jc w:val="center"/>
    </w:pPr>
    <w:rPr>
      <w:rFonts w:hint="eastAsia"/>
      <w:szCs w:val="20"/>
    </w:rPr>
  </w:style>
  <w:style w:type="paragraph" w:customStyle="1" w:styleId="132">
    <w:name w:val="C首行缩进正文"/>
    <w:basedOn w:val="70"/>
    <w:autoRedefine/>
    <w:qFormat/>
    <w:uiPriority w:val="0"/>
    <w:pPr>
      <w:ind w:firstLine="200"/>
    </w:pPr>
    <w:rPr>
      <w:rFonts w:cs="宋体"/>
      <w:color w:val="000000" w:themeColor="text1"/>
      <w:sz w:val="21"/>
      <w14:textFill>
        <w14:solidFill>
          <w14:schemeClr w14:val="tx1"/>
        </w14:solidFill>
      </w14:textFill>
    </w:rPr>
  </w:style>
  <w:style w:type="paragraph" w:customStyle="1" w:styleId="133">
    <w:name w:val="WPSOffice手动目录 1"/>
    <w:autoRedefine/>
    <w:qFormat/>
    <w:uiPriority w:val="0"/>
    <w:pPr>
      <w:ind w:leftChars="0"/>
    </w:pPr>
    <w:rPr>
      <w:rFonts w:ascii="Times New Roman" w:hAnsi="Times New Roman" w:eastAsia="宋体" w:cs="Times New Roman"/>
      <w:sz w:val="20"/>
      <w:szCs w:val="20"/>
    </w:rPr>
  </w:style>
  <w:style w:type="paragraph" w:customStyle="1" w:styleId="134">
    <w:name w:val="WPSOffice手动目录 2"/>
    <w:autoRedefine/>
    <w:qFormat/>
    <w:uiPriority w:val="0"/>
    <w:pPr>
      <w:ind w:leftChars="200"/>
    </w:pPr>
    <w:rPr>
      <w:rFonts w:ascii="Times New Roman" w:hAnsi="Times New Roman" w:eastAsia="宋体" w:cs="Times New Roman"/>
      <w:sz w:val="20"/>
      <w:szCs w:val="20"/>
    </w:rPr>
  </w:style>
  <w:style w:type="paragraph" w:customStyle="1" w:styleId="135">
    <w:name w:val="报告表正文"/>
    <w:basedOn w:val="1"/>
    <w:autoRedefine/>
    <w:qFormat/>
    <w:uiPriority w:val="0"/>
    <w:pPr>
      <w:spacing w:line="360" w:lineRule="auto"/>
      <w:ind w:firstLine="420" w:firstLineChars="200"/>
    </w:pPr>
    <w:rPr>
      <w:rFonts w:hint="eastAsia"/>
      <w:sz w:val="24"/>
      <w:szCs w:val="22"/>
      <w:lang w:val="zh-CN"/>
    </w:rPr>
  </w:style>
  <w:style w:type="paragraph" w:customStyle="1" w:styleId="136">
    <w:name w:val="C【表中文字】-"/>
    <w:basedOn w:val="1"/>
    <w:autoRedefine/>
    <w:qFormat/>
    <w:uiPriority w:val="0"/>
    <w:pPr>
      <w:adjustRightInd w:val="0"/>
      <w:snapToGrid w:val="0"/>
      <w:jc w:val="center"/>
    </w:pPr>
    <w:rPr>
      <w:kern w:val="0"/>
      <w:sz w:val="18"/>
      <w:szCs w:val="20"/>
    </w:rPr>
  </w:style>
  <w:style w:type="paragraph" w:customStyle="1" w:styleId="137">
    <w:name w:val="盂县"/>
    <w:basedOn w:val="1"/>
    <w:autoRedefine/>
    <w:qFormat/>
    <w:uiPriority w:val="0"/>
    <w:pPr>
      <w:adjustRightInd w:val="0"/>
      <w:snapToGrid w:val="0"/>
      <w:spacing w:line="312" w:lineRule="auto"/>
      <w:ind w:firstLine="560" w:firstLineChars="200"/>
    </w:pPr>
    <w:rPr>
      <w:sz w:val="28"/>
    </w:rPr>
  </w:style>
  <w:style w:type="paragraph" w:customStyle="1" w:styleId="138">
    <w:name w:val="正文文字"/>
    <w:basedOn w:val="1"/>
    <w:next w:val="1"/>
    <w:autoRedefine/>
    <w:qFormat/>
    <w:uiPriority w:val="0"/>
    <w:pPr>
      <w:snapToGrid w:val="0"/>
      <w:spacing w:line="520" w:lineRule="exact"/>
      <w:ind w:firstLine="480" w:firstLineChars="200"/>
    </w:pPr>
    <w:rPr>
      <w:rFonts w:ascii="Calibri" w:hAnsi="宋体" w:eastAsia="宋体" w:cs="宋体"/>
      <w:kern w:val="0"/>
      <w:szCs w:val="24"/>
    </w:rPr>
  </w:style>
  <w:style w:type="paragraph" w:customStyle="1" w:styleId="139">
    <w:name w:val="样式 黑体 居中 行距: 1.5 倍行距"/>
    <w:basedOn w:val="1"/>
    <w:qFormat/>
    <w:uiPriority w:val="0"/>
    <w:pPr>
      <w:ind w:firstLine="0" w:firstLineChars="0"/>
      <w:jc w:val="center"/>
    </w:pPr>
    <w:rPr>
      <w:rFonts w:ascii="黑体" w:hAnsi="黑体" w:eastAsia="黑体" w:cs="宋体"/>
      <w:kern w:val="0"/>
      <w:szCs w:val="20"/>
    </w:rPr>
  </w:style>
  <w:style w:type="paragraph" w:customStyle="1" w:styleId="140">
    <w:name w:val="表格文字"/>
    <w:basedOn w:val="1"/>
    <w:qFormat/>
    <w:uiPriority w:val="0"/>
    <w:pPr>
      <w:tabs>
        <w:tab w:val="left" w:pos="146"/>
      </w:tabs>
      <w:spacing w:line="240" w:lineRule="exact"/>
      <w:ind w:right="-55" w:rightChars="-55" w:firstLine="0" w:firstLineChars="0"/>
      <w:jc w:val="center"/>
    </w:pPr>
    <w:rPr>
      <w:rFonts w:ascii="宋体" w:hAnsi="宋体"/>
      <w:snapToGrid w:val="0"/>
      <w:spacing w:val="6"/>
      <w:kern w:val="0"/>
      <w:szCs w:val="20"/>
    </w:rPr>
  </w:style>
  <w:style w:type="paragraph" w:customStyle="1" w:styleId="141">
    <w:name w:val="【表中的文字】"/>
    <w:basedOn w:val="27"/>
    <w:qFormat/>
    <w:uiPriority w:val="0"/>
    <w:pPr>
      <w:spacing w:before="0" w:after="0"/>
      <w:outlineLvl w:val="9"/>
    </w:pPr>
    <w:rPr>
      <w:rFonts w:ascii="Times New Roman" w:hAnsi="Times New Roman"/>
      <w:b w:val="0"/>
      <w:sz w:val="21"/>
      <w:szCs w:val="21"/>
    </w:rPr>
  </w:style>
  <w:style w:type="paragraph" w:customStyle="1" w:styleId="142">
    <w:name w:val="a正文"/>
    <w:basedOn w:val="127"/>
    <w:qFormat/>
    <w:uiPriority w:val="0"/>
    <w:pPr>
      <w:spacing w:line="520" w:lineRule="exact"/>
      <w:ind w:firstLine="200"/>
    </w:pPr>
    <w:rPr>
      <w:sz w:val="24"/>
    </w:rPr>
  </w:style>
  <w:style w:type="paragraph" w:customStyle="1" w:styleId="143">
    <w:name w:val="表格里"/>
    <w:basedOn w:val="117"/>
    <w:next w:val="117"/>
    <w:qFormat/>
    <w:uiPriority w:val="0"/>
    <w:pPr>
      <w:spacing w:line="240" w:lineRule="auto"/>
      <w:ind w:firstLine="0" w:firstLineChars="0"/>
      <w:jc w:val="center"/>
    </w:pPr>
    <w:rPr>
      <w:rFonts w:ascii="Times New Roman" w:hAnsi="Times New Roman" w:cs="Times New Roman"/>
      <w:snapToGrid w:val="0"/>
    </w:rPr>
  </w:style>
  <w:style w:type="paragraph" w:customStyle="1" w:styleId="144">
    <w:name w:val="段落1"/>
    <w:basedOn w:val="1"/>
    <w:qFormat/>
    <w:uiPriority w:val="0"/>
    <w:pPr>
      <w:spacing w:before="120" w:after="120" w:line="440" w:lineRule="exact"/>
      <w:ind w:firstLine="200" w:firstLineChars="200"/>
    </w:pPr>
    <w:rPr>
      <w:spacing w:val="6"/>
      <w:sz w:val="24"/>
    </w:rPr>
  </w:style>
  <w:style w:type="paragraph" w:customStyle="1" w:styleId="145">
    <w:name w:val="Other|1"/>
    <w:basedOn w:val="1"/>
    <w:autoRedefine/>
    <w:qFormat/>
    <w:uiPriority w:val="0"/>
    <w:pPr>
      <w:widowControl w:val="0"/>
      <w:shd w:val="clear" w:color="auto" w:fill="auto"/>
      <w:spacing w:line="466" w:lineRule="auto"/>
      <w:ind w:firstLine="400"/>
    </w:pPr>
    <w:rPr>
      <w:rFonts w:ascii="宋体" w:hAnsi="宋体" w:eastAsia="宋体" w:cs="宋体"/>
      <w:sz w:val="28"/>
      <w:szCs w:val="28"/>
      <w:u w:val="none"/>
      <w:shd w:val="clear" w:color="auto" w:fill="auto"/>
      <w:lang w:val="zh-TW" w:eastAsia="zh-TW" w:bidi="zh-TW"/>
    </w:rPr>
  </w:style>
  <w:style w:type="paragraph" w:customStyle="1" w:styleId="146">
    <w:name w:val="Table Text"/>
    <w:basedOn w:val="1"/>
    <w:autoRedefine/>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1.jpeg"/><Relationship Id="rId98" Type="http://schemas.openxmlformats.org/officeDocument/2006/relationships/image" Target="media/image70.jpeg"/><Relationship Id="rId97" Type="http://schemas.openxmlformats.org/officeDocument/2006/relationships/image" Target="media/image69.jpeg"/><Relationship Id="rId96" Type="http://schemas.openxmlformats.org/officeDocument/2006/relationships/image" Target="media/image68.jpeg"/><Relationship Id="rId95" Type="http://schemas.openxmlformats.org/officeDocument/2006/relationships/image" Target="media/image67.jpeg"/><Relationship Id="rId94" Type="http://schemas.openxmlformats.org/officeDocument/2006/relationships/image" Target="media/image66.jpeg"/><Relationship Id="rId93" Type="http://schemas.openxmlformats.org/officeDocument/2006/relationships/image" Target="media/image65.png"/><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png"/><Relationship Id="rId9" Type="http://schemas.openxmlformats.org/officeDocument/2006/relationships/footer" Target="footer7.xml"/><Relationship Id="rId89" Type="http://schemas.openxmlformats.org/officeDocument/2006/relationships/image" Target="media/image61.wmf"/><Relationship Id="rId88" Type="http://schemas.openxmlformats.org/officeDocument/2006/relationships/oleObject" Target="embeddings/oleObject11.bin"/><Relationship Id="rId87" Type="http://schemas.openxmlformats.org/officeDocument/2006/relationships/image" Target="media/image60.wmf"/><Relationship Id="rId86" Type="http://schemas.openxmlformats.org/officeDocument/2006/relationships/oleObject" Target="embeddings/oleObject10.bin"/><Relationship Id="rId85" Type="http://schemas.openxmlformats.org/officeDocument/2006/relationships/image" Target="media/image59.wmf"/><Relationship Id="rId84" Type="http://schemas.openxmlformats.org/officeDocument/2006/relationships/oleObject" Target="embeddings/oleObject9.bin"/><Relationship Id="rId83" Type="http://schemas.openxmlformats.org/officeDocument/2006/relationships/image" Target="media/image58.wmf"/><Relationship Id="rId82" Type="http://schemas.openxmlformats.org/officeDocument/2006/relationships/oleObject" Target="embeddings/oleObject8.bin"/><Relationship Id="rId81" Type="http://schemas.openxmlformats.org/officeDocument/2006/relationships/image" Target="media/image57.wmf"/><Relationship Id="rId80" Type="http://schemas.openxmlformats.org/officeDocument/2006/relationships/oleObject" Target="embeddings/oleObject7.bin"/><Relationship Id="rId8" Type="http://schemas.openxmlformats.org/officeDocument/2006/relationships/footer" Target="footer6.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footer" Target="footer5.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jpeg"/><Relationship Id="rId6" Type="http://schemas.openxmlformats.org/officeDocument/2006/relationships/footer" Target="footer4.xml"/><Relationship Id="rId59" Type="http://schemas.openxmlformats.org/officeDocument/2006/relationships/image" Target="media/image36.jpe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jpeg"/><Relationship Id="rId55" Type="http://schemas.openxmlformats.org/officeDocument/2006/relationships/image" Target="media/image32.jpe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emf"/><Relationship Id="rId5" Type="http://schemas.openxmlformats.org/officeDocument/2006/relationships/footer" Target="footer3.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jpeg"/><Relationship Id="rId45" Type="http://schemas.openxmlformats.org/officeDocument/2006/relationships/image" Target="media/image22.jpeg"/><Relationship Id="rId44" Type="http://schemas.openxmlformats.org/officeDocument/2006/relationships/image" Target="media/image21.jpeg"/><Relationship Id="rId43" Type="http://schemas.openxmlformats.org/officeDocument/2006/relationships/image" Target="media/image20.jpe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wmf"/><Relationship Id="rId4" Type="http://schemas.openxmlformats.org/officeDocument/2006/relationships/footer" Target="footer2.xml"/><Relationship Id="rId39" Type="http://schemas.openxmlformats.org/officeDocument/2006/relationships/oleObject" Target="embeddings/oleObject6.bin"/><Relationship Id="rId38" Type="http://schemas.openxmlformats.org/officeDocument/2006/relationships/image" Target="media/image16.wmf"/><Relationship Id="rId37" Type="http://schemas.openxmlformats.org/officeDocument/2006/relationships/image" Target="media/image15.wmf"/><Relationship Id="rId36" Type="http://schemas.openxmlformats.org/officeDocument/2006/relationships/image" Target="media/image14.wmf"/><Relationship Id="rId35" Type="http://schemas.openxmlformats.org/officeDocument/2006/relationships/image" Target="media/image13.wmf"/><Relationship Id="rId34" Type="http://schemas.openxmlformats.org/officeDocument/2006/relationships/image" Target="media/image12.wmf"/><Relationship Id="rId33" Type="http://schemas.openxmlformats.org/officeDocument/2006/relationships/image" Target="media/image11.wmf"/><Relationship Id="rId32" Type="http://schemas.openxmlformats.org/officeDocument/2006/relationships/oleObject" Target="embeddings/oleObject5.bin"/><Relationship Id="rId31" Type="http://schemas.openxmlformats.org/officeDocument/2006/relationships/image" Target="media/image10.wmf"/><Relationship Id="rId30" Type="http://schemas.openxmlformats.org/officeDocument/2006/relationships/oleObject" Target="embeddings/oleObject4.bin"/><Relationship Id="rId3" Type="http://schemas.openxmlformats.org/officeDocument/2006/relationships/footer" Target="foot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emf"/><Relationship Id="rId26" Type="http://schemas.openxmlformats.org/officeDocument/2006/relationships/oleObject" Target="embeddings/oleObject3.bin"/><Relationship Id="rId25" Type="http://schemas.openxmlformats.org/officeDocument/2006/relationships/image" Target="media/image6.emf"/><Relationship Id="rId24" Type="http://schemas.openxmlformats.org/officeDocument/2006/relationships/oleObject" Target="embeddings/oleObject2.bin"/><Relationship Id="rId23" Type="http://schemas.openxmlformats.org/officeDocument/2006/relationships/image" Target="media/image5.emf"/><Relationship Id="rId22" Type="http://schemas.openxmlformats.org/officeDocument/2006/relationships/oleObject" Target="embeddings/oleObject1.bin"/><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header" Target="header2.xml"/><Relationship Id="rId12" Type="http://schemas.openxmlformats.org/officeDocument/2006/relationships/header" Target="header1.xml"/><Relationship Id="rId11" Type="http://schemas.openxmlformats.org/officeDocument/2006/relationships/footer" Target="footer9.xml"/><Relationship Id="rId106" Type="http://schemas.openxmlformats.org/officeDocument/2006/relationships/fontTable" Target="fontTable.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75.jpeg"/><Relationship Id="rId102" Type="http://schemas.openxmlformats.org/officeDocument/2006/relationships/image" Target="media/image74.jpeg"/><Relationship Id="rId101" Type="http://schemas.openxmlformats.org/officeDocument/2006/relationships/image" Target="media/image73.jpeg"/><Relationship Id="rId100" Type="http://schemas.openxmlformats.org/officeDocument/2006/relationships/image" Target="media/image72.jpeg"/><Relationship Id="rId10" Type="http://schemas.openxmlformats.org/officeDocument/2006/relationships/footer" Target="footer8.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95</Pages>
  <Words>356</Words>
  <Characters>382</Characters>
  <Lines>44</Lines>
  <Paragraphs>42</Paragraphs>
  <TotalTime>16</TotalTime>
  <ScaleCrop>false</ScaleCrop>
  <LinksUpToDate>false</LinksUpToDate>
  <CharactersWithSpaces>433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2021-04-22T14:13:00Z</dcterms:created>
  <dc:creator>lhj</dc:creator>
  <cp:lastModifiedBy>六六</cp:lastModifiedBy>
  <cp:lastPrinted>2021-11-02T08:36:00Z</cp:lastPrinted>
  <dcterms:modified xsi:type="dcterms:W3CDTF">2025-03-06T01:03:31Z</dcterms:modified>
  <dc:title>附件2</dc:title>
  <cp:revision>138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F1468590809F4B7F9464B54815F1CC2A_13</vt:lpwstr>
  </property>
  <property fmtid="{D5CDD505-2E9C-101B-9397-08002B2CF9AE}" pid="4" name="KSOTemplateDocerSaveRecord">
    <vt:lpwstr>eyJoZGlkIjoiOTcyM2JmMDZmYTUyODBlYzQwZmYzNjk4MDljMTQwOTgiLCJ1c2VySWQiOiIyMjQ5MDE4ODUifQ==</vt:lpwstr>
  </property>
</Properties>
</file>