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07A7888">
      <w:pPr>
        <w:pStyle w:val="43"/>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drawing>
          <wp:inline distT="0" distB="0" distL="114300" distR="114300">
            <wp:extent cx="5267960" cy="7450455"/>
            <wp:effectExtent l="0" t="0" r="8890" b="17145"/>
            <wp:docPr id="16" name="图片 16" descr="b775a95858261f7d7b92b92ef824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775a95858261f7d7b92b92ef8248763"/>
                    <pic:cNvPicPr>
                      <a:picLocks noChangeAspect="1"/>
                    </pic:cNvPicPr>
                  </pic:nvPicPr>
                  <pic:blipFill>
                    <a:blip r:embed="rId14">
                      <a:lum contrast="6000"/>
                    </a:blip>
                    <a:stretch>
                      <a:fillRect/>
                    </a:stretch>
                  </pic:blipFill>
                  <pic:spPr>
                    <a:xfrm rot="10800000">
                      <a:off x="0" y="0"/>
                      <a:ext cx="5267960" cy="7450455"/>
                    </a:xfrm>
                    <a:prstGeom prst="rect">
                      <a:avLst/>
                    </a:prstGeom>
                  </pic:spPr>
                </pic:pic>
              </a:graphicData>
            </a:graphic>
          </wp:inline>
        </w:drawing>
      </w:r>
    </w:p>
    <w:p w14:paraId="0D29FA7A">
      <w:pPr>
        <w:pStyle w:val="43"/>
        <w:rPr>
          <w:rFonts w:hint="default" w:ascii="Times New Roman" w:hAnsi="Times New Roman" w:eastAsia="宋体" w:cs="Times New Roman"/>
          <w:color w:val="auto"/>
          <w:highlight w:val="none"/>
          <w:lang w:val="en-US" w:eastAsia="zh-CN"/>
        </w:rPr>
        <w:sectPr>
          <w:headerReference r:id="rId5" w:type="default"/>
          <w:footerReference r:id="rId6" w:type="default"/>
          <w:pgSz w:w="11906" w:h="16838"/>
          <w:pgMar w:top="1440" w:right="1800" w:bottom="1440" w:left="1800" w:header="851" w:footer="1077" w:gutter="0"/>
          <w:pgBorders w:offsetFrom="page">
            <w:top w:val="none" w:sz="0" w:space="0"/>
            <w:left w:val="none" w:sz="0" w:space="0"/>
            <w:bottom w:val="none" w:sz="0" w:space="0"/>
            <w:right w:val="none" w:sz="0" w:space="0"/>
          </w:pgBorders>
          <w:cols w:space="720" w:num="1"/>
          <w:docGrid w:linePitch="312" w:charSpace="0"/>
        </w:sectPr>
      </w:pPr>
    </w:p>
    <w:p w14:paraId="6F319B76">
      <w:pPr>
        <w:pStyle w:val="2"/>
        <w:spacing w:line="360" w:lineRule="auto"/>
        <w:jc w:val="center"/>
        <w:rPr>
          <w:rFonts w:hint="default" w:ascii="Times New Roman" w:hAnsi="Times New Roman" w:eastAsia="宋体" w:cs="Times New Roman"/>
          <w:color w:val="auto"/>
          <w:spacing w:val="0"/>
          <w:highlight w:val="none"/>
          <w:lang w:eastAsia="zh-CN"/>
        </w:rPr>
        <w:sectPr>
          <w:footerReference r:id="rId7"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start="1"/>
          <w:cols w:space="720" w:num="1"/>
          <w:docGrid w:linePitch="312" w:charSpace="0"/>
        </w:sectPr>
      </w:pPr>
      <w:bookmarkStart w:id="0" w:name="_Toc71191475"/>
      <w:r>
        <w:rPr>
          <w:rFonts w:hint="default" w:ascii="Times New Roman" w:hAnsi="Times New Roman" w:eastAsia="宋体" w:cs="Times New Roman"/>
          <w:color w:val="auto"/>
          <w:spacing w:val="0"/>
          <w:highlight w:val="none"/>
          <w:lang w:eastAsia="zh-CN"/>
        </w:rPr>
        <w:drawing>
          <wp:inline distT="0" distB="0" distL="114300" distR="114300">
            <wp:extent cx="5064760" cy="6941820"/>
            <wp:effectExtent l="0" t="0" r="2540" b="11430"/>
            <wp:docPr id="39" name="图片 39" descr="c8e3268188edf454abe0090fa5ec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8e3268188edf454abe0090fa5ec8353"/>
                    <pic:cNvPicPr>
                      <a:picLocks noChangeAspect="1"/>
                    </pic:cNvPicPr>
                  </pic:nvPicPr>
                  <pic:blipFill>
                    <a:blip r:embed="rId15"/>
                    <a:srcRect l="3304" t="1591" r="4497" b="3635"/>
                    <a:stretch>
                      <a:fillRect/>
                    </a:stretch>
                  </pic:blipFill>
                  <pic:spPr>
                    <a:xfrm>
                      <a:off x="0" y="0"/>
                      <a:ext cx="5064760" cy="6941820"/>
                    </a:xfrm>
                    <a:prstGeom prst="rect">
                      <a:avLst/>
                    </a:prstGeom>
                  </pic:spPr>
                </pic:pic>
              </a:graphicData>
            </a:graphic>
          </wp:inline>
        </w:drawing>
      </w:r>
    </w:p>
    <w:p w14:paraId="150769B4">
      <w:pPr>
        <w:pStyle w:val="2"/>
        <w:spacing w:line="360" w:lineRule="auto"/>
        <w:jc w:val="center"/>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t>一、建设项目基本情况</w:t>
      </w:r>
      <w:bookmarkEnd w:id="0"/>
    </w:p>
    <w:tbl>
      <w:tblPr>
        <w:tblStyle w:val="35"/>
        <w:tblW w:w="51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1339"/>
        <w:gridCol w:w="2639"/>
        <w:gridCol w:w="1998"/>
        <w:gridCol w:w="2599"/>
      </w:tblGrid>
      <w:tr w14:paraId="21A8B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737" w:hRule="exact"/>
          <w:jc w:val="center"/>
        </w:trPr>
        <w:tc>
          <w:tcPr>
            <w:tcW w:w="1328" w:type="dxa"/>
            <w:noWrap w:val="0"/>
            <w:tcMar>
              <w:top w:w="16" w:type="dxa"/>
              <w:left w:w="16" w:type="dxa"/>
              <w:right w:w="16" w:type="dxa"/>
            </w:tcMar>
            <w:vAlign w:val="center"/>
          </w:tcPr>
          <w:p w14:paraId="5CD9D13F">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建设项目名称</w:t>
            </w:r>
          </w:p>
        </w:tc>
        <w:tc>
          <w:tcPr>
            <w:tcW w:w="7178" w:type="dxa"/>
            <w:gridSpan w:val="3"/>
            <w:noWrap w:val="0"/>
            <w:vAlign w:val="center"/>
          </w:tcPr>
          <w:p w14:paraId="46325D11">
            <w:pPr>
              <w:spacing w:line="240" w:lineRule="auto"/>
              <w:ind w:firstLine="0" w:firstLineChars="0"/>
              <w:jc w:val="center"/>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cs="Times New Roman"/>
                <w:bCs/>
                <w:color w:val="auto"/>
                <w:spacing w:val="0"/>
                <w:sz w:val="24"/>
                <w:szCs w:val="24"/>
                <w:highlight w:val="none"/>
                <w:lang w:val="en-US" w:eastAsia="zh-CN"/>
              </w:rPr>
              <w:t>虎林市绿都海狮油脂有限责任公司生物质锅炉建设项目</w:t>
            </w:r>
          </w:p>
        </w:tc>
      </w:tr>
      <w:tr w14:paraId="5EA82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67" w:hRule="exact"/>
          <w:jc w:val="center"/>
        </w:trPr>
        <w:tc>
          <w:tcPr>
            <w:tcW w:w="1328" w:type="dxa"/>
            <w:noWrap w:val="0"/>
            <w:tcMar>
              <w:top w:w="16" w:type="dxa"/>
              <w:left w:w="16" w:type="dxa"/>
              <w:right w:w="16" w:type="dxa"/>
            </w:tcMar>
            <w:vAlign w:val="center"/>
          </w:tcPr>
          <w:p w14:paraId="14CE9759">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项目代码</w:t>
            </w:r>
          </w:p>
        </w:tc>
        <w:tc>
          <w:tcPr>
            <w:tcW w:w="7178" w:type="dxa"/>
            <w:gridSpan w:val="3"/>
            <w:noWrap w:val="0"/>
            <w:vAlign w:val="center"/>
          </w:tcPr>
          <w:p w14:paraId="74B45592">
            <w:pPr>
              <w:spacing w:line="240" w:lineRule="auto"/>
              <w:ind w:firstLine="0" w:firstLineChars="0"/>
              <w:jc w:val="center"/>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w:t>
            </w:r>
          </w:p>
        </w:tc>
      </w:tr>
      <w:tr w14:paraId="7457F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772" w:hRule="exact"/>
          <w:jc w:val="center"/>
        </w:trPr>
        <w:tc>
          <w:tcPr>
            <w:tcW w:w="1328" w:type="dxa"/>
            <w:noWrap w:val="0"/>
            <w:tcMar>
              <w:top w:w="16" w:type="dxa"/>
              <w:left w:w="16" w:type="dxa"/>
              <w:right w:w="16" w:type="dxa"/>
            </w:tcMar>
            <w:vAlign w:val="center"/>
          </w:tcPr>
          <w:p w14:paraId="2E68D253">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建设单位联系人</w:t>
            </w:r>
          </w:p>
        </w:tc>
        <w:tc>
          <w:tcPr>
            <w:tcW w:w="2618" w:type="dxa"/>
            <w:noWrap w:val="0"/>
            <w:vAlign w:val="center"/>
          </w:tcPr>
          <w:p w14:paraId="3FF5C1CC">
            <w:pPr>
              <w:spacing w:line="240" w:lineRule="auto"/>
              <w:ind w:firstLine="0" w:firstLineChars="0"/>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赵明胜</w:t>
            </w:r>
          </w:p>
        </w:tc>
        <w:tc>
          <w:tcPr>
            <w:tcW w:w="1982" w:type="dxa"/>
            <w:noWrap w:val="0"/>
            <w:vAlign w:val="center"/>
          </w:tcPr>
          <w:p w14:paraId="6813BCE1">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联系方式</w:t>
            </w:r>
          </w:p>
        </w:tc>
        <w:tc>
          <w:tcPr>
            <w:tcW w:w="2578" w:type="dxa"/>
            <w:noWrap w:val="0"/>
            <w:vAlign w:val="center"/>
          </w:tcPr>
          <w:p w14:paraId="1EDD0735">
            <w:pPr>
              <w:spacing w:line="240" w:lineRule="auto"/>
              <w:ind w:firstLine="0" w:firstLineChars="0"/>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13634875918</w:t>
            </w:r>
          </w:p>
        </w:tc>
      </w:tr>
      <w:tr w14:paraId="544D9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67" w:hRule="atLeast"/>
          <w:jc w:val="center"/>
        </w:trPr>
        <w:tc>
          <w:tcPr>
            <w:tcW w:w="1328" w:type="dxa"/>
            <w:noWrap w:val="0"/>
            <w:tcMar>
              <w:top w:w="16" w:type="dxa"/>
              <w:left w:w="16" w:type="dxa"/>
              <w:right w:w="16" w:type="dxa"/>
            </w:tcMar>
            <w:vAlign w:val="center"/>
          </w:tcPr>
          <w:p w14:paraId="1F068D5C">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建设地点</w:t>
            </w:r>
          </w:p>
        </w:tc>
        <w:tc>
          <w:tcPr>
            <w:tcW w:w="7178" w:type="dxa"/>
            <w:gridSpan w:val="3"/>
            <w:noWrap w:val="0"/>
            <w:vAlign w:val="center"/>
          </w:tcPr>
          <w:p w14:paraId="48DE4E88">
            <w:pPr>
              <w:spacing w:line="360" w:lineRule="auto"/>
              <w:ind w:firstLine="0" w:firstLineChars="0"/>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黑龙江省鸡西市虎林市虎林镇东方红街道东升委（粮库院内）</w:t>
            </w:r>
          </w:p>
        </w:tc>
      </w:tr>
      <w:tr w14:paraId="3D5104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604" w:hRule="exact"/>
          <w:jc w:val="center"/>
        </w:trPr>
        <w:tc>
          <w:tcPr>
            <w:tcW w:w="1328" w:type="dxa"/>
            <w:noWrap w:val="0"/>
            <w:tcMar>
              <w:top w:w="16" w:type="dxa"/>
              <w:left w:w="16" w:type="dxa"/>
              <w:right w:w="16" w:type="dxa"/>
            </w:tcMar>
            <w:vAlign w:val="center"/>
          </w:tcPr>
          <w:p w14:paraId="223D45D0">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地理坐标</w:t>
            </w:r>
          </w:p>
        </w:tc>
        <w:tc>
          <w:tcPr>
            <w:tcW w:w="7178" w:type="dxa"/>
            <w:gridSpan w:val="3"/>
            <w:noWrap w:val="0"/>
            <w:vAlign w:val="center"/>
          </w:tcPr>
          <w:p w14:paraId="1B849E1D">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东经</w:t>
            </w:r>
            <w:r>
              <w:rPr>
                <w:rFonts w:hint="default" w:ascii="Times New Roman" w:hAnsi="Times New Roman" w:cs="Times New Roman"/>
                <w:color w:val="auto"/>
                <w:sz w:val="24"/>
                <w:highlight w:val="none"/>
                <w:u w:val="single"/>
                <w:lang w:val="en-US" w:eastAsia="zh-CN"/>
              </w:rPr>
              <w:t>132</w:t>
            </w:r>
            <w:r>
              <w:rPr>
                <w:rFonts w:hint="default" w:ascii="Times New Roman" w:hAnsi="Times New Roman" w:eastAsia="宋体" w:cs="Times New Roman"/>
                <w:color w:val="auto"/>
                <w:sz w:val="24"/>
                <w:highlight w:val="none"/>
              </w:rPr>
              <w:t>度</w:t>
            </w:r>
            <w:r>
              <w:rPr>
                <w:rFonts w:hint="default" w:ascii="Times New Roman" w:hAnsi="Times New Roman" w:cs="Times New Roman"/>
                <w:color w:val="auto"/>
                <w:sz w:val="24"/>
                <w:highlight w:val="none"/>
                <w:u w:val="single"/>
                <w:lang w:val="en-US" w:eastAsia="zh-CN"/>
              </w:rPr>
              <w:t>5</w:t>
            </w:r>
            <w:r>
              <w:rPr>
                <w:rFonts w:hint="default" w:ascii="Times New Roman" w:hAnsi="Times New Roman" w:eastAsia="宋体" w:cs="Times New Roman"/>
                <w:color w:val="auto"/>
                <w:sz w:val="24"/>
                <w:highlight w:val="none"/>
                <w:u w:val="single"/>
                <w:lang w:val="en-US" w:eastAsia="zh-CN"/>
              </w:rPr>
              <w:t>9</w:t>
            </w:r>
            <w:r>
              <w:rPr>
                <w:rFonts w:hint="default" w:ascii="Times New Roman" w:hAnsi="Times New Roman" w:eastAsia="宋体" w:cs="Times New Roman"/>
                <w:color w:val="auto"/>
                <w:sz w:val="24"/>
                <w:highlight w:val="none"/>
              </w:rPr>
              <w:t>分</w:t>
            </w:r>
            <w:r>
              <w:rPr>
                <w:rFonts w:hint="default" w:ascii="Times New Roman" w:hAnsi="Times New Roman" w:cs="Times New Roman"/>
                <w:color w:val="auto"/>
                <w:spacing w:val="0"/>
                <w:sz w:val="24"/>
                <w:szCs w:val="24"/>
                <w:highlight w:val="none"/>
                <w:u w:val="single"/>
                <w:lang w:val="en-US" w:eastAsia="zh-CN"/>
              </w:rPr>
              <w:t>36.438</w:t>
            </w:r>
            <w:r>
              <w:rPr>
                <w:rFonts w:hint="default" w:ascii="Times New Roman" w:hAnsi="Times New Roman" w:eastAsia="宋体" w:cs="Times New Roman"/>
                <w:color w:val="auto"/>
                <w:spacing w:val="0"/>
                <w:sz w:val="24"/>
                <w:szCs w:val="24"/>
                <w:highlight w:val="none"/>
              </w:rPr>
              <w:t>秒，北纬</w:t>
            </w:r>
            <w:r>
              <w:rPr>
                <w:rFonts w:hint="default" w:ascii="Times New Roman" w:hAnsi="Times New Roman" w:eastAsia="宋体" w:cs="Times New Roman"/>
                <w:color w:val="auto"/>
                <w:spacing w:val="0"/>
                <w:sz w:val="24"/>
                <w:szCs w:val="24"/>
                <w:highlight w:val="none"/>
                <w:u w:val="single"/>
              </w:rPr>
              <w:t>45</w:t>
            </w:r>
            <w:r>
              <w:rPr>
                <w:rFonts w:hint="default" w:ascii="Times New Roman" w:hAnsi="Times New Roman" w:eastAsia="宋体" w:cs="Times New Roman"/>
                <w:color w:val="auto"/>
                <w:spacing w:val="0"/>
                <w:sz w:val="24"/>
                <w:szCs w:val="24"/>
                <w:highlight w:val="none"/>
              </w:rPr>
              <w:t>度</w:t>
            </w:r>
            <w:bookmarkStart w:id="21" w:name="_GoBack"/>
            <w:bookmarkEnd w:id="21"/>
            <w:r>
              <w:rPr>
                <w:rFonts w:hint="default" w:ascii="Times New Roman" w:hAnsi="Times New Roman" w:eastAsia="宋体" w:cs="Times New Roman"/>
                <w:color w:val="auto"/>
                <w:spacing w:val="0"/>
                <w:sz w:val="24"/>
                <w:szCs w:val="24"/>
                <w:highlight w:val="none"/>
                <w:u w:val="single"/>
                <w:lang w:val="en-US" w:eastAsia="zh-CN"/>
              </w:rPr>
              <w:t>4</w:t>
            </w:r>
            <w:r>
              <w:rPr>
                <w:rFonts w:hint="default" w:ascii="Times New Roman" w:hAnsi="Times New Roman" w:cs="Times New Roman"/>
                <w:color w:val="auto"/>
                <w:spacing w:val="0"/>
                <w:sz w:val="24"/>
                <w:szCs w:val="24"/>
                <w:highlight w:val="none"/>
                <w:u w:val="single"/>
                <w:lang w:val="en-US" w:eastAsia="zh-CN"/>
              </w:rPr>
              <w:t>6</w:t>
            </w:r>
            <w:r>
              <w:rPr>
                <w:rFonts w:hint="default" w:ascii="Times New Roman" w:hAnsi="Times New Roman" w:eastAsia="宋体" w:cs="Times New Roman"/>
                <w:color w:val="auto"/>
                <w:spacing w:val="0"/>
                <w:sz w:val="24"/>
                <w:szCs w:val="24"/>
                <w:highlight w:val="none"/>
              </w:rPr>
              <w:t>分</w:t>
            </w:r>
            <w:r>
              <w:rPr>
                <w:rFonts w:hint="default" w:ascii="Times New Roman" w:hAnsi="Times New Roman" w:cs="Times New Roman"/>
                <w:color w:val="auto"/>
                <w:spacing w:val="0"/>
                <w:sz w:val="24"/>
                <w:szCs w:val="24"/>
                <w:highlight w:val="none"/>
                <w:u w:val="single"/>
                <w:lang w:val="en-US" w:eastAsia="zh-CN"/>
              </w:rPr>
              <w:t>11.796</w:t>
            </w:r>
            <w:r>
              <w:rPr>
                <w:rFonts w:hint="default" w:ascii="Times New Roman" w:hAnsi="Times New Roman" w:eastAsia="宋体" w:cs="Times New Roman"/>
                <w:color w:val="auto"/>
                <w:spacing w:val="0"/>
                <w:sz w:val="24"/>
                <w:szCs w:val="24"/>
                <w:highlight w:val="none"/>
              </w:rPr>
              <w:t>秒</w:t>
            </w:r>
          </w:p>
        </w:tc>
      </w:tr>
      <w:tr w14:paraId="3D5D49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878" w:hRule="atLeast"/>
          <w:jc w:val="center"/>
        </w:trPr>
        <w:tc>
          <w:tcPr>
            <w:tcW w:w="1328" w:type="dxa"/>
            <w:noWrap w:val="0"/>
            <w:tcMar>
              <w:top w:w="16" w:type="dxa"/>
              <w:left w:w="16" w:type="dxa"/>
              <w:right w:w="16" w:type="dxa"/>
            </w:tcMar>
            <w:vAlign w:val="center"/>
          </w:tcPr>
          <w:p w14:paraId="15863DBA">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国民经济</w:t>
            </w:r>
          </w:p>
          <w:p w14:paraId="096C4FF0">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行业类别</w:t>
            </w:r>
          </w:p>
        </w:tc>
        <w:tc>
          <w:tcPr>
            <w:tcW w:w="2618" w:type="dxa"/>
            <w:noWrap w:val="0"/>
            <w:vAlign w:val="center"/>
          </w:tcPr>
          <w:p w14:paraId="1F6C751A">
            <w:pPr>
              <w:spacing w:line="240" w:lineRule="auto"/>
              <w:ind w:firstLine="0" w:firstLineChars="0"/>
              <w:jc w:val="center"/>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D-4430热力生产和供应业</w:t>
            </w:r>
          </w:p>
        </w:tc>
        <w:tc>
          <w:tcPr>
            <w:tcW w:w="1982" w:type="dxa"/>
            <w:noWrap w:val="0"/>
            <w:vAlign w:val="center"/>
          </w:tcPr>
          <w:p w14:paraId="47522236">
            <w:pPr>
              <w:spacing w:line="240" w:lineRule="auto"/>
              <w:ind w:firstLine="0" w:firstLineChars="0"/>
              <w:jc w:val="center"/>
              <w:rPr>
                <w:rFonts w:hint="default" w:ascii="Times New Roman" w:hAnsi="Times New Roman" w:eastAsia="宋体" w:cs="Times New Roman"/>
                <w:color w:val="auto"/>
                <w:spacing w:val="0"/>
                <w:sz w:val="24"/>
                <w:szCs w:val="24"/>
                <w:highlight w:val="none"/>
              </w:rPr>
            </w:pPr>
            <w:bookmarkStart w:id="1" w:name="_Hlk49843745"/>
            <w:r>
              <w:rPr>
                <w:rFonts w:hint="default" w:ascii="Times New Roman" w:hAnsi="Times New Roman" w:eastAsia="宋体" w:cs="Times New Roman"/>
                <w:color w:val="auto"/>
                <w:spacing w:val="0"/>
                <w:sz w:val="24"/>
                <w:szCs w:val="24"/>
                <w:highlight w:val="none"/>
              </w:rPr>
              <w:t>建设项目</w:t>
            </w:r>
          </w:p>
          <w:p w14:paraId="78A17F63">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行业类别</w:t>
            </w:r>
            <w:bookmarkEnd w:id="1"/>
          </w:p>
        </w:tc>
        <w:tc>
          <w:tcPr>
            <w:tcW w:w="2578" w:type="dxa"/>
            <w:noWrap w:val="0"/>
            <w:vAlign w:val="center"/>
          </w:tcPr>
          <w:p w14:paraId="42E756BB">
            <w:pPr>
              <w:pStyle w:val="7"/>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firstLine="0" w:firstLineChars="0"/>
              <w:jc w:val="center"/>
              <w:textAlignment w:val="auto"/>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bCs/>
                <w:color w:val="auto"/>
                <w:spacing w:val="0"/>
                <w:kern w:val="2"/>
                <w:sz w:val="24"/>
                <w:szCs w:val="24"/>
                <w:highlight w:val="none"/>
                <w:lang w:val="en-US" w:eastAsia="zh-CN" w:bidi="ar-SA"/>
              </w:rPr>
              <w:t>四十一、电力、热力生产和供应业</w:t>
            </w:r>
          </w:p>
        </w:tc>
      </w:tr>
      <w:tr w14:paraId="2570C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2067" w:hRule="atLeast"/>
          <w:jc w:val="center"/>
        </w:trPr>
        <w:tc>
          <w:tcPr>
            <w:tcW w:w="1328" w:type="dxa"/>
            <w:noWrap w:val="0"/>
            <w:tcMar>
              <w:top w:w="16" w:type="dxa"/>
              <w:left w:w="16" w:type="dxa"/>
              <w:right w:w="16" w:type="dxa"/>
            </w:tcMar>
            <w:vAlign w:val="center"/>
          </w:tcPr>
          <w:p w14:paraId="0BFF2355">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建设性质</w:t>
            </w:r>
          </w:p>
        </w:tc>
        <w:tc>
          <w:tcPr>
            <w:tcW w:w="2618" w:type="dxa"/>
            <w:noWrap w:val="0"/>
            <w:vAlign w:val="center"/>
          </w:tcPr>
          <w:p w14:paraId="3CA25D8D">
            <w:pPr>
              <w:spacing w:line="240" w:lineRule="auto"/>
              <w:ind w:firstLine="0" w:firstLineChars="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新建（迁建）</w:t>
            </w:r>
          </w:p>
          <w:p w14:paraId="484CA00C">
            <w:pPr>
              <w:spacing w:line="240" w:lineRule="auto"/>
              <w:ind w:firstLine="0" w:firstLineChars="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改建</w:t>
            </w:r>
          </w:p>
          <w:p w14:paraId="060CDD60">
            <w:pPr>
              <w:spacing w:line="240" w:lineRule="auto"/>
              <w:ind w:firstLine="0" w:firstLineChars="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扩建</w:t>
            </w:r>
          </w:p>
          <w:p w14:paraId="5C19147D">
            <w:pPr>
              <w:spacing w:line="240" w:lineRule="auto"/>
              <w:ind w:firstLine="0" w:firstLineChars="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□技术改造</w:t>
            </w:r>
          </w:p>
        </w:tc>
        <w:tc>
          <w:tcPr>
            <w:tcW w:w="1982" w:type="dxa"/>
            <w:noWrap w:val="0"/>
            <w:vAlign w:val="center"/>
          </w:tcPr>
          <w:p w14:paraId="1397BD1B">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建设项目</w:t>
            </w:r>
          </w:p>
          <w:p w14:paraId="5B5CD27F">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申报情形</w:t>
            </w:r>
          </w:p>
        </w:tc>
        <w:tc>
          <w:tcPr>
            <w:tcW w:w="2578" w:type="dxa"/>
            <w:noWrap w:val="0"/>
            <w:vAlign w:val="center"/>
          </w:tcPr>
          <w:p w14:paraId="06CC449B">
            <w:pPr>
              <w:spacing w:line="240" w:lineRule="auto"/>
              <w:ind w:firstLine="0" w:firstLineChars="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首次申报项目</w:t>
            </w:r>
          </w:p>
          <w:p w14:paraId="24A88535">
            <w:pPr>
              <w:spacing w:line="240" w:lineRule="auto"/>
              <w:ind w:firstLine="0" w:firstLineChars="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□不予批准后再次申报项目</w:t>
            </w:r>
          </w:p>
          <w:p w14:paraId="4AAF92BE">
            <w:pPr>
              <w:spacing w:line="240" w:lineRule="auto"/>
              <w:ind w:firstLine="0" w:firstLineChars="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□超五年重新审核项目</w:t>
            </w:r>
          </w:p>
          <w:p w14:paraId="2FB8670B">
            <w:pPr>
              <w:spacing w:line="240" w:lineRule="auto"/>
              <w:ind w:firstLine="0" w:firstLineChars="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□重大变动重新报批项目</w:t>
            </w:r>
          </w:p>
        </w:tc>
      </w:tr>
      <w:tr w14:paraId="6C4BB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059" w:hRule="atLeast"/>
          <w:jc w:val="center"/>
        </w:trPr>
        <w:tc>
          <w:tcPr>
            <w:tcW w:w="1328" w:type="dxa"/>
            <w:noWrap w:val="0"/>
            <w:tcMar>
              <w:top w:w="16" w:type="dxa"/>
              <w:left w:w="16" w:type="dxa"/>
              <w:right w:w="16" w:type="dxa"/>
            </w:tcMar>
            <w:vAlign w:val="center"/>
          </w:tcPr>
          <w:p w14:paraId="2F4E4E17">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项目审批（核准/</w:t>
            </w:r>
          </w:p>
          <w:p w14:paraId="3CF7C66A">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备案）部门（选填）</w:t>
            </w:r>
          </w:p>
        </w:tc>
        <w:tc>
          <w:tcPr>
            <w:tcW w:w="2618" w:type="dxa"/>
            <w:noWrap w:val="0"/>
            <w:vAlign w:val="center"/>
          </w:tcPr>
          <w:p w14:paraId="3DA8AB55">
            <w:pPr>
              <w:spacing w:line="240" w:lineRule="auto"/>
              <w:ind w:firstLine="0" w:firstLineChars="0"/>
              <w:jc w:val="center"/>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val="en-US" w:eastAsia="zh-CN"/>
              </w:rPr>
              <w:t>/</w:t>
            </w:r>
          </w:p>
        </w:tc>
        <w:tc>
          <w:tcPr>
            <w:tcW w:w="1982" w:type="dxa"/>
            <w:noWrap w:val="0"/>
            <w:vAlign w:val="center"/>
          </w:tcPr>
          <w:p w14:paraId="1906FB7C">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项目审批（核准/备案）文号（选填）</w:t>
            </w:r>
          </w:p>
        </w:tc>
        <w:tc>
          <w:tcPr>
            <w:tcW w:w="2578" w:type="dxa"/>
            <w:noWrap w:val="0"/>
            <w:vAlign w:val="center"/>
          </w:tcPr>
          <w:p w14:paraId="53B034BF">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w:t>
            </w:r>
          </w:p>
        </w:tc>
      </w:tr>
      <w:tr w14:paraId="4FAE3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672" w:hRule="exact"/>
          <w:jc w:val="center"/>
        </w:trPr>
        <w:tc>
          <w:tcPr>
            <w:tcW w:w="1328" w:type="dxa"/>
            <w:noWrap w:val="0"/>
            <w:tcMar>
              <w:top w:w="16" w:type="dxa"/>
              <w:left w:w="16" w:type="dxa"/>
              <w:right w:w="16" w:type="dxa"/>
            </w:tcMar>
            <w:vAlign w:val="center"/>
          </w:tcPr>
          <w:p w14:paraId="663AFB43">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总投资（万元）</w:t>
            </w:r>
          </w:p>
        </w:tc>
        <w:tc>
          <w:tcPr>
            <w:tcW w:w="2618" w:type="dxa"/>
            <w:noWrap w:val="0"/>
            <w:vAlign w:val="center"/>
          </w:tcPr>
          <w:p w14:paraId="3DF9D674">
            <w:pPr>
              <w:spacing w:line="240" w:lineRule="auto"/>
              <w:ind w:firstLine="0" w:firstLineChars="0"/>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100</w:t>
            </w:r>
          </w:p>
        </w:tc>
        <w:tc>
          <w:tcPr>
            <w:tcW w:w="1982" w:type="dxa"/>
            <w:noWrap w:val="0"/>
            <w:tcMar>
              <w:top w:w="16" w:type="dxa"/>
              <w:left w:w="16" w:type="dxa"/>
              <w:right w:w="16" w:type="dxa"/>
            </w:tcMar>
            <w:vAlign w:val="center"/>
          </w:tcPr>
          <w:p w14:paraId="71CEB7D9">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环保投资（万元）</w:t>
            </w:r>
          </w:p>
        </w:tc>
        <w:tc>
          <w:tcPr>
            <w:tcW w:w="2578" w:type="dxa"/>
            <w:noWrap w:val="0"/>
            <w:vAlign w:val="center"/>
          </w:tcPr>
          <w:p w14:paraId="522273B6">
            <w:pPr>
              <w:spacing w:line="240" w:lineRule="auto"/>
              <w:ind w:firstLine="0" w:firstLineChars="0"/>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17.5</w:t>
            </w:r>
          </w:p>
        </w:tc>
      </w:tr>
      <w:tr w14:paraId="5FD847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647" w:hRule="exact"/>
          <w:jc w:val="center"/>
        </w:trPr>
        <w:tc>
          <w:tcPr>
            <w:tcW w:w="1328" w:type="dxa"/>
            <w:noWrap w:val="0"/>
            <w:tcMar>
              <w:top w:w="16" w:type="dxa"/>
              <w:left w:w="16" w:type="dxa"/>
              <w:right w:w="16" w:type="dxa"/>
            </w:tcMar>
            <w:vAlign w:val="center"/>
          </w:tcPr>
          <w:p w14:paraId="068A2A4A">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环保投资占比（%）</w:t>
            </w:r>
          </w:p>
        </w:tc>
        <w:tc>
          <w:tcPr>
            <w:tcW w:w="2618" w:type="dxa"/>
            <w:noWrap w:val="0"/>
            <w:vAlign w:val="center"/>
          </w:tcPr>
          <w:p w14:paraId="678892AC">
            <w:pPr>
              <w:spacing w:line="240" w:lineRule="auto"/>
              <w:ind w:firstLine="0" w:firstLineChars="0"/>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17.5</w:t>
            </w:r>
          </w:p>
        </w:tc>
        <w:tc>
          <w:tcPr>
            <w:tcW w:w="1982" w:type="dxa"/>
            <w:noWrap w:val="0"/>
            <w:tcMar>
              <w:top w:w="16" w:type="dxa"/>
              <w:left w:w="16" w:type="dxa"/>
              <w:right w:w="16" w:type="dxa"/>
            </w:tcMar>
            <w:vAlign w:val="center"/>
          </w:tcPr>
          <w:p w14:paraId="03C8F817">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施工工期</w:t>
            </w:r>
          </w:p>
        </w:tc>
        <w:tc>
          <w:tcPr>
            <w:tcW w:w="2578" w:type="dxa"/>
            <w:noWrap w:val="0"/>
            <w:vAlign w:val="center"/>
          </w:tcPr>
          <w:p w14:paraId="33E05BD7">
            <w:pPr>
              <w:spacing w:line="240" w:lineRule="auto"/>
              <w:ind w:firstLine="0" w:firstLineChars="0"/>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highlight w:val="none"/>
                <w:lang w:val="en-US" w:eastAsia="zh-CN"/>
              </w:rPr>
              <w:t>202</w:t>
            </w:r>
            <w:r>
              <w:rPr>
                <w:rFonts w:hint="default" w:ascii="Times New Roman" w:hAnsi="Times New Roman" w:cs="Times New Roman"/>
                <w:color w:val="auto"/>
                <w:spacing w:val="0"/>
                <w:highlight w:val="none"/>
                <w:lang w:val="en-US" w:eastAsia="zh-CN"/>
              </w:rPr>
              <w:t>6</w:t>
            </w:r>
            <w:r>
              <w:rPr>
                <w:rFonts w:hint="default" w:ascii="Times New Roman" w:hAnsi="Times New Roman" w:eastAsia="宋体" w:cs="Times New Roman"/>
                <w:color w:val="auto"/>
                <w:spacing w:val="0"/>
                <w:highlight w:val="none"/>
                <w:lang w:val="en-US" w:eastAsia="zh-CN"/>
              </w:rPr>
              <w:t>年</w:t>
            </w:r>
            <w:r>
              <w:rPr>
                <w:rFonts w:hint="default" w:ascii="Times New Roman" w:hAnsi="Times New Roman" w:cs="Times New Roman"/>
                <w:color w:val="auto"/>
                <w:spacing w:val="0"/>
                <w:highlight w:val="none"/>
                <w:lang w:val="en-US" w:eastAsia="zh-CN"/>
              </w:rPr>
              <w:t>3</w:t>
            </w:r>
            <w:r>
              <w:rPr>
                <w:rFonts w:hint="default" w:ascii="Times New Roman" w:hAnsi="Times New Roman" w:eastAsia="宋体" w:cs="Times New Roman"/>
                <w:color w:val="auto"/>
                <w:spacing w:val="0"/>
                <w:highlight w:val="none"/>
                <w:lang w:val="en-US" w:eastAsia="zh-CN"/>
              </w:rPr>
              <w:t>月</w:t>
            </w:r>
            <w:r>
              <w:rPr>
                <w:rFonts w:hint="default" w:ascii="Times New Roman" w:hAnsi="Times New Roman" w:cs="Times New Roman"/>
                <w:color w:val="auto"/>
                <w:spacing w:val="0"/>
                <w:highlight w:val="none"/>
                <w:lang w:val="en-US" w:eastAsia="zh-CN"/>
              </w:rPr>
              <w:t>-4</w:t>
            </w:r>
            <w:r>
              <w:rPr>
                <w:rFonts w:hint="default" w:ascii="Times New Roman" w:hAnsi="Times New Roman" w:eastAsia="宋体" w:cs="Times New Roman"/>
                <w:color w:val="auto"/>
                <w:spacing w:val="0"/>
                <w:highlight w:val="none"/>
                <w:lang w:val="en-US" w:eastAsia="zh-CN"/>
              </w:rPr>
              <w:t>月</w:t>
            </w:r>
          </w:p>
        </w:tc>
      </w:tr>
      <w:tr w14:paraId="32B68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2065" w:hRule="exact"/>
          <w:jc w:val="center"/>
        </w:trPr>
        <w:tc>
          <w:tcPr>
            <w:tcW w:w="1328" w:type="dxa"/>
            <w:noWrap w:val="0"/>
            <w:tcMar>
              <w:top w:w="16" w:type="dxa"/>
              <w:left w:w="16" w:type="dxa"/>
              <w:right w:w="16" w:type="dxa"/>
            </w:tcMar>
            <w:vAlign w:val="center"/>
          </w:tcPr>
          <w:p w14:paraId="5EF1D917">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是否开工建设</w:t>
            </w:r>
          </w:p>
        </w:tc>
        <w:tc>
          <w:tcPr>
            <w:tcW w:w="2618" w:type="dxa"/>
            <w:noWrap w:val="0"/>
            <w:vAlign w:val="center"/>
          </w:tcPr>
          <w:p w14:paraId="54BD3687">
            <w:pPr>
              <w:adjustRightInd w:val="0"/>
              <w:snapToGrid w:val="0"/>
              <w:spacing w:line="240" w:lineRule="auto"/>
              <w:ind w:left="0" w:leftChars="0" w:firstLine="0" w:firstLineChars="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sym w:font="Wingdings 2" w:char="00A3"/>
            </w:r>
            <w:r>
              <w:rPr>
                <w:rFonts w:hint="default" w:ascii="Times New Roman" w:hAnsi="Times New Roman" w:eastAsia="宋体" w:cs="Times New Roman"/>
                <w:color w:val="auto"/>
                <w:spacing w:val="0"/>
                <w:sz w:val="24"/>
                <w:szCs w:val="24"/>
                <w:highlight w:val="none"/>
              </w:rPr>
              <w:t>否</w:t>
            </w:r>
          </w:p>
          <w:p w14:paraId="6F1294CB">
            <w:pPr>
              <w:spacing w:line="240" w:lineRule="auto"/>
              <w:ind w:firstLine="0" w:firstLineChars="0"/>
              <w:jc w:val="left"/>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eastAsia="zh-CN"/>
              </w:rPr>
              <w:sym w:font="Wingdings 2" w:char="0052"/>
            </w:r>
            <w:r>
              <w:rPr>
                <w:rFonts w:hint="default" w:ascii="Times New Roman" w:hAnsi="Times New Roman" w:eastAsia="宋体" w:cs="Times New Roman"/>
                <w:color w:val="auto"/>
                <w:spacing w:val="0"/>
                <w:sz w:val="24"/>
                <w:szCs w:val="24"/>
                <w:highlight w:val="none"/>
              </w:rPr>
              <w:t>是：</w:t>
            </w:r>
            <w:r>
              <w:rPr>
                <w:rFonts w:hint="default" w:ascii="Times New Roman" w:hAnsi="Times New Roman" w:eastAsia="宋体" w:cs="Times New Roman"/>
                <w:color w:val="auto"/>
                <w:sz w:val="21"/>
                <w:szCs w:val="21"/>
                <w:highlight w:val="none"/>
                <w:u w:val="single"/>
                <w:lang w:val="en-US" w:eastAsia="zh-CN"/>
              </w:rPr>
              <w:t>本项目锅炉已于201</w:t>
            </w:r>
            <w:r>
              <w:rPr>
                <w:rFonts w:hint="default" w:ascii="Times New Roman" w:hAnsi="Times New Roman" w:cs="Times New Roman"/>
                <w:color w:val="auto"/>
                <w:sz w:val="21"/>
                <w:szCs w:val="21"/>
                <w:highlight w:val="none"/>
                <w:u w:val="single"/>
                <w:lang w:val="en-US" w:eastAsia="zh-CN"/>
              </w:rPr>
              <w:t>3</w:t>
            </w:r>
            <w:r>
              <w:rPr>
                <w:rFonts w:hint="default" w:ascii="Times New Roman" w:hAnsi="Times New Roman" w:eastAsia="宋体" w:cs="Times New Roman"/>
                <w:color w:val="auto"/>
                <w:sz w:val="21"/>
                <w:szCs w:val="21"/>
                <w:highlight w:val="none"/>
                <w:u w:val="single"/>
                <w:lang w:val="en-US" w:eastAsia="zh-CN"/>
              </w:rPr>
              <w:t>年</w:t>
            </w:r>
            <w:r>
              <w:rPr>
                <w:rFonts w:hint="default" w:ascii="Times New Roman" w:hAnsi="Times New Roman" w:cs="Times New Roman"/>
                <w:color w:val="auto"/>
                <w:sz w:val="21"/>
                <w:szCs w:val="21"/>
                <w:highlight w:val="none"/>
                <w:u w:val="single"/>
                <w:lang w:val="en-US" w:eastAsia="zh-CN"/>
              </w:rPr>
              <w:t>12</w:t>
            </w:r>
            <w:r>
              <w:rPr>
                <w:rFonts w:hint="default" w:ascii="Times New Roman" w:hAnsi="Times New Roman" w:eastAsia="宋体" w:cs="Times New Roman"/>
                <w:color w:val="auto"/>
                <w:sz w:val="21"/>
                <w:szCs w:val="21"/>
                <w:highlight w:val="none"/>
                <w:u w:val="single"/>
                <w:lang w:val="en-US" w:eastAsia="zh-CN"/>
              </w:rPr>
              <w:t>月建成</w:t>
            </w:r>
            <w:r>
              <w:rPr>
                <w:rFonts w:hint="default" w:ascii="Times New Roman" w:hAnsi="Times New Roman" w:cs="Times New Roman"/>
                <w:color w:val="auto"/>
                <w:sz w:val="21"/>
                <w:szCs w:val="21"/>
                <w:highlight w:val="none"/>
                <w:u w:val="single"/>
                <w:lang w:val="en-US" w:eastAsia="zh-CN"/>
              </w:rPr>
              <w:t>，项目自建成以来一直未生产</w:t>
            </w:r>
          </w:p>
        </w:tc>
        <w:tc>
          <w:tcPr>
            <w:tcW w:w="1982" w:type="dxa"/>
            <w:noWrap w:val="0"/>
            <w:tcMar>
              <w:top w:w="16" w:type="dxa"/>
              <w:left w:w="16" w:type="dxa"/>
              <w:right w:w="16" w:type="dxa"/>
            </w:tcMar>
            <w:vAlign w:val="center"/>
          </w:tcPr>
          <w:p w14:paraId="2EAA80DA">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用地（用海）</w:t>
            </w:r>
          </w:p>
          <w:p w14:paraId="629F9C7F">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面积（m</w:t>
            </w:r>
            <w:r>
              <w:rPr>
                <w:rFonts w:hint="default" w:ascii="Times New Roman" w:hAnsi="Times New Roman" w:eastAsia="宋体" w:cs="Times New Roman"/>
                <w:color w:val="auto"/>
                <w:spacing w:val="0"/>
                <w:sz w:val="24"/>
                <w:szCs w:val="24"/>
                <w:highlight w:val="none"/>
                <w:vertAlign w:val="superscript"/>
              </w:rPr>
              <w:t>2</w:t>
            </w:r>
            <w:r>
              <w:rPr>
                <w:rFonts w:hint="default" w:ascii="Times New Roman" w:hAnsi="Times New Roman" w:eastAsia="宋体" w:cs="Times New Roman"/>
                <w:color w:val="auto"/>
                <w:spacing w:val="0"/>
                <w:sz w:val="24"/>
                <w:szCs w:val="24"/>
                <w:highlight w:val="none"/>
              </w:rPr>
              <w:t>）</w:t>
            </w:r>
          </w:p>
        </w:tc>
        <w:tc>
          <w:tcPr>
            <w:tcW w:w="2578" w:type="dxa"/>
            <w:noWrap w:val="0"/>
            <w:vAlign w:val="center"/>
          </w:tcPr>
          <w:p w14:paraId="68995277">
            <w:pPr>
              <w:spacing w:line="240" w:lineRule="auto"/>
              <w:ind w:firstLine="0" w:firstLineChars="0"/>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w:t>
            </w:r>
          </w:p>
        </w:tc>
      </w:tr>
      <w:tr w14:paraId="2C6C35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813" w:hRule="atLeast"/>
          <w:jc w:val="center"/>
        </w:trPr>
        <w:tc>
          <w:tcPr>
            <w:tcW w:w="1328" w:type="dxa"/>
            <w:noWrap w:val="0"/>
            <w:vAlign w:val="center"/>
          </w:tcPr>
          <w:p w14:paraId="336975A8">
            <w:pPr>
              <w:spacing w:line="240" w:lineRule="auto"/>
              <w:ind w:firstLine="0" w:firstLineChars="0"/>
              <w:jc w:val="center"/>
              <w:rPr>
                <w:rFonts w:hint="default" w:ascii="Times New Roman" w:hAnsi="Times New Roman" w:eastAsia="宋体" w:cs="Times New Roman"/>
                <w:color w:val="auto"/>
                <w:spacing w:val="0"/>
                <w:kern w:val="0"/>
                <w:sz w:val="24"/>
                <w:szCs w:val="24"/>
                <w:highlight w:val="none"/>
              </w:rPr>
            </w:pPr>
            <w:r>
              <w:rPr>
                <w:rFonts w:hint="default" w:ascii="Times New Roman" w:hAnsi="Times New Roman" w:eastAsia="宋体" w:cs="Times New Roman"/>
                <w:color w:val="auto"/>
                <w:spacing w:val="0"/>
                <w:kern w:val="0"/>
                <w:sz w:val="24"/>
                <w:szCs w:val="24"/>
                <w:highlight w:val="none"/>
              </w:rPr>
              <w:t>专项评价设置情况</w:t>
            </w:r>
          </w:p>
        </w:tc>
        <w:tc>
          <w:tcPr>
            <w:tcW w:w="7178" w:type="dxa"/>
            <w:gridSpan w:val="3"/>
            <w:noWrap w:val="0"/>
            <w:vAlign w:val="center"/>
          </w:tcPr>
          <w:p w14:paraId="7D683FF0">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根据《建设项目环境影响报告表编制技术指南（污染影响类）</w:t>
            </w:r>
            <w:r>
              <w:rPr>
                <w:rFonts w:hint="default" w:ascii="Times New Roman" w:hAnsi="Times New Roman" w:cs="Times New Roman"/>
                <w:color w:val="auto"/>
                <w:sz w:val="24"/>
                <w:szCs w:val="24"/>
                <w:highlight w:val="none"/>
                <w:lang w:eastAsia="zh-CN"/>
              </w:rPr>
              <w:t>（试行）》</w:t>
            </w:r>
            <w:r>
              <w:rPr>
                <w:rFonts w:hint="default" w:ascii="Times New Roman" w:hAnsi="Times New Roman" w:eastAsia="宋体" w:cs="Times New Roman"/>
                <w:color w:val="auto"/>
                <w:sz w:val="24"/>
                <w:szCs w:val="24"/>
                <w:highlight w:val="none"/>
              </w:rPr>
              <w:t>可知，土壤、声环境不开展专项评价，地下水原则上不开展专项评价，本项目大气、地表水、环境风险、生态和海洋专项评价设置情况详见表1-1。</w:t>
            </w:r>
          </w:p>
          <w:p w14:paraId="2C62E526">
            <w:pPr>
              <w:pStyle w:val="32"/>
              <w:spacing w:line="240" w:lineRule="auto"/>
              <w:ind w:firstLin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表1-1本项目专项评价设置情况</w:t>
            </w:r>
          </w:p>
          <w:tbl>
            <w:tblPr>
              <w:tblStyle w:val="35"/>
              <w:tblW w:w="4999"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2"/>
              <w:gridCol w:w="2492"/>
              <w:gridCol w:w="2512"/>
              <w:gridCol w:w="1080"/>
            </w:tblGrid>
            <w:tr w14:paraId="74BD22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4" w:type="pct"/>
                  <w:noWrap w:val="0"/>
                  <w:vAlign w:val="center"/>
                </w:tcPr>
                <w:p w14:paraId="032557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sz w:val="21"/>
                      <w:szCs w:val="21"/>
                      <w:highlight w:val="none"/>
                      <w:lang w:bidi="ar"/>
                    </w:rPr>
                    <w:t>专项评</w:t>
                  </w:r>
                </w:p>
                <w:p w14:paraId="31A9A8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价类别</w:t>
                  </w:r>
                </w:p>
              </w:tc>
              <w:tc>
                <w:tcPr>
                  <w:tcW w:w="1763" w:type="pct"/>
                  <w:noWrap w:val="0"/>
                  <w:vAlign w:val="center"/>
                </w:tcPr>
                <w:p w14:paraId="36B1C7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设置原则</w:t>
                  </w:r>
                </w:p>
              </w:tc>
              <w:tc>
                <w:tcPr>
                  <w:tcW w:w="1777" w:type="pct"/>
                  <w:noWrap w:val="0"/>
                  <w:vAlign w:val="center"/>
                </w:tcPr>
                <w:p w14:paraId="020710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本项目相关情况</w:t>
                  </w:r>
                </w:p>
              </w:tc>
              <w:tc>
                <w:tcPr>
                  <w:tcW w:w="764" w:type="pct"/>
                  <w:noWrap w:val="0"/>
                  <w:vAlign w:val="center"/>
                </w:tcPr>
                <w:p w14:paraId="5EB545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bidi="ar"/>
                    </w:rPr>
                    <w:t>判定结果</w:t>
                  </w:r>
                </w:p>
              </w:tc>
            </w:tr>
            <w:tr w14:paraId="2558CB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94" w:type="pct"/>
                  <w:noWrap w:val="0"/>
                  <w:vAlign w:val="center"/>
                </w:tcPr>
                <w:p w14:paraId="6179A5D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大气</w:t>
                  </w:r>
                </w:p>
              </w:tc>
              <w:tc>
                <w:tcPr>
                  <w:tcW w:w="1763" w:type="pct"/>
                  <w:noWrap w:val="0"/>
                  <w:vAlign w:val="center"/>
                </w:tcPr>
                <w:p w14:paraId="021739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排放废气含有毒有害污染物、二噁英、苯并芘、氰化物、氯气且厂界外500米范围内有环境空气保护目标的建设项目</w:t>
                  </w:r>
                </w:p>
              </w:tc>
              <w:tc>
                <w:tcPr>
                  <w:tcW w:w="1777" w:type="pct"/>
                  <w:noWrap w:val="0"/>
                  <w:vAlign w:val="center"/>
                </w:tcPr>
                <w:p w14:paraId="774F251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本项目不产生二噁英、苯并[a]芘、氰化物、氯气等废气，</w:t>
                  </w:r>
                  <w:r>
                    <w:rPr>
                      <w:rFonts w:hint="eastAsia" w:ascii="Times New Roman" w:hAnsi="Times New Roman" w:cs="Times New Roman"/>
                      <w:color w:val="auto"/>
                      <w:kern w:val="0"/>
                      <w:sz w:val="21"/>
                      <w:szCs w:val="21"/>
                      <w:highlight w:val="none"/>
                      <w:lang w:val="en-US" w:eastAsia="zh-CN" w:bidi="ar"/>
                    </w:rPr>
                    <w:t>本项目</w:t>
                  </w:r>
                  <w:r>
                    <w:rPr>
                      <w:rFonts w:hint="default" w:ascii="Times New Roman" w:hAnsi="Times New Roman" w:eastAsia="宋体" w:cs="Times New Roman"/>
                      <w:color w:val="auto"/>
                      <w:kern w:val="0"/>
                      <w:sz w:val="21"/>
                      <w:szCs w:val="21"/>
                      <w:highlight w:val="none"/>
                      <w:lang w:bidi="ar"/>
                    </w:rPr>
                    <w:t>生物质分析报告中未体现汞含量，根据《直接法测定固体生物质燃料中汞的试验研究》（煤质技术，2020年）可知，生物质汞含量为15.47ng/g。生物质汞含量极低，因此不需设置大气专项评价</w:t>
                  </w:r>
                </w:p>
              </w:tc>
              <w:tc>
                <w:tcPr>
                  <w:tcW w:w="764" w:type="pct"/>
                  <w:noWrap w:val="0"/>
                  <w:vAlign w:val="center"/>
                </w:tcPr>
                <w:p w14:paraId="694018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不需设置</w:t>
                  </w:r>
                </w:p>
              </w:tc>
            </w:tr>
            <w:tr w14:paraId="241EA7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694" w:type="pct"/>
                  <w:noWrap w:val="0"/>
                  <w:vAlign w:val="center"/>
                </w:tcPr>
                <w:p w14:paraId="0785A1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地表水</w:t>
                  </w:r>
                </w:p>
              </w:tc>
              <w:tc>
                <w:tcPr>
                  <w:tcW w:w="1763" w:type="pct"/>
                  <w:noWrap w:val="0"/>
                  <w:vAlign w:val="center"/>
                </w:tcPr>
                <w:p w14:paraId="3FC8A42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新增工业废水直排建设项目（槽罐车外送污水处理厂的除外）；新增废水直排的污水集中处理厂</w:t>
                  </w:r>
                </w:p>
              </w:tc>
              <w:tc>
                <w:tcPr>
                  <w:tcW w:w="1777" w:type="pct"/>
                  <w:noWrap w:val="0"/>
                  <w:vAlign w:val="center"/>
                </w:tcPr>
                <w:p w14:paraId="3080FE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本项目锅炉排污水及软化处理废水回用于锅炉除渣加湿和锅炉间地面洒水降尘，不外排</w:t>
                  </w:r>
                </w:p>
              </w:tc>
              <w:tc>
                <w:tcPr>
                  <w:tcW w:w="764" w:type="pct"/>
                  <w:noWrap w:val="0"/>
                  <w:vAlign w:val="center"/>
                </w:tcPr>
                <w:p w14:paraId="3946AE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不需设置</w:t>
                  </w:r>
                </w:p>
              </w:tc>
            </w:tr>
            <w:tr w14:paraId="071889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94" w:type="pct"/>
                  <w:noWrap w:val="0"/>
                  <w:vAlign w:val="center"/>
                </w:tcPr>
                <w:p w14:paraId="6AAA6C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环境风险</w:t>
                  </w:r>
                </w:p>
              </w:tc>
              <w:tc>
                <w:tcPr>
                  <w:tcW w:w="1763" w:type="pct"/>
                  <w:noWrap w:val="0"/>
                  <w:vAlign w:val="center"/>
                </w:tcPr>
                <w:p w14:paraId="73CA34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有毒有害和易燃易爆危险物质存储量超过临界量的建设项目</w:t>
                  </w:r>
                </w:p>
              </w:tc>
              <w:tc>
                <w:tcPr>
                  <w:tcW w:w="1777" w:type="pct"/>
                  <w:noWrap w:val="0"/>
                  <w:vAlign w:val="center"/>
                </w:tcPr>
                <w:p w14:paraId="583BDD9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20"/>
                      <w:sz w:val="21"/>
                      <w:szCs w:val="21"/>
                    </w:rPr>
                    <w:t>本项目涉及有毒有害和易燃</w:t>
                  </w:r>
                  <w:r>
                    <w:rPr>
                      <w:rFonts w:hint="default" w:ascii="Times New Roman" w:hAnsi="Times New Roman" w:cs="Times New Roman"/>
                      <w:color w:val="auto"/>
                      <w:spacing w:val="3"/>
                      <w:sz w:val="21"/>
                      <w:szCs w:val="21"/>
                    </w:rPr>
                    <w:t>易爆危险物质为废机油，储存量不超过临界量，本项目不开</w:t>
                  </w:r>
                  <w:r>
                    <w:rPr>
                      <w:rFonts w:hint="default" w:ascii="Times New Roman" w:hAnsi="Times New Roman" w:cs="Times New Roman"/>
                      <w:color w:val="auto"/>
                      <w:spacing w:val="8"/>
                      <w:sz w:val="21"/>
                      <w:szCs w:val="21"/>
                    </w:rPr>
                    <w:t>展环境风险专项评价</w:t>
                  </w:r>
                </w:p>
              </w:tc>
              <w:tc>
                <w:tcPr>
                  <w:tcW w:w="764" w:type="pct"/>
                  <w:noWrap w:val="0"/>
                  <w:vAlign w:val="center"/>
                </w:tcPr>
                <w:p w14:paraId="1A512C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不需设置</w:t>
                  </w:r>
                </w:p>
              </w:tc>
            </w:tr>
            <w:tr w14:paraId="25938A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6" w:hRule="atLeast"/>
              </w:trPr>
              <w:tc>
                <w:tcPr>
                  <w:tcW w:w="694" w:type="pct"/>
                  <w:noWrap w:val="0"/>
                  <w:vAlign w:val="center"/>
                </w:tcPr>
                <w:p w14:paraId="410734C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生态</w:t>
                  </w:r>
                </w:p>
              </w:tc>
              <w:tc>
                <w:tcPr>
                  <w:tcW w:w="1763" w:type="pct"/>
                  <w:noWrap w:val="0"/>
                  <w:vAlign w:val="center"/>
                </w:tcPr>
                <w:p w14:paraId="78F09D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取水口下游500米范围内有重要水生生物的自然产卵场、索饵场、越冬场和洄游通道的新增河道取水的污染类建设项目</w:t>
                  </w:r>
                </w:p>
              </w:tc>
              <w:tc>
                <w:tcPr>
                  <w:tcW w:w="1777" w:type="pct"/>
                  <w:noWrap w:val="0"/>
                  <w:vAlign w:val="center"/>
                </w:tcPr>
                <w:p w14:paraId="041581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bidi="ar"/>
                    </w:rPr>
                    <w:t>本项目不涉及直接从河道取水</w:t>
                  </w:r>
                  <w:r>
                    <w:rPr>
                      <w:rFonts w:hint="default" w:ascii="Times New Roman" w:hAnsi="Times New Roman" w:cs="Times New Roman"/>
                      <w:color w:val="auto"/>
                      <w:kern w:val="0"/>
                      <w:sz w:val="21"/>
                      <w:szCs w:val="21"/>
                      <w:highlight w:val="none"/>
                      <w:lang w:eastAsia="zh-CN" w:bidi="ar"/>
                    </w:rPr>
                    <w:t>。</w:t>
                  </w:r>
                </w:p>
              </w:tc>
              <w:tc>
                <w:tcPr>
                  <w:tcW w:w="764" w:type="pct"/>
                  <w:noWrap w:val="0"/>
                  <w:vAlign w:val="center"/>
                </w:tcPr>
                <w:p w14:paraId="5AEFAF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不需设置</w:t>
                  </w:r>
                </w:p>
              </w:tc>
            </w:tr>
            <w:tr w14:paraId="6F2D18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4" w:type="pct"/>
                  <w:noWrap w:val="0"/>
                  <w:vAlign w:val="center"/>
                </w:tcPr>
                <w:p w14:paraId="1B951D6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海洋</w:t>
                  </w:r>
                </w:p>
              </w:tc>
              <w:tc>
                <w:tcPr>
                  <w:tcW w:w="1763" w:type="pct"/>
                  <w:noWrap w:val="0"/>
                  <w:vAlign w:val="center"/>
                </w:tcPr>
                <w:p w14:paraId="4D7303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直接向海排放污染物的海洋工程建设项目</w:t>
                  </w:r>
                </w:p>
              </w:tc>
              <w:tc>
                <w:tcPr>
                  <w:tcW w:w="1777" w:type="pct"/>
                  <w:noWrap w:val="0"/>
                  <w:vAlign w:val="center"/>
                </w:tcPr>
                <w:p w14:paraId="069D1D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本项目不涉及直接向海排放污染物</w:t>
                  </w:r>
                </w:p>
              </w:tc>
              <w:tc>
                <w:tcPr>
                  <w:tcW w:w="764" w:type="pct"/>
                  <w:noWrap w:val="0"/>
                  <w:vAlign w:val="center"/>
                </w:tcPr>
                <w:p w14:paraId="3BAD70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不需设置</w:t>
                  </w:r>
                </w:p>
              </w:tc>
            </w:tr>
          </w:tbl>
          <w:p w14:paraId="75BC718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pacing w:val="0"/>
                <w:kern w:val="0"/>
                <w:sz w:val="24"/>
                <w:szCs w:val="24"/>
                <w:highlight w:val="none"/>
              </w:rPr>
            </w:pPr>
            <w:r>
              <w:rPr>
                <w:rFonts w:hint="default" w:ascii="Times New Roman" w:hAnsi="Times New Roman" w:eastAsia="宋体" w:cs="Times New Roman"/>
                <w:color w:val="auto"/>
                <w:kern w:val="0"/>
                <w:sz w:val="24"/>
                <w:highlight w:val="none"/>
                <w:lang w:bidi="ar"/>
              </w:rPr>
              <w:t>根据上表分析可知，本项目无需开展专项评价工作。</w:t>
            </w:r>
          </w:p>
        </w:tc>
      </w:tr>
      <w:tr w14:paraId="068BC1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066" w:hRule="exact"/>
          <w:jc w:val="center"/>
        </w:trPr>
        <w:tc>
          <w:tcPr>
            <w:tcW w:w="1328" w:type="dxa"/>
            <w:noWrap w:val="0"/>
            <w:vAlign w:val="center"/>
          </w:tcPr>
          <w:p w14:paraId="6F96BE1A">
            <w:pPr>
              <w:spacing w:line="240" w:lineRule="auto"/>
              <w:ind w:firstLine="0" w:firstLineChars="0"/>
              <w:jc w:val="center"/>
              <w:rPr>
                <w:rFonts w:hint="default" w:ascii="Times New Roman" w:hAnsi="Times New Roman" w:eastAsia="宋体" w:cs="Times New Roman"/>
                <w:color w:val="auto"/>
                <w:spacing w:val="0"/>
                <w:kern w:val="0"/>
                <w:sz w:val="24"/>
                <w:szCs w:val="24"/>
                <w:highlight w:val="none"/>
              </w:rPr>
            </w:pPr>
            <w:r>
              <w:rPr>
                <w:rFonts w:hint="default" w:ascii="Times New Roman" w:hAnsi="Times New Roman" w:eastAsia="宋体" w:cs="Times New Roman"/>
                <w:color w:val="auto"/>
                <w:spacing w:val="0"/>
                <w:sz w:val="24"/>
                <w:szCs w:val="24"/>
                <w:highlight w:val="none"/>
              </w:rPr>
              <w:t>规划情况</w:t>
            </w:r>
          </w:p>
        </w:tc>
        <w:tc>
          <w:tcPr>
            <w:tcW w:w="7178" w:type="dxa"/>
            <w:gridSpan w:val="3"/>
            <w:noWrap w:val="0"/>
            <w:vAlign w:val="center"/>
          </w:tcPr>
          <w:p w14:paraId="0B16DB9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highlight w:val="none"/>
                <w:lang w:val="en-US" w:eastAsia="zh-CN"/>
              </w:rPr>
              <w:t>无</w:t>
            </w:r>
          </w:p>
        </w:tc>
      </w:tr>
      <w:tr w14:paraId="6EFE7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171" w:hRule="atLeast"/>
          <w:jc w:val="center"/>
        </w:trPr>
        <w:tc>
          <w:tcPr>
            <w:tcW w:w="1328" w:type="dxa"/>
            <w:noWrap w:val="0"/>
            <w:vAlign w:val="center"/>
          </w:tcPr>
          <w:p w14:paraId="5FC2688D">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规划环境影响</w:t>
            </w:r>
          </w:p>
          <w:p w14:paraId="3AB67D57">
            <w:pPr>
              <w:spacing w:line="240" w:lineRule="auto"/>
              <w:ind w:firstLine="0" w:firstLineChars="0"/>
              <w:jc w:val="center"/>
              <w:rPr>
                <w:rFonts w:hint="default" w:ascii="Times New Roman" w:hAnsi="Times New Roman" w:eastAsia="宋体" w:cs="Times New Roman"/>
                <w:color w:val="auto"/>
                <w:spacing w:val="0"/>
                <w:kern w:val="0"/>
                <w:sz w:val="24"/>
                <w:szCs w:val="24"/>
                <w:highlight w:val="none"/>
              </w:rPr>
            </w:pPr>
            <w:r>
              <w:rPr>
                <w:rFonts w:hint="default" w:ascii="Times New Roman" w:hAnsi="Times New Roman" w:eastAsia="宋体" w:cs="Times New Roman"/>
                <w:color w:val="auto"/>
                <w:spacing w:val="0"/>
                <w:sz w:val="24"/>
                <w:szCs w:val="24"/>
                <w:highlight w:val="none"/>
              </w:rPr>
              <w:t>评价情况</w:t>
            </w:r>
          </w:p>
        </w:tc>
        <w:tc>
          <w:tcPr>
            <w:tcW w:w="7178" w:type="dxa"/>
            <w:gridSpan w:val="3"/>
            <w:noWrap w:val="0"/>
            <w:vAlign w:val="center"/>
          </w:tcPr>
          <w:p w14:paraId="2FA67AF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无</w:t>
            </w:r>
          </w:p>
        </w:tc>
      </w:tr>
      <w:tr w14:paraId="0A96C9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850" w:hRule="atLeast"/>
          <w:jc w:val="center"/>
        </w:trPr>
        <w:tc>
          <w:tcPr>
            <w:tcW w:w="1328" w:type="dxa"/>
            <w:noWrap w:val="0"/>
            <w:vAlign w:val="center"/>
          </w:tcPr>
          <w:p w14:paraId="0A2B0A6E">
            <w:pPr>
              <w:spacing w:line="240" w:lineRule="auto"/>
              <w:ind w:firstLine="0" w:firstLineChars="0"/>
              <w:jc w:val="center"/>
              <w:rPr>
                <w:rFonts w:hint="default" w:ascii="Times New Roman" w:hAnsi="Times New Roman" w:eastAsia="宋体" w:cs="Times New Roman"/>
                <w:color w:val="auto"/>
                <w:spacing w:val="0"/>
                <w:kern w:val="0"/>
                <w:sz w:val="24"/>
                <w:szCs w:val="24"/>
                <w:highlight w:val="none"/>
              </w:rPr>
            </w:pPr>
            <w:r>
              <w:rPr>
                <w:rFonts w:hint="default" w:ascii="Times New Roman" w:hAnsi="Times New Roman" w:eastAsia="宋体" w:cs="Times New Roman"/>
                <w:color w:val="auto"/>
                <w:spacing w:val="0"/>
                <w:kern w:val="0"/>
                <w:sz w:val="24"/>
                <w:szCs w:val="24"/>
                <w:highlight w:val="none"/>
              </w:rPr>
              <w:t>规划及规划环境影响评价符合性分析</w:t>
            </w:r>
          </w:p>
        </w:tc>
        <w:tc>
          <w:tcPr>
            <w:tcW w:w="7178" w:type="dxa"/>
            <w:gridSpan w:val="3"/>
            <w:noWrap w:val="0"/>
            <w:vAlign w:val="center"/>
          </w:tcPr>
          <w:p w14:paraId="743CFCC9">
            <w:pPr>
              <w:tabs>
                <w:tab w:val="left" w:pos="3687"/>
              </w:tabs>
              <w:spacing w:line="240" w:lineRule="auto"/>
              <w:ind w:firstLine="0" w:firstLineChars="0"/>
              <w:jc w:val="center"/>
              <w:rPr>
                <w:rFonts w:hint="default" w:ascii="Times New Roman" w:hAnsi="Times New Roman" w:eastAsia="宋体" w:cs="Times New Roman"/>
                <w:color w:val="auto"/>
                <w:spacing w:val="0"/>
                <w:kern w:val="0"/>
                <w:sz w:val="24"/>
                <w:szCs w:val="24"/>
                <w:highlight w:val="none"/>
                <w:lang w:val="en-US" w:eastAsia="zh-CN"/>
              </w:rPr>
            </w:pPr>
            <w:r>
              <w:rPr>
                <w:rFonts w:hint="default" w:ascii="Times New Roman" w:hAnsi="Times New Roman" w:eastAsia="宋体" w:cs="Times New Roman"/>
                <w:color w:val="auto"/>
                <w:spacing w:val="0"/>
                <w:kern w:val="0"/>
                <w:sz w:val="24"/>
                <w:szCs w:val="24"/>
                <w:highlight w:val="none"/>
                <w:lang w:val="en-US" w:eastAsia="zh-CN"/>
              </w:rPr>
              <w:t>无</w:t>
            </w:r>
          </w:p>
        </w:tc>
      </w:tr>
      <w:tr w14:paraId="052C3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12416" w:hRule="atLeast"/>
          <w:jc w:val="center"/>
        </w:trPr>
        <w:tc>
          <w:tcPr>
            <w:tcW w:w="1328" w:type="dxa"/>
            <w:noWrap w:val="0"/>
            <w:vAlign w:val="center"/>
          </w:tcPr>
          <w:p w14:paraId="71710D04">
            <w:pPr>
              <w:spacing w:line="240" w:lineRule="auto"/>
              <w:ind w:firstLine="0" w:firstLineChars="0"/>
              <w:jc w:val="center"/>
              <w:rPr>
                <w:rFonts w:hint="default" w:ascii="Times New Roman" w:hAnsi="Times New Roman" w:eastAsia="宋体" w:cs="Times New Roman"/>
                <w:color w:val="auto"/>
                <w:spacing w:val="0"/>
                <w:kern w:val="0"/>
                <w:sz w:val="24"/>
                <w:szCs w:val="24"/>
                <w:highlight w:val="none"/>
              </w:rPr>
            </w:pPr>
            <w:r>
              <w:rPr>
                <w:rFonts w:hint="default" w:ascii="Times New Roman" w:hAnsi="Times New Roman" w:eastAsia="宋体" w:cs="Times New Roman"/>
                <w:color w:val="auto"/>
                <w:spacing w:val="0"/>
                <w:kern w:val="0"/>
                <w:sz w:val="24"/>
                <w:szCs w:val="24"/>
                <w:highlight w:val="none"/>
              </w:rPr>
              <w:t>其他符合性分析</w:t>
            </w:r>
          </w:p>
        </w:tc>
        <w:tc>
          <w:tcPr>
            <w:tcW w:w="7178" w:type="dxa"/>
            <w:gridSpan w:val="3"/>
            <w:tcBorders>
              <w:bottom w:val="single" w:color="auto" w:sz="4" w:space="0"/>
              <w:right w:val="single" w:color="auto" w:sz="4" w:space="0"/>
            </w:tcBorders>
            <w:noWrap w:val="0"/>
            <w:vAlign w:val="center"/>
          </w:tcPr>
          <w:p w14:paraId="42C1B54C">
            <w:pPr>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1、</w:t>
            </w:r>
            <w:r>
              <w:rPr>
                <w:rFonts w:hint="default" w:ascii="Times New Roman" w:hAnsi="Times New Roman" w:eastAsia="宋体" w:cs="Times New Roman"/>
                <w:b/>
                <w:bCs w:val="0"/>
                <w:color w:val="auto"/>
                <w:sz w:val="24"/>
                <w:szCs w:val="24"/>
                <w:highlight w:val="none"/>
                <w:lang w:val="en-US" w:eastAsia="zh-CN"/>
              </w:rPr>
              <w:t>生态环境分区管控</w:t>
            </w:r>
            <w:r>
              <w:rPr>
                <w:rFonts w:hint="default" w:ascii="Times New Roman" w:hAnsi="Times New Roman" w:eastAsia="宋体" w:cs="Times New Roman"/>
                <w:b/>
                <w:bCs w:val="0"/>
                <w:color w:val="auto"/>
                <w:spacing w:val="0"/>
                <w:sz w:val="24"/>
                <w:szCs w:val="24"/>
                <w:highlight w:val="none"/>
                <w:lang w:val="en-US" w:eastAsia="zh-CN"/>
              </w:rPr>
              <w:t>符合性分析</w:t>
            </w:r>
          </w:p>
          <w:p w14:paraId="35115B01">
            <w:pPr>
              <w:pStyle w:val="155"/>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highlight w:val="none"/>
                <w:lang w:val="en-US" w:eastAsia="zh-CN" w:bidi="ar-SA"/>
              </w:rPr>
            </w:pPr>
            <w:r>
              <w:rPr>
                <w:rFonts w:hint="default" w:ascii="Times New Roman" w:hAnsi="Times New Roman" w:eastAsia="宋体" w:cs="Times New Roman"/>
                <w:color w:val="auto"/>
                <w:spacing w:val="0"/>
                <w:sz w:val="24"/>
                <w:szCs w:val="24"/>
                <w:highlight w:val="none"/>
              </w:rPr>
              <w:t>本项目</w:t>
            </w:r>
            <w:r>
              <w:rPr>
                <w:rFonts w:hint="default" w:ascii="Times New Roman" w:hAnsi="Times New Roman" w:eastAsia="宋体" w:cs="Times New Roman"/>
                <w:color w:val="auto"/>
                <w:spacing w:val="0"/>
                <w:sz w:val="24"/>
                <w:szCs w:val="24"/>
                <w:highlight w:val="none"/>
                <w:lang w:val="en-US" w:eastAsia="zh-CN"/>
              </w:rPr>
              <w:t>位于</w:t>
            </w:r>
            <w:r>
              <w:rPr>
                <w:rFonts w:hint="default" w:ascii="Times New Roman" w:hAnsi="Times New Roman" w:cs="Times New Roman"/>
                <w:color w:val="auto"/>
                <w:spacing w:val="0"/>
                <w:sz w:val="24"/>
                <w:szCs w:val="24"/>
                <w:highlight w:val="none"/>
                <w:lang w:val="en-US" w:eastAsia="zh-CN"/>
              </w:rPr>
              <w:t>黑龙江省鸡西市虎林市虎林镇东方红街道东升委（粮库院内）</w:t>
            </w:r>
            <w:r>
              <w:rPr>
                <w:rFonts w:hint="default" w:ascii="Times New Roman" w:hAnsi="Times New Roman" w:eastAsia="宋体" w:cs="Times New Roman"/>
                <w:color w:val="auto"/>
                <w:spacing w:val="0"/>
                <w:sz w:val="24"/>
                <w:szCs w:val="24"/>
                <w:highlight w:val="none"/>
              </w:rPr>
              <w:t>，</w:t>
            </w:r>
            <w:r>
              <w:rPr>
                <w:rFonts w:hint="default" w:ascii="Times New Roman" w:hAnsi="Times New Roman" w:cs="Times New Roman"/>
                <w:color w:val="auto"/>
                <w:spacing w:val="0"/>
                <w:sz w:val="24"/>
                <w:szCs w:val="24"/>
                <w:highlight w:val="none"/>
                <w:lang w:val="en-US" w:eastAsia="zh-CN"/>
              </w:rPr>
              <w:t>根据</w:t>
            </w:r>
            <w:r>
              <w:rPr>
                <w:rFonts w:hint="default" w:ascii="Times New Roman" w:hAnsi="Times New Roman" w:eastAsia="宋体" w:cs="Times New Roman"/>
                <w:color w:val="auto"/>
                <w:spacing w:val="0"/>
                <w:sz w:val="24"/>
                <w:szCs w:val="24"/>
                <w:highlight w:val="none"/>
              </w:rPr>
              <w:t>《关于发布2023年生态环境分区管控动态更新成果的通知》（黑环发〔2024〕1号）</w:t>
            </w:r>
            <w:r>
              <w:rPr>
                <w:rFonts w:hint="default" w:ascii="Times New Roman" w:hAnsi="Times New Roman" w:cs="Times New Roman"/>
                <w:color w:val="auto"/>
                <w:spacing w:val="0"/>
                <w:sz w:val="24"/>
                <w:szCs w:val="24"/>
                <w:highlight w:val="none"/>
                <w:lang w:val="en-US" w:eastAsia="zh-CN"/>
              </w:rPr>
              <w:t>和</w:t>
            </w:r>
            <w:r>
              <w:rPr>
                <w:rFonts w:hint="default" w:ascii="Times New Roman" w:hAnsi="Times New Roman" w:eastAsia="宋体" w:cs="Times New Roman"/>
                <w:color w:val="auto"/>
                <w:sz w:val="24"/>
                <w:szCs w:val="24"/>
                <w:highlight w:val="none"/>
                <w:lang w:val="en-US" w:eastAsia="zh-CN"/>
              </w:rPr>
              <w:t>“黑龙江省生态环境分区管控数据应用平台”生成的《生态环境分区管控分析报告》</w:t>
            </w:r>
            <w:r>
              <w:rPr>
                <w:rFonts w:hint="default" w:ascii="Times New Roman" w:hAnsi="Times New Roman" w:eastAsia="宋体" w:cs="Times New Roman"/>
                <w:color w:val="auto"/>
                <w:sz w:val="24"/>
                <w:highlight w:val="none"/>
                <w:lang w:val="en-US" w:eastAsia="zh-CN" w:bidi="ar-SA"/>
              </w:rPr>
              <w:t>要求，本次评价开展了生态环境分区管控分析</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bidi="ar-SA"/>
              </w:rPr>
              <w:t>本项目</w:t>
            </w:r>
            <w:r>
              <w:rPr>
                <w:rFonts w:hint="default" w:ascii="Times New Roman" w:hAnsi="Times New Roman" w:cs="Times New Roman"/>
                <w:color w:val="auto"/>
                <w:sz w:val="24"/>
                <w:highlight w:val="none"/>
                <w:lang w:val="en-US" w:eastAsia="zh-CN" w:bidi="ar-SA"/>
              </w:rPr>
              <w:t>所在厂区</w:t>
            </w:r>
            <w:r>
              <w:rPr>
                <w:rFonts w:hint="default" w:ascii="Times New Roman" w:hAnsi="Times New Roman" w:eastAsia="宋体" w:cs="Times New Roman"/>
                <w:color w:val="auto"/>
                <w:sz w:val="24"/>
                <w:highlight w:val="none"/>
                <w:lang w:val="en-US" w:eastAsia="zh-CN" w:bidi="ar-SA"/>
              </w:rPr>
              <w:t>与环境管控单元叠加图见图1</w:t>
            </w:r>
            <w:r>
              <w:rPr>
                <w:rFonts w:hint="default" w:ascii="Times New Roman" w:hAnsi="Times New Roman" w:cs="Times New Roman"/>
                <w:color w:val="auto"/>
                <w:sz w:val="24"/>
                <w:highlight w:val="none"/>
                <w:lang w:val="en-US" w:eastAsia="zh-CN" w:bidi="ar-SA"/>
              </w:rPr>
              <w:t>-1</w:t>
            </w:r>
            <w:r>
              <w:rPr>
                <w:rFonts w:hint="default" w:ascii="Times New Roman" w:hAnsi="Times New Roman" w:eastAsia="宋体" w:cs="Times New Roman"/>
                <w:color w:val="auto"/>
                <w:sz w:val="24"/>
                <w:highlight w:val="none"/>
                <w:lang w:val="en-US" w:eastAsia="zh-CN" w:bidi="ar-SA"/>
              </w:rPr>
              <w:t>。</w:t>
            </w:r>
          </w:p>
          <w:p w14:paraId="2FEFEC30">
            <w:pPr>
              <w:tabs>
                <w:tab w:val="left" w:pos="3687"/>
              </w:tabs>
              <w:spacing w:line="240" w:lineRule="auto"/>
              <w:ind w:firstLine="0" w:firstLineChars="0"/>
              <w:jc w:val="center"/>
              <w:rPr>
                <w:rFonts w:hint="default" w:ascii="Times New Roman" w:hAnsi="Times New Roman" w:eastAsia="宋体" w:cs="Times New Roman"/>
                <w:b/>
                <w:bCs w:val="0"/>
                <w:color w:val="auto"/>
                <w:spacing w:val="0"/>
                <w:kern w:val="2"/>
                <w:sz w:val="21"/>
                <w:szCs w:val="21"/>
                <w:highlight w:val="none"/>
                <w:lang w:val="en-US" w:eastAsia="zh-CN" w:bidi="ar-SA"/>
              </w:rPr>
            </w:pPr>
            <w:r>
              <w:rPr>
                <w:rFonts w:hint="default" w:ascii="Times New Roman" w:hAnsi="Times New Roman" w:cs="Times New Roman"/>
                <w:b/>
                <w:bCs/>
                <w:color w:val="auto"/>
                <w:sz w:val="24"/>
                <w:szCs w:val="24"/>
                <w:highlight w:val="none"/>
                <w:lang w:val="en-US" w:eastAsia="zh-CN"/>
              </w:rPr>
              <w:drawing>
                <wp:inline distT="0" distB="0" distL="114300" distR="114300">
                  <wp:extent cx="3777615" cy="1990725"/>
                  <wp:effectExtent l="0" t="0" r="0" b="0"/>
                  <wp:docPr id="86" name="图片 86" descr="虎林市绿都海狮油脂有限责任公司生物质锅炉建设_2025年11月24日092207_分析报告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虎林市绿都海狮油脂有限责任公司生物质锅炉建设_2025年11月24日092207_分析报告_07"/>
                          <pic:cNvPicPr>
                            <a:picLocks noChangeAspect="1"/>
                          </pic:cNvPicPr>
                        </pic:nvPicPr>
                        <pic:blipFill>
                          <a:blip r:embed="rId16"/>
                          <a:srcRect l="7981" t="12169" r="7082" b="20901"/>
                          <a:stretch>
                            <a:fillRect/>
                          </a:stretch>
                        </pic:blipFill>
                        <pic:spPr>
                          <a:xfrm>
                            <a:off x="0" y="0"/>
                            <a:ext cx="3777615" cy="1990725"/>
                          </a:xfrm>
                          <a:prstGeom prst="rect">
                            <a:avLst/>
                          </a:prstGeom>
                        </pic:spPr>
                      </pic:pic>
                    </a:graphicData>
                  </a:graphic>
                </wp:inline>
              </w:drawing>
            </w:r>
          </w:p>
          <w:p w14:paraId="33DFDD04">
            <w:pPr>
              <w:keepNext w:val="0"/>
              <w:keepLines w:val="0"/>
              <w:widowControl/>
              <w:suppressLineNumbers w:val="0"/>
              <w:ind w:left="0" w:leftChars="0" w:firstLine="0" w:firstLineChars="0"/>
              <w:jc w:val="center"/>
              <w:rPr>
                <w:rFonts w:hint="default" w:ascii="Times New Roman" w:hAnsi="Times New Roman" w:eastAsia="宋体" w:cs="Times New Roman"/>
                <w:color w:val="auto"/>
                <w:sz w:val="24"/>
                <w:highlight w:val="none"/>
                <w:lang w:val="en-US" w:eastAsia="zh-CN" w:bidi="ar-SA"/>
              </w:rPr>
            </w:pPr>
            <w:r>
              <w:rPr>
                <w:rFonts w:hint="default" w:ascii="Times New Roman" w:hAnsi="Times New Roman" w:cs="Times New Roman"/>
                <w:b/>
                <w:bCs/>
                <w:color w:val="auto"/>
                <w:highlight w:val="none"/>
                <w:lang w:val="en-US" w:eastAsia="zh-CN"/>
              </w:rPr>
              <w:t>图1-1项目</w:t>
            </w:r>
            <w:r>
              <w:rPr>
                <w:rFonts w:hint="default" w:ascii="Times New Roman" w:hAnsi="Times New Roman" w:eastAsia="宋体" w:cs="Times New Roman"/>
                <w:b/>
                <w:bCs/>
                <w:color w:val="auto"/>
                <w:kern w:val="0"/>
                <w:sz w:val="24"/>
                <w:szCs w:val="24"/>
                <w:highlight w:val="none"/>
                <w:lang w:val="en-US" w:eastAsia="zh-CN" w:bidi="ar"/>
              </w:rPr>
              <w:t>与环境管控单元叠加图</w:t>
            </w:r>
          </w:p>
          <w:p w14:paraId="1AD73D5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虎林市绿都海狮油脂有限责任公司生物质锅炉建设项目位置涉及鸡西市虎林市；项目占地总面积0.03平方公里。</w:t>
            </w:r>
          </w:p>
          <w:p w14:paraId="5AC297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与生态保护红线交集面积为0.00平方公里，占项目占地面积的0.00%。</w:t>
            </w:r>
          </w:p>
          <w:p w14:paraId="77CD506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与自然保护地整合优化方案数据交集面积为0.00平方公里，占项目占地面积的0.00%。保护地涉及等类型。与自然保护地（现状管理数据）交集面积为0.00平方公里，占项目占地面积的0.00%。保护地涉及根据2023年黑龙江省林业和草原局提供的《黑龙江省自然保护地整合优化方案》，黑龙江省自然保护地分为国家公园、自然保护区、自然公园（风景名胜区、森林公园、湿地公园、地质公园）三大类。目前，平台提供的自然保护地符合性分析内容包括整合优化前、后两套数据比对结果。</w:t>
            </w:r>
          </w:p>
          <w:p w14:paraId="1A0B7B0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与饮用水水源保护区交集面积为0.00平方公里，占项目占地面积的0.00%。与国家级水产种质资源保护区交集面积为0.00平方公里，占项目占地面积的0.00%。</w:t>
            </w:r>
          </w:p>
          <w:p w14:paraId="37DE893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与环境管控单元优先保护单元交集面积为0.00平方公里，占项目占地面积的0.00%；与重点管控单元交集面积为0.03平方公里，占项目占地面积的100.00%；一般管控单元交集面积为0.00平方公里，占项目占地面积的0.00%。</w:t>
            </w:r>
          </w:p>
          <w:p w14:paraId="5D8467F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与地下水环境优先保护区交集面积为0.00平方公里，占项目占地面积的0.00%；与地下水环境重点管控区交集面积为0.00平方公里，占项目占地面积的0.00%，与地下水环境一般管控区交集面积为0.03平方公里，占项目占地面积的100.00%。</w:t>
            </w:r>
          </w:p>
          <w:p w14:paraId="3A9A41FB">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color w:val="auto"/>
                <w:sz w:val="24"/>
                <w:szCs w:val="22"/>
                <w:highlight w:val="none"/>
                <w:u w:val="none"/>
                <w:lang w:val="en-US" w:eastAsia="zh-CN"/>
              </w:rPr>
            </w:pPr>
            <w:r>
              <w:rPr>
                <w:rFonts w:hint="default" w:ascii="Times New Roman" w:hAnsi="Times New Roman" w:eastAsia="宋体" w:cs="Times New Roman"/>
                <w:b w:val="0"/>
                <w:bCs w:val="0"/>
                <w:color w:val="auto"/>
                <w:sz w:val="24"/>
                <w:szCs w:val="22"/>
                <w:highlight w:val="none"/>
                <w:u w:val="none"/>
                <w:lang w:val="en-US" w:eastAsia="zh-CN"/>
              </w:rPr>
              <w:t>本项目与生态环境准入清单符合性分析见下表。</w:t>
            </w:r>
          </w:p>
          <w:p w14:paraId="1DEEC742">
            <w:pPr>
              <w:pStyle w:val="8"/>
              <w:keepNext w:val="0"/>
              <w:keepLines w:val="0"/>
              <w:pageBreakBefore w:val="0"/>
              <w:widowControl w:val="0"/>
              <w:kinsoku/>
              <w:wordWrap/>
              <w:overflowPunct/>
              <w:topLinePunct w:val="0"/>
              <w:autoSpaceDE/>
              <w:autoSpaceDN/>
              <w:bidi w:val="0"/>
              <w:adjustRightInd/>
              <w:snapToGrid/>
              <w:spacing w:before="0" w:after="0" w:line="440" w:lineRule="exact"/>
              <w:ind w:left="0" w:firstLine="0" w:firstLineChars="0"/>
              <w:jc w:val="center"/>
              <w:textAlignment w:val="auto"/>
              <w:rPr>
                <w:rFonts w:hint="default" w:ascii="Times New Roman" w:hAnsi="Times New Roman" w:eastAsia="黑体" w:cs="Times New Roman"/>
                <w:color w:val="auto"/>
                <w:sz w:val="30"/>
                <w:highlight w:val="none"/>
                <w:lang w:val="en-US" w:eastAsia="zh-CN"/>
              </w:rPr>
            </w:pPr>
            <w:r>
              <w:rPr>
                <w:rFonts w:hint="default" w:ascii="Times New Roman" w:hAnsi="Times New Roman" w:eastAsia="宋体" w:cs="Times New Roman"/>
                <w:b/>
                <w:bCs/>
                <w:color w:val="auto"/>
                <w:kern w:val="2"/>
                <w:sz w:val="24"/>
                <w:szCs w:val="24"/>
                <w:highlight w:val="none"/>
                <w:lang w:val="en-US" w:eastAsia="zh-CN"/>
              </w:rPr>
              <w:t>表1-2本项目与虎林市生态环境管控要求的符合性分析</w:t>
            </w:r>
          </w:p>
          <w:tbl>
            <w:tblPr>
              <w:tblStyle w:val="35"/>
              <w:tblW w:w="497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90"/>
              <w:gridCol w:w="455"/>
              <w:gridCol w:w="706"/>
              <w:gridCol w:w="2719"/>
              <w:gridCol w:w="2073"/>
              <w:gridCol w:w="567"/>
            </w:tblGrid>
            <w:tr w14:paraId="3558C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674" w:type="pct"/>
                  <w:gridSpan w:val="2"/>
                  <w:tcBorders>
                    <w:tl2br w:val="nil"/>
                    <w:tr2bl w:val="nil"/>
                  </w:tcBorders>
                  <w:noWrap w:val="0"/>
                  <w:tcMar>
                    <w:left w:w="57" w:type="dxa"/>
                    <w:right w:w="57" w:type="dxa"/>
                  </w:tcMar>
                  <w:vAlign w:val="center"/>
                </w:tcPr>
                <w:p w14:paraId="119365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适用范围</w:t>
                  </w:r>
                </w:p>
              </w:tc>
              <w:tc>
                <w:tcPr>
                  <w:tcW w:w="503" w:type="pct"/>
                  <w:tcBorders>
                    <w:tl2br w:val="nil"/>
                    <w:tr2bl w:val="nil"/>
                  </w:tcBorders>
                  <w:noWrap w:val="0"/>
                  <w:vAlign w:val="center"/>
                </w:tcPr>
                <w:p w14:paraId="3D8EF1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管控</w:t>
                  </w:r>
                </w:p>
                <w:p w14:paraId="2DB5ED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维度</w:t>
                  </w:r>
                </w:p>
              </w:tc>
              <w:tc>
                <w:tcPr>
                  <w:tcW w:w="1939" w:type="pct"/>
                  <w:tcBorders>
                    <w:tl2br w:val="nil"/>
                    <w:tr2bl w:val="nil"/>
                  </w:tcBorders>
                  <w:noWrap w:val="0"/>
                  <w:vAlign w:val="center"/>
                </w:tcPr>
                <w:p w14:paraId="254267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管控要求</w:t>
                  </w:r>
                </w:p>
              </w:tc>
              <w:tc>
                <w:tcPr>
                  <w:tcW w:w="1478" w:type="pct"/>
                  <w:tcBorders>
                    <w:tl2br w:val="nil"/>
                    <w:tr2bl w:val="nil"/>
                  </w:tcBorders>
                  <w:noWrap w:val="0"/>
                  <w:vAlign w:val="center"/>
                </w:tcPr>
                <w:p w14:paraId="774543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本项目情况</w:t>
                  </w:r>
                </w:p>
              </w:tc>
              <w:tc>
                <w:tcPr>
                  <w:tcW w:w="404" w:type="pct"/>
                  <w:tcBorders>
                    <w:tl2br w:val="nil"/>
                    <w:tr2bl w:val="nil"/>
                  </w:tcBorders>
                  <w:noWrap w:val="0"/>
                  <w:tcMar>
                    <w:left w:w="57" w:type="dxa"/>
                    <w:right w:w="57" w:type="dxa"/>
                  </w:tcMar>
                  <w:vAlign w:val="center"/>
                </w:tcPr>
                <w:p w14:paraId="7E742B5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符合性分析</w:t>
                  </w:r>
                </w:p>
              </w:tc>
            </w:tr>
            <w:tr w14:paraId="7C3B6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000" w:type="pct"/>
                  <w:gridSpan w:val="6"/>
                  <w:tcBorders>
                    <w:tl2br w:val="nil"/>
                    <w:tr2bl w:val="nil"/>
                  </w:tcBorders>
                  <w:noWrap w:val="0"/>
                  <w:tcMar>
                    <w:left w:w="57" w:type="dxa"/>
                    <w:right w:w="57" w:type="dxa"/>
                  </w:tcMar>
                  <w:vAlign w:val="center"/>
                </w:tcPr>
                <w:p w14:paraId="3D8532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虎林市</w:t>
                  </w:r>
                  <w:r>
                    <w:rPr>
                      <w:rFonts w:hint="default" w:ascii="Times New Roman" w:hAnsi="Times New Roman" w:eastAsia="宋体" w:cs="Times New Roman"/>
                      <w:color w:val="auto"/>
                      <w:sz w:val="21"/>
                      <w:szCs w:val="21"/>
                      <w:highlight w:val="none"/>
                    </w:rPr>
                    <w:t>生态环境准入清单</w:t>
                  </w:r>
                </w:p>
              </w:tc>
            </w:tr>
            <w:tr w14:paraId="1BF8F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9" w:type="pct"/>
                  <w:vMerge w:val="restart"/>
                  <w:tcBorders>
                    <w:tl2br w:val="nil"/>
                    <w:tr2bl w:val="nil"/>
                  </w:tcBorders>
                  <w:noWrap w:val="0"/>
                  <w:tcMar>
                    <w:left w:w="57" w:type="dxa"/>
                    <w:right w:w="57" w:type="dxa"/>
                  </w:tcMar>
                  <w:vAlign w:val="center"/>
                </w:tcPr>
                <w:p w14:paraId="785584B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重点管控单元</w:t>
                  </w:r>
                </w:p>
              </w:tc>
              <w:tc>
                <w:tcPr>
                  <w:tcW w:w="324" w:type="pct"/>
                  <w:vMerge w:val="restart"/>
                  <w:tcBorders>
                    <w:tl2br w:val="nil"/>
                    <w:tr2bl w:val="nil"/>
                  </w:tcBorders>
                  <w:noWrap w:val="0"/>
                  <w:vAlign w:val="center"/>
                </w:tcPr>
                <w:p w14:paraId="5B5A69E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虎林市城镇空间</w:t>
                  </w:r>
                  <w:r>
                    <w:rPr>
                      <w:rFonts w:hint="default" w:ascii="Times New Roman" w:hAnsi="Times New Roman" w:eastAsia="宋体" w:cs="Times New Roman"/>
                      <w:color w:val="auto"/>
                      <w:sz w:val="21"/>
                      <w:szCs w:val="21"/>
                      <w:highlight w:val="none"/>
                      <w:lang w:eastAsia="zh-CN"/>
                    </w:rPr>
                    <w:t>（编码：</w:t>
                  </w:r>
                  <w:r>
                    <w:rPr>
                      <w:rFonts w:hint="default" w:ascii="Times New Roman" w:hAnsi="Times New Roman" w:eastAsia="宋体" w:cs="Times New Roman"/>
                      <w:color w:val="auto"/>
                      <w:sz w:val="21"/>
                      <w:szCs w:val="21"/>
                      <w:highlight w:val="none"/>
                      <w:lang w:val="en-US" w:eastAsia="zh-CN"/>
                    </w:rPr>
                    <w:t>ZH23038120002</w:t>
                  </w:r>
                </w:p>
                <w:p w14:paraId="5E84DE9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lang w:eastAsia="zh-CN"/>
                    </w:rPr>
                  </w:pPr>
                </w:p>
              </w:tc>
              <w:tc>
                <w:tcPr>
                  <w:tcW w:w="503" w:type="pct"/>
                  <w:tcBorders>
                    <w:tl2br w:val="nil"/>
                    <w:tr2bl w:val="nil"/>
                  </w:tcBorders>
                  <w:noWrap w:val="0"/>
                  <w:vAlign w:val="center"/>
                </w:tcPr>
                <w:p w14:paraId="3A55571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空间布局约束</w:t>
                  </w:r>
                </w:p>
              </w:tc>
              <w:tc>
                <w:tcPr>
                  <w:tcW w:w="1939" w:type="pct"/>
                  <w:tcBorders>
                    <w:tl2br w:val="nil"/>
                    <w:tr2bl w:val="nil"/>
                  </w:tcBorders>
                  <w:noWrap w:val="0"/>
                  <w:vAlign w:val="center"/>
                </w:tcPr>
                <w:p w14:paraId="11D7F157">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1.同时执行（1）严禁在人口密集区新建危险化学品生产项目，城镇人口密集区危险化学品生产企业应搬迁改造。（2）禁止在城镇居民区、文化教育科学研究区等人口集中区域建设畜禽养殖场、养殖小区。2.水环境农业污染重点管控区同时执行（1）科学划定畜禽养殖禁养区。（2）加快农业结构调整。松嫩平原和三江平原等地下水易受污染地区优先种植需肥需药量低、环境效益突出的农作物；在西部干旱区发展谷子、高粱等耐旱杂粮种植；在北部四、五积温区开展米豆麦轮作，促进化肥需求低的农作物面积恢复性增长。</w:t>
                  </w:r>
                </w:p>
              </w:tc>
              <w:tc>
                <w:tcPr>
                  <w:tcW w:w="1478" w:type="pct"/>
                  <w:tcBorders>
                    <w:tl2br w:val="nil"/>
                    <w:tr2bl w:val="nil"/>
                  </w:tcBorders>
                  <w:noWrap w:val="0"/>
                  <w:vAlign w:val="center"/>
                </w:tcPr>
                <w:p w14:paraId="3FB452B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lang w:val="en-US" w:eastAsia="zh-CN"/>
                    </w:rPr>
                    <w:t>本项目为燃生物质锅炉项目，不属于危险化学品项目，不属于养殖场、养殖小区项目。本项目无废水产生，不属于高耗水、高污染行业。不属于落后产业，不属于农业。</w:t>
                  </w:r>
                </w:p>
              </w:tc>
              <w:tc>
                <w:tcPr>
                  <w:tcW w:w="404" w:type="pct"/>
                  <w:tcBorders>
                    <w:tl2br w:val="nil"/>
                    <w:tr2bl w:val="nil"/>
                  </w:tcBorders>
                  <w:noWrap w:val="0"/>
                  <w:tcMar>
                    <w:left w:w="57" w:type="dxa"/>
                    <w:right w:w="57" w:type="dxa"/>
                  </w:tcMar>
                  <w:vAlign w:val="center"/>
                </w:tcPr>
                <w:p w14:paraId="1D50CBF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0B9D6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9" w:type="pct"/>
                  <w:vMerge w:val="continue"/>
                  <w:tcBorders>
                    <w:tl2br w:val="nil"/>
                    <w:tr2bl w:val="nil"/>
                  </w:tcBorders>
                  <w:noWrap w:val="0"/>
                  <w:tcMar>
                    <w:left w:w="57" w:type="dxa"/>
                    <w:right w:w="57" w:type="dxa"/>
                  </w:tcMar>
                  <w:vAlign w:val="center"/>
                </w:tcPr>
                <w:p w14:paraId="0347CA2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324" w:type="pct"/>
                  <w:vMerge w:val="continue"/>
                  <w:tcBorders>
                    <w:tl2br w:val="nil"/>
                    <w:tr2bl w:val="nil"/>
                  </w:tcBorders>
                  <w:noWrap w:val="0"/>
                  <w:vAlign w:val="center"/>
                </w:tcPr>
                <w:p w14:paraId="58B256D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503" w:type="pct"/>
                  <w:tcBorders>
                    <w:tl2br w:val="nil"/>
                    <w:tr2bl w:val="nil"/>
                  </w:tcBorders>
                  <w:noWrap w:val="0"/>
                  <w:vAlign w:val="center"/>
                </w:tcPr>
                <w:p w14:paraId="380E3A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污染物排放管控</w:t>
                  </w:r>
                </w:p>
              </w:tc>
              <w:tc>
                <w:tcPr>
                  <w:tcW w:w="1939" w:type="pct"/>
                  <w:tcBorders>
                    <w:tl2br w:val="nil"/>
                    <w:tr2bl w:val="nil"/>
                  </w:tcBorders>
                  <w:noWrap w:val="0"/>
                  <w:vAlign w:val="center"/>
                </w:tcPr>
                <w:p w14:paraId="43C5BBB2">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1.同时执行：加快65t／h以上燃煤锅炉（含电力）超低排放改造。2.水环境农业污染重点管控区同时执行（1）支持规模化畜禽养殖场（小区）开展标准化改造和建设，提高畜禽粪污收集和处理机械化水平，实施雨污分流、粪污资源化利用，控制畜禽养殖污染排放。（2）畜禽养殖户应当及时对畜禽粪便、污水进行收集、贮存、清运，或者进行无害化处理。县级人民政府应当组织对本行政区域的畜禽散养密集区畜禽粪便、污水进行集中处理利用，督促乡镇人民政府建设或者配备污染防治配套设施。（3）全面加强农业面源污染防控，科学合理使用农业投入品，提高使用效率，减少农业内源性污染。</w:t>
                  </w:r>
                </w:p>
              </w:tc>
              <w:tc>
                <w:tcPr>
                  <w:tcW w:w="1478" w:type="pct"/>
                  <w:tcBorders>
                    <w:tl2br w:val="nil"/>
                    <w:tr2bl w:val="nil"/>
                  </w:tcBorders>
                  <w:noWrap w:val="0"/>
                  <w:vAlign w:val="center"/>
                </w:tcPr>
                <w:p w14:paraId="061D5C9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0"/>
                      <w:sz w:val="21"/>
                      <w:szCs w:val="21"/>
                      <w:highlight w:val="none"/>
                      <w:lang w:val="en-US" w:eastAsia="zh-CN"/>
                    </w:rPr>
                    <w:t>本项目为生物质锅炉项目，</w:t>
                  </w:r>
                  <w:r>
                    <w:rPr>
                      <w:rFonts w:hint="default" w:ascii="Times New Roman" w:hAnsi="Times New Roman" w:eastAsia="宋体" w:cs="Times New Roman"/>
                      <w:color w:val="auto"/>
                      <w:sz w:val="21"/>
                      <w:szCs w:val="21"/>
                      <w:highlight w:val="none"/>
                      <w:lang w:eastAsia="zh-CN"/>
                    </w:rPr>
                    <w:t>本项目建成后外排废水主要是锅炉排污水和软水制备废水。</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eastAsia="zh-CN"/>
                    </w:rPr>
                    <w:t>锅炉排污水及软化处理废水</w:t>
                  </w:r>
                  <w:r>
                    <w:rPr>
                      <w:rFonts w:hint="default" w:ascii="Times New Roman" w:hAnsi="Times New Roman" w:eastAsia="宋体" w:cs="Times New Roman"/>
                      <w:color w:val="auto"/>
                      <w:sz w:val="21"/>
                      <w:szCs w:val="21"/>
                      <w:highlight w:val="none"/>
                      <w:lang w:val="en-US" w:eastAsia="zh-CN"/>
                    </w:rPr>
                    <w:t>回用于</w:t>
                  </w:r>
                  <w:r>
                    <w:rPr>
                      <w:rFonts w:hint="default" w:ascii="Times New Roman" w:hAnsi="Times New Roman" w:eastAsia="宋体" w:cs="Times New Roman"/>
                      <w:color w:val="auto"/>
                      <w:sz w:val="21"/>
                      <w:szCs w:val="21"/>
                      <w:highlight w:val="none"/>
                      <w:lang w:eastAsia="zh-CN"/>
                    </w:rPr>
                    <w:t>锅炉除渣</w:t>
                  </w:r>
                  <w:r>
                    <w:rPr>
                      <w:rFonts w:hint="default" w:ascii="Times New Roman" w:hAnsi="Times New Roman" w:eastAsia="宋体" w:cs="Times New Roman"/>
                      <w:color w:val="auto"/>
                      <w:sz w:val="21"/>
                      <w:szCs w:val="21"/>
                      <w:highlight w:val="none"/>
                      <w:lang w:val="en-US" w:eastAsia="zh-CN"/>
                    </w:rPr>
                    <w:t>加湿</w:t>
                  </w:r>
                  <w:r>
                    <w:rPr>
                      <w:rFonts w:hint="default" w:ascii="Times New Roman" w:hAnsi="Times New Roman" w:eastAsia="宋体" w:cs="Times New Roman"/>
                      <w:color w:val="auto"/>
                      <w:sz w:val="21"/>
                      <w:szCs w:val="21"/>
                      <w:highlight w:val="none"/>
                      <w:lang w:eastAsia="zh-CN"/>
                    </w:rPr>
                    <w:t>和锅炉间地面洒水降尘，不外排</w:t>
                  </w:r>
                </w:p>
              </w:tc>
              <w:tc>
                <w:tcPr>
                  <w:tcW w:w="404" w:type="pct"/>
                  <w:tcBorders>
                    <w:tl2br w:val="nil"/>
                    <w:tr2bl w:val="nil"/>
                  </w:tcBorders>
                  <w:noWrap w:val="0"/>
                  <w:tcMar>
                    <w:left w:w="57" w:type="dxa"/>
                    <w:right w:w="57" w:type="dxa"/>
                  </w:tcMar>
                  <w:vAlign w:val="center"/>
                </w:tcPr>
                <w:p w14:paraId="396CD88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2456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9" w:type="pct"/>
                  <w:vMerge w:val="continue"/>
                  <w:tcBorders>
                    <w:tl2br w:val="nil"/>
                    <w:tr2bl w:val="nil"/>
                  </w:tcBorders>
                  <w:noWrap w:val="0"/>
                  <w:tcMar>
                    <w:left w:w="57" w:type="dxa"/>
                    <w:right w:w="57" w:type="dxa"/>
                  </w:tcMar>
                  <w:vAlign w:val="center"/>
                </w:tcPr>
                <w:p w14:paraId="1BA5503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324" w:type="pct"/>
                  <w:vMerge w:val="continue"/>
                  <w:tcBorders>
                    <w:tl2br w:val="nil"/>
                    <w:tr2bl w:val="nil"/>
                  </w:tcBorders>
                  <w:noWrap w:val="0"/>
                  <w:vAlign w:val="center"/>
                </w:tcPr>
                <w:p w14:paraId="18AC863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503" w:type="pct"/>
                  <w:tcBorders>
                    <w:tl2br w:val="nil"/>
                    <w:tr2bl w:val="nil"/>
                  </w:tcBorders>
                  <w:noWrap w:val="0"/>
                  <w:vAlign w:val="center"/>
                </w:tcPr>
                <w:p w14:paraId="0D808C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环境风险防控</w:t>
                  </w:r>
                </w:p>
              </w:tc>
              <w:tc>
                <w:tcPr>
                  <w:tcW w:w="1939" w:type="pct"/>
                  <w:tcBorders>
                    <w:tl2br w:val="nil"/>
                    <w:tr2bl w:val="nil"/>
                  </w:tcBorders>
                  <w:noWrap w:val="0"/>
                  <w:vAlign w:val="center"/>
                </w:tcPr>
                <w:p w14:paraId="7440D529">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化工园区与城市建成区、人员密集场所、重要设施、敏感目标等应当保持规定的安全距离，相对封闭，不应保留常住居民，非关联企业和产业要逐步搬迁或退出，妥善防范化解“邻避”问题。严禁在松花江干流及一级支流沿岸1公里范围内布局化工园区。</w:t>
                  </w:r>
                </w:p>
              </w:tc>
              <w:tc>
                <w:tcPr>
                  <w:tcW w:w="1478" w:type="pct"/>
                  <w:tcBorders>
                    <w:tl2br w:val="nil"/>
                    <w:tr2bl w:val="nil"/>
                  </w:tcBorders>
                  <w:noWrap w:val="0"/>
                  <w:vAlign w:val="center"/>
                </w:tcPr>
                <w:p w14:paraId="34C5A2B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本项目不位于化工园区，本项目所在厂区与最近敏感点距离为130m。</w:t>
                  </w:r>
                </w:p>
              </w:tc>
              <w:tc>
                <w:tcPr>
                  <w:tcW w:w="404" w:type="pct"/>
                  <w:tcBorders>
                    <w:tl2br w:val="nil"/>
                    <w:tr2bl w:val="nil"/>
                  </w:tcBorders>
                  <w:noWrap w:val="0"/>
                  <w:tcMar>
                    <w:left w:w="57" w:type="dxa"/>
                    <w:right w:w="57" w:type="dxa"/>
                  </w:tcMar>
                  <w:vAlign w:val="center"/>
                </w:tcPr>
                <w:p w14:paraId="5095D35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C1AA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9" w:type="pct"/>
                  <w:vMerge w:val="continue"/>
                  <w:tcBorders>
                    <w:tl2br w:val="nil"/>
                    <w:tr2bl w:val="nil"/>
                  </w:tcBorders>
                  <w:noWrap w:val="0"/>
                  <w:tcMar>
                    <w:left w:w="57" w:type="dxa"/>
                    <w:right w:w="57" w:type="dxa"/>
                  </w:tcMar>
                  <w:vAlign w:val="center"/>
                </w:tcPr>
                <w:p w14:paraId="55E00D1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324" w:type="pct"/>
                  <w:vMerge w:val="continue"/>
                  <w:tcBorders>
                    <w:tl2br w:val="nil"/>
                    <w:tr2bl w:val="nil"/>
                  </w:tcBorders>
                  <w:noWrap w:val="0"/>
                  <w:vAlign w:val="center"/>
                </w:tcPr>
                <w:p w14:paraId="3388232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p>
              </w:tc>
              <w:tc>
                <w:tcPr>
                  <w:tcW w:w="503" w:type="pct"/>
                  <w:tcBorders>
                    <w:tl2br w:val="nil"/>
                    <w:tr2bl w:val="nil"/>
                  </w:tcBorders>
                  <w:noWrap w:val="0"/>
                  <w:vAlign w:val="center"/>
                </w:tcPr>
                <w:p w14:paraId="58E25C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资源利用效率要求</w:t>
                  </w:r>
                </w:p>
              </w:tc>
              <w:tc>
                <w:tcPr>
                  <w:tcW w:w="1939" w:type="pct"/>
                  <w:tcBorders>
                    <w:tl2br w:val="nil"/>
                    <w:tr2bl w:val="nil"/>
                  </w:tcBorders>
                  <w:noWrap w:val="0"/>
                  <w:vAlign w:val="center"/>
                </w:tcPr>
                <w:p w14:paraId="77CAC9D5">
                  <w:pPr>
                    <w:keepNext w:val="0"/>
                    <w:keepLines w:val="0"/>
                    <w:pageBreakBefore w:val="0"/>
                    <w:widowControl/>
                    <w:suppressLineNumbers w:val="0"/>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1.同时执行（1）推进污水再生利用设施建设。（2）公共建筑必须采用节水器具，限期淘汰公共建筑中不符合节水标准的水嘴、便器水箱等生活用水器具。</w:t>
                  </w:r>
                </w:p>
              </w:tc>
              <w:tc>
                <w:tcPr>
                  <w:tcW w:w="1478" w:type="pct"/>
                  <w:tcBorders>
                    <w:tl2br w:val="nil"/>
                    <w:tr2bl w:val="nil"/>
                  </w:tcBorders>
                  <w:noWrap w:val="0"/>
                  <w:vAlign w:val="center"/>
                </w:tcPr>
                <w:p w14:paraId="51F874C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本项目建成后外排废水主要是锅炉排污水和软水制备废水。</w:t>
                  </w:r>
                  <w:r>
                    <w:rPr>
                      <w:rFonts w:hint="default" w:ascii="Times New Roman" w:hAnsi="Times New Roman" w:cs="Times New Roman"/>
                      <w:color w:val="auto"/>
                      <w:sz w:val="21"/>
                      <w:szCs w:val="21"/>
                      <w:highlight w:val="none"/>
                      <w:lang w:eastAsia="zh-CN"/>
                    </w:rPr>
                    <w:t>本项目锅炉排污水及软化处理废水回用于锅炉除渣加湿和锅炉间地面洒水降尘，不外排</w:t>
                  </w:r>
                </w:p>
              </w:tc>
              <w:tc>
                <w:tcPr>
                  <w:tcW w:w="404" w:type="pct"/>
                  <w:tcBorders>
                    <w:tl2br w:val="nil"/>
                    <w:tr2bl w:val="nil"/>
                  </w:tcBorders>
                  <w:noWrap w:val="0"/>
                  <w:tcMar>
                    <w:left w:w="57" w:type="dxa"/>
                    <w:right w:w="57" w:type="dxa"/>
                  </w:tcMar>
                  <w:vAlign w:val="center"/>
                </w:tcPr>
                <w:p w14:paraId="429CA8A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41EFE674">
            <w:pPr>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2、与相关环保政策相符性分析</w:t>
            </w:r>
          </w:p>
          <w:p w14:paraId="49F2AFE0">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b/>
                <w:bCs/>
                <w:color w:val="auto"/>
                <w:spacing w:val="0"/>
                <w:sz w:val="24"/>
                <w:highlight w:val="none"/>
                <w:lang w:val="en-US" w:eastAsia="zh-CN"/>
              </w:rPr>
              <w:t>2.1</w:t>
            </w:r>
            <w:r>
              <w:rPr>
                <w:rFonts w:hint="default" w:ascii="Times New Roman" w:hAnsi="Times New Roman" w:eastAsia="宋体" w:cs="Times New Roman"/>
                <w:b/>
                <w:bCs/>
                <w:color w:val="auto"/>
                <w:spacing w:val="0"/>
                <w:sz w:val="24"/>
                <w:highlight w:val="none"/>
              </w:rPr>
              <w:t>与《鸡西市空气质量持续改善行动计划贯彻落实方案》的</w:t>
            </w:r>
            <w:r>
              <w:rPr>
                <w:rFonts w:hint="default" w:ascii="Times New Roman" w:hAnsi="Times New Roman" w:eastAsia="宋体" w:cs="Times New Roman"/>
                <w:b/>
                <w:bCs/>
                <w:color w:val="auto"/>
                <w:spacing w:val="0"/>
                <w:sz w:val="24"/>
                <w:highlight w:val="none"/>
                <w:lang w:val="en-US" w:eastAsia="zh-CN"/>
              </w:rPr>
              <w:t>符</w:t>
            </w:r>
            <w:r>
              <w:rPr>
                <w:rFonts w:hint="default" w:ascii="Times New Roman" w:hAnsi="Times New Roman" w:eastAsia="宋体" w:cs="Times New Roman"/>
                <w:b/>
                <w:bCs/>
                <w:color w:val="auto"/>
                <w:spacing w:val="0"/>
                <w:sz w:val="24"/>
                <w:highlight w:val="none"/>
              </w:rPr>
              <w:t>合性分析</w:t>
            </w:r>
          </w:p>
          <w:p w14:paraId="5E3D7E77">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1</w:t>
            </w:r>
            <w:r>
              <w:rPr>
                <w:rFonts w:hint="default" w:ascii="Times New Roman" w:hAnsi="Times New Roman" w:cs="Times New Roman"/>
                <w:color w:val="auto"/>
                <w:spacing w:val="-2"/>
                <w:sz w:val="24"/>
                <w:szCs w:val="24"/>
                <w:highlight w:val="none"/>
              </w:rPr>
              <w:t>）持续推进产业结构调整</w:t>
            </w:r>
          </w:p>
          <w:p w14:paraId="01E98D3A">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4"/>
                <w:sz w:val="24"/>
                <w:szCs w:val="24"/>
                <w:highlight w:val="none"/>
              </w:rPr>
              <w:t>坚决遏制</w:t>
            </w:r>
            <w:r>
              <w:rPr>
                <w:rFonts w:hint="default" w:ascii="Times New Roman" w:hAnsi="Times New Roman" w:eastAsia="Times New Roman" w:cs="Times New Roman"/>
                <w:color w:val="auto"/>
                <w:spacing w:val="-4"/>
                <w:sz w:val="24"/>
                <w:szCs w:val="24"/>
                <w:highlight w:val="none"/>
              </w:rPr>
              <w:t>“</w:t>
            </w:r>
            <w:r>
              <w:rPr>
                <w:rFonts w:hint="default" w:ascii="Times New Roman" w:hAnsi="Times New Roman" w:cs="Times New Roman"/>
                <w:color w:val="auto"/>
                <w:spacing w:val="-4"/>
                <w:sz w:val="24"/>
                <w:szCs w:val="24"/>
                <w:highlight w:val="none"/>
              </w:rPr>
              <w:t>两高一低</w:t>
            </w:r>
            <w:r>
              <w:rPr>
                <w:rFonts w:hint="default" w:ascii="Times New Roman" w:hAnsi="Times New Roman" w:eastAsia="Times New Roman" w:cs="Times New Roman"/>
                <w:color w:val="auto"/>
                <w:spacing w:val="-4"/>
                <w:sz w:val="24"/>
                <w:szCs w:val="24"/>
                <w:highlight w:val="none"/>
              </w:rPr>
              <w:t>”</w:t>
            </w:r>
            <w:r>
              <w:rPr>
                <w:rFonts w:hint="default" w:ascii="Times New Roman" w:hAnsi="Times New Roman" w:cs="Times New Roman"/>
                <w:color w:val="auto"/>
                <w:spacing w:val="-4"/>
                <w:sz w:val="24"/>
                <w:szCs w:val="24"/>
                <w:highlight w:val="none"/>
              </w:rPr>
              <w:t>项目盲目上马。严格环境准</w:t>
            </w:r>
            <w:r>
              <w:rPr>
                <w:rFonts w:hint="default" w:ascii="Times New Roman" w:hAnsi="Times New Roman" w:cs="Times New Roman"/>
                <w:color w:val="auto"/>
                <w:spacing w:val="-5"/>
                <w:sz w:val="24"/>
                <w:szCs w:val="24"/>
                <w:highlight w:val="none"/>
              </w:rPr>
              <w:t>入要求。新建、</w:t>
            </w:r>
            <w:r>
              <w:rPr>
                <w:rFonts w:hint="default" w:ascii="Times New Roman" w:hAnsi="Times New Roman" w:cs="Times New Roman"/>
                <w:color w:val="auto"/>
                <w:spacing w:val="1"/>
                <w:sz w:val="24"/>
                <w:szCs w:val="24"/>
                <w:highlight w:val="none"/>
              </w:rPr>
              <w:t>改扩建</w:t>
            </w: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cs="Times New Roman"/>
                <w:color w:val="auto"/>
                <w:spacing w:val="1"/>
                <w:sz w:val="24"/>
                <w:szCs w:val="24"/>
                <w:highlight w:val="none"/>
              </w:rPr>
              <w:t>两高一低</w:t>
            </w: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cs="Times New Roman"/>
                <w:color w:val="auto"/>
                <w:spacing w:val="1"/>
                <w:sz w:val="24"/>
                <w:szCs w:val="24"/>
                <w:highlight w:val="none"/>
              </w:rPr>
              <w:t>项目应符合产业政策和相关法定规划，满足总量</w:t>
            </w:r>
            <w:r>
              <w:rPr>
                <w:rFonts w:hint="default" w:ascii="Times New Roman" w:hAnsi="Times New Roman" w:cs="Times New Roman"/>
                <w:color w:val="auto"/>
                <w:sz w:val="24"/>
                <w:szCs w:val="24"/>
                <w:highlight w:val="none"/>
              </w:rPr>
              <w:t>控制、碳达峰目标、生态环境准入清单、生态环境分区管控、相关</w:t>
            </w:r>
            <w:r>
              <w:rPr>
                <w:rFonts w:hint="default" w:ascii="Times New Roman" w:hAnsi="Times New Roman" w:cs="Times New Roman"/>
                <w:color w:val="auto"/>
                <w:spacing w:val="-5"/>
                <w:sz w:val="24"/>
                <w:szCs w:val="24"/>
                <w:highlight w:val="none"/>
              </w:rPr>
              <w:t>规划环评等要求，原则上采用清洁运输方式。涉及产能置换的项目，</w:t>
            </w:r>
            <w:r>
              <w:rPr>
                <w:rFonts w:hint="default" w:ascii="Times New Roman" w:hAnsi="Times New Roman" w:cs="Times New Roman"/>
                <w:color w:val="auto"/>
                <w:spacing w:val="-3"/>
                <w:sz w:val="24"/>
                <w:szCs w:val="24"/>
                <w:highlight w:val="none"/>
              </w:rPr>
              <w:t>被置换产能及其配套设施同步关停后，新建项目方能投产。</w:t>
            </w:r>
          </w:p>
          <w:p w14:paraId="6AFFD7F5">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79"/>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3"/>
                <w:sz w:val="24"/>
                <w:szCs w:val="24"/>
                <w:highlight w:val="none"/>
              </w:rPr>
              <w:t>加快退出重点行业落后产能。严格执行《产业结构调整</w:t>
            </w:r>
            <w:r>
              <w:rPr>
                <w:rFonts w:hint="default" w:ascii="Times New Roman" w:hAnsi="Times New Roman" w:cs="Times New Roman"/>
                <w:color w:val="auto"/>
                <w:spacing w:val="2"/>
                <w:sz w:val="24"/>
                <w:szCs w:val="24"/>
                <w:highlight w:val="none"/>
              </w:rPr>
              <w:t>指导目</w:t>
            </w:r>
            <w:r>
              <w:rPr>
                <w:rFonts w:hint="default" w:ascii="Times New Roman" w:hAnsi="Times New Roman" w:cs="Times New Roman"/>
                <w:color w:val="auto"/>
                <w:spacing w:val="3"/>
                <w:sz w:val="24"/>
                <w:szCs w:val="24"/>
                <w:highlight w:val="none"/>
              </w:rPr>
              <w:t>录》要求，加快退出淘汰类产能、工艺、装</w:t>
            </w:r>
            <w:r>
              <w:rPr>
                <w:rFonts w:hint="default" w:ascii="Times New Roman" w:hAnsi="Times New Roman" w:cs="Times New Roman"/>
                <w:color w:val="auto"/>
                <w:spacing w:val="2"/>
                <w:sz w:val="24"/>
                <w:szCs w:val="24"/>
                <w:highlight w:val="none"/>
              </w:rPr>
              <w:t>备，提高限制类产能、</w:t>
            </w:r>
            <w:r>
              <w:rPr>
                <w:rFonts w:hint="default" w:ascii="Times New Roman" w:hAnsi="Times New Roman" w:cs="Times New Roman"/>
                <w:color w:val="auto"/>
                <w:spacing w:val="-1"/>
                <w:sz w:val="24"/>
                <w:szCs w:val="24"/>
                <w:highlight w:val="none"/>
              </w:rPr>
              <w:t>工艺、装备淘汰改造引导力度。</w:t>
            </w:r>
          </w:p>
          <w:p w14:paraId="241CA686">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2</w:t>
            </w:r>
            <w:r>
              <w:rPr>
                <w:rFonts w:hint="default" w:ascii="Times New Roman" w:hAnsi="Times New Roman" w:cs="Times New Roman"/>
                <w:color w:val="auto"/>
                <w:spacing w:val="-2"/>
                <w:sz w:val="24"/>
                <w:szCs w:val="24"/>
                <w:highlight w:val="none"/>
              </w:rPr>
              <w:t>）持续优化改善能源结构</w:t>
            </w:r>
          </w:p>
          <w:p w14:paraId="4D22D1E8">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7"/>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2"/>
                <w:sz w:val="24"/>
                <w:szCs w:val="24"/>
                <w:highlight w:val="none"/>
              </w:rPr>
              <w:t>实施工业炉窑清洁能源替代。有序推进以电代煤，积极稳妥推</w:t>
            </w:r>
            <w:r>
              <w:rPr>
                <w:rFonts w:hint="default" w:ascii="Times New Roman" w:hAnsi="Times New Roman" w:cs="Times New Roman"/>
                <w:color w:val="auto"/>
                <w:spacing w:val="3"/>
                <w:sz w:val="24"/>
                <w:szCs w:val="24"/>
                <w:highlight w:val="none"/>
              </w:rPr>
              <w:t>进以气代煤。安全稳妥推进使用高污染燃料的工业</w:t>
            </w:r>
            <w:r>
              <w:rPr>
                <w:rFonts w:hint="default" w:ascii="Times New Roman" w:hAnsi="Times New Roman" w:cs="Times New Roman"/>
                <w:color w:val="auto"/>
                <w:spacing w:val="2"/>
                <w:sz w:val="24"/>
                <w:szCs w:val="24"/>
                <w:highlight w:val="none"/>
              </w:rPr>
              <w:t>炉窑改用工业余</w:t>
            </w:r>
            <w:r>
              <w:rPr>
                <w:rFonts w:hint="default" w:ascii="Times New Roman" w:hAnsi="Times New Roman" w:cs="Times New Roman"/>
                <w:color w:val="auto"/>
                <w:spacing w:val="3"/>
                <w:sz w:val="24"/>
                <w:szCs w:val="24"/>
                <w:highlight w:val="none"/>
              </w:rPr>
              <w:t>热、电能、天然气等。支持企业实施工业炉窑节能</w:t>
            </w:r>
            <w:r>
              <w:rPr>
                <w:rFonts w:hint="default" w:ascii="Times New Roman" w:hAnsi="Times New Roman" w:cs="Times New Roman"/>
                <w:color w:val="auto"/>
                <w:spacing w:val="2"/>
                <w:sz w:val="24"/>
                <w:szCs w:val="24"/>
                <w:highlight w:val="none"/>
              </w:rPr>
              <w:t>改造、余热余压</w:t>
            </w:r>
            <w:r>
              <w:rPr>
                <w:rFonts w:hint="default" w:ascii="Times New Roman" w:hAnsi="Times New Roman" w:cs="Times New Roman"/>
                <w:color w:val="auto"/>
                <w:spacing w:val="-1"/>
                <w:sz w:val="24"/>
                <w:szCs w:val="24"/>
                <w:highlight w:val="none"/>
              </w:rPr>
              <w:t>利用、集中供热替代等项目。</w:t>
            </w:r>
          </w:p>
          <w:p w14:paraId="468F47EC">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79"/>
              <w:jc w:val="both"/>
              <w:textAlignment w:val="auto"/>
              <w:rPr>
                <w:rFonts w:hint="default" w:ascii="Times New Roman" w:hAnsi="Times New Roman" w:eastAsia="宋体" w:cs="Times New Roman"/>
                <w:b w:val="0"/>
                <w:bCs w:val="0"/>
                <w:color w:val="auto"/>
                <w:spacing w:val="0"/>
                <w:sz w:val="24"/>
                <w:highlight w:val="none"/>
              </w:rPr>
            </w:pPr>
            <w:r>
              <w:rPr>
                <w:rFonts w:hint="default" w:ascii="Times New Roman" w:hAnsi="Times New Roman" w:cs="Times New Roman"/>
                <w:color w:val="auto"/>
                <w:spacing w:val="-5"/>
                <w:sz w:val="24"/>
                <w:szCs w:val="24"/>
                <w:highlight w:val="none"/>
              </w:rPr>
              <w:t>本项目不属于高耗能、高排放、低</w:t>
            </w:r>
            <w:r>
              <w:rPr>
                <w:rFonts w:hint="default" w:ascii="Times New Roman" w:hAnsi="Times New Roman" w:cs="Times New Roman"/>
                <w:color w:val="auto"/>
                <w:spacing w:val="-6"/>
                <w:sz w:val="24"/>
                <w:szCs w:val="24"/>
                <w:highlight w:val="none"/>
              </w:rPr>
              <w:t>水平项目，</w:t>
            </w:r>
            <w:r>
              <w:rPr>
                <w:rFonts w:hint="default" w:ascii="Times New Roman" w:hAnsi="Times New Roman" w:eastAsia="宋体" w:cs="Times New Roman"/>
                <w:color w:val="auto"/>
                <w:spacing w:val="0"/>
                <w:sz w:val="24"/>
                <w:highlight w:val="none"/>
              </w:rPr>
              <w:t>本项目</w:t>
            </w:r>
            <w:r>
              <w:rPr>
                <w:rFonts w:hint="default" w:ascii="Times New Roman" w:hAnsi="Times New Roman" w:eastAsia="宋体" w:cs="Times New Roman"/>
                <w:color w:val="auto"/>
                <w:spacing w:val="0"/>
                <w:sz w:val="24"/>
                <w:highlight w:val="none"/>
                <w:lang w:val="en-US" w:eastAsia="zh-CN"/>
              </w:rPr>
              <w:t>建设1台</w:t>
            </w:r>
            <w:r>
              <w:rPr>
                <w:rFonts w:hint="default" w:ascii="Times New Roman" w:hAnsi="Times New Roman" w:cs="Times New Roman"/>
                <w:color w:val="auto"/>
                <w:spacing w:val="0"/>
                <w:sz w:val="24"/>
                <w:highlight w:val="none"/>
                <w:lang w:val="en-US" w:eastAsia="zh-CN"/>
              </w:rPr>
              <w:t>10t/h生物质蒸汽锅炉</w:t>
            </w:r>
            <w:r>
              <w:rPr>
                <w:rFonts w:hint="default" w:ascii="Times New Roman" w:hAnsi="Times New Roman" w:eastAsia="宋体" w:cs="Times New Roman"/>
                <w:color w:val="auto"/>
                <w:spacing w:val="0"/>
                <w:sz w:val="24"/>
                <w:highlight w:val="none"/>
                <w:lang w:val="en-US" w:eastAsia="zh-CN"/>
              </w:rPr>
              <w:t>，</w:t>
            </w:r>
            <w:r>
              <w:rPr>
                <w:rFonts w:hint="default" w:ascii="Times New Roman" w:hAnsi="Times New Roman" w:cs="Times New Roman"/>
                <w:color w:val="auto"/>
                <w:spacing w:val="0"/>
                <w:sz w:val="24"/>
                <w:highlight w:val="none"/>
                <w:lang w:val="en-US" w:eastAsia="zh-CN"/>
              </w:rPr>
              <w:t>为生物质</w:t>
            </w:r>
            <w:r>
              <w:rPr>
                <w:rFonts w:hint="default" w:ascii="Times New Roman" w:hAnsi="Times New Roman" w:eastAsia="宋体" w:cs="Times New Roman"/>
                <w:color w:val="auto"/>
                <w:spacing w:val="0"/>
                <w:sz w:val="24"/>
                <w:highlight w:val="none"/>
              </w:rPr>
              <w:t>专用锅炉烟气</w:t>
            </w:r>
            <w:r>
              <w:rPr>
                <w:rFonts w:hint="default" w:ascii="Times New Roman" w:hAnsi="Times New Roman" w:eastAsia="宋体" w:cs="Times New Roman"/>
                <w:color w:val="auto"/>
                <w:spacing w:val="0"/>
                <w:sz w:val="24"/>
                <w:highlight w:val="none"/>
                <w:lang w:val="en-US" w:eastAsia="zh-CN"/>
              </w:rPr>
              <w:t>经布袋除尘器处理后</w:t>
            </w:r>
            <w:r>
              <w:rPr>
                <w:rFonts w:hint="default" w:ascii="Times New Roman" w:hAnsi="Times New Roman" w:eastAsia="宋体" w:cs="Times New Roman"/>
                <w:color w:val="auto"/>
                <w:spacing w:val="0"/>
                <w:sz w:val="24"/>
                <w:highlight w:val="none"/>
              </w:rPr>
              <w:t>能够</w:t>
            </w:r>
            <w:r>
              <w:rPr>
                <w:rFonts w:hint="default" w:ascii="Times New Roman" w:hAnsi="Times New Roman" w:eastAsia="宋体" w:cs="Times New Roman"/>
                <w:color w:val="auto"/>
                <w:spacing w:val="0"/>
                <w:sz w:val="24"/>
                <w:highlight w:val="none"/>
                <w:lang w:val="en-US" w:eastAsia="zh-CN"/>
              </w:rPr>
              <w:t>满足《锅炉大气污染物排放标准》（GB13271-2014）</w:t>
            </w:r>
            <w:r>
              <w:rPr>
                <w:rFonts w:hint="default" w:ascii="Times New Roman" w:hAnsi="Times New Roman" w:cs="Times New Roman"/>
                <w:color w:val="auto"/>
                <w:spacing w:val="0"/>
                <w:sz w:val="24"/>
                <w:highlight w:val="none"/>
                <w:lang w:val="en-US" w:eastAsia="zh-CN"/>
              </w:rPr>
              <w:t>表2燃煤锅炉标准</w:t>
            </w:r>
            <w:r>
              <w:rPr>
                <w:rFonts w:hint="default" w:ascii="Times New Roman" w:hAnsi="Times New Roman" w:eastAsia="宋体" w:cs="Times New Roman"/>
                <w:color w:val="auto"/>
                <w:spacing w:val="0"/>
                <w:sz w:val="24"/>
                <w:highlight w:val="none"/>
                <w:lang w:val="en-US" w:eastAsia="zh-CN"/>
              </w:rPr>
              <w:t>排放限值</w:t>
            </w:r>
            <w:r>
              <w:rPr>
                <w:rFonts w:hint="default" w:ascii="Times New Roman" w:hAnsi="Times New Roman" w:eastAsia="宋体" w:cs="Times New Roman"/>
                <w:color w:val="auto"/>
                <w:spacing w:val="0"/>
                <w:sz w:val="24"/>
                <w:highlight w:val="none"/>
              </w:rPr>
              <w:t>，符合</w:t>
            </w:r>
            <w:r>
              <w:rPr>
                <w:rFonts w:hint="default" w:ascii="Times New Roman" w:hAnsi="Times New Roman" w:eastAsia="宋体" w:cs="Times New Roman"/>
                <w:b w:val="0"/>
                <w:bCs w:val="0"/>
                <w:color w:val="auto"/>
                <w:spacing w:val="0"/>
                <w:sz w:val="24"/>
                <w:highlight w:val="none"/>
              </w:rPr>
              <w:t>《鸡西市空气质量持续改善行动计划贯彻落实方案》的要求。</w:t>
            </w:r>
          </w:p>
          <w:p w14:paraId="1562B86D">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left"/>
              <w:textAlignment w:val="center"/>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2.</w:t>
            </w:r>
            <w:r>
              <w:rPr>
                <w:rFonts w:hint="default" w:ascii="Times New Roman" w:hAnsi="Times New Roman" w:cs="Times New Roman"/>
                <w:b/>
                <w:bCs/>
                <w:color w:val="auto"/>
                <w:spacing w:val="0"/>
                <w:sz w:val="24"/>
                <w:szCs w:val="24"/>
                <w:highlight w:val="none"/>
                <w:lang w:val="en-US" w:eastAsia="zh-CN"/>
              </w:rPr>
              <w:t>2</w:t>
            </w:r>
            <w:r>
              <w:rPr>
                <w:rFonts w:hint="default" w:ascii="Times New Roman" w:hAnsi="Times New Roman" w:eastAsia="宋体" w:cs="Times New Roman"/>
                <w:b/>
                <w:bCs/>
                <w:color w:val="auto"/>
                <w:spacing w:val="0"/>
                <w:sz w:val="24"/>
                <w:szCs w:val="24"/>
                <w:highlight w:val="none"/>
                <w:lang w:val="en-US" w:eastAsia="zh-CN"/>
              </w:rPr>
              <w:t>与《黑龙江省大气污染防治条例》符合性分析</w:t>
            </w:r>
          </w:p>
          <w:p w14:paraId="3BD2E38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第二十九条各级人民政府应当调整能源结构，推广清洁能源的生产和使用，制定并组织实施煤炭消费总量控制规划，减少煤炭生产、使用、转化过程中的大气污染物排放。</w:t>
            </w:r>
          </w:p>
          <w:p w14:paraId="612380F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本项目</w:t>
            </w:r>
            <w:r>
              <w:rPr>
                <w:rFonts w:hint="default" w:ascii="Times New Roman" w:hAnsi="Times New Roman" w:eastAsia="宋体" w:cs="Times New Roman"/>
                <w:color w:val="auto"/>
                <w:spacing w:val="0"/>
                <w:sz w:val="24"/>
                <w:highlight w:val="none"/>
                <w:lang w:val="en-US" w:eastAsia="zh-CN"/>
              </w:rPr>
              <w:t>建设1台</w:t>
            </w:r>
            <w:r>
              <w:rPr>
                <w:rFonts w:hint="default" w:ascii="Times New Roman" w:hAnsi="Times New Roman" w:cs="Times New Roman"/>
                <w:color w:val="auto"/>
                <w:spacing w:val="0"/>
                <w:sz w:val="24"/>
                <w:highlight w:val="none"/>
                <w:lang w:val="en-US" w:eastAsia="zh-CN"/>
              </w:rPr>
              <w:t>10t/h生物质蒸汽锅炉</w:t>
            </w:r>
            <w:r>
              <w:rPr>
                <w:rFonts w:hint="default" w:ascii="Times New Roman" w:hAnsi="Times New Roman" w:eastAsia="宋体" w:cs="Times New Roman"/>
                <w:color w:val="auto"/>
                <w:spacing w:val="0"/>
                <w:sz w:val="24"/>
                <w:highlight w:val="none"/>
                <w:lang w:val="en-US" w:eastAsia="zh-CN"/>
              </w:rPr>
              <w:t>，</w:t>
            </w:r>
            <w:r>
              <w:rPr>
                <w:rFonts w:hint="default" w:ascii="Times New Roman" w:hAnsi="Times New Roman" w:eastAsia="宋体" w:cs="Times New Roman"/>
                <w:color w:val="auto"/>
                <w:spacing w:val="0"/>
                <w:sz w:val="24"/>
                <w:highlight w:val="none"/>
              </w:rPr>
              <w:t>烟气</w:t>
            </w:r>
            <w:r>
              <w:rPr>
                <w:rFonts w:hint="default" w:ascii="Times New Roman" w:hAnsi="Times New Roman" w:eastAsia="宋体" w:cs="Times New Roman"/>
                <w:color w:val="auto"/>
                <w:spacing w:val="0"/>
                <w:sz w:val="24"/>
                <w:highlight w:val="none"/>
                <w:lang w:val="en-US" w:eastAsia="zh-CN"/>
              </w:rPr>
              <w:t>经布袋除尘器处理后</w:t>
            </w:r>
            <w:r>
              <w:rPr>
                <w:rFonts w:hint="default" w:ascii="Times New Roman" w:hAnsi="Times New Roman" w:eastAsia="宋体" w:cs="Times New Roman"/>
                <w:color w:val="auto"/>
                <w:spacing w:val="0"/>
                <w:sz w:val="24"/>
                <w:highlight w:val="none"/>
              </w:rPr>
              <w:t>能够</w:t>
            </w:r>
            <w:r>
              <w:rPr>
                <w:rFonts w:hint="default" w:ascii="Times New Roman" w:hAnsi="Times New Roman" w:eastAsia="宋体" w:cs="Times New Roman"/>
                <w:color w:val="auto"/>
                <w:spacing w:val="0"/>
                <w:sz w:val="24"/>
                <w:highlight w:val="none"/>
                <w:lang w:val="en-US" w:eastAsia="zh-CN"/>
              </w:rPr>
              <w:t>满足《锅炉大气污染物排放标准》（GB13271-2014）表</w:t>
            </w:r>
            <w:r>
              <w:rPr>
                <w:rFonts w:hint="default" w:ascii="Times New Roman" w:hAnsi="Times New Roman" w:cs="Times New Roman"/>
                <w:color w:val="auto"/>
                <w:spacing w:val="0"/>
                <w:sz w:val="24"/>
                <w:highlight w:val="none"/>
                <w:lang w:val="en-US" w:eastAsia="zh-CN"/>
              </w:rPr>
              <w:t>2</w:t>
            </w:r>
            <w:r>
              <w:rPr>
                <w:rFonts w:hint="default" w:ascii="Times New Roman" w:hAnsi="Times New Roman" w:eastAsia="宋体" w:cs="Times New Roman"/>
                <w:color w:val="auto"/>
                <w:spacing w:val="0"/>
                <w:sz w:val="24"/>
                <w:highlight w:val="none"/>
                <w:lang w:val="en-US" w:eastAsia="zh-CN"/>
              </w:rPr>
              <w:t>燃煤锅炉排放限值</w:t>
            </w:r>
            <w:r>
              <w:rPr>
                <w:rFonts w:hint="default" w:ascii="Times New Roman" w:hAnsi="Times New Roman" w:eastAsia="宋体" w:cs="Times New Roman"/>
                <w:color w:val="auto"/>
                <w:spacing w:val="0"/>
                <w:sz w:val="24"/>
                <w:szCs w:val="24"/>
                <w:highlight w:val="none"/>
                <w:lang w:val="en-US" w:eastAsia="zh-CN"/>
              </w:rPr>
              <w:t>，锅炉燃料为生物质。因此本项目的建设符合《黑龙江省大气污染防治条例》要求。</w:t>
            </w:r>
          </w:p>
          <w:p w14:paraId="3672AB1F">
            <w:pPr>
              <w:pStyle w:val="147"/>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b/>
                <w:bCs w:val="0"/>
                <w:color w:val="auto"/>
                <w:sz w:val="24"/>
                <w:szCs w:val="24"/>
                <w:highlight w:val="none"/>
              </w:rPr>
            </w:pPr>
            <w:r>
              <w:rPr>
                <w:rFonts w:hint="default" w:ascii="Times New Roman" w:hAnsi="Times New Roman" w:eastAsia="宋体" w:cs="Times New Roman"/>
                <w:b/>
                <w:bCs w:val="0"/>
                <w:color w:val="auto"/>
                <w:spacing w:val="0"/>
                <w:sz w:val="24"/>
                <w:szCs w:val="24"/>
                <w:highlight w:val="none"/>
                <w:shd w:val="clear"/>
                <w:lang w:val="en-US" w:eastAsia="zh-CN"/>
              </w:rPr>
              <w:t>2.</w:t>
            </w:r>
            <w:r>
              <w:rPr>
                <w:rFonts w:hint="default" w:ascii="Times New Roman" w:hAnsi="Times New Roman" w:cs="Times New Roman"/>
                <w:b/>
                <w:bCs w:val="0"/>
                <w:color w:val="auto"/>
                <w:spacing w:val="0"/>
                <w:sz w:val="24"/>
                <w:szCs w:val="24"/>
                <w:highlight w:val="none"/>
                <w:shd w:val="clear"/>
                <w:lang w:val="en-US" w:eastAsia="zh-CN"/>
              </w:rPr>
              <w:t>3</w:t>
            </w:r>
            <w:r>
              <w:rPr>
                <w:rFonts w:hint="default" w:ascii="Times New Roman" w:hAnsi="Times New Roman" w:cs="Times New Roman"/>
                <w:b/>
                <w:bCs w:val="0"/>
                <w:color w:val="auto"/>
                <w:spacing w:val="-2"/>
                <w:sz w:val="24"/>
                <w:szCs w:val="24"/>
                <w:highlight w:val="none"/>
              </w:rPr>
              <w:t>与《鸡西市</w:t>
            </w:r>
            <w:r>
              <w:rPr>
                <w:rFonts w:hint="default" w:ascii="Times New Roman" w:hAnsi="Times New Roman" w:eastAsia="Times New Roman" w:cs="Times New Roman"/>
                <w:b/>
                <w:bCs w:val="0"/>
                <w:color w:val="auto"/>
                <w:spacing w:val="-2"/>
                <w:sz w:val="24"/>
                <w:szCs w:val="24"/>
                <w:highlight w:val="none"/>
              </w:rPr>
              <w:t>“</w:t>
            </w:r>
            <w:r>
              <w:rPr>
                <w:rFonts w:hint="default" w:ascii="Times New Roman" w:hAnsi="Times New Roman" w:cs="Times New Roman"/>
                <w:b/>
                <w:bCs w:val="0"/>
                <w:color w:val="auto"/>
                <w:spacing w:val="-2"/>
                <w:sz w:val="24"/>
                <w:szCs w:val="24"/>
                <w:highlight w:val="none"/>
              </w:rPr>
              <w:t>十四五</w:t>
            </w:r>
            <w:r>
              <w:rPr>
                <w:rFonts w:hint="default" w:ascii="Times New Roman" w:hAnsi="Times New Roman" w:eastAsia="Times New Roman" w:cs="Times New Roman"/>
                <w:b/>
                <w:bCs w:val="0"/>
                <w:color w:val="auto"/>
                <w:spacing w:val="-2"/>
                <w:sz w:val="24"/>
                <w:szCs w:val="24"/>
                <w:highlight w:val="none"/>
              </w:rPr>
              <w:t>”</w:t>
            </w:r>
            <w:r>
              <w:rPr>
                <w:rFonts w:hint="default" w:ascii="Times New Roman" w:hAnsi="Times New Roman" w:cs="Times New Roman"/>
                <w:b/>
                <w:bCs w:val="0"/>
                <w:color w:val="auto"/>
                <w:spacing w:val="-2"/>
                <w:sz w:val="24"/>
                <w:szCs w:val="24"/>
                <w:highlight w:val="none"/>
              </w:rPr>
              <w:t>生态环境保护规划》的符合性分析</w:t>
            </w:r>
          </w:p>
          <w:p w14:paraId="6A2542C2">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2"/>
              <w:textAlignment w:val="auto"/>
              <w:rPr>
                <w:rFonts w:hint="default" w:ascii="Times New Roman" w:hAnsi="Times New Roman" w:cs="Times New Roman"/>
                <w:color w:val="auto"/>
                <w:sz w:val="24"/>
                <w:szCs w:val="24"/>
                <w:highlight w:val="none"/>
              </w:rPr>
            </w:pPr>
            <w:r>
              <w:rPr>
                <w:rFonts w:hint="eastAsia" w:ascii="Times New Roman" w:hAnsi="Times New Roman" w:cs="Times New Roman"/>
                <w:b w:val="0"/>
                <w:bCs/>
                <w:color w:val="auto"/>
                <w:spacing w:val="-2"/>
                <w:sz w:val="24"/>
                <w:szCs w:val="24"/>
                <w:highlight w:val="none"/>
                <w:lang w:val="en-US" w:eastAsia="zh-CN"/>
              </w:rPr>
              <w:t>根据</w:t>
            </w:r>
            <w:r>
              <w:rPr>
                <w:rFonts w:hint="default" w:ascii="Times New Roman" w:hAnsi="Times New Roman" w:cs="Times New Roman"/>
                <w:b w:val="0"/>
                <w:bCs/>
                <w:color w:val="auto"/>
                <w:spacing w:val="-2"/>
                <w:sz w:val="24"/>
                <w:szCs w:val="24"/>
                <w:highlight w:val="none"/>
              </w:rPr>
              <w:t>《鸡西市</w:t>
            </w:r>
            <w:r>
              <w:rPr>
                <w:rFonts w:hint="default" w:ascii="Times New Roman" w:hAnsi="Times New Roman" w:eastAsia="Times New Roman" w:cs="Times New Roman"/>
                <w:b w:val="0"/>
                <w:bCs/>
                <w:color w:val="auto"/>
                <w:spacing w:val="-2"/>
                <w:sz w:val="24"/>
                <w:szCs w:val="24"/>
                <w:highlight w:val="none"/>
              </w:rPr>
              <w:t>“</w:t>
            </w:r>
            <w:r>
              <w:rPr>
                <w:rFonts w:hint="default" w:ascii="Times New Roman" w:hAnsi="Times New Roman" w:cs="Times New Roman"/>
                <w:b w:val="0"/>
                <w:bCs/>
                <w:color w:val="auto"/>
                <w:spacing w:val="-2"/>
                <w:sz w:val="24"/>
                <w:szCs w:val="24"/>
                <w:highlight w:val="none"/>
              </w:rPr>
              <w:t>十四五</w:t>
            </w:r>
            <w:r>
              <w:rPr>
                <w:rFonts w:hint="default" w:ascii="Times New Roman" w:hAnsi="Times New Roman" w:eastAsia="Times New Roman" w:cs="Times New Roman"/>
                <w:b w:val="0"/>
                <w:bCs/>
                <w:color w:val="auto"/>
                <w:spacing w:val="-2"/>
                <w:sz w:val="24"/>
                <w:szCs w:val="24"/>
                <w:highlight w:val="none"/>
              </w:rPr>
              <w:t>”</w:t>
            </w:r>
            <w:r>
              <w:rPr>
                <w:rFonts w:hint="default" w:ascii="Times New Roman" w:hAnsi="Times New Roman" w:cs="Times New Roman"/>
                <w:b w:val="0"/>
                <w:bCs/>
                <w:color w:val="auto"/>
                <w:spacing w:val="-2"/>
                <w:sz w:val="24"/>
                <w:szCs w:val="24"/>
                <w:highlight w:val="none"/>
              </w:rPr>
              <w:t>生态环境保护规划》</w:t>
            </w:r>
            <w:r>
              <w:rPr>
                <w:rFonts w:hint="eastAsia" w:ascii="Times New Roman" w:hAnsi="Times New Roman" w:cs="Times New Roman"/>
                <w:b w:val="0"/>
                <w:bCs/>
                <w:color w:val="auto"/>
                <w:spacing w:val="-2"/>
                <w:sz w:val="24"/>
                <w:szCs w:val="24"/>
                <w:highlight w:val="none"/>
                <w:lang w:eastAsia="zh-CN"/>
              </w:rPr>
              <w:t>：</w:t>
            </w:r>
            <w:r>
              <w:rPr>
                <w:rFonts w:hint="default" w:ascii="Times New Roman" w:hAnsi="Times New Roman" w:cs="Times New Roman"/>
                <w:color w:val="auto"/>
                <w:sz w:val="24"/>
                <w:szCs w:val="24"/>
                <w:highlight w:val="none"/>
              </w:rPr>
              <w:t>实施大气环境质量目标管理。对照</w:t>
            </w:r>
            <w:r>
              <w:rPr>
                <w:rFonts w:hint="default" w:ascii="Times New Roman" w:hAnsi="Times New Roman" w:eastAsia="Times New Roman" w:cs="Times New Roman"/>
                <w:color w:val="auto"/>
                <w:sz w:val="24"/>
                <w:szCs w:val="24"/>
                <w:highlight w:val="none"/>
              </w:rPr>
              <w:t>2035</w:t>
            </w:r>
            <w:r>
              <w:rPr>
                <w:rFonts w:hint="default" w:ascii="Times New Roman" w:hAnsi="Times New Roman" w:cs="Times New Roman"/>
                <w:color w:val="auto"/>
                <w:sz w:val="24"/>
                <w:szCs w:val="24"/>
                <w:highlight w:val="none"/>
              </w:rPr>
              <w:t>年远景目标</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开展形势</w:t>
            </w:r>
            <w:r>
              <w:rPr>
                <w:rFonts w:hint="default" w:ascii="Times New Roman" w:hAnsi="Times New Roman" w:cs="Times New Roman"/>
                <w:color w:val="auto"/>
                <w:spacing w:val="-1"/>
                <w:sz w:val="24"/>
                <w:szCs w:val="24"/>
                <w:highlight w:val="none"/>
              </w:rPr>
              <w:t>分析</w:t>
            </w:r>
            <w:r>
              <w:rPr>
                <w:rFonts w:hint="eastAsia" w:ascii="Times New Roman" w:hAnsi="Times New Roman" w:cs="Times New Roman"/>
                <w:color w:val="auto"/>
                <w:spacing w:val="-1"/>
                <w:sz w:val="24"/>
                <w:szCs w:val="24"/>
                <w:highlight w:val="none"/>
                <w:lang w:eastAsia="zh-CN"/>
              </w:rPr>
              <w:t>，</w:t>
            </w:r>
            <w:r>
              <w:rPr>
                <w:rFonts w:hint="default" w:ascii="Times New Roman" w:hAnsi="Times New Roman" w:cs="Times New Roman"/>
                <w:color w:val="auto"/>
                <w:spacing w:val="-1"/>
                <w:sz w:val="24"/>
                <w:szCs w:val="24"/>
                <w:highlight w:val="none"/>
              </w:rPr>
              <w:t>逐步提高大气环境质量目标，持续改善城市大气环境质量。</w:t>
            </w:r>
          </w:p>
          <w:p w14:paraId="6A0C655F">
            <w:pPr>
              <w:pStyle w:val="147"/>
              <w:spacing w:before="9" w:line="359" w:lineRule="auto"/>
              <w:ind w:left="21" w:right="11" w:firstLine="479"/>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3"/>
                <w:sz w:val="24"/>
                <w:szCs w:val="24"/>
                <w:highlight w:val="none"/>
              </w:rPr>
              <w:t>开展工业炉窑深度治理。分类建立超低排放改造以外</w:t>
            </w:r>
            <w:r>
              <w:rPr>
                <w:rFonts w:hint="default" w:ascii="Times New Roman" w:hAnsi="Times New Roman" w:cs="Times New Roman"/>
                <w:color w:val="auto"/>
                <w:spacing w:val="2"/>
                <w:sz w:val="24"/>
                <w:szCs w:val="24"/>
                <w:highlight w:val="none"/>
              </w:rPr>
              <w:t>的重点涉工业炉窑行业清单，制定工业炉窑深度治理工作方案。严格排放标准要求，加强不达标工业炉窑的淘汰力度，加快淘汰中小型煤气发生炉。鼓励工业炉窑使用电、天然气等清洁能源或由周边热电厂供</w:t>
            </w:r>
            <w:r>
              <w:rPr>
                <w:rFonts w:hint="default" w:ascii="Times New Roman" w:hAnsi="Times New Roman" w:cs="Times New Roman"/>
                <w:color w:val="auto"/>
                <w:spacing w:val="-6"/>
                <w:sz w:val="24"/>
                <w:szCs w:val="24"/>
                <w:highlight w:val="none"/>
              </w:rPr>
              <w:t>热。</w:t>
            </w:r>
          </w:p>
          <w:p w14:paraId="09DDC3A8">
            <w:pPr>
              <w:pStyle w:val="147"/>
              <w:spacing w:before="47" w:line="359" w:lineRule="auto"/>
              <w:ind w:left="18" w:right="11"/>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4"/>
                <w:sz w:val="24"/>
                <w:szCs w:val="24"/>
                <w:highlight w:val="none"/>
              </w:rPr>
              <w:t>加大燃煤污染治理力度。深入实施散煤污染治理</w:t>
            </w:r>
            <w:r>
              <w:rPr>
                <w:rFonts w:hint="default" w:ascii="Times New Roman" w:hAnsi="Times New Roman" w:eastAsia="Times New Roman" w:cs="Times New Roman"/>
                <w:color w:val="auto"/>
                <w:spacing w:val="3"/>
                <w:sz w:val="24"/>
                <w:szCs w:val="24"/>
                <w:highlight w:val="none"/>
              </w:rPr>
              <w:t>“</w:t>
            </w:r>
            <w:r>
              <w:rPr>
                <w:rFonts w:hint="default" w:ascii="Times New Roman" w:hAnsi="Times New Roman" w:cs="Times New Roman"/>
                <w:color w:val="auto"/>
                <w:spacing w:val="3"/>
                <w:sz w:val="24"/>
                <w:szCs w:val="24"/>
                <w:highlight w:val="none"/>
              </w:rPr>
              <w:t>三重一改</w:t>
            </w:r>
            <w:r>
              <w:rPr>
                <w:rFonts w:hint="default" w:ascii="Times New Roman" w:hAnsi="Times New Roman" w:eastAsia="Times New Roman" w:cs="Times New Roman"/>
                <w:color w:val="auto"/>
                <w:spacing w:val="3"/>
                <w:sz w:val="24"/>
                <w:szCs w:val="24"/>
                <w:highlight w:val="none"/>
              </w:rPr>
              <w:t>”</w:t>
            </w:r>
            <w:r>
              <w:rPr>
                <w:rFonts w:hint="default" w:ascii="Times New Roman" w:hAnsi="Times New Roman" w:cs="Times New Roman"/>
                <w:color w:val="auto"/>
                <w:spacing w:val="3"/>
                <w:sz w:val="24"/>
                <w:szCs w:val="24"/>
                <w:highlight w:val="none"/>
              </w:rPr>
              <w:t>攻</w:t>
            </w:r>
            <w:r>
              <w:rPr>
                <w:rFonts w:hint="default" w:ascii="Times New Roman" w:hAnsi="Times New Roman" w:cs="Times New Roman"/>
                <w:color w:val="auto"/>
                <w:spacing w:val="2"/>
                <w:sz w:val="24"/>
                <w:szCs w:val="24"/>
                <w:highlight w:val="none"/>
              </w:rPr>
              <w:t>坚行动，统筹全市棚户区、城中村、城乡结合部、商户和农村地区</w:t>
            </w:r>
            <w:r>
              <w:rPr>
                <w:rFonts w:hint="default" w:ascii="Times New Roman" w:hAnsi="Times New Roman" w:cs="Times New Roman"/>
                <w:color w:val="auto"/>
                <w:spacing w:val="3"/>
                <w:sz w:val="24"/>
                <w:szCs w:val="24"/>
                <w:highlight w:val="none"/>
              </w:rPr>
              <w:t>散煤污染治理，按照</w:t>
            </w:r>
            <w:r>
              <w:rPr>
                <w:rFonts w:hint="default" w:ascii="Times New Roman" w:hAnsi="Times New Roman" w:eastAsia="Times New Roman" w:cs="Times New Roman"/>
                <w:color w:val="auto"/>
                <w:spacing w:val="3"/>
                <w:sz w:val="24"/>
                <w:szCs w:val="24"/>
                <w:highlight w:val="none"/>
              </w:rPr>
              <w:t>“</w:t>
            </w:r>
            <w:r>
              <w:rPr>
                <w:rFonts w:hint="default" w:ascii="Times New Roman" w:hAnsi="Times New Roman" w:cs="Times New Roman"/>
                <w:color w:val="auto"/>
                <w:spacing w:val="3"/>
                <w:sz w:val="24"/>
                <w:szCs w:val="24"/>
                <w:highlight w:val="none"/>
              </w:rPr>
              <w:t>煤炭集中使用、清洁利用</w:t>
            </w:r>
            <w:r>
              <w:rPr>
                <w:rFonts w:hint="default" w:ascii="Times New Roman" w:hAnsi="Times New Roman" w:eastAsia="Times New Roman" w:cs="Times New Roman"/>
                <w:color w:val="auto"/>
                <w:spacing w:val="3"/>
                <w:sz w:val="24"/>
                <w:szCs w:val="24"/>
                <w:highlight w:val="none"/>
              </w:rPr>
              <w:t>”</w:t>
            </w:r>
            <w:r>
              <w:rPr>
                <w:rFonts w:hint="default" w:ascii="Times New Roman" w:hAnsi="Times New Roman" w:cs="Times New Roman"/>
                <w:color w:val="auto"/>
                <w:spacing w:val="3"/>
                <w:sz w:val="24"/>
                <w:szCs w:val="24"/>
                <w:highlight w:val="none"/>
              </w:rPr>
              <w:t>原则，重点削减散</w:t>
            </w:r>
            <w:r>
              <w:rPr>
                <w:rFonts w:hint="default" w:ascii="Times New Roman" w:hAnsi="Times New Roman" w:cs="Times New Roman"/>
                <w:color w:val="auto"/>
                <w:spacing w:val="-3"/>
                <w:sz w:val="24"/>
                <w:szCs w:val="24"/>
                <w:highlight w:val="none"/>
              </w:rPr>
              <w:t>煤、工业锅炉、工业炉窑等非电用煤，以</w:t>
            </w:r>
            <w:r>
              <w:rPr>
                <w:rFonts w:hint="default" w:ascii="Times New Roman" w:hAnsi="Times New Roman" w:eastAsia="Times New Roman" w:cs="Times New Roman"/>
                <w:color w:val="auto"/>
                <w:spacing w:val="-3"/>
                <w:sz w:val="24"/>
                <w:szCs w:val="24"/>
                <w:highlight w:val="none"/>
              </w:rPr>
              <w:t>“</w:t>
            </w:r>
            <w:r>
              <w:rPr>
                <w:rFonts w:hint="default" w:ascii="Times New Roman" w:hAnsi="Times New Roman" w:cs="Times New Roman"/>
                <w:color w:val="auto"/>
                <w:spacing w:val="-3"/>
                <w:sz w:val="24"/>
                <w:szCs w:val="24"/>
                <w:highlight w:val="none"/>
              </w:rPr>
              <w:t>煤</w:t>
            </w:r>
            <w:r>
              <w:rPr>
                <w:rFonts w:hint="default" w:ascii="Times New Roman" w:hAnsi="Times New Roman" w:cs="Times New Roman"/>
                <w:color w:val="auto"/>
                <w:spacing w:val="-4"/>
                <w:sz w:val="24"/>
                <w:szCs w:val="24"/>
                <w:highlight w:val="none"/>
              </w:rPr>
              <w:t>改气</w:t>
            </w:r>
            <w:r>
              <w:rPr>
                <w:rFonts w:hint="default" w:ascii="Times New Roman" w:hAnsi="Times New Roman" w:eastAsia="Times New Roman" w:cs="Times New Roman"/>
                <w:color w:val="auto"/>
                <w:spacing w:val="-4"/>
                <w:sz w:val="24"/>
                <w:szCs w:val="24"/>
                <w:highlight w:val="none"/>
              </w:rPr>
              <w:t>”“</w:t>
            </w:r>
            <w:r>
              <w:rPr>
                <w:rFonts w:hint="default" w:ascii="Times New Roman" w:hAnsi="Times New Roman" w:cs="Times New Roman"/>
                <w:color w:val="auto"/>
                <w:spacing w:val="-4"/>
                <w:sz w:val="24"/>
                <w:szCs w:val="24"/>
                <w:highlight w:val="none"/>
              </w:rPr>
              <w:t>煤改电</w:t>
            </w:r>
            <w:r>
              <w:rPr>
                <w:rFonts w:hint="default" w:ascii="Times New Roman" w:hAnsi="Times New Roman" w:eastAsia="Times New Roman" w:cs="Times New Roman"/>
                <w:color w:val="auto"/>
                <w:spacing w:val="-4"/>
                <w:sz w:val="24"/>
                <w:szCs w:val="24"/>
                <w:highlight w:val="none"/>
              </w:rPr>
              <w:t>”</w:t>
            </w:r>
            <w:r>
              <w:rPr>
                <w:rFonts w:hint="default" w:ascii="Times New Roman" w:hAnsi="Times New Roman" w:cs="Times New Roman"/>
                <w:color w:val="auto"/>
                <w:spacing w:val="-4"/>
                <w:sz w:val="24"/>
                <w:szCs w:val="24"/>
                <w:highlight w:val="none"/>
              </w:rPr>
              <w:t>为主要方</w:t>
            </w:r>
            <w:r>
              <w:rPr>
                <w:rFonts w:hint="default" w:ascii="Times New Roman" w:hAnsi="Times New Roman" w:cs="Times New Roman"/>
                <w:color w:val="auto"/>
                <w:spacing w:val="3"/>
                <w:sz w:val="24"/>
                <w:szCs w:val="24"/>
                <w:highlight w:val="none"/>
              </w:rPr>
              <w:t>式，降低煤炭在能源消费中的比重。持续推进</w:t>
            </w:r>
            <w:r>
              <w:rPr>
                <w:rFonts w:hint="default" w:ascii="Times New Roman" w:hAnsi="Times New Roman" w:cs="Times New Roman"/>
                <w:color w:val="auto"/>
                <w:spacing w:val="2"/>
                <w:sz w:val="24"/>
                <w:szCs w:val="24"/>
                <w:highlight w:val="none"/>
              </w:rPr>
              <w:t>清洁取暖，加快生物</w:t>
            </w:r>
            <w:r>
              <w:rPr>
                <w:rFonts w:hint="default" w:ascii="Times New Roman" w:hAnsi="Times New Roman" w:cs="Times New Roman"/>
                <w:color w:val="auto"/>
                <w:spacing w:val="3"/>
                <w:sz w:val="24"/>
                <w:szCs w:val="24"/>
                <w:highlight w:val="none"/>
              </w:rPr>
              <w:t>质成型燃料供暖，构建绿色、节约、高效、协</w:t>
            </w:r>
            <w:r>
              <w:rPr>
                <w:rFonts w:hint="default" w:ascii="Times New Roman" w:hAnsi="Times New Roman" w:cs="Times New Roman"/>
                <w:color w:val="auto"/>
                <w:spacing w:val="2"/>
                <w:sz w:val="24"/>
                <w:szCs w:val="24"/>
                <w:highlight w:val="none"/>
              </w:rPr>
              <w:t>调、适用的清洁供暖</w:t>
            </w:r>
            <w:r>
              <w:rPr>
                <w:rFonts w:hint="default" w:ascii="Times New Roman" w:hAnsi="Times New Roman" w:cs="Times New Roman"/>
                <w:color w:val="auto"/>
                <w:spacing w:val="11"/>
                <w:sz w:val="24"/>
                <w:szCs w:val="24"/>
                <w:highlight w:val="none"/>
              </w:rPr>
              <w:t>体系。市主城区建成区基本实现散煤清零。加快淘汰全市建成区</w:t>
            </w:r>
            <w:r>
              <w:rPr>
                <w:rFonts w:hint="default" w:ascii="Times New Roman" w:hAnsi="Times New Roman" w:eastAsia="Times New Roman" w:cs="Times New Roman"/>
                <w:color w:val="auto"/>
                <w:spacing w:val="-2"/>
                <w:sz w:val="24"/>
                <w:szCs w:val="24"/>
                <w:highlight w:val="none"/>
              </w:rPr>
              <w:t xml:space="preserve">10-35  </w:t>
            </w:r>
            <w:r>
              <w:rPr>
                <w:rFonts w:hint="default" w:ascii="Times New Roman" w:hAnsi="Times New Roman" w:cs="Times New Roman"/>
                <w:color w:val="auto"/>
                <w:spacing w:val="-2"/>
                <w:sz w:val="24"/>
                <w:szCs w:val="24"/>
                <w:highlight w:val="none"/>
              </w:rPr>
              <w:t>蒸吨</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cs="Times New Roman"/>
                <w:color w:val="auto"/>
                <w:spacing w:val="-2"/>
                <w:sz w:val="24"/>
                <w:szCs w:val="24"/>
                <w:highlight w:val="none"/>
              </w:rPr>
              <w:t xml:space="preserve">小时燃煤锅炉，推进 </w:t>
            </w:r>
            <w:r>
              <w:rPr>
                <w:rFonts w:hint="default" w:ascii="Times New Roman" w:hAnsi="Times New Roman" w:eastAsia="Times New Roman" w:cs="Times New Roman"/>
                <w:color w:val="auto"/>
                <w:spacing w:val="-2"/>
                <w:sz w:val="24"/>
                <w:szCs w:val="24"/>
                <w:highlight w:val="none"/>
              </w:rPr>
              <w:t>65</w:t>
            </w:r>
            <w:r>
              <w:rPr>
                <w:rFonts w:hint="default" w:ascii="Times New Roman" w:hAnsi="Times New Roman" w:eastAsia="Times New Roman" w:cs="Times New Roman"/>
                <w:color w:val="auto"/>
                <w:spacing w:val="-3"/>
                <w:sz w:val="24"/>
                <w:szCs w:val="24"/>
                <w:highlight w:val="none"/>
              </w:rPr>
              <w:t xml:space="preserve">  </w:t>
            </w:r>
            <w:r>
              <w:rPr>
                <w:rFonts w:hint="default" w:ascii="Times New Roman" w:hAnsi="Times New Roman" w:cs="Times New Roman"/>
                <w:color w:val="auto"/>
                <w:spacing w:val="-3"/>
                <w:sz w:val="24"/>
                <w:szCs w:val="24"/>
                <w:highlight w:val="none"/>
              </w:rPr>
              <w:t>蒸吨</w:t>
            </w:r>
            <w:r>
              <w:rPr>
                <w:rFonts w:hint="default" w:ascii="Times New Roman" w:hAnsi="Times New Roman" w:eastAsia="Times New Roman" w:cs="Times New Roman"/>
                <w:color w:val="auto"/>
                <w:spacing w:val="-3"/>
                <w:sz w:val="24"/>
                <w:szCs w:val="24"/>
                <w:highlight w:val="none"/>
              </w:rPr>
              <w:t>/</w:t>
            </w:r>
            <w:r>
              <w:rPr>
                <w:rFonts w:hint="default" w:ascii="Times New Roman" w:hAnsi="Times New Roman" w:cs="Times New Roman"/>
                <w:color w:val="auto"/>
                <w:spacing w:val="-3"/>
                <w:sz w:val="24"/>
                <w:szCs w:val="24"/>
                <w:highlight w:val="none"/>
              </w:rPr>
              <w:t>小时及以上燃煤锅炉</w:t>
            </w:r>
            <w:r>
              <w:rPr>
                <w:rFonts w:hint="eastAsia" w:ascii="Times New Roman" w:hAnsi="Times New Roman" w:cs="Times New Roman"/>
                <w:color w:val="auto"/>
                <w:spacing w:val="-3"/>
                <w:sz w:val="24"/>
                <w:szCs w:val="24"/>
                <w:highlight w:val="none"/>
                <w:lang w:eastAsia="zh-CN"/>
              </w:rPr>
              <w:t>（</w:t>
            </w:r>
            <w:r>
              <w:rPr>
                <w:rFonts w:hint="default" w:ascii="Times New Roman" w:hAnsi="Times New Roman" w:cs="Times New Roman"/>
                <w:color w:val="auto"/>
                <w:spacing w:val="-3"/>
                <w:sz w:val="24"/>
                <w:szCs w:val="24"/>
                <w:highlight w:val="none"/>
              </w:rPr>
              <w:t>含电</w:t>
            </w:r>
            <w:r>
              <w:rPr>
                <w:rFonts w:hint="default" w:ascii="Times New Roman" w:hAnsi="Times New Roman" w:cs="Times New Roman"/>
                <w:color w:val="auto"/>
                <w:spacing w:val="-2"/>
                <w:sz w:val="24"/>
                <w:szCs w:val="24"/>
                <w:highlight w:val="none"/>
              </w:rPr>
              <w:t>力</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cs="Times New Roman"/>
                <w:color w:val="auto"/>
                <w:spacing w:val="-2"/>
                <w:sz w:val="24"/>
                <w:szCs w:val="24"/>
                <w:highlight w:val="none"/>
              </w:rPr>
              <w:t>超低排放改造，实现</w:t>
            </w:r>
            <w:r>
              <w:rPr>
                <w:rFonts w:hint="default" w:ascii="Times New Roman" w:hAnsi="Times New Roman" w:eastAsia="Times New Roman" w:cs="Times New Roman"/>
                <w:color w:val="auto"/>
                <w:spacing w:val="-2"/>
                <w:sz w:val="24"/>
                <w:szCs w:val="24"/>
                <w:highlight w:val="none"/>
              </w:rPr>
              <w:t>20</w:t>
            </w:r>
            <w:r>
              <w:rPr>
                <w:rFonts w:hint="default" w:ascii="Times New Roman" w:hAnsi="Times New Roman" w:cs="Times New Roman"/>
                <w:color w:val="auto"/>
                <w:spacing w:val="-2"/>
                <w:sz w:val="24"/>
                <w:szCs w:val="24"/>
                <w:highlight w:val="none"/>
              </w:rPr>
              <w:t>蒸吨</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cs="Times New Roman"/>
                <w:color w:val="auto"/>
                <w:spacing w:val="-2"/>
                <w:sz w:val="24"/>
                <w:szCs w:val="24"/>
                <w:highlight w:val="none"/>
              </w:rPr>
              <w:t>小时及以上锅炉稳定达标排放全覆</w:t>
            </w:r>
            <w:r>
              <w:rPr>
                <w:rFonts w:hint="default" w:ascii="Times New Roman" w:hAnsi="Times New Roman" w:cs="Times New Roman"/>
                <w:color w:val="auto"/>
                <w:spacing w:val="-5"/>
                <w:sz w:val="24"/>
                <w:szCs w:val="24"/>
                <w:highlight w:val="none"/>
              </w:rPr>
              <w:t>盖。</w:t>
            </w:r>
          </w:p>
          <w:p w14:paraId="6E1DC3BE">
            <w:pPr>
              <w:pStyle w:val="147"/>
              <w:spacing w:before="2" w:line="359" w:lineRule="auto"/>
              <w:ind w:firstLine="531"/>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强化秸秆综合利用和禁烧。推进秸秆综合利用实施，</w:t>
            </w:r>
            <w:r>
              <w:rPr>
                <w:rFonts w:hint="default" w:ascii="Times New Roman" w:hAnsi="Times New Roman" w:cs="Times New Roman"/>
                <w:color w:val="auto"/>
                <w:spacing w:val="-1"/>
                <w:sz w:val="24"/>
                <w:szCs w:val="24"/>
                <w:highlight w:val="none"/>
              </w:rPr>
              <w:t>合理安排</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cs="Times New Roman"/>
                <w:color w:val="auto"/>
                <w:spacing w:val="2"/>
                <w:sz w:val="24"/>
                <w:szCs w:val="24"/>
                <w:highlight w:val="none"/>
              </w:rPr>
              <w:t>五化</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cs="Times New Roman"/>
                <w:color w:val="auto"/>
                <w:spacing w:val="2"/>
                <w:sz w:val="24"/>
                <w:szCs w:val="24"/>
                <w:highlight w:val="none"/>
              </w:rPr>
              <w:t>利用，完善秸秆收储运体系，研发推广综合利用先进技术和设备。加强试点示范，拓宽利用路径，完善</w:t>
            </w:r>
            <w:r>
              <w:rPr>
                <w:rFonts w:hint="default" w:ascii="Times New Roman" w:hAnsi="Times New Roman" w:cs="Times New Roman"/>
                <w:color w:val="auto"/>
                <w:spacing w:val="1"/>
                <w:sz w:val="24"/>
                <w:szCs w:val="24"/>
                <w:highlight w:val="none"/>
              </w:rPr>
              <w:t>扶持政策，探索建立政</w:t>
            </w:r>
            <w:r>
              <w:rPr>
                <w:rFonts w:hint="default" w:ascii="Times New Roman" w:hAnsi="Times New Roman" w:cs="Times New Roman"/>
                <w:color w:val="auto"/>
                <w:spacing w:val="2"/>
                <w:sz w:val="24"/>
                <w:szCs w:val="24"/>
                <w:highlight w:val="none"/>
              </w:rPr>
              <w:t>府、企业与农民三方共赢的秸秆综合利用利</w:t>
            </w:r>
            <w:r>
              <w:rPr>
                <w:rFonts w:hint="default" w:ascii="Times New Roman" w:hAnsi="Times New Roman" w:cs="Times New Roman"/>
                <w:color w:val="auto"/>
                <w:spacing w:val="1"/>
                <w:sz w:val="24"/>
                <w:szCs w:val="24"/>
                <w:highlight w:val="none"/>
              </w:rPr>
              <w:t>益链接机制，实现秸秆</w:t>
            </w:r>
            <w:r>
              <w:rPr>
                <w:rFonts w:hint="default" w:ascii="Times New Roman" w:hAnsi="Times New Roman" w:cs="Times New Roman"/>
                <w:color w:val="auto"/>
                <w:spacing w:val="-4"/>
                <w:sz w:val="24"/>
                <w:szCs w:val="24"/>
                <w:highlight w:val="none"/>
              </w:rPr>
              <w:t>综合利用水平全面提升。强化各级网格责</w:t>
            </w:r>
            <w:r>
              <w:rPr>
                <w:rFonts w:hint="default" w:ascii="Times New Roman" w:hAnsi="Times New Roman" w:cs="Times New Roman"/>
                <w:color w:val="auto"/>
                <w:spacing w:val="-5"/>
                <w:sz w:val="24"/>
                <w:szCs w:val="24"/>
                <w:highlight w:val="none"/>
              </w:rPr>
              <w:t>任单位秸秆禁烧主体责任，</w:t>
            </w:r>
            <w:r>
              <w:rPr>
                <w:rFonts w:hint="default" w:ascii="Times New Roman" w:hAnsi="Times New Roman" w:cs="Times New Roman"/>
                <w:color w:val="auto"/>
                <w:spacing w:val="2"/>
                <w:sz w:val="24"/>
                <w:szCs w:val="24"/>
                <w:highlight w:val="none"/>
              </w:rPr>
              <w:t>健全市县乡村</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cs="Times New Roman"/>
                <w:color w:val="auto"/>
                <w:spacing w:val="2"/>
                <w:sz w:val="24"/>
                <w:szCs w:val="24"/>
                <w:highlight w:val="none"/>
              </w:rPr>
              <w:t>四级</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cs="Times New Roman"/>
                <w:color w:val="auto"/>
                <w:spacing w:val="2"/>
                <w:sz w:val="24"/>
                <w:szCs w:val="24"/>
                <w:highlight w:val="none"/>
              </w:rPr>
              <w:t>网格化监管体系，强化秸秆禁烧督查巡查，综</w:t>
            </w:r>
            <w:r>
              <w:rPr>
                <w:rFonts w:hint="default" w:ascii="Times New Roman" w:hAnsi="Times New Roman" w:cs="Times New Roman"/>
                <w:color w:val="auto"/>
                <w:spacing w:val="-2"/>
                <w:sz w:val="24"/>
                <w:szCs w:val="24"/>
                <w:highlight w:val="none"/>
              </w:rPr>
              <w:t>合运用卫星遥感、高清视频监控等手段</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cs="Times New Roman"/>
                <w:color w:val="auto"/>
                <w:spacing w:val="-2"/>
                <w:sz w:val="24"/>
                <w:szCs w:val="24"/>
                <w:highlight w:val="none"/>
              </w:rPr>
              <w:t>不断提</w:t>
            </w:r>
            <w:r>
              <w:rPr>
                <w:rFonts w:hint="default" w:ascii="Times New Roman" w:hAnsi="Times New Roman" w:cs="Times New Roman"/>
                <w:color w:val="auto"/>
                <w:spacing w:val="-3"/>
                <w:sz w:val="24"/>
                <w:szCs w:val="24"/>
                <w:highlight w:val="none"/>
              </w:rPr>
              <w:t>高禁烧监管水平</w:t>
            </w:r>
            <w:r>
              <w:rPr>
                <w:rFonts w:hint="eastAsia" w:ascii="Times New Roman" w:hAnsi="Times New Roman" w:cs="Times New Roman"/>
                <w:color w:val="auto"/>
                <w:spacing w:val="-3"/>
                <w:sz w:val="24"/>
                <w:szCs w:val="24"/>
                <w:highlight w:val="none"/>
                <w:lang w:eastAsia="zh-CN"/>
              </w:rPr>
              <w:t>，</w:t>
            </w:r>
            <w:r>
              <w:rPr>
                <w:rFonts w:hint="default" w:ascii="Times New Roman" w:hAnsi="Times New Roman" w:cs="Times New Roman"/>
                <w:color w:val="auto"/>
                <w:spacing w:val="-3"/>
                <w:sz w:val="24"/>
                <w:szCs w:val="24"/>
                <w:highlight w:val="none"/>
              </w:rPr>
              <w:t>严格落实奖惩制度。到</w:t>
            </w:r>
            <w:r>
              <w:rPr>
                <w:rFonts w:hint="default" w:ascii="Times New Roman" w:hAnsi="Times New Roman" w:eastAsia="Times New Roman" w:cs="Times New Roman"/>
                <w:color w:val="auto"/>
                <w:spacing w:val="-3"/>
                <w:sz w:val="24"/>
                <w:szCs w:val="24"/>
                <w:highlight w:val="none"/>
              </w:rPr>
              <w:t>2025</w:t>
            </w:r>
            <w:r>
              <w:rPr>
                <w:rFonts w:hint="default" w:ascii="Times New Roman" w:hAnsi="Times New Roman" w:cs="Times New Roman"/>
                <w:color w:val="auto"/>
                <w:spacing w:val="-3"/>
                <w:sz w:val="24"/>
                <w:szCs w:val="24"/>
                <w:highlight w:val="none"/>
              </w:rPr>
              <w:t>年，全市秸秆还田率达到</w:t>
            </w:r>
            <w:r>
              <w:rPr>
                <w:rFonts w:hint="default" w:ascii="Times New Roman" w:hAnsi="Times New Roman" w:eastAsia="Times New Roman" w:cs="Times New Roman"/>
                <w:color w:val="auto"/>
                <w:spacing w:val="-3"/>
                <w:sz w:val="24"/>
                <w:szCs w:val="24"/>
                <w:highlight w:val="none"/>
              </w:rPr>
              <w:t>60%</w:t>
            </w:r>
            <w:r>
              <w:rPr>
                <w:rFonts w:hint="default" w:ascii="Times New Roman" w:hAnsi="Times New Roman" w:cs="Times New Roman"/>
                <w:color w:val="auto"/>
                <w:spacing w:val="-3"/>
                <w:sz w:val="24"/>
                <w:szCs w:val="24"/>
                <w:highlight w:val="none"/>
              </w:rPr>
              <w:t>以上，秸秆综</w:t>
            </w:r>
            <w:r>
              <w:rPr>
                <w:rFonts w:hint="default" w:ascii="Times New Roman" w:hAnsi="Times New Roman" w:cs="Times New Roman"/>
                <w:color w:val="auto"/>
                <w:spacing w:val="1"/>
                <w:sz w:val="24"/>
                <w:szCs w:val="24"/>
                <w:highlight w:val="none"/>
              </w:rPr>
              <w:t>合利用率达到</w:t>
            </w:r>
            <w:r>
              <w:rPr>
                <w:rFonts w:hint="default" w:ascii="Times New Roman" w:hAnsi="Times New Roman" w:cs="Times New Roman"/>
                <w:color w:val="auto"/>
                <w:spacing w:val="-52"/>
                <w:sz w:val="24"/>
                <w:szCs w:val="24"/>
                <w:highlight w:val="none"/>
              </w:rPr>
              <w:t xml:space="preserve"> </w:t>
            </w:r>
            <w:r>
              <w:rPr>
                <w:rFonts w:hint="default" w:ascii="Times New Roman" w:hAnsi="Times New Roman" w:eastAsia="Times New Roman" w:cs="Times New Roman"/>
                <w:color w:val="auto"/>
                <w:spacing w:val="1"/>
                <w:sz w:val="24"/>
                <w:szCs w:val="24"/>
                <w:highlight w:val="none"/>
              </w:rPr>
              <w:t>90%</w:t>
            </w:r>
            <w:r>
              <w:rPr>
                <w:rFonts w:hint="default" w:ascii="Times New Roman" w:hAnsi="Times New Roman" w:cs="Times New Roman"/>
                <w:color w:val="auto"/>
                <w:spacing w:val="1"/>
                <w:sz w:val="24"/>
                <w:szCs w:val="24"/>
                <w:highlight w:val="none"/>
              </w:rPr>
              <w:t>。</w:t>
            </w:r>
          </w:p>
          <w:p w14:paraId="7723EFBD">
            <w:pPr>
              <w:pStyle w:val="147"/>
              <w:spacing w:line="359" w:lineRule="auto"/>
              <w:ind w:left="18" w:right="11" w:firstLine="48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3"/>
                <w:sz w:val="24"/>
                <w:szCs w:val="24"/>
                <w:highlight w:val="none"/>
              </w:rPr>
              <w:t>推进扬尘精细化管控。全面推行绿色施工，严格落实施</w:t>
            </w:r>
            <w:r>
              <w:rPr>
                <w:rFonts w:hint="default" w:ascii="Times New Roman" w:hAnsi="Times New Roman" w:cs="Times New Roman"/>
                <w:color w:val="auto"/>
                <w:spacing w:val="2"/>
                <w:sz w:val="24"/>
                <w:szCs w:val="24"/>
                <w:highlight w:val="none"/>
              </w:rPr>
              <w:t>工工地</w:t>
            </w:r>
            <w:r>
              <w:rPr>
                <w:rFonts w:hint="default" w:ascii="Times New Roman" w:hAnsi="Times New Roman" w:cs="Times New Roman"/>
                <w:color w:val="auto"/>
                <w:spacing w:val="3"/>
                <w:sz w:val="24"/>
                <w:szCs w:val="24"/>
                <w:highlight w:val="none"/>
              </w:rPr>
              <w:t>扬尘管控责任，加强施工扬尘监管执法。推进低</w:t>
            </w:r>
            <w:r>
              <w:rPr>
                <w:rFonts w:hint="default" w:ascii="Times New Roman" w:hAnsi="Times New Roman" w:cs="Times New Roman"/>
                <w:color w:val="auto"/>
                <w:spacing w:val="2"/>
                <w:sz w:val="24"/>
                <w:szCs w:val="24"/>
                <w:highlight w:val="none"/>
              </w:rPr>
              <w:t>尘机械化湿式清扫</w:t>
            </w:r>
            <w:r>
              <w:rPr>
                <w:rFonts w:hint="default" w:ascii="Times New Roman" w:hAnsi="Times New Roman" w:cs="Times New Roman"/>
                <w:color w:val="auto"/>
                <w:spacing w:val="3"/>
                <w:sz w:val="24"/>
                <w:szCs w:val="24"/>
                <w:highlight w:val="none"/>
              </w:rPr>
              <w:t>作业，加大城市出入口、城乡结合部等重要路段</w:t>
            </w:r>
            <w:r>
              <w:rPr>
                <w:rFonts w:hint="default" w:ascii="Times New Roman" w:hAnsi="Times New Roman" w:cs="Times New Roman"/>
                <w:color w:val="auto"/>
                <w:spacing w:val="2"/>
                <w:sz w:val="24"/>
                <w:szCs w:val="24"/>
                <w:highlight w:val="none"/>
              </w:rPr>
              <w:t>冲洗保洁力度，渣</w:t>
            </w:r>
            <w:r>
              <w:rPr>
                <w:rFonts w:hint="default" w:ascii="Times New Roman" w:hAnsi="Times New Roman" w:cs="Times New Roman"/>
                <w:color w:val="auto"/>
                <w:spacing w:val="3"/>
                <w:sz w:val="24"/>
                <w:szCs w:val="24"/>
                <w:highlight w:val="none"/>
              </w:rPr>
              <w:t>土车实施全闭运输，强化绿化用地扬尘治理。城</w:t>
            </w:r>
            <w:r>
              <w:rPr>
                <w:rFonts w:hint="default" w:ascii="Times New Roman" w:hAnsi="Times New Roman" w:cs="Times New Roman"/>
                <w:color w:val="auto"/>
                <w:spacing w:val="2"/>
                <w:sz w:val="24"/>
                <w:szCs w:val="24"/>
                <w:highlight w:val="none"/>
              </w:rPr>
              <w:t>市裸露地面、粉粒</w:t>
            </w:r>
            <w:r>
              <w:rPr>
                <w:rFonts w:hint="default" w:ascii="Times New Roman" w:hAnsi="Times New Roman" w:cs="Times New Roman"/>
                <w:color w:val="auto"/>
                <w:spacing w:val="3"/>
                <w:sz w:val="24"/>
                <w:szCs w:val="24"/>
                <w:highlight w:val="none"/>
              </w:rPr>
              <w:t>类物料堆放以及大型煤炭物料堆场，全面完成抑</w:t>
            </w:r>
            <w:r>
              <w:rPr>
                <w:rFonts w:hint="default" w:ascii="Times New Roman" w:hAnsi="Times New Roman" w:cs="Times New Roman"/>
                <w:color w:val="auto"/>
                <w:spacing w:val="2"/>
                <w:sz w:val="24"/>
                <w:szCs w:val="24"/>
                <w:highlight w:val="none"/>
              </w:rPr>
              <w:t>尘设施建设和物料</w:t>
            </w:r>
            <w:r>
              <w:rPr>
                <w:rFonts w:hint="default" w:ascii="Times New Roman" w:hAnsi="Times New Roman" w:cs="Times New Roman"/>
                <w:color w:val="auto"/>
                <w:spacing w:val="-1"/>
                <w:sz w:val="24"/>
                <w:szCs w:val="24"/>
                <w:highlight w:val="none"/>
              </w:rPr>
              <w:t>输送系统封闭改造鼓励有条件的堆场实施全封闭改造。</w:t>
            </w:r>
          </w:p>
          <w:p w14:paraId="4D57D882">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i w:val="0"/>
                <w:iCs w:val="0"/>
                <w:color w:val="auto"/>
                <w:spacing w:val="0"/>
                <w:sz w:val="24"/>
                <w:highlight w:val="none"/>
              </w:rPr>
            </w:pPr>
            <w:r>
              <w:rPr>
                <w:rFonts w:hint="default" w:ascii="Times New Roman" w:hAnsi="Times New Roman" w:cs="Times New Roman"/>
                <w:i w:val="0"/>
                <w:iCs w:val="0"/>
                <w:color w:val="auto"/>
                <w:spacing w:val="0"/>
                <w:sz w:val="24"/>
                <w:highlight w:val="none"/>
                <w:lang w:eastAsia="zh-CN"/>
              </w:rPr>
              <w:t>本项目建设</w:t>
            </w:r>
            <w:r>
              <w:rPr>
                <w:rFonts w:hint="default" w:ascii="Times New Roman" w:hAnsi="Times New Roman" w:eastAsia="宋体" w:cs="Times New Roman"/>
                <w:color w:val="auto"/>
                <w:spacing w:val="0"/>
                <w:sz w:val="24"/>
                <w:highlight w:val="none"/>
                <w:lang w:val="en-US" w:eastAsia="zh-CN"/>
              </w:rPr>
              <w:t>1台</w:t>
            </w:r>
            <w:r>
              <w:rPr>
                <w:rFonts w:hint="default" w:ascii="Times New Roman" w:hAnsi="Times New Roman" w:cs="Times New Roman"/>
                <w:color w:val="auto"/>
                <w:spacing w:val="0"/>
                <w:sz w:val="24"/>
                <w:highlight w:val="none"/>
                <w:lang w:val="en-US" w:eastAsia="zh-CN"/>
              </w:rPr>
              <w:t>10t/h生物质蒸汽锅炉</w:t>
            </w:r>
            <w:r>
              <w:rPr>
                <w:rFonts w:hint="default" w:ascii="Times New Roman" w:hAnsi="Times New Roman" w:eastAsia="宋体" w:cs="Times New Roman"/>
                <w:color w:val="auto"/>
                <w:spacing w:val="0"/>
                <w:sz w:val="24"/>
                <w:highlight w:val="none"/>
                <w:lang w:val="en-US" w:eastAsia="zh-CN"/>
              </w:rPr>
              <w:t>，</w:t>
            </w:r>
            <w:r>
              <w:rPr>
                <w:rFonts w:hint="default" w:ascii="Times New Roman" w:hAnsi="Times New Roman" w:cs="Times New Roman"/>
                <w:color w:val="auto"/>
                <w:spacing w:val="3"/>
                <w:sz w:val="24"/>
                <w:szCs w:val="24"/>
                <w:highlight w:val="none"/>
              </w:rPr>
              <w:t>采用生物质成型燃料，不涉及燃</w:t>
            </w:r>
            <w:r>
              <w:rPr>
                <w:rFonts w:hint="default" w:ascii="Times New Roman" w:hAnsi="Times New Roman" w:cs="Times New Roman"/>
                <w:color w:val="auto"/>
                <w:spacing w:val="2"/>
                <w:sz w:val="24"/>
                <w:szCs w:val="24"/>
                <w:highlight w:val="none"/>
              </w:rPr>
              <w:t>煤燃料使用，可以达</w:t>
            </w:r>
            <w:r>
              <w:rPr>
                <w:rFonts w:hint="default" w:ascii="Times New Roman" w:hAnsi="Times New Roman" w:cs="Times New Roman"/>
                <w:color w:val="auto"/>
                <w:spacing w:val="3"/>
                <w:sz w:val="24"/>
                <w:szCs w:val="24"/>
                <w:highlight w:val="none"/>
              </w:rPr>
              <w:t>标排放，属于可行技术，确保污染物稳定达标</w:t>
            </w:r>
            <w:r>
              <w:rPr>
                <w:rFonts w:hint="default" w:ascii="Times New Roman" w:hAnsi="Times New Roman" w:cs="Times New Roman"/>
                <w:color w:val="auto"/>
                <w:spacing w:val="2"/>
                <w:sz w:val="24"/>
                <w:szCs w:val="24"/>
                <w:highlight w:val="none"/>
              </w:rPr>
              <w:t>排放；项目建设符合</w:t>
            </w:r>
            <w:r>
              <w:rPr>
                <w:rFonts w:hint="default" w:ascii="Times New Roman" w:hAnsi="Times New Roman" w:cs="Times New Roman"/>
                <w:color w:val="auto"/>
                <w:spacing w:val="-1"/>
                <w:sz w:val="24"/>
                <w:szCs w:val="24"/>
                <w:highlight w:val="none"/>
              </w:rPr>
              <w:t>《鸡西市</w:t>
            </w: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cs="Times New Roman"/>
                <w:color w:val="auto"/>
                <w:spacing w:val="-1"/>
                <w:sz w:val="24"/>
                <w:szCs w:val="24"/>
                <w:highlight w:val="none"/>
              </w:rPr>
              <w:t>十四五</w:t>
            </w: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cs="Times New Roman"/>
                <w:color w:val="auto"/>
                <w:spacing w:val="-1"/>
                <w:sz w:val="24"/>
                <w:szCs w:val="24"/>
                <w:highlight w:val="none"/>
              </w:rPr>
              <w:t>生态环境保护规划》要求</w:t>
            </w:r>
            <w:r>
              <w:rPr>
                <w:rFonts w:hint="default" w:ascii="Times New Roman" w:hAnsi="Times New Roman" w:eastAsia="宋体" w:cs="Times New Roman"/>
                <w:i w:val="0"/>
                <w:iCs w:val="0"/>
                <w:color w:val="auto"/>
                <w:spacing w:val="0"/>
                <w:sz w:val="24"/>
                <w:highlight w:val="none"/>
              </w:rPr>
              <w:t>。</w:t>
            </w:r>
          </w:p>
          <w:p w14:paraId="6D326DEA">
            <w:pPr>
              <w:keepNext w:val="0"/>
              <w:keepLines w:val="0"/>
              <w:pageBreakBefore w:val="0"/>
              <w:widowControl w:val="0"/>
              <w:kinsoku/>
              <w:wordWrap/>
              <w:overflowPunct/>
              <w:topLinePunct w:val="0"/>
              <w:autoSpaceDE/>
              <w:autoSpaceDN/>
              <w:bidi w:val="0"/>
              <w:adjustRightInd w:val="0"/>
              <w:snapToGrid w:val="0"/>
              <w:ind w:left="0" w:leftChars="0" w:firstLine="482" w:firstLineChars="200"/>
              <w:textAlignment w:val="auto"/>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2.4与《环境空气细颗粒物污染综合防治技术政策》符合性分析</w:t>
            </w:r>
          </w:p>
          <w:p w14:paraId="2468E497">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ind w:left="0" w:right="0" w:firstLine="0"/>
              <w:textAlignment w:val="auto"/>
              <w:rPr>
                <w:rFonts w:hint="default" w:ascii="Times New Roman" w:hAnsi="Times New Roman" w:eastAsia="宋体" w:cs="Times New Roman"/>
                <w:i w:val="0"/>
                <w:iCs w:val="0"/>
                <w:caps w:val="0"/>
                <w:color w:val="auto"/>
                <w:spacing w:val="0"/>
                <w:sz w:val="24"/>
                <w:szCs w:val="24"/>
                <w:shd w:val="clear" w:fill="FFFFFF"/>
              </w:rPr>
            </w:pPr>
            <w:r>
              <w:rPr>
                <w:rFonts w:hint="default" w:ascii="Times New Roman" w:hAnsi="Times New Roman" w:eastAsia="宋体" w:cs="Times New Roman"/>
                <w:b w:val="0"/>
                <w:bCs/>
                <w:color w:val="auto"/>
                <w:spacing w:val="0"/>
                <w:sz w:val="24"/>
                <w:szCs w:val="24"/>
                <w:highlight w:val="none"/>
                <w:lang w:val="en-US" w:eastAsia="zh-CN"/>
              </w:rPr>
              <w:t>根据《环境空气细颗粒物污染综合防治技术政策》：</w:t>
            </w:r>
            <w:r>
              <w:rPr>
                <w:rFonts w:hint="default" w:ascii="Times New Roman" w:hAnsi="Times New Roman" w:eastAsia="宋体" w:cs="Times New Roman"/>
                <w:i w:val="0"/>
                <w:iCs w:val="0"/>
                <w:caps w:val="0"/>
                <w:color w:val="auto"/>
                <w:spacing w:val="0"/>
                <w:sz w:val="24"/>
                <w:szCs w:val="24"/>
                <w:shd w:val="clear" w:fill="FFFFFF"/>
              </w:rPr>
              <w:t>（十一）应加强对各类污染源的监管，确保污染治理设施稳定运行，切实落实企业环保责任。鼓励采用低能耗、低污染的生产工艺，提高各个行业的清洁生产水平，降低污染物产生量。（十二）应制定严格、完善的国家和地方工业污染物排放标准，明确各行业排放控制要求。在环境污染严重、污染物排放量大的地区，应制定实施严格的地方排放标准或国家排放标准特别排放限值。（十三）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十四）对于排放前体污染物的工业污染源，应分别采用去除硫氧化物、氮氧化物、挥发性有机物和氨的治理技术。对于排放废气中的挥发性有机物应尽量进行回收处理，若无法回收，应采用焚烧等方式销毁（含卤素的有机物除外）。采用氨作为还原剂的氮氧化物净化装置，应在保证氮氧化物达标排放的前提下，合理设置氨的加注工艺参数，防止氨过量造成污染。鼓励在各类生产中采用挥发性有机物替代技术。（十五）产生大气颗粒物及其前体物污染物的生产活动应尽量采用密闭装置，避免无组织排放；无法完全密闭的，应安装集气装置收集逸散的污染物，经净化后排放。</w:t>
            </w:r>
          </w:p>
          <w:p w14:paraId="68A531AA">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ind w:left="0" w:right="0" w:firstLine="0"/>
              <w:textAlignment w:val="auto"/>
              <w:rPr>
                <w:rFonts w:hint="default" w:ascii="Times New Roman" w:hAnsi="Times New Roman" w:eastAsia="宋体" w:cs="Times New Roman"/>
                <w:i w:val="0"/>
                <w:iCs w:val="0"/>
                <w:caps w:val="0"/>
                <w:color w:val="auto"/>
                <w:spacing w:val="0"/>
                <w:sz w:val="24"/>
                <w:szCs w:val="24"/>
                <w:shd w:val="clear" w:fill="FFFFFF"/>
                <w:lang w:val="en-US"/>
              </w:rPr>
            </w:pPr>
            <w:r>
              <w:rPr>
                <w:rFonts w:hint="default" w:ascii="Times New Roman" w:hAnsi="Times New Roman" w:cs="Times New Roman"/>
                <w:color w:val="auto"/>
                <w:spacing w:val="0"/>
                <w:sz w:val="24"/>
                <w:szCs w:val="24"/>
                <w:highlight w:val="none"/>
                <w:lang w:val="en-US" w:eastAsia="zh-CN"/>
              </w:rPr>
              <w:t>本项目</w:t>
            </w:r>
            <w:r>
              <w:rPr>
                <w:rFonts w:hint="default" w:ascii="Times New Roman" w:hAnsi="Times New Roman" w:eastAsia="宋体" w:cs="Times New Roman"/>
                <w:color w:val="auto"/>
                <w:spacing w:val="0"/>
                <w:sz w:val="24"/>
                <w:highlight w:val="none"/>
                <w:lang w:val="en-US" w:eastAsia="zh-CN"/>
              </w:rPr>
              <w:t>建设1台</w:t>
            </w:r>
            <w:r>
              <w:rPr>
                <w:rFonts w:hint="default" w:ascii="Times New Roman" w:hAnsi="Times New Roman" w:cs="Times New Roman"/>
                <w:color w:val="auto"/>
                <w:spacing w:val="0"/>
                <w:sz w:val="24"/>
                <w:highlight w:val="none"/>
                <w:lang w:val="en-US" w:eastAsia="zh-CN"/>
              </w:rPr>
              <w:t>10t/h生物质蒸汽锅炉</w:t>
            </w:r>
            <w:r>
              <w:rPr>
                <w:rFonts w:hint="default" w:ascii="Times New Roman" w:hAnsi="Times New Roman" w:eastAsia="宋体" w:cs="Times New Roman"/>
                <w:color w:val="auto"/>
                <w:spacing w:val="0"/>
                <w:sz w:val="24"/>
                <w:highlight w:val="none"/>
                <w:lang w:val="en-US" w:eastAsia="zh-CN"/>
              </w:rPr>
              <w:t>，</w:t>
            </w:r>
            <w:r>
              <w:rPr>
                <w:rFonts w:hint="default" w:ascii="Times New Roman" w:hAnsi="Times New Roman" w:eastAsia="宋体" w:cs="Times New Roman"/>
                <w:color w:val="auto"/>
                <w:spacing w:val="0"/>
                <w:sz w:val="24"/>
                <w:szCs w:val="24"/>
                <w:highlight w:val="none"/>
                <w:lang w:val="en-US" w:eastAsia="zh-CN"/>
              </w:rPr>
              <w:t>锅炉燃料为生物质，</w:t>
            </w:r>
            <w:r>
              <w:rPr>
                <w:rFonts w:hint="default" w:ascii="Times New Roman" w:hAnsi="Times New Roman" w:eastAsia="宋体" w:cs="Times New Roman"/>
                <w:color w:val="auto"/>
                <w:spacing w:val="0"/>
                <w:sz w:val="24"/>
                <w:highlight w:val="none"/>
              </w:rPr>
              <w:t>烟气</w:t>
            </w:r>
            <w:r>
              <w:rPr>
                <w:rFonts w:hint="default" w:ascii="Times New Roman" w:hAnsi="Times New Roman" w:eastAsia="宋体" w:cs="Times New Roman"/>
                <w:color w:val="auto"/>
                <w:spacing w:val="0"/>
                <w:sz w:val="24"/>
                <w:highlight w:val="none"/>
                <w:lang w:val="en-US" w:eastAsia="zh-CN"/>
              </w:rPr>
              <w:t>经布袋除尘器处理后</w:t>
            </w:r>
            <w:r>
              <w:rPr>
                <w:rFonts w:hint="default" w:ascii="Times New Roman" w:hAnsi="Times New Roman" w:eastAsia="宋体" w:cs="Times New Roman"/>
                <w:color w:val="auto"/>
                <w:spacing w:val="0"/>
                <w:sz w:val="24"/>
                <w:highlight w:val="none"/>
              </w:rPr>
              <w:t>能够</w:t>
            </w:r>
            <w:r>
              <w:rPr>
                <w:rFonts w:hint="default" w:ascii="Times New Roman" w:hAnsi="Times New Roman" w:eastAsia="宋体" w:cs="Times New Roman"/>
                <w:color w:val="auto"/>
                <w:spacing w:val="0"/>
                <w:sz w:val="24"/>
                <w:highlight w:val="none"/>
                <w:lang w:val="en-US" w:eastAsia="zh-CN"/>
              </w:rPr>
              <w:t>满足《锅炉大气污染物排放标准》（GB13271-2014）表</w:t>
            </w:r>
            <w:r>
              <w:rPr>
                <w:rFonts w:hint="default" w:ascii="Times New Roman" w:hAnsi="Times New Roman" w:cs="Times New Roman"/>
                <w:color w:val="auto"/>
                <w:spacing w:val="0"/>
                <w:sz w:val="24"/>
                <w:highlight w:val="none"/>
                <w:lang w:val="en-US" w:eastAsia="zh-CN"/>
              </w:rPr>
              <w:t>2</w:t>
            </w:r>
            <w:r>
              <w:rPr>
                <w:rFonts w:hint="default" w:ascii="Times New Roman" w:hAnsi="Times New Roman" w:eastAsia="宋体" w:cs="Times New Roman"/>
                <w:color w:val="auto"/>
                <w:spacing w:val="0"/>
                <w:sz w:val="24"/>
                <w:highlight w:val="none"/>
                <w:lang w:val="en-US" w:eastAsia="zh-CN"/>
              </w:rPr>
              <w:t>燃煤锅炉排放限值。本项目采用封闭的灰渣库，灰渣定期由封闭罐车汽车外运，灰渣库采用喷洒水降尘，处理效率90%。满足《大气</w:t>
            </w:r>
            <w:r>
              <w:rPr>
                <w:rFonts w:hint="default" w:ascii="Times New Roman" w:hAnsi="Times New Roman" w:eastAsia="宋体" w:cs="Times New Roman"/>
                <w:b w:val="0"/>
                <w:bCs w:val="0"/>
                <w:color w:val="auto"/>
                <w:spacing w:val="0"/>
                <w:sz w:val="24"/>
                <w:highlight w:val="none"/>
                <w:lang w:val="en-US" w:eastAsia="zh-CN"/>
              </w:rPr>
              <w:t>污染物综合排放标准》（GB16297-1996）表2新污染源大气污染物排放限值中无组织排放监控浓度限值要求。项目建设符合</w:t>
            </w:r>
            <w:r>
              <w:rPr>
                <w:rFonts w:hint="default" w:ascii="Times New Roman" w:hAnsi="Times New Roman" w:eastAsia="宋体" w:cs="Times New Roman"/>
                <w:b w:val="0"/>
                <w:bCs w:val="0"/>
                <w:color w:val="auto"/>
                <w:spacing w:val="0"/>
                <w:sz w:val="24"/>
                <w:szCs w:val="24"/>
                <w:highlight w:val="none"/>
                <w:lang w:val="en-US" w:eastAsia="zh-CN"/>
              </w:rPr>
              <w:t>《环境空气细颗粒物污染综合防治技术政策》。</w:t>
            </w:r>
          </w:p>
          <w:p w14:paraId="67E2A1D0">
            <w:pPr>
              <w:keepNext w:val="0"/>
              <w:keepLines w:val="0"/>
              <w:pageBreakBefore w:val="0"/>
              <w:widowControl w:val="0"/>
              <w:kinsoku/>
              <w:wordWrap/>
              <w:overflowPunct/>
              <w:topLinePunct w:val="0"/>
              <w:autoSpaceDE/>
              <w:autoSpaceDN/>
              <w:bidi w:val="0"/>
              <w:adjustRightInd w:val="0"/>
              <w:snapToGrid w:val="0"/>
              <w:ind w:left="0" w:leftChars="0" w:firstLine="482" w:firstLineChars="200"/>
              <w:textAlignment w:val="auto"/>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2.5与《黑龙江省空气质量持续改善行动计划实施方案》符合性分析</w:t>
            </w:r>
          </w:p>
          <w:p w14:paraId="30013BFC">
            <w:pPr>
              <w:keepNext w:val="0"/>
              <w:keepLines w:val="0"/>
              <w:pageBreakBefore w:val="0"/>
              <w:widowControl w:val="0"/>
              <w:numPr>
                <w:ilvl w:val="0"/>
                <w:numId w:val="2"/>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b w:val="0"/>
                <w:bCs w:val="0"/>
                <w:color w:val="auto"/>
                <w:spacing w:val="0"/>
                <w:kern w:val="0"/>
                <w:sz w:val="24"/>
                <w:szCs w:val="20"/>
                <w:highlight w:val="none"/>
                <w:lang w:val="en-US" w:eastAsia="zh-CN" w:bidi="ar-SA"/>
              </w:rPr>
            </w:pPr>
            <w:r>
              <w:rPr>
                <w:rFonts w:hint="default" w:ascii="Times New Roman" w:hAnsi="Times New Roman" w:eastAsia="宋体" w:cs="Times New Roman"/>
                <w:b w:val="0"/>
                <w:bCs w:val="0"/>
                <w:color w:val="auto"/>
                <w:spacing w:val="0"/>
                <w:kern w:val="0"/>
                <w:sz w:val="24"/>
                <w:szCs w:val="20"/>
                <w:highlight w:val="none"/>
                <w:lang w:val="en-US" w:eastAsia="zh-CN" w:bidi="ar-SA"/>
              </w:rPr>
              <w:t>加快重点行业落后产能淘汰退出。严格执行《产业结构调整指导目录》要求，加大退出淘汰类产能、工艺、装备，提高限制类产能、工艺、装备淘汰改造引导力度。（省发展改革委、省工业和信息化厅、省生态环境厅、省应急管理厅等按职责分工负责）</w:t>
            </w:r>
          </w:p>
          <w:p w14:paraId="52243C6A">
            <w:pPr>
              <w:keepNext w:val="0"/>
              <w:keepLines w:val="0"/>
              <w:pageBreakBefore w:val="0"/>
              <w:widowControl w:val="0"/>
              <w:numPr>
                <w:ilvl w:val="0"/>
                <w:numId w:val="3"/>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 w:val="0"/>
                <w:bCs w:val="0"/>
                <w:color w:val="auto"/>
                <w:spacing w:val="0"/>
                <w:kern w:val="0"/>
                <w:sz w:val="24"/>
                <w:szCs w:val="20"/>
                <w:highlight w:val="none"/>
                <w:lang w:val="en-US" w:eastAsia="zh-CN" w:bidi="ar-SA"/>
              </w:rPr>
            </w:pPr>
            <w:r>
              <w:rPr>
                <w:rFonts w:hint="default" w:ascii="Times New Roman" w:hAnsi="Times New Roman" w:eastAsia="宋体" w:cs="Times New Roman"/>
                <w:b w:val="0"/>
                <w:bCs w:val="0"/>
                <w:color w:val="auto"/>
                <w:spacing w:val="0"/>
                <w:kern w:val="0"/>
                <w:sz w:val="24"/>
                <w:szCs w:val="20"/>
                <w:highlight w:val="none"/>
                <w:lang w:val="en-US" w:eastAsia="zh-CN" w:bidi="ar-SA"/>
              </w:rPr>
              <w:t>积极推进燃煤锅炉淘汰改造。各地要将燃煤供热锅炉替代项目纳入城镇供热规划。县级及以上城市建成区原则上不再新建35蒸吨/小时及以下燃煤锅炉，其他地区原则上不再新建10蒸吨/小时及以下燃煤锅炉。加快热力管网建设，依托电厂、大型工业企业开展远距离供热示范，充分释放热电联产、工业余热等供热能力，淘汰管网覆盖范围内的供热燃煤锅炉和散煤。到2025年，哈尔滨市、佳木斯市、七台河市、绥化市基本完成城市建成区35蒸吨/小时及以下燃煤锅炉淘汰；哈尔滨市、绥化市基本淘汰行政区域内10蒸吨/小时及以下的燃煤锅炉。</w:t>
            </w:r>
          </w:p>
          <w:p w14:paraId="721B92AF">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baseline"/>
              <w:rPr>
                <w:rFonts w:hint="default" w:ascii="Times New Roman" w:hAnsi="Times New Roman" w:eastAsia="宋体" w:cs="Times New Roman"/>
                <w:b w:val="0"/>
                <w:bCs w:val="0"/>
                <w:color w:val="auto"/>
                <w:spacing w:val="0"/>
                <w:kern w:val="0"/>
                <w:sz w:val="24"/>
                <w:szCs w:val="20"/>
                <w:highlight w:val="none"/>
                <w:lang w:val="en-US" w:eastAsia="zh-CN" w:bidi="ar-SA"/>
              </w:rPr>
            </w:pPr>
            <w:r>
              <w:rPr>
                <w:rFonts w:hint="default" w:ascii="Times New Roman" w:hAnsi="Times New Roman" w:eastAsia="宋体" w:cs="Times New Roman"/>
                <w:b w:val="0"/>
                <w:bCs w:val="0"/>
                <w:color w:val="auto"/>
                <w:spacing w:val="0"/>
                <w:kern w:val="0"/>
                <w:sz w:val="24"/>
                <w:szCs w:val="20"/>
                <w:highlight w:val="none"/>
                <w:lang w:val="en-US" w:eastAsia="zh-CN" w:bidi="ar-SA"/>
              </w:rPr>
              <w:t>本项目建设1台10t/h生物质蒸汽锅炉，淘汰原有2t/h生物质锅炉，项目建设符合《黑龙江省空气质量持续改善行动计划实施方案》要求。</w:t>
            </w:r>
          </w:p>
          <w:p w14:paraId="4743BDDF">
            <w:pPr>
              <w:keepNext w:val="0"/>
              <w:keepLines w:val="0"/>
              <w:pageBreakBefore w:val="0"/>
              <w:widowControl w:val="0"/>
              <w:numPr>
                <w:ilvl w:val="0"/>
                <w:numId w:val="0"/>
              </w:numPr>
              <w:kinsoku/>
              <w:wordWrap/>
              <w:overflowPunct/>
              <w:topLinePunct w:val="0"/>
              <w:autoSpaceDE/>
              <w:autoSpaceDN/>
              <w:bidi w:val="0"/>
              <w:adjustRightInd w:val="0"/>
              <w:snapToGrid w:val="0"/>
              <w:ind w:firstLine="482" w:firstLineChars="200"/>
              <w:textAlignment w:val="auto"/>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lang w:val="en-US" w:eastAsia="zh-CN"/>
              </w:rPr>
              <w:t>2.6产业政</w:t>
            </w:r>
            <w:r>
              <w:rPr>
                <w:rFonts w:hint="default" w:ascii="Times New Roman" w:hAnsi="Times New Roman" w:eastAsia="宋体" w:cs="Times New Roman"/>
                <w:b/>
                <w:bCs w:val="0"/>
                <w:color w:val="auto"/>
                <w:spacing w:val="0"/>
                <w:sz w:val="24"/>
                <w:szCs w:val="24"/>
                <w:highlight w:val="none"/>
              </w:rPr>
              <w:t>策符合性分析</w:t>
            </w:r>
          </w:p>
          <w:p w14:paraId="74F6D265">
            <w:pP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bCs/>
                <w:color w:val="auto"/>
                <w:spacing w:val="0"/>
                <w:sz w:val="24"/>
                <w:szCs w:val="24"/>
                <w:highlight w:val="none"/>
              </w:rPr>
              <w:t>本项目为</w:t>
            </w:r>
            <w:r>
              <w:rPr>
                <w:rFonts w:hint="default" w:ascii="Times New Roman" w:hAnsi="Times New Roman" w:eastAsia="宋体" w:cs="Times New Roman"/>
                <w:bCs/>
                <w:color w:val="auto"/>
                <w:spacing w:val="0"/>
                <w:sz w:val="24"/>
                <w:szCs w:val="24"/>
                <w:highlight w:val="none"/>
                <w:lang w:val="en-US" w:eastAsia="zh-CN"/>
              </w:rPr>
              <w:t>燃生物质供热锅炉项目</w:t>
            </w:r>
            <w:r>
              <w:rPr>
                <w:rFonts w:hint="default" w:ascii="Times New Roman" w:hAnsi="Times New Roman" w:eastAsia="宋体" w:cs="Times New Roman"/>
                <w:color w:val="auto"/>
                <w:spacing w:val="0"/>
                <w:sz w:val="24"/>
                <w:szCs w:val="24"/>
                <w:highlight w:val="none"/>
              </w:rPr>
              <w:t>，根据《产业结构调整指导目录（</w:t>
            </w:r>
            <w:r>
              <w:rPr>
                <w:rFonts w:hint="default" w:ascii="Times New Roman" w:hAnsi="Times New Roman" w:eastAsia="宋体" w:cs="Times New Roman"/>
                <w:color w:val="auto"/>
                <w:spacing w:val="0"/>
                <w:sz w:val="24"/>
                <w:szCs w:val="24"/>
                <w:highlight w:val="none"/>
                <w:lang w:val="en-US" w:eastAsia="zh-CN"/>
              </w:rPr>
              <w:t>2024</w:t>
            </w:r>
            <w:r>
              <w:rPr>
                <w:rFonts w:hint="default" w:ascii="Times New Roman" w:hAnsi="Times New Roman" w:eastAsia="宋体" w:cs="Times New Roman"/>
                <w:color w:val="auto"/>
                <w:spacing w:val="0"/>
                <w:sz w:val="24"/>
                <w:szCs w:val="24"/>
                <w:highlight w:val="none"/>
              </w:rPr>
              <w:t>年本）》，本项目不属于鼓励类、淘汰类和限制类，</w:t>
            </w:r>
            <w:r>
              <w:rPr>
                <w:rFonts w:hint="default" w:ascii="Times New Roman" w:hAnsi="Times New Roman" w:eastAsia="宋体" w:cs="Times New Roman"/>
                <w:color w:val="auto"/>
                <w:spacing w:val="0"/>
                <w:sz w:val="24"/>
                <w:szCs w:val="24"/>
                <w:highlight w:val="none"/>
                <w:lang w:val="en-US" w:eastAsia="zh-CN"/>
              </w:rPr>
              <w:t>目录中明确：“</w:t>
            </w:r>
            <w:r>
              <w:rPr>
                <w:rFonts w:hint="default" w:ascii="Times New Roman" w:hAnsi="Times New Roman" w:eastAsia="宋体" w:cs="Times New Roman"/>
                <w:color w:val="auto"/>
                <w:spacing w:val="0"/>
                <w:sz w:val="24"/>
                <w:szCs w:val="24"/>
                <w:highlight w:val="none"/>
              </w:rPr>
              <w:t>鼓励类、限制类和淘汰类之外的，且符合国家有关法律、法规</w:t>
            </w:r>
            <w:r>
              <w:rPr>
                <w:rFonts w:hint="default" w:ascii="Times New Roman" w:hAnsi="Times New Roman" w:eastAsia="宋体" w:cs="Times New Roman"/>
                <w:color w:val="auto"/>
                <w:spacing w:val="0"/>
                <w:sz w:val="24"/>
                <w:szCs w:val="24"/>
                <w:highlight w:val="none"/>
                <w:lang w:val="en-US" w:eastAsia="zh-CN"/>
              </w:rPr>
              <w:t>和</w:t>
            </w:r>
            <w:r>
              <w:rPr>
                <w:rFonts w:hint="default" w:ascii="Times New Roman" w:hAnsi="Times New Roman" w:eastAsia="宋体" w:cs="Times New Roman"/>
                <w:color w:val="auto"/>
                <w:spacing w:val="0"/>
                <w:sz w:val="24"/>
                <w:szCs w:val="24"/>
                <w:highlight w:val="none"/>
              </w:rPr>
              <w:t>政策规定的属于允许类</w:t>
            </w:r>
            <w:r>
              <w:rPr>
                <w:rFonts w:hint="default"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本项目为允许类项目，</w:t>
            </w:r>
            <w:r>
              <w:rPr>
                <w:rFonts w:hint="default" w:ascii="Times New Roman" w:hAnsi="Times New Roman" w:eastAsia="宋体" w:cs="Times New Roman"/>
                <w:color w:val="auto"/>
                <w:spacing w:val="0"/>
                <w:sz w:val="24"/>
                <w:szCs w:val="24"/>
                <w:highlight w:val="none"/>
              </w:rPr>
              <w:t>符合国家产业政策的要求。</w:t>
            </w:r>
          </w:p>
          <w:p w14:paraId="2D425F53">
            <w:pPr>
              <w:keepNext w:val="0"/>
              <w:keepLines w:val="0"/>
              <w:pageBreakBefore w:val="0"/>
              <w:widowControl w:val="0"/>
              <w:kinsoku/>
              <w:wordWrap/>
              <w:overflowPunct/>
              <w:topLinePunct w:val="0"/>
              <w:autoSpaceDE/>
              <w:autoSpaceDN/>
              <w:bidi w:val="0"/>
              <w:adjustRightInd w:val="0"/>
              <w:snapToGrid w:val="0"/>
              <w:ind w:left="0" w:leftChars="0" w:firstLine="482" w:firstLineChars="200"/>
              <w:textAlignment w:val="auto"/>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lang w:val="en-US" w:eastAsia="zh-CN"/>
              </w:rPr>
              <w:t>2.</w:t>
            </w:r>
            <w:r>
              <w:rPr>
                <w:rFonts w:hint="default" w:ascii="Times New Roman" w:hAnsi="Times New Roman" w:cs="Times New Roman"/>
                <w:b/>
                <w:bCs w:val="0"/>
                <w:color w:val="auto"/>
                <w:spacing w:val="0"/>
                <w:sz w:val="24"/>
                <w:szCs w:val="24"/>
                <w:highlight w:val="none"/>
                <w:lang w:val="en-US" w:eastAsia="zh-CN"/>
              </w:rPr>
              <w:t>7</w:t>
            </w:r>
            <w:r>
              <w:rPr>
                <w:rFonts w:hint="default" w:ascii="Times New Roman" w:hAnsi="Times New Roman" w:eastAsia="宋体" w:cs="Times New Roman"/>
                <w:b/>
                <w:bCs w:val="0"/>
                <w:color w:val="auto"/>
                <w:spacing w:val="0"/>
                <w:sz w:val="24"/>
                <w:szCs w:val="24"/>
                <w:highlight w:val="none"/>
              </w:rPr>
              <w:t>选址合理性分析</w:t>
            </w:r>
          </w:p>
          <w:p w14:paraId="3DFC4490">
            <w:pPr>
              <w:pStyle w:val="7"/>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bCs/>
                <w:color w:val="auto"/>
                <w:spacing w:val="0"/>
                <w:kern w:val="2"/>
                <w:sz w:val="24"/>
                <w:szCs w:val="24"/>
                <w:highlight w:val="none"/>
                <w:lang w:val="en-US" w:eastAsia="zh-CN" w:bidi="ar-SA"/>
              </w:rPr>
            </w:pPr>
            <w:r>
              <w:rPr>
                <w:rFonts w:hint="default" w:ascii="Times New Roman" w:hAnsi="Times New Roman" w:eastAsia="宋体" w:cs="Times New Roman"/>
                <w:color w:val="auto"/>
                <w:spacing w:val="0"/>
                <w:sz w:val="24"/>
                <w:szCs w:val="28"/>
                <w:highlight w:val="none"/>
              </w:rPr>
              <w:t>（</w:t>
            </w:r>
            <w:r>
              <w:rPr>
                <w:rFonts w:hint="default" w:ascii="Times New Roman" w:hAnsi="Times New Roman" w:eastAsia="宋体" w:cs="Times New Roman"/>
                <w:bCs/>
                <w:color w:val="auto"/>
                <w:spacing w:val="0"/>
                <w:kern w:val="2"/>
                <w:sz w:val="24"/>
                <w:szCs w:val="24"/>
                <w:highlight w:val="none"/>
                <w:lang w:val="en-US" w:eastAsia="zh-CN" w:bidi="ar-SA"/>
              </w:rPr>
              <w:t>1）用地相符性</w:t>
            </w:r>
          </w:p>
          <w:p w14:paraId="20983ADD">
            <w:pPr>
              <w:pStyle w:val="7"/>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bCs/>
                <w:color w:val="auto"/>
                <w:spacing w:val="0"/>
                <w:kern w:val="2"/>
                <w:sz w:val="24"/>
                <w:szCs w:val="24"/>
                <w:highlight w:val="none"/>
                <w:lang w:val="en-US" w:eastAsia="zh-CN" w:bidi="ar-SA"/>
              </w:rPr>
            </w:pPr>
            <w:r>
              <w:rPr>
                <w:rFonts w:hint="default" w:ascii="Times New Roman" w:hAnsi="Times New Roman" w:eastAsia="宋体" w:cs="Times New Roman"/>
                <w:bCs/>
                <w:color w:val="auto"/>
                <w:spacing w:val="0"/>
                <w:kern w:val="2"/>
                <w:sz w:val="24"/>
                <w:szCs w:val="24"/>
                <w:highlight w:val="none"/>
                <w:lang w:val="en-US" w:eastAsia="zh-CN" w:bidi="ar-SA"/>
              </w:rPr>
              <w:t>按照国务院批准的《产业结构调整指导目录（2024年本）》，凡采用明令淘汰的落后工艺技术、装备或者生产明令淘汰产品的建设项目，各级国土资源管理部门和投资管理部门一律不得办理相关手续。</w:t>
            </w:r>
          </w:p>
          <w:p w14:paraId="2D21B9A7">
            <w:pPr>
              <w:pStyle w:val="7"/>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bCs/>
                <w:color w:val="auto"/>
                <w:spacing w:val="0"/>
                <w:kern w:val="2"/>
                <w:sz w:val="24"/>
                <w:szCs w:val="24"/>
                <w:highlight w:val="none"/>
                <w:lang w:val="en-US" w:eastAsia="zh-CN" w:bidi="ar-SA"/>
              </w:rPr>
            </w:pPr>
            <w:r>
              <w:rPr>
                <w:rFonts w:hint="default" w:ascii="Times New Roman" w:hAnsi="Times New Roman" w:eastAsia="宋体" w:cs="Times New Roman"/>
                <w:bCs/>
                <w:color w:val="auto"/>
                <w:spacing w:val="0"/>
                <w:kern w:val="2"/>
                <w:sz w:val="24"/>
                <w:szCs w:val="24"/>
                <w:highlight w:val="none"/>
                <w:lang w:val="en-US" w:eastAsia="zh-CN" w:bidi="ar-SA"/>
              </w:rPr>
              <w:t>本项目建设地点位于</w:t>
            </w:r>
            <w:r>
              <w:rPr>
                <w:rFonts w:hint="default" w:ascii="Times New Roman" w:hAnsi="Times New Roman" w:cs="Times New Roman"/>
                <w:bCs/>
                <w:color w:val="auto"/>
                <w:spacing w:val="0"/>
                <w:kern w:val="2"/>
                <w:sz w:val="24"/>
                <w:szCs w:val="24"/>
                <w:highlight w:val="none"/>
                <w:lang w:val="en-US" w:eastAsia="zh-CN" w:bidi="ar-SA"/>
              </w:rPr>
              <w:t>黑龙江省鸡西市虎林市虎林镇东方红街道东升委（粮库院内）</w:t>
            </w:r>
            <w:r>
              <w:rPr>
                <w:rFonts w:hint="default" w:ascii="Times New Roman" w:hAnsi="Times New Roman" w:eastAsia="宋体" w:cs="Times New Roman"/>
                <w:bCs/>
                <w:color w:val="auto"/>
                <w:spacing w:val="0"/>
                <w:kern w:val="2"/>
                <w:sz w:val="24"/>
                <w:szCs w:val="24"/>
                <w:highlight w:val="none"/>
                <w:lang w:val="en-US" w:eastAsia="zh-CN" w:bidi="ar-SA"/>
              </w:rPr>
              <w:t>，</w:t>
            </w:r>
            <w:r>
              <w:rPr>
                <w:rFonts w:hint="default" w:ascii="Times New Roman" w:hAnsi="Times New Roman" w:cs="Times New Roman"/>
                <w:bCs/>
                <w:color w:val="auto"/>
                <w:spacing w:val="0"/>
                <w:kern w:val="2"/>
                <w:sz w:val="24"/>
                <w:szCs w:val="24"/>
                <w:highlight w:val="none"/>
                <w:lang w:val="en-US" w:eastAsia="zh-CN" w:bidi="ar-SA"/>
              </w:rPr>
              <w:t>虎林市绿都海狮油脂有限责任公司</w:t>
            </w:r>
            <w:r>
              <w:rPr>
                <w:rFonts w:hint="default" w:ascii="Times New Roman" w:hAnsi="Times New Roman" w:eastAsia="宋体" w:cs="Times New Roman"/>
                <w:bCs/>
                <w:color w:val="auto"/>
                <w:spacing w:val="0"/>
                <w:kern w:val="2"/>
                <w:sz w:val="24"/>
                <w:szCs w:val="24"/>
                <w:highlight w:val="none"/>
                <w:lang w:val="en-US" w:eastAsia="zh-CN" w:bidi="ar-SA"/>
              </w:rPr>
              <w:t>锅炉房内。</w:t>
            </w:r>
            <w:r>
              <w:rPr>
                <w:rFonts w:hint="default" w:ascii="Times New Roman" w:hAnsi="Times New Roman" w:eastAsia="宋体" w:cs="Times New Roman"/>
                <w:color w:val="auto"/>
                <w:sz w:val="24"/>
                <w:highlight w:val="none"/>
                <w:lang w:val="en-US" w:eastAsia="zh-CN"/>
              </w:rPr>
              <w:t>不新增用地面积。</w:t>
            </w:r>
            <w:r>
              <w:rPr>
                <w:rFonts w:hint="default" w:ascii="Times New Roman" w:hAnsi="Times New Roman" w:eastAsia="宋体" w:cs="Times New Roman"/>
                <w:color w:val="auto"/>
                <w:spacing w:val="0"/>
                <w:sz w:val="24"/>
                <w:szCs w:val="24"/>
                <w:highlight w:val="none"/>
                <w:lang w:val="en-US" w:eastAsia="zh-CN"/>
              </w:rPr>
              <w:t>本项目锅炉房北侧为燃料库，南侧为空地，东侧为虎林粮库，西侧为精炼车间；本项目所在厂区厂界北侧东侧紧邻虎林粮库，南侧紧邻玉泉米业，西侧紧邻铁路罩棚。</w:t>
            </w:r>
            <w:r>
              <w:rPr>
                <w:rFonts w:hint="default" w:ascii="Times New Roman" w:hAnsi="Times New Roman" w:eastAsia="宋体" w:cs="Times New Roman"/>
                <w:bCs/>
                <w:color w:val="auto"/>
                <w:spacing w:val="0"/>
                <w:kern w:val="2"/>
                <w:sz w:val="24"/>
                <w:szCs w:val="24"/>
                <w:highlight w:val="none"/>
                <w:lang w:val="en-US" w:eastAsia="zh-CN" w:bidi="ar-SA"/>
              </w:rPr>
              <w:t>根据《产业结构调整指导目录（2024年本）》，本项目不属于鼓励类、限制类、淘汰类建设项目，属于允许类项目；本项目建设土地类型为工业用地。本项目不属于《限制用地项目目录（2012年本）》和《禁止用地项目目录（2012年本）》中的限制用地、禁止用地项目，符合土地政策要求。</w:t>
            </w:r>
          </w:p>
          <w:p w14:paraId="37883D26">
            <w:pPr>
              <w:pStyle w:val="7"/>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bCs/>
                <w:color w:val="auto"/>
                <w:spacing w:val="0"/>
                <w:kern w:val="2"/>
                <w:sz w:val="24"/>
                <w:szCs w:val="24"/>
                <w:highlight w:val="none"/>
                <w:lang w:val="en-US" w:eastAsia="zh-CN" w:bidi="ar-SA"/>
              </w:rPr>
            </w:pPr>
            <w:r>
              <w:rPr>
                <w:rFonts w:hint="default" w:ascii="Times New Roman" w:hAnsi="Times New Roman" w:eastAsia="宋体" w:cs="Times New Roman"/>
                <w:bCs/>
                <w:color w:val="auto"/>
                <w:spacing w:val="0"/>
                <w:kern w:val="2"/>
                <w:sz w:val="24"/>
                <w:szCs w:val="24"/>
                <w:highlight w:val="none"/>
                <w:lang w:val="en-US" w:eastAsia="zh-CN" w:bidi="ar-SA"/>
              </w:rPr>
              <w:t>（2）环境相容性</w:t>
            </w:r>
          </w:p>
          <w:p w14:paraId="1F689AB5">
            <w:pPr>
              <w:pStyle w:val="7"/>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bCs/>
                <w:color w:val="auto"/>
                <w:spacing w:val="0"/>
                <w:kern w:val="2"/>
                <w:sz w:val="24"/>
                <w:szCs w:val="24"/>
                <w:highlight w:val="none"/>
                <w:lang w:val="en-US" w:eastAsia="zh-CN" w:bidi="ar-SA"/>
              </w:rPr>
            </w:pPr>
            <w:r>
              <w:rPr>
                <w:rFonts w:hint="default" w:ascii="Times New Roman" w:hAnsi="Times New Roman" w:eastAsia="宋体" w:cs="Times New Roman"/>
                <w:bCs/>
                <w:color w:val="auto"/>
                <w:spacing w:val="0"/>
                <w:kern w:val="2"/>
                <w:sz w:val="24"/>
                <w:szCs w:val="24"/>
                <w:highlight w:val="none"/>
                <w:lang w:val="en-US" w:eastAsia="zh-CN" w:bidi="ar-SA"/>
              </w:rPr>
              <w:t>项目运营期产生的废气</w:t>
            </w:r>
            <w:r>
              <w:rPr>
                <w:rFonts w:hint="default" w:ascii="Times New Roman" w:hAnsi="Times New Roman" w:eastAsia="宋体" w:cs="Times New Roman"/>
                <w:color w:val="auto"/>
                <w:spacing w:val="0"/>
                <w:sz w:val="24"/>
                <w:szCs w:val="24"/>
                <w:highlight w:val="none"/>
                <w:lang w:val="en-US" w:eastAsia="zh-CN"/>
              </w:rPr>
              <w:t>主要为锅炉产生</w:t>
            </w:r>
            <w:r>
              <w:rPr>
                <w:rFonts w:hint="default" w:ascii="Times New Roman" w:hAnsi="Times New Roman" w:eastAsia="宋体" w:cs="Times New Roman"/>
                <w:color w:val="auto"/>
                <w:spacing w:val="0"/>
                <w:sz w:val="24"/>
                <w:highlight w:val="none"/>
                <w:lang w:val="en-US" w:eastAsia="zh-CN"/>
              </w:rPr>
              <w:t>颗粒物、二氧化硫、氮氧化物、烟气黑度</w:t>
            </w:r>
            <w:r>
              <w:rPr>
                <w:rFonts w:hint="default" w:ascii="Times New Roman" w:hAnsi="Times New Roman" w:eastAsia="宋体" w:cs="Times New Roman"/>
                <w:color w:val="auto"/>
                <w:spacing w:val="0"/>
                <w:sz w:val="24"/>
                <w:szCs w:val="24"/>
                <w:highlight w:val="none"/>
                <w:lang w:val="en-US" w:eastAsia="zh-CN"/>
              </w:rPr>
              <w:t>。废气经布袋除尘器处理后由1根</w:t>
            </w:r>
            <w:r>
              <w:rPr>
                <w:rFonts w:hint="default" w:ascii="Times New Roman" w:hAnsi="Times New Roman" w:cs="Times New Roman"/>
                <w:color w:val="auto"/>
                <w:spacing w:val="0"/>
                <w:sz w:val="24"/>
                <w:szCs w:val="24"/>
                <w:highlight w:val="none"/>
                <w:lang w:val="en-US" w:eastAsia="zh-CN"/>
              </w:rPr>
              <w:t>4</w:t>
            </w:r>
            <w:r>
              <w:rPr>
                <w:rFonts w:hint="default" w:ascii="Times New Roman" w:hAnsi="Times New Roman" w:eastAsia="宋体" w:cs="Times New Roman"/>
                <w:color w:val="auto"/>
                <w:spacing w:val="0"/>
                <w:sz w:val="24"/>
                <w:szCs w:val="24"/>
                <w:highlight w:val="none"/>
                <w:lang w:val="en-US" w:eastAsia="zh-CN"/>
              </w:rPr>
              <w:t>0</w:t>
            </w:r>
            <w:r>
              <w:rPr>
                <w:rFonts w:hint="default" w:ascii="Times New Roman" w:hAnsi="Times New Roman" w:eastAsia="宋体" w:cs="Times New Roman"/>
                <w:color w:val="auto"/>
                <w:spacing w:val="0"/>
                <w:sz w:val="24"/>
                <w:szCs w:val="24"/>
                <w:highlight w:val="none"/>
              </w:rPr>
              <w:t>m高</w:t>
            </w:r>
            <w:r>
              <w:rPr>
                <w:rFonts w:hint="default" w:ascii="Times New Roman" w:hAnsi="Times New Roman" w:eastAsia="宋体" w:cs="Times New Roman"/>
                <w:color w:val="auto"/>
                <w:spacing w:val="0"/>
                <w:sz w:val="24"/>
                <w:szCs w:val="24"/>
                <w:highlight w:val="none"/>
                <w:lang w:val="en-US" w:eastAsia="zh-CN"/>
              </w:rPr>
              <w:t>烟囱DA00</w:t>
            </w:r>
            <w:r>
              <w:rPr>
                <w:rFonts w:hint="default" w:ascii="Times New Roman" w:hAnsi="Times New Roman" w:cs="Times New Roman"/>
                <w:color w:val="auto"/>
                <w:spacing w:val="0"/>
                <w:sz w:val="24"/>
                <w:szCs w:val="24"/>
                <w:highlight w:val="none"/>
                <w:lang w:val="en-US" w:eastAsia="zh-CN"/>
              </w:rPr>
              <w:t>4</w:t>
            </w:r>
            <w:r>
              <w:rPr>
                <w:rFonts w:hint="default" w:ascii="Times New Roman" w:hAnsi="Times New Roman" w:eastAsia="宋体" w:cs="Times New Roman"/>
                <w:color w:val="auto"/>
                <w:spacing w:val="0"/>
                <w:sz w:val="24"/>
                <w:szCs w:val="24"/>
                <w:highlight w:val="none"/>
                <w:lang w:val="en-US" w:eastAsia="zh-CN"/>
              </w:rPr>
              <w:t>有组织</w:t>
            </w:r>
            <w:r>
              <w:rPr>
                <w:rFonts w:hint="default" w:ascii="Times New Roman" w:hAnsi="Times New Roman" w:eastAsia="宋体" w:cs="Times New Roman"/>
                <w:color w:val="auto"/>
                <w:spacing w:val="0"/>
                <w:sz w:val="24"/>
                <w:szCs w:val="24"/>
                <w:highlight w:val="none"/>
              </w:rPr>
              <w:t>排放</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废气排放满足</w:t>
            </w:r>
            <w:r>
              <w:rPr>
                <w:rFonts w:hint="default" w:ascii="Times New Roman" w:hAnsi="Times New Roman" w:eastAsia="宋体" w:cs="Times New Roman"/>
                <w:color w:val="auto"/>
                <w:spacing w:val="0"/>
                <w:sz w:val="24"/>
                <w:highlight w:val="none"/>
              </w:rPr>
              <w:t>《</w:t>
            </w:r>
            <w:r>
              <w:rPr>
                <w:rFonts w:hint="default" w:ascii="Times New Roman" w:hAnsi="Times New Roman" w:eastAsia="宋体" w:cs="Times New Roman"/>
                <w:color w:val="auto"/>
                <w:spacing w:val="0"/>
                <w:sz w:val="24"/>
                <w:highlight w:val="none"/>
                <w:lang w:val="en-US" w:eastAsia="zh-CN"/>
              </w:rPr>
              <w:t>锅炉大气污染物排放标准</w:t>
            </w:r>
            <w:r>
              <w:rPr>
                <w:rFonts w:hint="default" w:ascii="Times New Roman" w:hAnsi="Times New Roman" w:eastAsia="宋体" w:cs="Times New Roman"/>
                <w:color w:val="auto"/>
                <w:spacing w:val="0"/>
                <w:sz w:val="24"/>
                <w:highlight w:val="none"/>
              </w:rPr>
              <w:t>》（GB</w:t>
            </w:r>
            <w:r>
              <w:rPr>
                <w:rFonts w:hint="default" w:ascii="Times New Roman" w:hAnsi="Times New Roman" w:eastAsia="宋体" w:cs="Times New Roman"/>
                <w:color w:val="auto"/>
                <w:spacing w:val="0"/>
                <w:sz w:val="24"/>
                <w:highlight w:val="none"/>
                <w:lang w:val="en-US" w:eastAsia="zh-CN"/>
              </w:rPr>
              <w:t>13271</w:t>
            </w:r>
            <w:r>
              <w:rPr>
                <w:rFonts w:hint="default" w:ascii="Times New Roman" w:hAnsi="Times New Roman" w:eastAsia="宋体" w:cs="Times New Roman"/>
                <w:color w:val="auto"/>
                <w:spacing w:val="0"/>
                <w:sz w:val="24"/>
                <w:highlight w:val="none"/>
              </w:rPr>
              <w:t>-</w:t>
            </w:r>
            <w:r>
              <w:rPr>
                <w:rFonts w:hint="default" w:ascii="Times New Roman" w:hAnsi="Times New Roman" w:eastAsia="宋体" w:cs="Times New Roman"/>
                <w:color w:val="auto"/>
                <w:spacing w:val="0"/>
                <w:sz w:val="24"/>
                <w:highlight w:val="none"/>
                <w:lang w:val="en-US" w:eastAsia="zh-CN"/>
              </w:rPr>
              <w:t>2014</w:t>
            </w:r>
            <w:r>
              <w:rPr>
                <w:rFonts w:hint="default" w:ascii="Times New Roman" w:hAnsi="Times New Roman" w:eastAsia="宋体" w:cs="Times New Roman"/>
                <w:color w:val="auto"/>
                <w:spacing w:val="0"/>
                <w:sz w:val="24"/>
                <w:highlight w:val="none"/>
              </w:rPr>
              <w:t>）表</w:t>
            </w:r>
            <w:r>
              <w:rPr>
                <w:rFonts w:hint="eastAsia" w:cs="Times New Roman"/>
                <w:color w:val="auto"/>
                <w:spacing w:val="0"/>
                <w:sz w:val="24"/>
                <w:highlight w:val="none"/>
                <w:lang w:val="en-US" w:eastAsia="zh-CN"/>
              </w:rPr>
              <w:t>2</w:t>
            </w:r>
            <w:r>
              <w:rPr>
                <w:rFonts w:hint="default" w:ascii="Times New Roman" w:hAnsi="Times New Roman" w:eastAsia="宋体" w:cs="Times New Roman"/>
                <w:color w:val="auto"/>
                <w:spacing w:val="0"/>
                <w:sz w:val="24"/>
                <w:highlight w:val="none"/>
              </w:rPr>
              <w:t>中</w:t>
            </w:r>
            <w:r>
              <w:rPr>
                <w:rFonts w:hint="default" w:ascii="Times New Roman" w:hAnsi="Times New Roman" w:eastAsia="宋体" w:cs="Times New Roman"/>
                <w:color w:val="auto"/>
                <w:spacing w:val="0"/>
                <w:sz w:val="24"/>
                <w:highlight w:val="none"/>
                <w:lang w:val="en-US" w:eastAsia="zh-CN"/>
              </w:rPr>
              <w:t>燃煤锅炉排放限值</w:t>
            </w:r>
            <w:r>
              <w:rPr>
                <w:rFonts w:hint="default" w:ascii="Times New Roman" w:hAnsi="Times New Roman" w:eastAsia="宋体" w:cs="Times New Roman"/>
                <w:bCs w:val="0"/>
                <w:color w:val="auto"/>
                <w:spacing w:val="0"/>
                <w:kern w:val="2"/>
                <w:sz w:val="24"/>
                <w:szCs w:val="24"/>
                <w:highlight w:val="none"/>
                <w:lang w:val="en-US" w:eastAsia="zh-CN" w:bidi="ar-SA"/>
              </w:rPr>
              <w:t>。</w:t>
            </w:r>
            <w:r>
              <w:rPr>
                <w:rFonts w:hint="default" w:ascii="Times New Roman" w:hAnsi="Times New Roman" w:eastAsia="宋体" w:cs="Times New Roman"/>
                <w:color w:val="auto"/>
                <w:spacing w:val="0"/>
                <w:sz w:val="24"/>
                <w:szCs w:val="24"/>
                <w:highlight w:val="none"/>
                <w:lang w:val="en-US"/>
              </w:rPr>
              <w:t>本项目建成后</w:t>
            </w:r>
            <w:r>
              <w:rPr>
                <w:rFonts w:hint="default" w:ascii="Times New Roman" w:hAnsi="Times New Roman" w:eastAsia="宋体" w:cs="Times New Roman"/>
                <w:color w:val="auto"/>
                <w:spacing w:val="0"/>
                <w:sz w:val="24"/>
                <w:szCs w:val="24"/>
                <w:highlight w:val="none"/>
                <w:lang w:val="en-US" w:eastAsia="zh-CN"/>
              </w:rPr>
              <w:t>不产生废水。运营期设备噪声通过</w:t>
            </w:r>
            <w:r>
              <w:rPr>
                <w:rFonts w:hint="default" w:ascii="Times New Roman" w:hAnsi="Times New Roman" w:eastAsia="宋体" w:cs="Times New Roman"/>
                <w:color w:val="auto"/>
                <w:spacing w:val="0"/>
                <w:sz w:val="24"/>
                <w:szCs w:val="24"/>
                <w:highlight w:val="none"/>
                <w:lang w:eastAsia="zh-CN"/>
              </w:rPr>
              <w:t>厂房隔声</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pacing w:val="0"/>
                <w:sz w:val="24"/>
                <w:szCs w:val="24"/>
                <w:highlight w:val="none"/>
                <w:lang w:eastAsia="zh-CN"/>
              </w:rPr>
              <w:t>设置</w:t>
            </w:r>
            <w:r>
              <w:rPr>
                <w:rFonts w:hint="default" w:ascii="Times New Roman" w:hAnsi="Times New Roman" w:eastAsia="宋体" w:cs="Times New Roman"/>
                <w:color w:val="auto"/>
                <w:spacing w:val="0"/>
                <w:sz w:val="24"/>
                <w:szCs w:val="24"/>
                <w:highlight w:val="none"/>
              </w:rPr>
              <w:t>基础减振</w:t>
            </w:r>
            <w:r>
              <w:rPr>
                <w:rFonts w:hint="default" w:ascii="Times New Roman" w:hAnsi="Times New Roman" w:eastAsia="宋体" w:cs="Times New Roman"/>
                <w:color w:val="auto"/>
                <w:spacing w:val="0"/>
                <w:sz w:val="24"/>
                <w:szCs w:val="24"/>
                <w:highlight w:val="none"/>
                <w:lang w:val="en-US" w:eastAsia="zh-CN"/>
              </w:rPr>
              <w:t>措施，对周围声环境影响较小。锅炉燃烧产生的炉渣及废气措施产生的收尘灰，暂存于</w:t>
            </w:r>
            <w:r>
              <w:rPr>
                <w:rFonts w:hint="default" w:ascii="Times New Roman" w:hAnsi="Times New Roman" w:cs="Times New Roman"/>
                <w:color w:val="auto"/>
                <w:spacing w:val="0"/>
                <w:sz w:val="24"/>
                <w:szCs w:val="24"/>
                <w:highlight w:val="none"/>
                <w:lang w:val="en-US" w:eastAsia="zh-CN"/>
              </w:rPr>
              <w:t>灰渣库</w:t>
            </w:r>
            <w:r>
              <w:rPr>
                <w:rFonts w:hint="default" w:ascii="Times New Roman" w:hAnsi="Times New Roman" w:eastAsia="宋体" w:cs="Times New Roman"/>
                <w:color w:val="auto"/>
                <w:spacing w:val="0"/>
                <w:sz w:val="24"/>
                <w:szCs w:val="24"/>
                <w:highlight w:val="none"/>
                <w:lang w:val="en-US" w:eastAsia="zh-CN"/>
              </w:rPr>
              <w:t>，外售综合利用。项目产生的废布袋及废包装袋交由厂家回收。本项目危险废物暂存于危险废物贮存点</w:t>
            </w:r>
            <w:r>
              <w:rPr>
                <w:rFonts w:hint="eastAsia" w:cs="Times New Roman"/>
                <w:color w:val="auto"/>
                <w:spacing w:val="0"/>
                <w:sz w:val="24"/>
                <w:szCs w:val="24"/>
                <w:highlight w:val="none"/>
                <w:lang w:val="en-US" w:eastAsia="zh-CN"/>
              </w:rPr>
              <w:t>，交由有资质单位处置</w:t>
            </w:r>
            <w:r>
              <w:rPr>
                <w:rFonts w:hint="default"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bCs/>
                <w:color w:val="auto"/>
                <w:spacing w:val="0"/>
                <w:kern w:val="2"/>
                <w:sz w:val="24"/>
                <w:szCs w:val="24"/>
                <w:highlight w:val="none"/>
                <w:lang w:val="en-US" w:eastAsia="zh-CN" w:bidi="ar-SA"/>
              </w:rPr>
              <w:t>项目建成后对周边环境的影响主要是废气、废水、固体废物以及噪声，采取污染防治措施后对周边环境影响较小。</w:t>
            </w:r>
          </w:p>
          <w:p w14:paraId="23B4FBE3">
            <w:pPr>
              <w:widowControl/>
              <w:spacing w:line="360" w:lineRule="auto"/>
              <w:ind w:firstLine="480" w:firstLineChars="200"/>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项目建设过程中产生的废气、废水、噪声、固废对周围环境将产生一定影响，但通过采取相应的环保措施使该项目对环境的影响降低，项目的建设不会使环境功能发生改变。</w:t>
            </w:r>
          </w:p>
          <w:p w14:paraId="7056450B">
            <w:pPr>
              <w:ind w:left="0" w:leftChars="0" w:firstLine="480" w:firstLineChars="20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highlight w:val="none"/>
              </w:rPr>
              <w:t>综上所述，项目选址可行。</w:t>
            </w:r>
          </w:p>
        </w:tc>
      </w:tr>
    </w:tbl>
    <w:p w14:paraId="026CC0A0">
      <w:pPr>
        <w:rPr>
          <w:rFonts w:hint="default" w:ascii="Times New Roman" w:hAnsi="Times New Roman" w:eastAsia="宋体" w:cs="Times New Roman"/>
          <w:color w:val="auto"/>
          <w:spacing w:val="0"/>
          <w:highlight w:val="none"/>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start="1"/>
          <w:cols w:space="720" w:num="1"/>
          <w:docGrid w:linePitch="312" w:charSpace="0"/>
        </w:sectPr>
      </w:pPr>
    </w:p>
    <w:p w14:paraId="34C60C25">
      <w:pPr>
        <w:pStyle w:val="2"/>
        <w:spacing w:line="360" w:lineRule="auto"/>
        <w:jc w:val="center"/>
        <w:rPr>
          <w:rFonts w:hint="default" w:ascii="Times New Roman" w:hAnsi="Times New Roman" w:eastAsia="宋体" w:cs="Times New Roman"/>
          <w:b/>
          <w:bCs/>
          <w:color w:val="auto"/>
          <w:spacing w:val="0"/>
          <w:highlight w:val="none"/>
        </w:rPr>
      </w:pPr>
      <w:bookmarkStart w:id="2" w:name="_Toc71191476"/>
      <w:r>
        <w:rPr>
          <w:rFonts w:hint="default" w:ascii="Times New Roman" w:hAnsi="Times New Roman" w:eastAsia="宋体" w:cs="Times New Roman"/>
          <w:b/>
          <w:bCs/>
          <w:color w:val="auto"/>
          <w:spacing w:val="0"/>
          <w:highlight w:val="none"/>
        </w:rPr>
        <w:t>二、建设项目工程分析</w:t>
      </w:r>
      <w:bookmarkEnd w:id="2"/>
    </w:p>
    <w:tbl>
      <w:tblPr>
        <w:tblStyle w:val="35"/>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7850"/>
        <w:gridCol w:w="222"/>
      </w:tblGrid>
      <w:tr w14:paraId="79572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dxa"/>
            <w:noWrap w:val="0"/>
            <w:vAlign w:val="center"/>
          </w:tcPr>
          <w:p w14:paraId="1BBB3BD0">
            <w:pPr>
              <w:pStyle w:val="29"/>
              <w:ind w:firstLine="0" w:firstLineChars="0"/>
              <w:jc w:val="center"/>
              <w:rPr>
                <w:rFonts w:hint="default" w:ascii="Times New Roman" w:hAnsi="Times New Roman" w:eastAsia="宋体" w:cs="Times New Roman"/>
                <w:bCs/>
                <w:color w:val="auto"/>
                <w:spacing w:val="0"/>
                <w:sz w:val="21"/>
                <w:szCs w:val="21"/>
                <w:highlight w:val="none"/>
              </w:rPr>
            </w:pPr>
            <w:r>
              <w:rPr>
                <w:rFonts w:hint="default" w:ascii="Times New Roman" w:hAnsi="Times New Roman" w:eastAsia="宋体" w:cs="Times New Roman"/>
                <w:bCs/>
                <w:color w:val="auto"/>
                <w:spacing w:val="0"/>
                <w:sz w:val="24"/>
                <w:szCs w:val="24"/>
                <w:highlight w:val="none"/>
              </w:rPr>
              <w:t>建设内容</w:t>
            </w:r>
          </w:p>
        </w:tc>
        <w:tc>
          <w:tcPr>
            <w:tcW w:w="4143" w:type="dxa"/>
            <w:noWrap w:val="0"/>
            <w:vAlign w:val="top"/>
          </w:tcPr>
          <w:p w14:paraId="58304186">
            <w:pPr>
              <w:numPr>
                <w:ilvl w:val="0"/>
                <w:numId w:val="4"/>
              </w:numPr>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项目</w:t>
            </w:r>
            <w:r>
              <w:rPr>
                <w:rFonts w:hint="default" w:ascii="Times New Roman" w:hAnsi="Times New Roman" w:cs="Times New Roman"/>
                <w:b/>
                <w:bCs w:val="0"/>
                <w:color w:val="auto"/>
                <w:spacing w:val="0"/>
                <w:sz w:val="24"/>
                <w:szCs w:val="24"/>
                <w:highlight w:val="none"/>
                <w:lang w:val="en-US" w:eastAsia="zh-CN"/>
              </w:rPr>
              <w:t>由来</w:t>
            </w:r>
          </w:p>
          <w:p w14:paraId="2D7A5C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虎林市绿都海狮油脂有限责任公司</w:t>
            </w:r>
            <w:r>
              <w:rPr>
                <w:rFonts w:hint="default" w:ascii="Times New Roman" w:hAnsi="Times New Roman" w:eastAsia="宋体" w:cs="Times New Roman"/>
                <w:color w:val="auto"/>
                <w:sz w:val="24"/>
                <w:szCs w:val="24"/>
                <w:highlight w:val="none"/>
                <w:lang w:val="en-US" w:eastAsia="zh-CN"/>
              </w:rPr>
              <w:t>位于黑龙江省鸡西市虎林市虎林镇东方红街道东升委（粮库院内），建设日处理200t米糠生产线1条，日处理200t浸油生产线1条，日处理35t毛油精炼生产线1条。</w:t>
            </w:r>
          </w:p>
          <w:p w14:paraId="7D1252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绿都集团股份有限公司2012年8月委托黑龙江大学环境科学研究所编制《绿都集团股份有限公司日处理200吨米糠制油设施建设项目环境影响评价报告表》，2012年8月17日取得《关于绿都集团股份有限公司日处理200吨米糠制油设施建设项目环境影响报告表的批复》，见附件</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p>
          <w:p w14:paraId="7F0A22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在企业建设过程中，原有4t/h锅炉无法满足企业后续的发展规划，故企业新增1台10t/h生物质蒸汽锅炉用于企业生产用热和冬季取暖。原有4t/h生物质锅炉变更为2t/h生物质锅炉，作为备用锅炉。</w:t>
            </w:r>
          </w:p>
          <w:p w14:paraId="446D3C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2013年12月11日绿都集团股份有限公司取得《关于同意绿都集团股份有限公司日处理200吨米糠制油设施建设项目变更的函》虎环函</w:t>
            </w:r>
            <w:r>
              <w:rPr>
                <w:rFonts w:hint="eastAsia" w:ascii="Times New Roman" w:hAnsi="Times New Roman" w:cs="Times New Roman"/>
                <w:color w:val="auto"/>
                <w:sz w:val="24"/>
                <w:szCs w:val="24"/>
                <w:highlight w:val="none"/>
                <w:lang w:val="en-US" w:eastAsia="zh-CN"/>
              </w:rPr>
              <w:t>〔2013〕57号</w:t>
            </w:r>
            <w:r>
              <w:rPr>
                <w:rFonts w:hint="default" w:ascii="Times New Roman" w:hAnsi="Times New Roman" w:eastAsia="宋体" w:cs="Times New Roman"/>
                <w:color w:val="auto"/>
                <w:sz w:val="24"/>
                <w:szCs w:val="24"/>
                <w:highlight w:val="none"/>
                <w:lang w:val="en-US" w:eastAsia="zh-CN"/>
              </w:rPr>
              <w:t>，见附件</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。项目变更的内容主要为：供热锅炉由原来链条炉排的蒸汽锅炉，型号SHL4-1.25AⅡ，额定蒸发量4t/h锅炉，变更为型号SZL2-1.25，额定蒸发量2t/h锅炉；新增生产锅炉一台，型号为大鳞片式链条锅炉，额定蒸发量10t/h。</w:t>
            </w:r>
          </w:p>
          <w:p w14:paraId="12455D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《关于同意绿都集团股份有限公司日处理200吨米糠制油设施建设项目变更的函》虎环函</w:t>
            </w:r>
            <w:r>
              <w:rPr>
                <w:rFonts w:hint="eastAsia" w:ascii="Times New Roman" w:hAnsi="Times New Roman" w:cs="Times New Roman"/>
                <w:color w:val="auto"/>
                <w:sz w:val="24"/>
                <w:szCs w:val="24"/>
                <w:highlight w:val="none"/>
                <w:lang w:val="en-US" w:eastAsia="zh-CN"/>
              </w:rPr>
              <w:t>〔2013〕57号</w:t>
            </w:r>
            <w:r>
              <w:rPr>
                <w:rFonts w:hint="default" w:ascii="Times New Roman" w:hAnsi="Times New Roman" w:cs="Times New Roman"/>
                <w:color w:val="auto"/>
                <w:sz w:val="24"/>
                <w:szCs w:val="24"/>
                <w:highlight w:val="none"/>
                <w:lang w:val="en-US" w:eastAsia="zh-CN"/>
              </w:rPr>
              <w:t>，申请变更的内容，要与环评单位沟通作为环评调整报告表的基本依据。由于《</w:t>
            </w:r>
            <w:r>
              <w:rPr>
                <w:rFonts w:hint="default" w:ascii="Times New Roman" w:hAnsi="Times New Roman" w:eastAsia="宋体" w:cs="Times New Roman"/>
                <w:color w:val="auto"/>
                <w:sz w:val="24"/>
                <w:szCs w:val="24"/>
                <w:highlight w:val="none"/>
                <w:lang w:val="en-US" w:eastAsia="zh-CN"/>
              </w:rPr>
              <w:t>绿都集团股份有限公司日处理200吨米糠制油设施建设项目</w:t>
            </w:r>
            <w:r>
              <w:rPr>
                <w:rFonts w:hint="default" w:ascii="Times New Roman" w:hAnsi="Times New Roman" w:cs="Times New Roman"/>
                <w:color w:val="auto"/>
                <w:sz w:val="24"/>
                <w:szCs w:val="24"/>
                <w:highlight w:val="none"/>
                <w:lang w:val="en-US" w:eastAsia="zh-CN"/>
              </w:rPr>
              <w:t>》除锅炉外，建设内容未改变</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pacing w:val="-2"/>
                <w:sz w:val="24"/>
                <w:szCs w:val="24"/>
                <w:highlight w:val="none"/>
              </w:rPr>
              <w:t>根据《产业结构调整指导目录（2024年）》政</w:t>
            </w:r>
            <w:r>
              <w:rPr>
                <w:rFonts w:hint="default" w:ascii="Times New Roman" w:hAnsi="Times New Roman" w:eastAsia="宋体" w:cs="Times New Roman"/>
                <w:color w:val="auto"/>
                <w:spacing w:val="-3"/>
                <w:sz w:val="24"/>
                <w:szCs w:val="24"/>
                <w:highlight w:val="none"/>
              </w:rPr>
              <w:t>策要求</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cs="Times New Roman"/>
                <w:color w:val="auto"/>
                <w:spacing w:val="-3"/>
                <w:sz w:val="24"/>
                <w:szCs w:val="24"/>
                <w:highlight w:val="none"/>
                <w:lang w:val="en-US" w:eastAsia="zh-CN"/>
              </w:rPr>
              <w:t>2t/h生物质锅炉属于淘汰类项目，</w:t>
            </w:r>
            <w:r>
              <w:rPr>
                <w:rFonts w:hint="default" w:ascii="Times New Roman" w:hAnsi="Times New Roman" w:eastAsia="宋体" w:cs="Times New Roman"/>
                <w:color w:val="auto"/>
                <w:sz w:val="24"/>
                <w:szCs w:val="24"/>
                <w:highlight w:val="none"/>
                <w:lang w:val="en-US" w:eastAsia="zh-CN"/>
              </w:rPr>
              <w:t>目前2t/h锅炉</w:t>
            </w:r>
            <w:r>
              <w:rPr>
                <w:rFonts w:hint="eastAsia" w:ascii="Times New Roman" w:hAnsi="Times New Roman" w:cs="Times New Roman"/>
                <w:color w:val="auto"/>
                <w:sz w:val="24"/>
                <w:szCs w:val="24"/>
                <w:highlight w:val="none"/>
                <w:lang w:val="en-US" w:eastAsia="zh-CN"/>
              </w:rPr>
              <w:t>烟道已经断开，无法使用</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本次环评仅针对新增</w:t>
            </w:r>
            <w:r>
              <w:rPr>
                <w:rFonts w:hint="default" w:ascii="Times New Roman" w:hAnsi="Times New Roman" w:eastAsia="宋体" w:cs="Times New Roman"/>
                <w:color w:val="auto"/>
                <w:sz w:val="24"/>
                <w:szCs w:val="24"/>
                <w:highlight w:val="none"/>
                <w:lang w:val="en-US" w:eastAsia="zh-CN"/>
              </w:rPr>
              <w:t>10t/h锅炉编制环境影响评价报告。</w:t>
            </w:r>
          </w:p>
          <w:p w14:paraId="37C2B3A1">
            <w:pPr>
              <w:pStyle w:val="91"/>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0" w:firstLineChars="200"/>
              <w:textAlignment w:val="baseline"/>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shd w:val="clear"/>
                <w:lang w:val="en-US" w:eastAsia="zh-CN"/>
              </w:rPr>
              <w:t>本项目利用现有锅炉房进行改建，不新增用地。利用现有锅炉房建设“</w:t>
            </w:r>
            <w:r>
              <w:rPr>
                <w:rFonts w:hint="default" w:ascii="Times New Roman" w:hAnsi="Times New Roman" w:cs="Times New Roman"/>
                <w:bCs/>
                <w:color w:val="auto"/>
                <w:spacing w:val="0"/>
                <w:sz w:val="24"/>
                <w:szCs w:val="24"/>
                <w:highlight w:val="none"/>
                <w:lang w:val="en-US" w:eastAsia="zh-CN"/>
              </w:rPr>
              <w:t>虎林市绿都海狮油脂有限责任公司生物质锅炉建设项目</w:t>
            </w:r>
            <w:r>
              <w:rPr>
                <w:rFonts w:hint="default" w:ascii="Times New Roman" w:hAnsi="Times New Roman" w:eastAsia="宋体" w:cs="Times New Roman"/>
                <w:bCs/>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val="en-US" w:eastAsia="zh-CN"/>
              </w:rPr>
              <w:t>锅炉房坐标为东经</w:t>
            </w:r>
            <w:r>
              <w:rPr>
                <w:rFonts w:hint="default" w:ascii="Times New Roman" w:hAnsi="Times New Roman" w:cs="Times New Roman"/>
                <w:color w:val="auto"/>
                <w:spacing w:val="0"/>
                <w:sz w:val="24"/>
                <w:szCs w:val="24"/>
                <w:highlight w:val="none"/>
                <w:lang w:val="en-US" w:eastAsia="zh-CN"/>
              </w:rPr>
              <w:t>132</w:t>
            </w:r>
            <w:r>
              <w:rPr>
                <w:rFonts w:hint="default" w:ascii="Times New Roman" w:hAnsi="Times New Roman" w:eastAsia="宋体" w:cs="Times New Roman"/>
                <w:color w:val="auto"/>
                <w:spacing w:val="0"/>
                <w:sz w:val="24"/>
                <w:szCs w:val="24"/>
                <w:highlight w:val="none"/>
                <w:lang w:val="en-US" w:eastAsia="zh-CN"/>
              </w:rPr>
              <w:t>°</w:t>
            </w:r>
            <w:r>
              <w:rPr>
                <w:rFonts w:hint="default" w:ascii="Times New Roman" w:hAnsi="Times New Roman"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lang w:val="en-US" w:eastAsia="zh-CN"/>
              </w:rPr>
              <w:t>9′</w:t>
            </w:r>
            <w:r>
              <w:rPr>
                <w:rFonts w:hint="default" w:ascii="Times New Roman" w:hAnsi="Times New Roman" w:cs="Times New Roman"/>
                <w:color w:val="auto"/>
                <w:spacing w:val="0"/>
                <w:sz w:val="24"/>
                <w:szCs w:val="24"/>
                <w:highlight w:val="none"/>
                <w:lang w:val="en-US" w:eastAsia="zh-CN"/>
              </w:rPr>
              <w:t>36.438</w:t>
            </w:r>
            <w:r>
              <w:rPr>
                <w:rFonts w:hint="default" w:ascii="Times New Roman" w:hAnsi="Times New Roman" w:eastAsia="宋体" w:cs="Times New Roman"/>
                <w:color w:val="auto"/>
                <w:spacing w:val="0"/>
                <w:sz w:val="24"/>
                <w:szCs w:val="24"/>
                <w:highlight w:val="none"/>
                <w:lang w:val="en-US" w:eastAsia="zh-CN"/>
              </w:rPr>
              <w:t>″</w:t>
            </w:r>
            <w:r>
              <w:rPr>
                <w:rFonts w:hint="default" w:ascii="Times New Roman" w:hAnsi="Times New Roman"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val="en-US" w:eastAsia="zh-CN"/>
              </w:rPr>
              <w:t>北纬45°4</w:t>
            </w:r>
            <w:r>
              <w:rPr>
                <w:rFonts w:hint="default" w:ascii="Times New Roman" w:hAnsi="Times New Roman" w:cs="Times New Roman"/>
                <w:color w:val="auto"/>
                <w:spacing w:val="0"/>
                <w:sz w:val="24"/>
                <w:szCs w:val="24"/>
                <w:highlight w:val="none"/>
                <w:lang w:val="en-US" w:eastAsia="zh-CN"/>
              </w:rPr>
              <w:t>6</w:t>
            </w:r>
            <w:r>
              <w:rPr>
                <w:rFonts w:hint="default" w:ascii="Times New Roman" w:hAnsi="Times New Roman" w:eastAsia="宋体" w:cs="Times New Roman"/>
                <w:color w:val="auto"/>
                <w:spacing w:val="0"/>
                <w:sz w:val="24"/>
                <w:szCs w:val="24"/>
                <w:highlight w:val="none"/>
                <w:lang w:val="en-US" w:eastAsia="zh-CN"/>
              </w:rPr>
              <w:t>′</w:t>
            </w:r>
            <w:r>
              <w:rPr>
                <w:rFonts w:hint="default" w:ascii="Times New Roman" w:hAnsi="Times New Roman" w:cs="Times New Roman"/>
                <w:color w:val="auto"/>
                <w:spacing w:val="0"/>
                <w:sz w:val="24"/>
                <w:szCs w:val="24"/>
                <w:highlight w:val="none"/>
                <w:lang w:val="en-US" w:eastAsia="zh-CN"/>
              </w:rPr>
              <w:t>11.796</w:t>
            </w:r>
            <w:r>
              <w:rPr>
                <w:rFonts w:hint="default" w:ascii="Times New Roman" w:hAnsi="Times New Roman" w:eastAsia="宋体" w:cs="Times New Roman"/>
                <w:color w:val="auto"/>
                <w:spacing w:val="0"/>
                <w:sz w:val="24"/>
                <w:szCs w:val="24"/>
                <w:highlight w:val="none"/>
                <w:lang w:val="en-US" w:eastAsia="zh-CN"/>
              </w:rPr>
              <w:t>″。本项目锅炉房北侧为燃料库，南侧为空地，东侧为虎林粮库，西侧为精炼车间；本项目所在厂区厂界北侧东侧紧邻虎林粮库，南侧紧邻玉泉米业，西侧紧邻铁路罩棚。</w:t>
            </w:r>
          </w:p>
          <w:p w14:paraId="7627A3D9">
            <w:pPr>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2、建设内容</w:t>
            </w:r>
          </w:p>
          <w:p w14:paraId="719320EE">
            <w:pPr>
              <w:spacing w:line="360" w:lineRule="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val="en-US" w:eastAsia="zh-CN"/>
              </w:rPr>
              <w:t>本项目拆除原有</w:t>
            </w:r>
            <w:r>
              <w:rPr>
                <w:rFonts w:hint="default" w:ascii="Times New Roman" w:hAnsi="Times New Roman" w:cs="Times New Roman"/>
                <w:color w:val="auto"/>
                <w:spacing w:val="0"/>
                <w:sz w:val="24"/>
                <w:szCs w:val="24"/>
                <w:highlight w:val="none"/>
                <w:lang w:val="en-US" w:eastAsia="zh-CN"/>
              </w:rPr>
              <w:t>2t/h</w:t>
            </w:r>
            <w:r>
              <w:rPr>
                <w:rFonts w:hint="default" w:ascii="Times New Roman" w:hAnsi="Times New Roman" w:eastAsia="宋体" w:cs="Times New Roman"/>
                <w:color w:val="auto"/>
                <w:spacing w:val="0"/>
                <w:sz w:val="24"/>
                <w:szCs w:val="24"/>
                <w:highlight w:val="none"/>
                <w:lang w:val="en-US" w:eastAsia="zh-CN"/>
              </w:rPr>
              <w:t>生物质</w:t>
            </w:r>
            <w:r>
              <w:rPr>
                <w:rFonts w:hint="default" w:ascii="Times New Roman" w:hAnsi="Times New Roman" w:cs="Times New Roman"/>
                <w:color w:val="auto"/>
                <w:spacing w:val="0"/>
                <w:sz w:val="24"/>
                <w:szCs w:val="24"/>
                <w:highlight w:val="none"/>
                <w:lang w:val="en-US" w:eastAsia="zh-CN"/>
              </w:rPr>
              <w:t>锅炉</w:t>
            </w:r>
            <w:r>
              <w:rPr>
                <w:rFonts w:hint="default" w:ascii="Times New Roman" w:hAnsi="Times New Roman" w:eastAsia="宋体" w:cs="Times New Roman"/>
                <w:color w:val="auto"/>
                <w:spacing w:val="0"/>
                <w:sz w:val="24"/>
                <w:szCs w:val="24"/>
                <w:highlight w:val="none"/>
                <w:lang w:val="en-US" w:eastAsia="zh-CN"/>
              </w:rPr>
              <w:t>，新增1台</w:t>
            </w:r>
            <w:r>
              <w:rPr>
                <w:rFonts w:hint="default" w:ascii="Times New Roman" w:hAnsi="Times New Roman" w:cs="Times New Roman"/>
                <w:color w:val="auto"/>
                <w:spacing w:val="0"/>
                <w:sz w:val="24"/>
                <w:szCs w:val="24"/>
                <w:highlight w:val="none"/>
                <w:lang w:val="en-US" w:eastAsia="zh-CN"/>
              </w:rPr>
              <w:t>10t/h燃生物质蒸汽锅炉</w:t>
            </w:r>
            <w:r>
              <w:rPr>
                <w:rFonts w:hint="default" w:ascii="Times New Roman" w:hAnsi="Times New Roman" w:eastAsia="宋体" w:cs="Times New Roman"/>
                <w:color w:val="auto"/>
                <w:spacing w:val="0"/>
                <w:sz w:val="24"/>
                <w:szCs w:val="24"/>
                <w:highlight w:val="none"/>
                <w:lang w:val="en-US" w:eastAsia="zh-CN"/>
              </w:rPr>
              <w:t>用于厂区生产供热，</w:t>
            </w:r>
            <w:r>
              <w:rPr>
                <w:rFonts w:hint="default" w:ascii="Times New Roman" w:hAnsi="Times New Roman" w:cs="Times New Roman"/>
                <w:color w:val="auto"/>
                <w:spacing w:val="0"/>
                <w:sz w:val="24"/>
                <w:szCs w:val="24"/>
                <w:highlight w:val="none"/>
                <w:lang w:val="en-US" w:eastAsia="zh-CN"/>
              </w:rPr>
              <w:t>本项目</w:t>
            </w:r>
            <w:r>
              <w:rPr>
                <w:rFonts w:hint="default" w:ascii="Times New Roman" w:hAnsi="Times New Roman" w:eastAsia="宋体" w:cs="Times New Roman"/>
                <w:color w:val="auto"/>
                <w:spacing w:val="0"/>
                <w:sz w:val="24"/>
                <w:szCs w:val="24"/>
                <w:highlight w:val="none"/>
                <w:lang w:val="en-US" w:eastAsia="zh-CN"/>
              </w:rPr>
              <w:t>锅炉年供热时间</w:t>
            </w:r>
            <w:r>
              <w:rPr>
                <w:rFonts w:hint="default" w:ascii="Times New Roman" w:hAnsi="Times New Roman" w:cs="Times New Roman"/>
                <w:color w:val="auto"/>
                <w:spacing w:val="0"/>
                <w:sz w:val="24"/>
                <w:szCs w:val="24"/>
                <w:highlight w:val="none"/>
                <w:lang w:val="en-US" w:eastAsia="zh-CN"/>
              </w:rPr>
              <w:t>300</w:t>
            </w:r>
            <w:r>
              <w:rPr>
                <w:rFonts w:hint="default" w:ascii="Times New Roman" w:hAnsi="Times New Roman" w:eastAsia="宋体" w:cs="Times New Roman"/>
                <w:color w:val="auto"/>
                <w:spacing w:val="0"/>
                <w:sz w:val="24"/>
                <w:szCs w:val="24"/>
                <w:highlight w:val="none"/>
                <w:lang w:val="en-US" w:eastAsia="zh-CN"/>
              </w:rPr>
              <w:t>天。</w:t>
            </w:r>
            <w:r>
              <w:rPr>
                <w:rFonts w:hint="default" w:ascii="Times New Roman" w:hAnsi="Times New Roman" w:eastAsia="宋体" w:cs="Times New Roman"/>
                <w:b w:val="0"/>
                <w:bCs w:val="0"/>
                <w:color w:val="auto"/>
                <w:sz w:val="24"/>
                <w:szCs w:val="24"/>
                <w:highlight w:val="none"/>
              </w:rPr>
              <w:t>每天运行</w:t>
            </w:r>
            <w:r>
              <w:rPr>
                <w:rFonts w:hint="default" w:ascii="Times New Roman" w:hAnsi="Times New Roman" w:eastAsia="宋体" w:cs="Times New Roman"/>
                <w:b w:val="0"/>
                <w:bCs w:val="0"/>
                <w:color w:val="auto"/>
                <w:sz w:val="24"/>
                <w:szCs w:val="24"/>
                <w:highlight w:val="none"/>
                <w:lang w:val="en-US" w:eastAsia="zh-CN"/>
              </w:rPr>
              <w:t>16</w:t>
            </w:r>
            <w:r>
              <w:rPr>
                <w:rFonts w:hint="default" w:ascii="Times New Roman" w:hAnsi="Times New Roman" w:eastAsia="宋体" w:cs="Times New Roman"/>
                <w:b w:val="0"/>
                <w:bCs w:val="0"/>
                <w:color w:val="auto"/>
                <w:sz w:val="24"/>
                <w:szCs w:val="24"/>
                <w:highlight w:val="none"/>
              </w:rPr>
              <w:t>h，年运行</w:t>
            </w:r>
            <w:r>
              <w:rPr>
                <w:rFonts w:hint="default" w:ascii="Times New Roman" w:hAnsi="Times New Roman" w:eastAsia="宋体" w:cs="Times New Roman"/>
                <w:b w:val="0"/>
                <w:bCs w:val="0"/>
                <w:color w:val="auto"/>
                <w:sz w:val="24"/>
                <w:szCs w:val="24"/>
                <w:highlight w:val="none"/>
                <w:lang w:val="en-US" w:eastAsia="zh-CN"/>
              </w:rPr>
              <w:t>4800</w:t>
            </w:r>
            <w:r>
              <w:rPr>
                <w:rFonts w:hint="default" w:ascii="Times New Roman" w:hAnsi="Times New Roman" w:eastAsia="宋体" w:cs="Times New Roman"/>
                <w:color w:val="auto"/>
                <w:spacing w:val="-4"/>
                <w:kern w:val="2"/>
                <w:sz w:val="24"/>
                <w:szCs w:val="24"/>
                <w:highlight w:val="none"/>
              </w:rPr>
              <w:t>h</w:t>
            </w:r>
            <w:r>
              <w:rPr>
                <w:rFonts w:hint="default" w:ascii="Times New Roman" w:hAnsi="Times New Roman" w:eastAsia="宋体" w:cs="Times New Roman"/>
                <w:color w:val="auto"/>
                <w:spacing w:val="-4"/>
                <w:kern w:val="2"/>
                <w:sz w:val="24"/>
                <w:szCs w:val="24"/>
                <w:highlight w:val="none"/>
                <w:lang w:eastAsia="zh-CN"/>
              </w:rPr>
              <w:t>，</w:t>
            </w:r>
            <w:r>
              <w:rPr>
                <w:rFonts w:hint="default" w:ascii="Times New Roman" w:hAnsi="Times New Roman" w:eastAsia="宋体" w:cs="Times New Roman"/>
                <w:color w:val="auto"/>
                <w:spacing w:val="0"/>
                <w:sz w:val="24"/>
                <w:szCs w:val="24"/>
                <w:highlight w:val="none"/>
              </w:rPr>
              <w:t>本项目主要工程组成见下表</w:t>
            </w:r>
            <w:r>
              <w:rPr>
                <w:rFonts w:hint="default" w:ascii="Times New Roman" w:hAnsi="Times New Roman" w:eastAsia="宋体" w:cs="Times New Roman"/>
                <w:color w:val="auto"/>
                <w:spacing w:val="0"/>
                <w:sz w:val="24"/>
                <w:szCs w:val="24"/>
                <w:highlight w:val="none"/>
                <w:lang w:val="en-US" w:eastAsia="zh-CN"/>
              </w:rPr>
              <w:t>2-1</w:t>
            </w:r>
            <w:r>
              <w:rPr>
                <w:rFonts w:hint="default" w:ascii="Times New Roman" w:hAnsi="Times New Roman" w:eastAsia="宋体" w:cs="Times New Roman"/>
                <w:color w:val="auto"/>
                <w:spacing w:val="0"/>
                <w:sz w:val="24"/>
                <w:szCs w:val="24"/>
                <w:highlight w:val="none"/>
              </w:rPr>
              <w:t>。</w:t>
            </w:r>
          </w:p>
          <w:p w14:paraId="76650A65">
            <w:pPr>
              <w:pStyle w:val="7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val="0"/>
                <w:color w:val="auto"/>
                <w:spacing w:val="0"/>
                <w:kern w:val="2"/>
                <w:sz w:val="21"/>
                <w:szCs w:val="21"/>
                <w:highlight w:val="none"/>
                <w:lang w:val="en-US" w:eastAsia="zh-CN" w:bidi="ar-SA"/>
              </w:rPr>
            </w:pPr>
            <w:r>
              <w:rPr>
                <w:rFonts w:hint="default" w:ascii="Times New Roman" w:hAnsi="Times New Roman" w:eastAsia="宋体" w:cs="Times New Roman"/>
                <w:b/>
                <w:bCs w:val="0"/>
                <w:color w:val="auto"/>
                <w:spacing w:val="0"/>
                <w:kern w:val="2"/>
                <w:sz w:val="21"/>
                <w:szCs w:val="21"/>
                <w:highlight w:val="none"/>
                <w:lang w:val="en-US" w:eastAsia="zh-CN" w:bidi="ar-SA"/>
              </w:rPr>
              <w:t>表2-1主要建设内容一览表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271"/>
              <w:gridCol w:w="4505"/>
              <w:gridCol w:w="1134"/>
            </w:tblGrid>
            <w:tr w14:paraId="09475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47" w:type="dxa"/>
                  <w:gridSpan w:val="2"/>
                  <w:noWrap w:val="0"/>
                  <w:vAlign w:val="center"/>
                </w:tcPr>
                <w:p w14:paraId="234A7AAF">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rPr>
                  </w:pPr>
                  <w:r>
                    <w:rPr>
                      <w:rFonts w:hint="default" w:ascii="Times New Roman" w:hAnsi="Times New Roman" w:eastAsia="宋体" w:cs="Times New Roman"/>
                      <w:snapToGrid w:val="0"/>
                      <w:color w:val="auto"/>
                      <w:spacing w:val="0"/>
                      <w:sz w:val="21"/>
                      <w:szCs w:val="21"/>
                      <w:highlight w:val="none"/>
                    </w:rPr>
                    <w:t>项目</w:t>
                  </w:r>
                </w:p>
              </w:tc>
              <w:tc>
                <w:tcPr>
                  <w:tcW w:w="4634" w:type="dxa"/>
                  <w:noWrap w:val="0"/>
                  <w:vAlign w:val="center"/>
                </w:tcPr>
                <w:p w14:paraId="06AB43B2">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rPr>
                  </w:pPr>
                  <w:r>
                    <w:rPr>
                      <w:rFonts w:hint="default" w:ascii="Times New Roman" w:hAnsi="Times New Roman" w:eastAsia="宋体" w:cs="Times New Roman"/>
                      <w:snapToGrid w:val="0"/>
                      <w:color w:val="auto"/>
                      <w:spacing w:val="0"/>
                      <w:sz w:val="21"/>
                      <w:szCs w:val="21"/>
                      <w:highlight w:val="none"/>
                    </w:rPr>
                    <w:t>主要建设内容</w:t>
                  </w:r>
                </w:p>
              </w:tc>
              <w:tc>
                <w:tcPr>
                  <w:tcW w:w="1169" w:type="dxa"/>
                  <w:noWrap w:val="0"/>
                  <w:vAlign w:val="center"/>
                </w:tcPr>
                <w:p w14:paraId="6AD9A8A1">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备注</w:t>
                  </w:r>
                </w:p>
              </w:tc>
            </w:tr>
            <w:tr w14:paraId="5F05E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noWrap w:val="0"/>
                  <w:vAlign w:val="center"/>
                </w:tcPr>
                <w:p w14:paraId="70A82BB6">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rPr>
                  </w:pPr>
                  <w:r>
                    <w:rPr>
                      <w:rFonts w:hint="default" w:ascii="Times New Roman" w:hAnsi="Times New Roman" w:eastAsia="宋体" w:cs="Times New Roman"/>
                      <w:snapToGrid w:val="0"/>
                      <w:color w:val="auto"/>
                      <w:spacing w:val="0"/>
                      <w:sz w:val="21"/>
                      <w:szCs w:val="21"/>
                      <w:highlight w:val="none"/>
                    </w:rPr>
                    <w:t>主体工程</w:t>
                  </w:r>
                </w:p>
              </w:tc>
              <w:tc>
                <w:tcPr>
                  <w:tcW w:w="1308" w:type="dxa"/>
                  <w:noWrap w:val="0"/>
                  <w:vAlign w:val="center"/>
                </w:tcPr>
                <w:p w14:paraId="386323FF">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lang w:val="en-US"/>
                    </w:rPr>
                  </w:pPr>
                  <w:r>
                    <w:rPr>
                      <w:rFonts w:hint="default" w:ascii="Times New Roman" w:hAnsi="Times New Roman" w:eastAsia="宋体" w:cs="Times New Roman"/>
                      <w:snapToGrid w:val="0"/>
                      <w:color w:val="auto"/>
                      <w:spacing w:val="0"/>
                      <w:sz w:val="21"/>
                      <w:szCs w:val="21"/>
                      <w:highlight w:val="none"/>
                      <w:lang w:val="en-US" w:eastAsia="zh-CN"/>
                    </w:rPr>
                    <w:t>锅炉房</w:t>
                  </w:r>
                </w:p>
              </w:tc>
              <w:tc>
                <w:tcPr>
                  <w:tcW w:w="4634" w:type="dxa"/>
                  <w:noWrap w:val="0"/>
                  <w:vAlign w:val="center"/>
                </w:tcPr>
                <w:p w14:paraId="20C4F1E8">
                  <w:pPr>
                    <w:keepNext w:val="0"/>
                    <w:keepLines w:val="0"/>
                    <w:pageBreakBefore w:val="0"/>
                    <w:kinsoku/>
                    <w:wordWrap/>
                    <w:overflowPunct/>
                    <w:topLinePunct w:val="0"/>
                    <w:autoSpaceDE/>
                    <w:autoSpaceDN/>
                    <w:bidi w:val="0"/>
                    <w:spacing w:line="240" w:lineRule="auto"/>
                    <w:ind w:left="0" w:leftChars="0" w:right="0" w:firstLine="0" w:firstLineChars="0"/>
                    <w:jc w:val="left"/>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锅炉房为1层地上建筑结构，建筑面积为</w:t>
                  </w:r>
                  <w:r>
                    <w:rPr>
                      <w:rFonts w:hint="default" w:ascii="Times New Roman" w:hAnsi="Times New Roman" w:cs="Times New Roman"/>
                      <w:snapToGrid w:val="0"/>
                      <w:color w:val="auto"/>
                      <w:spacing w:val="0"/>
                      <w:sz w:val="21"/>
                      <w:szCs w:val="21"/>
                      <w:highlight w:val="none"/>
                      <w:lang w:val="en-US" w:eastAsia="zh-CN"/>
                    </w:rPr>
                    <w:t>7</w:t>
                  </w:r>
                  <w:r>
                    <w:rPr>
                      <w:rFonts w:hint="default" w:ascii="Times New Roman" w:hAnsi="Times New Roman" w:eastAsia="宋体" w:cs="Times New Roman"/>
                      <w:snapToGrid w:val="0"/>
                      <w:color w:val="auto"/>
                      <w:spacing w:val="0"/>
                      <w:sz w:val="21"/>
                      <w:szCs w:val="21"/>
                      <w:highlight w:val="none"/>
                      <w:lang w:val="en-US" w:eastAsia="zh-CN"/>
                    </w:rPr>
                    <w:t>00m</w:t>
                  </w:r>
                  <w:r>
                    <w:rPr>
                      <w:rFonts w:hint="default" w:ascii="Times New Roman" w:hAnsi="Times New Roman" w:eastAsia="宋体" w:cs="Times New Roman"/>
                      <w:snapToGrid w:val="0"/>
                      <w:color w:val="auto"/>
                      <w:spacing w:val="0"/>
                      <w:sz w:val="21"/>
                      <w:szCs w:val="21"/>
                      <w:highlight w:val="none"/>
                      <w:vertAlign w:val="superscript"/>
                      <w:lang w:val="en-US" w:eastAsia="zh-CN"/>
                    </w:rPr>
                    <w:t>2</w:t>
                  </w:r>
                  <w:r>
                    <w:rPr>
                      <w:rFonts w:hint="default" w:ascii="Times New Roman" w:hAnsi="Times New Roman" w:eastAsia="宋体" w:cs="Times New Roman"/>
                      <w:snapToGrid w:val="0"/>
                      <w:color w:val="auto"/>
                      <w:spacing w:val="0"/>
                      <w:sz w:val="21"/>
                      <w:szCs w:val="21"/>
                      <w:highlight w:val="none"/>
                      <w:lang w:val="en-US" w:eastAsia="zh-CN"/>
                    </w:rPr>
                    <w:t>。利用现有锅炉房进行改建。新增1台</w:t>
                  </w:r>
                  <w:r>
                    <w:rPr>
                      <w:rFonts w:hint="default" w:ascii="Times New Roman" w:hAnsi="Times New Roman" w:cs="Times New Roman"/>
                      <w:snapToGrid w:val="0"/>
                      <w:color w:val="auto"/>
                      <w:spacing w:val="0"/>
                      <w:sz w:val="21"/>
                      <w:szCs w:val="21"/>
                      <w:highlight w:val="none"/>
                      <w:lang w:val="en-US" w:eastAsia="zh-CN"/>
                    </w:rPr>
                    <w:t>10t/h</w:t>
                  </w:r>
                  <w:r>
                    <w:rPr>
                      <w:rFonts w:hint="default" w:ascii="Times New Roman" w:hAnsi="Times New Roman" w:eastAsia="宋体" w:cs="Times New Roman"/>
                      <w:snapToGrid w:val="0"/>
                      <w:color w:val="auto"/>
                      <w:spacing w:val="0"/>
                      <w:sz w:val="21"/>
                      <w:szCs w:val="21"/>
                      <w:highlight w:val="none"/>
                      <w:lang w:val="en-US" w:eastAsia="zh-CN"/>
                    </w:rPr>
                    <w:t>的</w:t>
                  </w:r>
                  <w:r>
                    <w:rPr>
                      <w:rFonts w:hint="default" w:ascii="Times New Roman" w:hAnsi="Times New Roman" w:cs="Times New Roman"/>
                      <w:color w:val="auto"/>
                      <w:spacing w:val="0"/>
                      <w:sz w:val="21"/>
                      <w:szCs w:val="21"/>
                      <w:highlight w:val="none"/>
                      <w:lang w:val="en-US" w:eastAsia="zh-CN"/>
                    </w:rPr>
                    <w:t>燃生物质蒸汽锅炉</w:t>
                  </w:r>
                  <w:r>
                    <w:rPr>
                      <w:rFonts w:hint="default" w:ascii="Times New Roman" w:hAnsi="Times New Roman" w:eastAsia="宋体" w:cs="Times New Roman"/>
                      <w:snapToGrid w:val="0"/>
                      <w:color w:val="auto"/>
                      <w:spacing w:val="0"/>
                      <w:sz w:val="21"/>
                      <w:szCs w:val="21"/>
                      <w:highlight w:val="none"/>
                      <w:lang w:val="en-US" w:eastAsia="zh-CN"/>
                    </w:rPr>
                    <w:t>用于生产供热</w:t>
                  </w:r>
                  <w:r>
                    <w:rPr>
                      <w:rFonts w:hint="default" w:ascii="Times New Roman" w:hAnsi="Times New Roman" w:cs="Times New Roman"/>
                      <w:color w:val="auto"/>
                      <w:spacing w:val="0"/>
                      <w:sz w:val="21"/>
                      <w:szCs w:val="21"/>
                      <w:highlight w:val="none"/>
                      <w:lang w:val="en-US" w:eastAsia="zh-CN"/>
                    </w:rPr>
                    <w:t>，炉型为链条炉排炉</w:t>
                  </w:r>
                  <w:r>
                    <w:rPr>
                      <w:rFonts w:hint="default" w:ascii="Times New Roman" w:hAnsi="Times New Roman" w:eastAsia="宋体" w:cs="Times New Roman"/>
                      <w:snapToGrid w:val="0"/>
                      <w:color w:val="auto"/>
                      <w:spacing w:val="0"/>
                      <w:sz w:val="21"/>
                      <w:szCs w:val="21"/>
                      <w:highlight w:val="none"/>
                      <w:lang w:val="en-US" w:eastAsia="zh-CN"/>
                    </w:rPr>
                    <w:t>，锅炉年供热时间</w:t>
                  </w:r>
                  <w:r>
                    <w:rPr>
                      <w:rFonts w:hint="default" w:ascii="Times New Roman" w:hAnsi="Times New Roman" w:cs="Times New Roman"/>
                      <w:snapToGrid w:val="0"/>
                      <w:color w:val="auto"/>
                      <w:spacing w:val="0"/>
                      <w:sz w:val="21"/>
                      <w:szCs w:val="21"/>
                      <w:highlight w:val="none"/>
                      <w:lang w:val="en-US" w:eastAsia="zh-CN"/>
                    </w:rPr>
                    <w:t>300</w:t>
                  </w:r>
                  <w:r>
                    <w:rPr>
                      <w:rFonts w:hint="default" w:ascii="Times New Roman" w:hAnsi="Times New Roman" w:eastAsia="宋体" w:cs="Times New Roman"/>
                      <w:snapToGrid w:val="0"/>
                      <w:color w:val="auto"/>
                      <w:spacing w:val="0"/>
                      <w:sz w:val="21"/>
                      <w:szCs w:val="21"/>
                      <w:highlight w:val="none"/>
                      <w:lang w:val="en-US" w:eastAsia="zh-CN"/>
                    </w:rPr>
                    <w:t>天。</w:t>
                  </w:r>
                </w:p>
              </w:tc>
              <w:tc>
                <w:tcPr>
                  <w:tcW w:w="1169" w:type="dxa"/>
                  <w:noWrap w:val="0"/>
                  <w:vAlign w:val="center"/>
                </w:tcPr>
                <w:p w14:paraId="1FB4787E">
                  <w:pPr>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依托现有锅炉房</w:t>
                  </w:r>
                  <w:r>
                    <w:rPr>
                      <w:rFonts w:hint="default" w:ascii="Times New Roman" w:hAnsi="Times New Roman" w:cs="Times New Roman"/>
                      <w:snapToGrid w:val="0"/>
                      <w:color w:val="auto"/>
                      <w:spacing w:val="0"/>
                      <w:sz w:val="21"/>
                      <w:szCs w:val="21"/>
                      <w:highlight w:val="none"/>
                      <w:lang w:val="en-US" w:eastAsia="zh-CN"/>
                    </w:rPr>
                    <w:t>建设</w:t>
                  </w:r>
                </w:p>
              </w:tc>
            </w:tr>
            <w:tr w14:paraId="1BB96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39" w:type="dxa"/>
                  <w:vMerge w:val="restart"/>
                  <w:noWrap w:val="0"/>
                  <w:vAlign w:val="center"/>
                </w:tcPr>
                <w:p w14:paraId="14D52F0F">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rPr>
                  </w:pPr>
                  <w:r>
                    <w:rPr>
                      <w:rFonts w:hint="default" w:ascii="Times New Roman" w:hAnsi="Times New Roman" w:eastAsia="宋体" w:cs="Times New Roman"/>
                      <w:snapToGrid w:val="0"/>
                      <w:color w:val="auto"/>
                      <w:spacing w:val="0"/>
                      <w:sz w:val="21"/>
                      <w:szCs w:val="21"/>
                      <w:highlight w:val="none"/>
                      <w:lang w:val="en-US"/>
                    </w:rPr>
                    <w:t>储运工程</w:t>
                  </w:r>
                </w:p>
              </w:tc>
              <w:tc>
                <w:tcPr>
                  <w:tcW w:w="1308" w:type="dxa"/>
                  <w:noWrap w:val="0"/>
                  <w:vAlign w:val="center"/>
                </w:tcPr>
                <w:p w14:paraId="093C90EB">
                  <w:pPr>
                    <w:pStyle w:val="111"/>
                    <w:keepNext w:val="0"/>
                    <w:keepLines w:val="0"/>
                    <w:pageBreakBefore w:val="0"/>
                    <w:widowControl w:val="0"/>
                    <w:kinsoku/>
                    <w:wordWrap/>
                    <w:overflowPunct/>
                    <w:topLinePunct w:val="0"/>
                    <w:autoSpaceDE/>
                    <w:autoSpaceDN/>
                    <w:bidi w:val="0"/>
                    <w:adjustRightInd/>
                    <w:snapToGrid/>
                    <w:spacing w:line="240" w:lineRule="auto"/>
                    <w:ind w:right="113" w:rightChars="0" w:firstLine="0" w:firstLineChars="0"/>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color w:val="auto"/>
                      <w:highlight w:val="none"/>
                      <w:lang w:eastAsia="zh-CN"/>
                    </w:rPr>
                    <w:t>燃料</w:t>
                  </w:r>
                  <w:r>
                    <w:rPr>
                      <w:rFonts w:hint="default" w:ascii="Times New Roman" w:hAnsi="Times New Roman" w:eastAsia="宋体" w:cs="Times New Roman"/>
                      <w:color w:val="auto"/>
                      <w:highlight w:val="none"/>
                      <w:lang w:val="en-US" w:eastAsia="zh-CN"/>
                    </w:rPr>
                    <w:t>存储间</w:t>
                  </w:r>
                </w:p>
              </w:tc>
              <w:tc>
                <w:tcPr>
                  <w:tcW w:w="4634" w:type="dxa"/>
                  <w:noWrap w:val="0"/>
                  <w:vAlign w:val="center"/>
                </w:tcPr>
                <w:p w14:paraId="61E0DF56">
                  <w:pPr>
                    <w:pStyle w:val="11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113" w:rightChars="0" w:firstLine="0" w:firstLineChars="0"/>
                    <w:jc w:val="left"/>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color w:val="auto"/>
                      <w:highlight w:val="none"/>
                      <w:lang w:val="en-US" w:eastAsia="zh-CN"/>
                    </w:rPr>
                    <w:t>建筑面积2500m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vertAlign w:val="baseline"/>
                      <w:lang w:val="en-US" w:eastAsia="zh-CN"/>
                    </w:rPr>
                    <w:t>，</w:t>
                  </w:r>
                  <w:r>
                    <w:rPr>
                      <w:rFonts w:hint="default" w:ascii="Times New Roman" w:hAnsi="Times New Roman" w:cs="Times New Roman"/>
                      <w:color w:val="auto"/>
                      <w:highlight w:val="none"/>
                      <w:lang w:val="en-US" w:eastAsia="zh-CN"/>
                    </w:rPr>
                    <w:t>储存能力为5000t。</w:t>
                  </w:r>
                </w:p>
              </w:tc>
              <w:tc>
                <w:tcPr>
                  <w:tcW w:w="1169" w:type="dxa"/>
                  <w:noWrap w:val="0"/>
                  <w:vAlign w:val="center"/>
                </w:tcPr>
                <w:p w14:paraId="66797809">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依托原有</w:t>
                  </w:r>
                </w:p>
              </w:tc>
            </w:tr>
            <w:tr w14:paraId="4442F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39" w:type="dxa"/>
                  <w:vMerge w:val="continue"/>
                  <w:noWrap w:val="0"/>
                  <w:vAlign w:val="center"/>
                </w:tcPr>
                <w:p w14:paraId="6289EF75">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lang w:val="en-US"/>
                    </w:rPr>
                  </w:pPr>
                </w:p>
              </w:tc>
              <w:tc>
                <w:tcPr>
                  <w:tcW w:w="1308" w:type="dxa"/>
                  <w:noWrap w:val="0"/>
                  <w:vAlign w:val="center"/>
                </w:tcPr>
                <w:p w14:paraId="5E632B85">
                  <w:pPr>
                    <w:pStyle w:val="111"/>
                    <w:keepNext w:val="0"/>
                    <w:keepLines w:val="0"/>
                    <w:pageBreakBefore w:val="0"/>
                    <w:widowControl w:val="0"/>
                    <w:kinsoku/>
                    <w:wordWrap/>
                    <w:overflowPunct/>
                    <w:topLinePunct w:val="0"/>
                    <w:autoSpaceDE/>
                    <w:autoSpaceDN/>
                    <w:bidi w:val="0"/>
                    <w:adjustRightInd/>
                    <w:snapToGrid/>
                    <w:spacing w:line="240" w:lineRule="auto"/>
                    <w:ind w:right="113" w:rightChars="0" w:firstLine="0" w:firstLineChars="0"/>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cs="Times New Roman"/>
                      <w:color w:val="auto"/>
                      <w:highlight w:val="none"/>
                      <w:lang w:val="en-US" w:eastAsia="zh-CN"/>
                    </w:rPr>
                    <w:t>灰渣库</w:t>
                  </w:r>
                </w:p>
              </w:tc>
              <w:tc>
                <w:tcPr>
                  <w:tcW w:w="4634" w:type="dxa"/>
                  <w:noWrap w:val="0"/>
                  <w:vAlign w:val="center"/>
                </w:tcPr>
                <w:p w14:paraId="4793FE05">
                  <w:pPr>
                    <w:pStyle w:val="111"/>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113" w:rightChars="0" w:firstLine="0" w:firstLineChars="0"/>
                    <w:jc w:val="left"/>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color w:val="auto"/>
                      <w:highlight w:val="none"/>
                      <w:lang w:val="en-US" w:eastAsia="zh-CN"/>
                    </w:rPr>
                    <w:t>建筑面积40m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vertAlign w:val="baseline"/>
                      <w:lang w:val="en-US" w:eastAsia="zh-CN"/>
                    </w:rPr>
                    <w:t>，储存能力80t，每2天转运一次。</w:t>
                  </w:r>
                </w:p>
              </w:tc>
              <w:tc>
                <w:tcPr>
                  <w:tcW w:w="1169" w:type="dxa"/>
                  <w:noWrap w:val="0"/>
                  <w:vAlign w:val="center"/>
                </w:tcPr>
                <w:p w14:paraId="6084263E">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依托原有</w:t>
                  </w:r>
                </w:p>
              </w:tc>
            </w:tr>
            <w:tr w14:paraId="07935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39" w:type="dxa"/>
                  <w:vMerge w:val="continue"/>
                  <w:noWrap w:val="0"/>
                  <w:vAlign w:val="center"/>
                </w:tcPr>
                <w:p w14:paraId="191EC736">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lang w:val="en-US"/>
                    </w:rPr>
                  </w:pPr>
                </w:p>
              </w:tc>
              <w:tc>
                <w:tcPr>
                  <w:tcW w:w="1308" w:type="dxa"/>
                  <w:noWrap w:val="0"/>
                  <w:vAlign w:val="center"/>
                </w:tcPr>
                <w:p w14:paraId="5814CAFD">
                  <w:pPr>
                    <w:pStyle w:val="111"/>
                    <w:spacing w:line="240" w:lineRule="auto"/>
                    <w:ind w:right="113" w:rightChars="0" w:firstLine="0" w:firstLineChars="0"/>
                    <w:rPr>
                      <w:rFonts w:hint="default" w:ascii="Times New Roman" w:hAnsi="Times New Roman" w:eastAsia="宋体" w:cs="Times New Roman"/>
                      <w:snapToGrid w:val="0"/>
                      <w:color w:val="auto"/>
                      <w:spacing w:val="0"/>
                      <w:sz w:val="21"/>
                      <w:szCs w:val="21"/>
                      <w:highlight w:val="none"/>
                      <w:lang w:val="en-US" w:eastAsia="zh-CN"/>
                    </w:rPr>
                  </w:pPr>
                  <w:r>
                    <w:rPr>
                      <w:rFonts w:hint="eastAsia" w:cs="Times New Roman"/>
                      <w:color w:val="auto"/>
                      <w:highlight w:val="none"/>
                      <w:lang w:eastAsia="zh-CN"/>
                    </w:rPr>
                    <w:t>危险废物贮存点</w:t>
                  </w:r>
                </w:p>
              </w:tc>
              <w:tc>
                <w:tcPr>
                  <w:tcW w:w="4634" w:type="dxa"/>
                  <w:noWrap w:val="0"/>
                  <w:vAlign w:val="center"/>
                </w:tcPr>
                <w:p w14:paraId="36587545">
                  <w:pPr>
                    <w:spacing w:line="240" w:lineRule="auto"/>
                    <w:ind w:left="0" w:leftChars="0" w:firstLine="0" w:firstLineChars="0"/>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cs="Times New Roman"/>
                      <w:color w:val="auto"/>
                      <w:sz w:val="21"/>
                      <w:szCs w:val="21"/>
                      <w:highlight w:val="none"/>
                    </w:rPr>
                    <w:t>本项目危险废物为废润滑油</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pacing w:val="7"/>
                      <w:sz w:val="21"/>
                      <w:szCs w:val="21"/>
                      <w:highlight w:val="none"/>
                      <w:lang w:val="en-US" w:eastAsia="zh-CN"/>
                    </w:rPr>
                    <w:t>废含油抹布</w:t>
                  </w:r>
                  <w:r>
                    <w:rPr>
                      <w:rFonts w:hint="default" w:ascii="Times New Roman" w:hAnsi="Times New Roman" w:cs="Times New Roman"/>
                      <w:color w:val="auto"/>
                      <w:kern w:val="1"/>
                      <w:sz w:val="21"/>
                      <w:szCs w:val="21"/>
                      <w:highlight w:val="none"/>
                      <w:lang w:val="en-US" w:eastAsia="zh-CN"/>
                    </w:rPr>
                    <w:t>暂存于</w:t>
                  </w:r>
                  <w:r>
                    <w:rPr>
                      <w:rFonts w:hint="eastAsia" w:ascii="Times New Roman" w:hAnsi="Times New Roman" w:cs="Times New Roman"/>
                      <w:color w:val="auto"/>
                      <w:sz w:val="21"/>
                      <w:szCs w:val="21"/>
                      <w:highlight w:val="none"/>
                      <w:lang w:eastAsia="zh-CN"/>
                    </w:rPr>
                    <w:t>危险废物贮存点</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建筑</w:t>
                  </w:r>
                  <w:r>
                    <w:rPr>
                      <w:rFonts w:hint="default" w:ascii="Times New Roman" w:hAnsi="Times New Roman" w:cs="Times New Roman"/>
                      <w:color w:val="auto"/>
                      <w:sz w:val="21"/>
                      <w:szCs w:val="21"/>
                      <w:highlight w:val="none"/>
                    </w:rPr>
                    <w:t>面积</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，贮存能力为</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t。</w:t>
                  </w:r>
                </w:p>
              </w:tc>
              <w:tc>
                <w:tcPr>
                  <w:tcW w:w="1169" w:type="dxa"/>
                  <w:noWrap w:val="0"/>
                  <w:vAlign w:val="center"/>
                </w:tcPr>
                <w:p w14:paraId="0EAB595B">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新建</w:t>
                  </w:r>
                </w:p>
              </w:tc>
            </w:tr>
            <w:tr w14:paraId="11ECA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39" w:type="dxa"/>
                  <w:vMerge w:val="restart"/>
                  <w:noWrap w:val="0"/>
                  <w:vAlign w:val="center"/>
                </w:tcPr>
                <w:p w14:paraId="2B194493">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rPr>
                  </w:pPr>
                  <w:r>
                    <w:rPr>
                      <w:rFonts w:hint="default" w:ascii="Times New Roman" w:hAnsi="Times New Roman" w:eastAsia="宋体" w:cs="Times New Roman"/>
                      <w:snapToGrid w:val="0"/>
                      <w:color w:val="auto"/>
                      <w:spacing w:val="0"/>
                      <w:sz w:val="21"/>
                      <w:szCs w:val="21"/>
                      <w:highlight w:val="none"/>
                    </w:rPr>
                    <w:t>公用工程</w:t>
                  </w:r>
                </w:p>
              </w:tc>
              <w:tc>
                <w:tcPr>
                  <w:tcW w:w="1308" w:type="dxa"/>
                  <w:shd w:val="clear" w:color="auto" w:fill="auto"/>
                  <w:noWrap w:val="0"/>
                  <w:vAlign w:val="center"/>
                </w:tcPr>
                <w:p w14:paraId="0E644208">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Cs w:val="0"/>
                      <w:color w:val="auto"/>
                      <w:kern w:val="0"/>
                      <w:sz w:val="21"/>
                      <w:szCs w:val="21"/>
                      <w:highlight w:val="none"/>
                      <w:lang w:val="zh-CN" w:eastAsia="zh-CN" w:bidi="ar-SA"/>
                    </w:rPr>
                  </w:pPr>
                  <w:r>
                    <w:rPr>
                      <w:rFonts w:hint="default" w:ascii="Times New Roman" w:hAnsi="Times New Roman" w:eastAsia="宋体" w:cs="Times New Roman"/>
                      <w:bCs w:val="0"/>
                      <w:color w:val="auto"/>
                      <w:kern w:val="0"/>
                      <w:sz w:val="21"/>
                      <w:szCs w:val="21"/>
                      <w:highlight w:val="none"/>
                      <w:lang w:val="en-US" w:eastAsia="zh-CN" w:bidi="ar-SA"/>
                    </w:rPr>
                    <w:t>给水</w:t>
                  </w:r>
                </w:p>
              </w:tc>
              <w:tc>
                <w:tcPr>
                  <w:tcW w:w="4634" w:type="dxa"/>
                  <w:shd w:val="clear" w:color="auto" w:fill="auto"/>
                  <w:noWrap w:val="0"/>
                  <w:vAlign w:val="center"/>
                </w:tcPr>
                <w:p w14:paraId="23701C57">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bCs w:val="0"/>
                      <w:color w:val="auto"/>
                      <w:kern w:val="0"/>
                      <w:sz w:val="21"/>
                      <w:szCs w:val="21"/>
                      <w:highlight w:val="none"/>
                      <w:lang w:val="en-US" w:eastAsia="zh-CN" w:bidi="ar-SA"/>
                    </w:rPr>
                  </w:pPr>
                  <w:r>
                    <w:rPr>
                      <w:rFonts w:hint="default" w:ascii="Times New Roman" w:hAnsi="Times New Roman" w:eastAsia="宋体" w:cs="Times New Roman"/>
                      <w:bCs w:val="0"/>
                      <w:color w:val="auto"/>
                      <w:kern w:val="0"/>
                      <w:sz w:val="21"/>
                      <w:szCs w:val="21"/>
                      <w:highlight w:val="none"/>
                      <w:lang w:val="en-US" w:eastAsia="zh-CN" w:bidi="ar-SA"/>
                    </w:rPr>
                    <w:t>本项目给水</w:t>
                  </w:r>
                  <w:r>
                    <w:rPr>
                      <w:rFonts w:hint="default" w:ascii="Times New Roman" w:hAnsi="Times New Roman" w:cs="Times New Roman"/>
                      <w:bCs w:val="0"/>
                      <w:color w:val="auto"/>
                      <w:kern w:val="0"/>
                      <w:sz w:val="21"/>
                      <w:szCs w:val="21"/>
                      <w:highlight w:val="none"/>
                      <w:lang w:val="en-US" w:eastAsia="zh-CN" w:bidi="ar-SA"/>
                    </w:rPr>
                    <w:t>依托</w:t>
                  </w:r>
                  <w:r>
                    <w:rPr>
                      <w:rFonts w:hint="default" w:ascii="Times New Roman" w:hAnsi="Times New Roman" w:cs="Times New Roman"/>
                      <w:b w:val="0"/>
                      <w:bCs/>
                      <w:i w:val="0"/>
                      <w:iCs w:val="0"/>
                      <w:color w:val="auto"/>
                      <w:sz w:val="21"/>
                      <w:szCs w:val="21"/>
                      <w:highlight w:val="none"/>
                      <w:lang w:val="en-US" w:eastAsia="zh-CN"/>
                    </w:rPr>
                    <w:t>厂区原有1</w:t>
                  </w:r>
                  <w:r>
                    <w:rPr>
                      <w:rFonts w:hint="default" w:ascii="Times New Roman" w:hAnsi="Times New Roman" w:eastAsia="宋体" w:cs="Times New Roman"/>
                      <w:b w:val="0"/>
                      <w:bCs/>
                      <w:i w:val="0"/>
                      <w:iCs w:val="0"/>
                      <w:color w:val="auto"/>
                      <w:sz w:val="21"/>
                      <w:szCs w:val="21"/>
                      <w:highlight w:val="none"/>
                    </w:rPr>
                    <w:t>眼深水井及泵房等附属给水设施，单井出水能力最大可达100t/h，可满足本项目区生产、生活用水需要</w:t>
                  </w:r>
                  <w:r>
                    <w:rPr>
                      <w:rFonts w:hint="default" w:ascii="Times New Roman" w:hAnsi="Times New Roman" w:cs="Times New Roman"/>
                      <w:b w:val="0"/>
                      <w:bCs/>
                      <w:i w:val="0"/>
                      <w:iCs w:val="0"/>
                      <w:color w:val="auto"/>
                      <w:sz w:val="21"/>
                      <w:szCs w:val="21"/>
                      <w:highlight w:val="none"/>
                      <w:lang w:eastAsia="zh-CN"/>
                    </w:rPr>
                    <w:t>。</w:t>
                  </w:r>
                </w:p>
              </w:tc>
              <w:tc>
                <w:tcPr>
                  <w:tcW w:w="1169" w:type="dxa"/>
                  <w:shd w:val="clear" w:color="auto" w:fill="auto"/>
                  <w:noWrap w:val="0"/>
                  <w:vAlign w:val="center"/>
                </w:tcPr>
                <w:p w14:paraId="3BD61875">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r>
                    <w:rPr>
                      <w:rFonts w:hint="default" w:ascii="Times New Roman" w:hAnsi="Times New Roman" w:eastAsia="宋体" w:cs="Times New Roman"/>
                      <w:bCs w:val="0"/>
                      <w:color w:val="auto"/>
                      <w:kern w:val="0"/>
                      <w:sz w:val="21"/>
                      <w:szCs w:val="21"/>
                      <w:highlight w:val="none"/>
                      <w:lang w:val="en-US" w:eastAsia="zh-CN" w:bidi="ar-SA"/>
                    </w:rPr>
                    <w:t>依托</w:t>
                  </w:r>
                </w:p>
              </w:tc>
            </w:tr>
            <w:tr w14:paraId="34DD46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39" w:type="dxa"/>
                  <w:vMerge w:val="continue"/>
                  <w:noWrap w:val="0"/>
                  <w:vAlign w:val="center"/>
                </w:tcPr>
                <w:p w14:paraId="3C03A056">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rPr>
                  </w:pPr>
                </w:p>
              </w:tc>
              <w:tc>
                <w:tcPr>
                  <w:tcW w:w="1308" w:type="dxa"/>
                  <w:shd w:val="clear" w:color="auto" w:fill="auto"/>
                  <w:noWrap w:val="0"/>
                  <w:vAlign w:val="center"/>
                </w:tcPr>
                <w:p w14:paraId="4DA2906B">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r>
                    <w:rPr>
                      <w:rFonts w:hint="default" w:ascii="Times New Roman" w:hAnsi="Times New Roman" w:eastAsia="宋体" w:cs="Times New Roman"/>
                      <w:bCs w:val="0"/>
                      <w:color w:val="auto"/>
                      <w:kern w:val="0"/>
                      <w:sz w:val="21"/>
                      <w:szCs w:val="21"/>
                      <w:highlight w:val="none"/>
                      <w:lang w:val="en-US" w:eastAsia="zh-CN" w:bidi="ar-SA"/>
                    </w:rPr>
                    <w:t>排水</w:t>
                  </w:r>
                </w:p>
              </w:tc>
              <w:tc>
                <w:tcPr>
                  <w:tcW w:w="4634" w:type="dxa"/>
                  <w:shd w:val="clear" w:color="auto" w:fill="auto"/>
                  <w:noWrap w:val="0"/>
                  <w:vAlign w:val="center"/>
                </w:tcPr>
                <w:p w14:paraId="22C8375F">
                  <w:pPr>
                    <w:pStyle w:val="29"/>
                    <w:keepNext w:val="0"/>
                    <w:keepLines w:val="0"/>
                    <w:pageBreakBefore w:val="0"/>
                    <w:kinsoku/>
                    <w:wordWrap/>
                    <w:overflowPunct/>
                    <w:topLinePunct w:val="0"/>
                    <w:bidi w:val="0"/>
                    <w:adjustRightInd w:val="0"/>
                    <w:snapToGrid w:val="0"/>
                    <w:spacing w:line="240" w:lineRule="auto"/>
                    <w:ind w:firstLine="0" w:firstLineChars="0"/>
                    <w:contextualSpacing/>
                    <w:jc w:val="left"/>
                    <w:textAlignment w:val="auto"/>
                    <w:rPr>
                      <w:rFonts w:hint="default" w:ascii="Times New Roman" w:hAnsi="Times New Roman" w:eastAsia="宋体" w:cs="Times New Roman"/>
                      <w:bCs w:val="0"/>
                      <w:color w:val="auto"/>
                      <w:kern w:val="0"/>
                      <w:sz w:val="21"/>
                      <w:szCs w:val="21"/>
                      <w:highlight w:val="none"/>
                      <w:lang w:val="en-US" w:eastAsia="zh-CN" w:bidi="ar-SA"/>
                    </w:rPr>
                  </w:pPr>
                  <w:r>
                    <w:rPr>
                      <w:rFonts w:hint="default" w:ascii="Times New Roman" w:hAnsi="Times New Roman" w:eastAsia="宋体" w:cs="Times New Roman"/>
                      <w:bCs w:val="0"/>
                      <w:color w:val="auto"/>
                      <w:kern w:val="0"/>
                      <w:sz w:val="21"/>
                      <w:szCs w:val="21"/>
                      <w:highlight w:val="none"/>
                      <w:lang w:val="en-US" w:eastAsia="zh-CN" w:bidi="ar-SA"/>
                    </w:rPr>
                    <w:t>本项目员工无新增，厂区无新增生活污水，无生活废水产生，本项目锅炉排污水及软化处理废水用于锅炉除渣加湿和锅炉间地面洒水降尘，不外排。</w:t>
                  </w:r>
                </w:p>
              </w:tc>
              <w:tc>
                <w:tcPr>
                  <w:tcW w:w="1169" w:type="dxa"/>
                  <w:shd w:val="clear" w:color="auto" w:fill="auto"/>
                  <w:noWrap w:val="0"/>
                  <w:vAlign w:val="center"/>
                </w:tcPr>
                <w:p w14:paraId="05694583">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r>
                    <w:rPr>
                      <w:rFonts w:hint="default" w:ascii="Times New Roman" w:hAnsi="Times New Roman" w:eastAsia="宋体" w:cs="Times New Roman"/>
                      <w:bCs w:val="0"/>
                      <w:color w:val="auto"/>
                      <w:kern w:val="0"/>
                      <w:sz w:val="21"/>
                      <w:szCs w:val="21"/>
                      <w:highlight w:val="none"/>
                      <w:lang w:val="en-US" w:eastAsia="zh-CN" w:bidi="ar-SA"/>
                    </w:rPr>
                    <w:t>新建</w:t>
                  </w:r>
                </w:p>
              </w:tc>
            </w:tr>
            <w:tr w14:paraId="2BB2F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39" w:type="dxa"/>
                  <w:vMerge w:val="continue"/>
                  <w:noWrap w:val="0"/>
                  <w:vAlign w:val="center"/>
                </w:tcPr>
                <w:p w14:paraId="3BF74109">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rPr>
                  </w:pPr>
                </w:p>
              </w:tc>
              <w:tc>
                <w:tcPr>
                  <w:tcW w:w="1308" w:type="dxa"/>
                  <w:shd w:val="clear" w:color="auto" w:fill="auto"/>
                  <w:noWrap w:val="0"/>
                  <w:vAlign w:val="center"/>
                </w:tcPr>
                <w:p w14:paraId="4C8DB1D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r>
                    <w:rPr>
                      <w:rFonts w:hint="default" w:ascii="Times New Roman" w:hAnsi="Times New Roman" w:eastAsia="宋体" w:cs="Times New Roman"/>
                      <w:bCs w:val="0"/>
                      <w:color w:val="auto"/>
                      <w:kern w:val="0"/>
                      <w:sz w:val="21"/>
                      <w:szCs w:val="21"/>
                      <w:highlight w:val="none"/>
                      <w:lang w:val="en-US" w:eastAsia="zh-CN" w:bidi="ar-SA"/>
                    </w:rPr>
                    <w:t>供热</w:t>
                  </w:r>
                </w:p>
              </w:tc>
              <w:tc>
                <w:tcPr>
                  <w:tcW w:w="4634" w:type="dxa"/>
                  <w:shd w:val="clear" w:color="auto" w:fill="auto"/>
                  <w:noWrap w:val="0"/>
                  <w:vAlign w:val="center"/>
                </w:tcPr>
                <w:p w14:paraId="4E0E3C98">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Cs w:val="0"/>
                      <w:color w:val="auto"/>
                      <w:kern w:val="0"/>
                      <w:sz w:val="21"/>
                      <w:szCs w:val="21"/>
                      <w:highlight w:val="none"/>
                      <w:lang w:val="en-US" w:eastAsia="zh-CN" w:bidi="ar-SA"/>
                    </w:rPr>
                  </w:pPr>
                  <w:r>
                    <w:rPr>
                      <w:rFonts w:hint="default" w:ascii="Times New Roman" w:hAnsi="Times New Roman" w:eastAsia="宋体" w:cs="Times New Roman"/>
                      <w:bCs w:val="0"/>
                      <w:color w:val="auto"/>
                      <w:kern w:val="0"/>
                      <w:sz w:val="21"/>
                      <w:szCs w:val="21"/>
                      <w:highlight w:val="none"/>
                      <w:lang w:val="en-US" w:eastAsia="zh-CN" w:bidi="ar-SA"/>
                    </w:rPr>
                    <w:t>本项目设置一台10t/h的燃生物质蒸汽锅炉用于生产供汽</w:t>
                  </w:r>
                  <w:r>
                    <w:rPr>
                      <w:rFonts w:hint="default" w:ascii="Times New Roman" w:hAnsi="Times New Roman" w:cs="Times New Roman"/>
                      <w:bCs w:val="0"/>
                      <w:color w:val="auto"/>
                      <w:kern w:val="0"/>
                      <w:sz w:val="21"/>
                      <w:szCs w:val="21"/>
                      <w:highlight w:val="none"/>
                      <w:lang w:val="en-US" w:eastAsia="zh-CN" w:bidi="ar-SA"/>
                    </w:rPr>
                    <w:t>和车间供暖</w:t>
                  </w:r>
                </w:p>
              </w:tc>
              <w:tc>
                <w:tcPr>
                  <w:tcW w:w="1169" w:type="dxa"/>
                  <w:shd w:val="clear" w:color="auto" w:fill="auto"/>
                  <w:noWrap w:val="0"/>
                  <w:vAlign w:val="center"/>
                </w:tcPr>
                <w:p w14:paraId="4AC9E309">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r>
                    <w:rPr>
                      <w:rFonts w:hint="default" w:ascii="Times New Roman" w:hAnsi="Times New Roman" w:eastAsia="宋体" w:cs="Times New Roman"/>
                      <w:bCs w:val="0"/>
                      <w:color w:val="auto"/>
                      <w:kern w:val="0"/>
                      <w:sz w:val="21"/>
                      <w:szCs w:val="21"/>
                      <w:highlight w:val="none"/>
                      <w:lang w:val="en-US" w:eastAsia="zh-CN" w:bidi="ar-SA"/>
                    </w:rPr>
                    <w:t>新建</w:t>
                  </w:r>
                </w:p>
              </w:tc>
            </w:tr>
            <w:tr w14:paraId="4D3E3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39" w:type="dxa"/>
                  <w:vMerge w:val="continue"/>
                  <w:noWrap w:val="0"/>
                  <w:vAlign w:val="center"/>
                </w:tcPr>
                <w:p w14:paraId="2007EA73">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rPr>
                  </w:pPr>
                </w:p>
              </w:tc>
              <w:tc>
                <w:tcPr>
                  <w:tcW w:w="1308" w:type="dxa"/>
                  <w:shd w:val="clear" w:color="auto" w:fill="auto"/>
                  <w:noWrap w:val="0"/>
                  <w:vAlign w:val="center"/>
                </w:tcPr>
                <w:p w14:paraId="7BDC462F">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r>
                    <w:rPr>
                      <w:rFonts w:hint="default" w:ascii="Times New Roman" w:hAnsi="Times New Roman" w:eastAsia="宋体" w:cs="Times New Roman"/>
                      <w:bCs w:val="0"/>
                      <w:color w:val="auto"/>
                      <w:kern w:val="0"/>
                      <w:sz w:val="21"/>
                      <w:szCs w:val="21"/>
                      <w:highlight w:val="none"/>
                      <w:lang w:val="en-US" w:eastAsia="zh-CN" w:bidi="ar-SA"/>
                    </w:rPr>
                    <w:t>供电</w:t>
                  </w:r>
                </w:p>
              </w:tc>
              <w:tc>
                <w:tcPr>
                  <w:tcW w:w="4634" w:type="dxa"/>
                  <w:shd w:val="clear" w:color="auto" w:fill="auto"/>
                  <w:noWrap w:val="0"/>
                  <w:vAlign w:val="center"/>
                </w:tcPr>
                <w:p w14:paraId="04E4FE00">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bCs w:val="0"/>
                      <w:color w:val="auto"/>
                      <w:kern w:val="0"/>
                      <w:sz w:val="21"/>
                      <w:szCs w:val="21"/>
                      <w:highlight w:val="none"/>
                      <w:lang w:val="en-US" w:eastAsia="zh-CN" w:bidi="ar-SA"/>
                    </w:rPr>
                  </w:pPr>
                  <w:r>
                    <w:rPr>
                      <w:rFonts w:hint="default" w:ascii="Times New Roman" w:hAnsi="Times New Roman" w:eastAsia="宋体" w:cs="Times New Roman"/>
                      <w:bCs w:val="0"/>
                      <w:color w:val="auto"/>
                      <w:kern w:val="0"/>
                      <w:sz w:val="21"/>
                      <w:szCs w:val="21"/>
                      <w:highlight w:val="none"/>
                      <w:lang w:val="en-US" w:eastAsia="zh-CN" w:bidi="ar-SA"/>
                    </w:rPr>
                    <w:t>本项目供电由当地供电局供给</w:t>
                  </w:r>
                </w:p>
              </w:tc>
              <w:tc>
                <w:tcPr>
                  <w:tcW w:w="1169" w:type="dxa"/>
                  <w:shd w:val="clear" w:color="auto" w:fill="auto"/>
                  <w:noWrap w:val="0"/>
                  <w:vAlign w:val="center"/>
                </w:tcPr>
                <w:p w14:paraId="3079FC56">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Cs w:val="0"/>
                      <w:color w:val="auto"/>
                      <w:kern w:val="0"/>
                      <w:sz w:val="21"/>
                      <w:szCs w:val="21"/>
                      <w:highlight w:val="none"/>
                      <w:lang w:val="en-US" w:eastAsia="zh-CN" w:bidi="ar-SA"/>
                    </w:rPr>
                  </w:pPr>
                  <w:r>
                    <w:rPr>
                      <w:rFonts w:hint="default" w:ascii="Times New Roman" w:hAnsi="Times New Roman" w:eastAsia="宋体" w:cs="Times New Roman"/>
                      <w:bCs w:val="0"/>
                      <w:color w:val="auto"/>
                      <w:kern w:val="0"/>
                      <w:sz w:val="21"/>
                      <w:szCs w:val="21"/>
                      <w:highlight w:val="none"/>
                      <w:lang w:val="en-US" w:eastAsia="zh-CN" w:bidi="ar-SA"/>
                    </w:rPr>
                    <w:t>依托</w:t>
                  </w:r>
                </w:p>
              </w:tc>
            </w:tr>
            <w:tr w14:paraId="16A96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39" w:type="dxa"/>
                  <w:vMerge w:val="restart"/>
                  <w:noWrap w:val="0"/>
                  <w:vAlign w:val="center"/>
                </w:tcPr>
                <w:p w14:paraId="6C604E1D">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rPr>
                  </w:pPr>
                  <w:r>
                    <w:rPr>
                      <w:rFonts w:hint="default" w:ascii="Times New Roman" w:hAnsi="Times New Roman" w:eastAsia="宋体" w:cs="Times New Roman"/>
                      <w:snapToGrid w:val="0"/>
                      <w:color w:val="auto"/>
                      <w:spacing w:val="0"/>
                      <w:sz w:val="21"/>
                      <w:szCs w:val="21"/>
                      <w:highlight w:val="none"/>
                    </w:rPr>
                    <w:t>环保工程</w:t>
                  </w:r>
                </w:p>
              </w:tc>
              <w:tc>
                <w:tcPr>
                  <w:tcW w:w="1308" w:type="dxa"/>
                  <w:noWrap w:val="0"/>
                  <w:vAlign w:val="center"/>
                </w:tcPr>
                <w:p w14:paraId="168479FE">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rPr>
                  </w:pPr>
                  <w:r>
                    <w:rPr>
                      <w:rFonts w:hint="default" w:ascii="Times New Roman" w:hAnsi="Times New Roman" w:eastAsia="宋体" w:cs="Times New Roman"/>
                      <w:snapToGrid w:val="0"/>
                      <w:color w:val="auto"/>
                      <w:spacing w:val="0"/>
                      <w:sz w:val="21"/>
                      <w:szCs w:val="21"/>
                      <w:highlight w:val="none"/>
                    </w:rPr>
                    <w:t>废水治理</w:t>
                  </w:r>
                </w:p>
              </w:tc>
              <w:tc>
                <w:tcPr>
                  <w:tcW w:w="4634" w:type="dxa"/>
                  <w:noWrap w:val="0"/>
                  <w:vAlign w:val="center"/>
                </w:tcPr>
                <w:p w14:paraId="086FF8C5">
                  <w:pPr>
                    <w:pStyle w:val="69"/>
                    <w:keepNext w:val="0"/>
                    <w:keepLines w:val="0"/>
                    <w:pageBreakBefore w:val="0"/>
                    <w:kinsoku/>
                    <w:wordWrap/>
                    <w:overflowPunct/>
                    <w:topLinePunct w:val="0"/>
                    <w:autoSpaceDE/>
                    <w:autoSpaceDN/>
                    <w:bidi w:val="0"/>
                    <w:spacing w:line="240" w:lineRule="auto"/>
                    <w:ind w:left="0" w:right="0"/>
                    <w:jc w:val="left"/>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cs="Times New Roman"/>
                      <w:color w:val="auto"/>
                      <w:sz w:val="21"/>
                      <w:szCs w:val="21"/>
                      <w:highlight w:val="none"/>
                      <w:lang w:val="en-US" w:eastAsia="zh-CN"/>
                    </w:rPr>
                    <w:t>员工无新增，厂区无新增生活污水，</w:t>
                  </w:r>
                  <w:r>
                    <w:rPr>
                      <w:rFonts w:hint="default" w:ascii="Times New Roman" w:hAnsi="Times New Roman" w:eastAsia="宋体" w:cs="Times New Roman"/>
                      <w:color w:val="auto"/>
                      <w:sz w:val="21"/>
                      <w:szCs w:val="21"/>
                      <w:highlight w:val="none"/>
                    </w:rPr>
                    <w:t>无生</w:t>
                  </w:r>
                  <w:r>
                    <w:rPr>
                      <w:rFonts w:hint="default" w:ascii="Times New Roman" w:hAnsi="Times New Roman" w:eastAsia="宋体" w:cs="Times New Roman"/>
                      <w:color w:val="auto"/>
                      <w:sz w:val="21"/>
                      <w:szCs w:val="21"/>
                      <w:highlight w:val="none"/>
                      <w:lang w:val="en-US" w:eastAsia="zh-CN"/>
                    </w:rPr>
                    <w:t>活</w:t>
                  </w:r>
                  <w:r>
                    <w:rPr>
                      <w:rFonts w:hint="default" w:ascii="Times New Roman" w:hAnsi="Times New Roman" w:eastAsia="宋体" w:cs="Times New Roman"/>
                      <w:color w:val="auto"/>
                      <w:sz w:val="21"/>
                      <w:szCs w:val="21"/>
                      <w:highlight w:val="none"/>
                    </w:rPr>
                    <w:t>废水产生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本项目</w:t>
                  </w:r>
                  <w:r>
                    <w:rPr>
                      <w:rFonts w:hint="default" w:ascii="Times New Roman" w:hAnsi="Times New Roman" w:eastAsia="宋体" w:cs="Times New Roman"/>
                      <w:color w:val="auto"/>
                      <w:kern w:val="0"/>
                      <w:sz w:val="21"/>
                      <w:szCs w:val="21"/>
                      <w:highlight w:val="none"/>
                    </w:rPr>
                    <w:t>锅炉排污水及软化处理废水</w:t>
                  </w:r>
                  <w:r>
                    <w:rPr>
                      <w:rFonts w:hint="default" w:ascii="Times New Roman" w:hAnsi="Times New Roman" w:eastAsia="宋体" w:cs="Times New Roman"/>
                      <w:color w:val="auto"/>
                      <w:sz w:val="21"/>
                      <w:szCs w:val="21"/>
                      <w:highlight w:val="none"/>
                    </w:rPr>
                    <w:t>用于锅炉除渣</w:t>
                  </w:r>
                  <w:r>
                    <w:rPr>
                      <w:rFonts w:hint="default" w:ascii="Times New Roman" w:hAnsi="Times New Roman" w:eastAsia="宋体" w:cs="Times New Roman"/>
                      <w:color w:val="auto"/>
                      <w:sz w:val="21"/>
                      <w:szCs w:val="21"/>
                      <w:highlight w:val="none"/>
                      <w:lang w:val="en-US" w:eastAsia="zh-CN"/>
                    </w:rPr>
                    <w:t>加湿</w:t>
                  </w:r>
                  <w:r>
                    <w:rPr>
                      <w:rFonts w:hint="default" w:ascii="Times New Roman" w:hAnsi="Times New Roman" w:eastAsia="宋体" w:cs="Times New Roman"/>
                      <w:color w:val="auto"/>
                      <w:sz w:val="21"/>
                      <w:szCs w:val="21"/>
                      <w:highlight w:val="none"/>
                    </w:rPr>
                    <w:t>和锅炉间地面洒水降尘，不外排。</w:t>
                  </w:r>
                </w:p>
              </w:tc>
              <w:tc>
                <w:tcPr>
                  <w:tcW w:w="1169" w:type="dxa"/>
                  <w:noWrap w:val="0"/>
                  <w:vAlign w:val="center"/>
                </w:tcPr>
                <w:p w14:paraId="5DB2E4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r>
            <w:tr w14:paraId="6F5CA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39" w:type="dxa"/>
                  <w:vMerge w:val="continue"/>
                  <w:noWrap w:val="0"/>
                  <w:vAlign w:val="center"/>
                </w:tcPr>
                <w:p w14:paraId="66BF1709">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rPr>
                  </w:pPr>
                </w:p>
              </w:tc>
              <w:tc>
                <w:tcPr>
                  <w:tcW w:w="1308" w:type="dxa"/>
                  <w:noWrap w:val="0"/>
                  <w:vAlign w:val="center"/>
                </w:tcPr>
                <w:p w14:paraId="5EEC53AC">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lang w:val="en-US"/>
                    </w:rPr>
                  </w:pPr>
                  <w:r>
                    <w:rPr>
                      <w:rFonts w:hint="default" w:ascii="Times New Roman" w:hAnsi="Times New Roman" w:eastAsia="宋体" w:cs="Times New Roman"/>
                      <w:snapToGrid w:val="0"/>
                      <w:color w:val="auto"/>
                      <w:spacing w:val="0"/>
                      <w:sz w:val="21"/>
                      <w:szCs w:val="21"/>
                      <w:highlight w:val="none"/>
                      <w:lang w:val="en-US"/>
                    </w:rPr>
                    <w:t>噪声治理</w:t>
                  </w:r>
                </w:p>
              </w:tc>
              <w:tc>
                <w:tcPr>
                  <w:tcW w:w="4634" w:type="dxa"/>
                  <w:noWrap w:val="0"/>
                  <w:vAlign w:val="center"/>
                </w:tcPr>
                <w:p w14:paraId="27AE00D1">
                  <w:pPr>
                    <w:pStyle w:val="69"/>
                    <w:keepNext w:val="0"/>
                    <w:keepLines w:val="0"/>
                    <w:pageBreakBefore w:val="0"/>
                    <w:kinsoku/>
                    <w:wordWrap/>
                    <w:overflowPunct/>
                    <w:topLinePunct w:val="0"/>
                    <w:autoSpaceDE/>
                    <w:autoSpaceDN/>
                    <w:bidi w:val="0"/>
                    <w:spacing w:line="240" w:lineRule="auto"/>
                    <w:ind w:right="0"/>
                    <w:jc w:val="left"/>
                    <w:textAlignment w:val="auto"/>
                    <w:rPr>
                      <w:rFonts w:hint="default" w:ascii="Times New Roman" w:hAnsi="Times New Roman" w:eastAsia="宋体" w:cs="Times New Roman"/>
                      <w:snapToGrid w:val="0"/>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val="en-US" w:eastAsia="zh-CN"/>
                    </w:rPr>
                    <w:t>主要噪声为锅炉运行产生的噪声，在</w:t>
                  </w:r>
                  <w:r>
                    <w:rPr>
                      <w:rFonts w:hint="default" w:ascii="Times New Roman" w:hAnsi="Times New Roman" w:cs="Times New Roman"/>
                      <w:color w:val="auto"/>
                      <w:spacing w:val="0"/>
                      <w:sz w:val="21"/>
                      <w:szCs w:val="21"/>
                      <w:highlight w:val="none"/>
                      <w:lang w:val="en-US" w:eastAsia="zh-CN"/>
                    </w:rPr>
                    <w:t>选用低噪声设备、</w:t>
                  </w:r>
                  <w:r>
                    <w:rPr>
                      <w:rFonts w:hint="default" w:ascii="Times New Roman" w:hAnsi="Times New Roman" w:eastAsia="宋体" w:cs="Times New Roman"/>
                      <w:color w:val="auto"/>
                      <w:spacing w:val="0"/>
                      <w:sz w:val="21"/>
                      <w:szCs w:val="21"/>
                      <w:highlight w:val="none"/>
                      <w:lang w:eastAsia="zh-CN"/>
                    </w:rPr>
                    <w:t>采</w:t>
                  </w:r>
                  <w:r>
                    <w:rPr>
                      <w:rFonts w:hint="default" w:ascii="Times New Roman" w:hAnsi="Times New Roman" w:eastAsia="宋体" w:cs="Times New Roman"/>
                      <w:color w:val="auto"/>
                      <w:spacing w:val="0"/>
                      <w:sz w:val="21"/>
                      <w:szCs w:val="21"/>
                      <w:highlight w:val="none"/>
                      <w:lang w:val="en-US" w:eastAsia="zh-CN"/>
                    </w:rPr>
                    <w:t>用</w:t>
                  </w:r>
                  <w:r>
                    <w:rPr>
                      <w:rFonts w:hint="default" w:ascii="Times New Roman" w:hAnsi="Times New Roman" w:eastAsia="宋体" w:cs="Times New Roman"/>
                      <w:color w:val="auto"/>
                      <w:spacing w:val="0"/>
                      <w:sz w:val="21"/>
                      <w:szCs w:val="21"/>
                      <w:highlight w:val="none"/>
                      <w:lang w:eastAsia="zh-CN"/>
                    </w:rPr>
                    <w:t>基础减振、厂房隔声等措施</w:t>
                  </w:r>
                  <w:r>
                    <w:rPr>
                      <w:rFonts w:hint="default" w:ascii="Times New Roman" w:hAnsi="Times New Roman" w:eastAsia="宋体" w:cs="Times New Roman"/>
                      <w:color w:val="auto"/>
                      <w:spacing w:val="0"/>
                      <w:sz w:val="21"/>
                      <w:szCs w:val="21"/>
                      <w:highlight w:val="none"/>
                      <w:lang w:val="en-US" w:eastAsia="zh-CN"/>
                    </w:rPr>
                    <w:t>后</w:t>
                  </w:r>
                  <w:r>
                    <w:rPr>
                      <w:rFonts w:hint="default" w:ascii="Times New Roman" w:hAnsi="Times New Roman" w:eastAsia="宋体" w:cs="Times New Roman"/>
                      <w:color w:val="auto"/>
                      <w:spacing w:val="0"/>
                      <w:sz w:val="21"/>
                      <w:szCs w:val="21"/>
                      <w:highlight w:val="none"/>
                      <w:lang w:eastAsia="zh-CN"/>
                    </w:rPr>
                    <w:t>，厂界</w:t>
                  </w:r>
                  <w:r>
                    <w:rPr>
                      <w:rFonts w:hint="default" w:ascii="Times New Roman" w:hAnsi="Times New Roman" w:eastAsia="宋体" w:cs="Times New Roman"/>
                      <w:color w:val="auto"/>
                      <w:spacing w:val="0"/>
                      <w:sz w:val="21"/>
                      <w:szCs w:val="21"/>
                      <w:highlight w:val="none"/>
                      <w:lang w:val="en-US" w:eastAsia="zh-CN"/>
                    </w:rPr>
                    <w:t>四周</w:t>
                  </w:r>
                  <w:r>
                    <w:rPr>
                      <w:rFonts w:hint="default" w:ascii="Times New Roman" w:hAnsi="Times New Roman" w:eastAsia="宋体" w:cs="Times New Roman"/>
                      <w:color w:val="auto"/>
                      <w:spacing w:val="0"/>
                      <w:sz w:val="21"/>
                      <w:szCs w:val="21"/>
                      <w:highlight w:val="none"/>
                      <w:lang w:eastAsia="zh-CN"/>
                    </w:rPr>
                    <w:t>可满足《工业企业厂界环境噪声排放标准》（GB12348-2008）表1中</w:t>
                  </w:r>
                  <w:r>
                    <w:rPr>
                      <w:rFonts w:hint="default" w:ascii="Times New Roman" w:hAnsi="Times New Roman" w:cs="Times New Roman"/>
                      <w:color w:val="auto"/>
                      <w:spacing w:val="0"/>
                      <w:sz w:val="21"/>
                      <w:szCs w:val="21"/>
                      <w:highlight w:val="none"/>
                      <w:lang w:val="en-US" w:eastAsia="zh-CN"/>
                    </w:rPr>
                    <w:t>2类</w:t>
                  </w:r>
                  <w:r>
                    <w:rPr>
                      <w:rFonts w:hint="default" w:ascii="Times New Roman" w:hAnsi="Times New Roman" w:eastAsia="宋体" w:cs="Times New Roman"/>
                      <w:color w:val="auto"/>
                      <w:spacing w:val="0"/>
                      <w:sz w:val="21"/>
                      <w:szCs w:val="21"/>
                      <w:highlight w:val="none"/>
                      <w:lang w:eastAsia="zh-CN"/>
                    </w:rPr>
                    <w:t>标准要求。</w:t>
                  </w:r>
                </w:p>
              </w:tc>
              <w:tc>
                <w:tcPr>
                  <w:tcW w:w="1169" w:type="dxa"/>
                  <w:noWrap w:val="0"/>
                  <w:vAlign w:val="center"/>
                </w:tcPr>
                <w:p w14:paraId="1D348215">
                  <w:pPr>
                    <w:pStyle w:val="69"/>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default" w:ascii="Times New Roman" w:hAnsi="Times New Roman" w:eastAsia="宋体" w:cs="Times New Roman"/>
                      <w:bCs/>
                      <w:color w:val="auto"/>
                      <w:spacing w:val="0"/>
                      <w:kern w:val="2"/>
                      <w:sz w:val="21"/>
                      <w:szCs w:val="21"/>
                      <w:highlight w:val="none"/>
                      <w:lang w:val="en-US" w:eastAsia="zh-CN" w:bidi="ar-SA"/>
                    </w:rPr>
                    <w:t>新建</w:t>
                  </w:r>
                </w:p>
              </w:tc>
            </w:tr>
            <w:tr w14:paraId="2AA870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39" w:type="dxa"/>
                  <w:vMerge w:val="continue"/>
                  <w:noWrap w:val="0"/>
                  <w:vAlign w:val="center"/>
                </w:tcPr>
                <w:p w14:paraId="337B5074">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rPr>
                  </w:pPr>
                </w:p>
              </w:tc>
              <w:tc>
                <w:tcPr>
                  <w:tcW w:w="1308" w:type="dxa"/>
                  <w:vMerge w:val="restart"/>
                  <w:noWrap w:val="0"/>
                  <w:vAlign w:val="center"/>
                </w:tcPr>
                <w:p w14:paraId="3919099D">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废气</w:t>
                  </w:r>
                </w:p>
              </w:tc>
              <w:tc>
                <w:tcPr>
                  <w:tcW w:w="4634" w:type="dxa"/>
                  <w:noWrap w:val="0"/>
                  <w:vAlign w:val="center"/>
                </w:tcPr>
                <w:p w14:paraId="54F29A9C">
                  <w:pPr>
                    <w:pStyle w:val="69"/>
                    <w:keepNext w:val="0"/>
                    <w:keepLines w:val="0"/>
                    <w:pageBreakBefore w:val="0"/>
                    <w:kinsoku/>
                    <w:wordWrap/>
                    <w:overflowPunct/>
                    <w:topLinePunct w:val="0"/>
                    <w:autoSpaceDE/>
                    <w:autoSpaceDN/>
                    <w:bidi w:val="0"/>
                    <w:spacing w:line="240" w:lineRule="auto"/>
                    <w:ind w:right="0"/>
                    <w:jc w:val="left"/>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本项目产生的废气主要为供热锅炉产生锅炉废气，项目废气经布袋除尘器处理后的烟气经</w:t>
                  </w:r>
                  <w:r>
                    <w:rPr>
                      <w:rFonts w:hint="default" w:ascii="Times New Roman" w:hAnsi="Times New Roman" w:cs="Times New Roman"/>
                      <w:color w:val="auto"/>
                      <w:spacing w:val="0"/>
                      <w:sz w:val="21"/>
                      <w:szCs w:val="21"/>
                      <w:highlight w:val="none"/>
                      <w:lang w:val="en-US" w:eastAsia="zh-CN"/>
                    </w:rPr>
                    <w:t>4</w:t>
                  </w:r>
                  <w:r>
                    <w:rPr>
                      <w:rFonts w:hint="default" w:ascii="Times New Roman" w:hAnsi="Times New Roman" w:eastAsia="宋体" w:cs="Times New Roman"/>
                      <w:color w:val="auto"/>
                      <w:spacing w:val="0"/>
                      <w:sz w:val="21"/>
                      <w:szCs w:val="21"/>
                      <w:highlight w:val="none"/>
                      <w:lang w:val="en-US" w:eastAsia="zh-CN"/>
                    </w:rPr>
                    <w:t>0m高烟囱有组织排放，颗粒物、二氧化硫、氮氧化物</w:t>
                  </w:r>
                  <w:r>
                    <w:rPr>
                      <w:rFonts w:hint="default" w:ascii="Times New Roman" w:hAnsi="Times New Roman" w:cs="Times New Roman"/>
                      <w:color w:val="auto"/>
                      <w:spacing w:val="0"/>
                      <w:sz w:val="21"/>
                      <w:szCs w:val="21"/>
                      <w:highlight w:val="none"/>
                      <w:lang w:val="en-US" w:eastAsia="zh-CN"/>
                    </w:rPr>
                    <w:t>、烟气黑度</w:t>
                  </w:r>
                  <w:r>
                    <w:rPr>
                      <w:rFonts w:hint="default" w:ascii="Times New Roman" w:hAnsi="Times New Roman" w:eastAsia="宋体" w:cs="Times New Roman"/>
                      <w:color w:val="auto"/>
                      <w:spacing w:val="0"/>
                      <w:sz w:val="21"/>
                      <w:szCs w:val="21"/>
                      <w:highlight w:val="none"/>
                      <w:lang w:val="en-US" w:eastAsia="zh-CN"/>
                    </w:rPr>
                    <w:t>排放满足《锅炉大气污染物排放标准》（GB13271-2014）表</w:t>
                  </w:r>
                  <w:r>
                    <w:rPr>
                      <w:rFonts w:hint="default" w:ascii="Times New Roman" w:hAnsi="Times New Roman" w:cs="Times New Roman"/>
                      <w:color w:val="auto"/>
                      <w:spacing w:val="0"/>
                      <w:sz w:val="21"/>
                      <w:szCs w:val="21"/>
                      <w:highlight w:val="none"/>
                      <w:lang w:val="en-US" w:eastAsia="zh-CN"/>
                    </w:rPr>
                    <w:t>2</w:t>
                  </w:r>
                  <w:r>
                    <w:rPr>
                      <w:rFonts w:hint="default" w:ascii="Times New Roman" w:hAnsi="Times New Roman" w:eastAsia="宋体" w:cs="Times New Roman"/>
                      <w:color w:val="auto"/>
                      <w:spacing w:val="0"/>
                      <w:sz w:val="21"/>
                      <w:szCs w:val="21"/>
                      <w:highlight w:val="none"/>
                      <w:lang w:val="en-US" w:eastAsia="zh-CN"/>
                    </w:rPr>
                    <w:t>中燃煤锅炉排放限值。</w:t>
                  </w:r>
                </w:p>
              </w:tc>
              <w:tc>
                <w:tcPr>
                  <w:tcW w:w="1169" w:type="dxa"/>
                  <w:noWrap w:val="0"/>
                  <w:vAlign w:val="center"/>
                </w:tcPr>
                <w:p w14:paraId="1C8F258F">
                  <w:pPr>
                    <w:pStyle w:val="69"/>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default" w:ascii="Times New Roman" w:hAnsi="Times New Roman" w:eastAsia="宋体" w:cs="Times New Roman"/>
                      <w:bCs/>
                      <w:color w:val="auto"/>
                      <w:spacing w:val="0"/>
                      <w:kern w:val="2"/>
                      <w:sz w:val="21"/>
                      <w:szCs w:val="21"/>
                      <w:highlight w:val="none"/>
                      <w:lang w:val="en-US" w:eastAsia="zh-CN" w:bidi="ar-SA"/>
                    </w:rPr>
                    <w:t>新建</w:t>
                  </w:r>
                </w:p>
              </w:tc>
            </w:tr>
            <w:tr w14:paraId="375FF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39" w:type="dxa"/>
                  <w:vMerge w:val="continue"/>
                  <w:noWrap w:val="0"/>
                  <w:vAlign w:val="center"/>
                </w:tcPr>
                <w:p w14:paraId="65A9CD49">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rPr>
                  </w:pPr>
                </w:p>
              </w:tc>
              <w:tc>
                <w:tcPr>
                  <w:tcW w:w="1308" w:type="dxa"/>
                  <w:vMerge w:val="continue"/>
                  <w:noWrap w:val="0"/>
                  <w:vAlign w:val="center"/>
                </w:tcPr>
                <w:p w14:paraId="00F78178">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lang w:val="en-US" w:eastAsia="zh-CN"/>
                    </w:rPr>
                  </w:pPr>
                </w:p>
              </w:tc>
              <w:tc>
                <w:tcPr>
                  <w:tcW w:w="4634" w:type="dxa"/>
                  <w:noWrap w:val="0"/>
                  <w:vAlign w:val="center"/>
                </w:tcPr>
                <w:p w14:paraId="40CD7E29">
                  <w:pPr>
                    <w:keepNext w:val="0"/>
                    <w:keepLines w:val="0"/>
                    <w:pageBreakBefore w:val="0"/>
                    <w:kinsoku/>
                    <w:wordWrap/>
                    <w:overflowPunct/>
                    <w:topLinePunct w:val="0"/>
                    <w:autoSpaceDE/>
                    <w:autoSpaceDN/>
                    <w:bidi w:val="0"/>
                    <w:spacing w:line="240" w:lineRule="auto"/>
                    <w:ind w:left="0" w:leftChars="0" w:right="0" w:firstLine="0" w:firstLineChars="0"/>
                    <w:jc w:val="left"/>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采用封闭的灰渣库，灰渣定期由封闭罐车汽车外运，灰渣库采用喷洒水降尘，处理效率90%。</w:t>
                  </w:r>
                  <w:r>
                    <w:rPr>
                      <w:rFonts w:hint="eastAsia" w:ascii="Times New Roman" w:hAnsi="Times New Roman" w:cs="Times New Roman"/>
                      <w:color w:val="auto"/>
                      <w:sz w:val="21"/>
                      <w:szCs w:val="21"/>
                      <w:highlight w:val="none"/>
                      <w:lang w:val="en-US" w:eastAsia="zh-CN"/>
                    </w:rPr>
                    <w:t>本项目无组织废气</w:t>
                  </w:r>
                  <w:r>
                    <w:rPr>
                      <w:rFonts w:hint="default" w:ascii="Times New Roman" w:hAnsi="Times New Roman" w:cs="Times New Roman"/>
                      <w:color w:val="auto"/>
                      <w:sz w:val="21"/>
                      <w:szCs w:val="21"/>
                      <w:highlight w:val="none"/>
                      <w:lang w:val="en-US" w:eastAsia="zh-CN"/>
                    </w:rPr>
                    <w:t>满足</w:t>
                  </w:r>
                  <w:r>
                    <w:rPr>
                      <w:rFonts w:hint="default" w:ascii="Times New Roman" w:hAnsi="Times New Roman" w:cs="Times New Roman"/>
                      <w:color w:val="auto"/>
                      <w:sz w:val="21"/>
                      <w:szCs w:val="21"/>
                      <w:highlight w:val="none"/>
                    </w:rPr>
                    <w:t>《大气污染物综合排放标准》（GB16297-1996）表2</w:t>
                  </w:r>
                  <w:r>
                    <w:rPr>
                      <w:rFonts w:hint="default" w:ascii="Times New Roman" w:hAnsi="Times New Roman" w:cs="Times New Roman"/>
                      <w:color w:val="auto"/>
                      <w:sz w:val="21"/>
                      <w:szCs w:val="21"/>
                      <w:highlight w:val="none"/>
                      <w:lang w:val="en-US" w:eastAsia="zh-CN"/>
                    </w:rPr>
                    <w:t>新污染源大气污染物排放限值</w:t>
                  </w:r>
                  <w:r>
                    <w:rPr>
                      <w:rFonts w:hint="default" w:ascii="Times New Roman" w:hAnsi="Times New Roman" w:cs="Times New Roman"/>
                      <w:color w:val="auto"/>
                      <w:sz w:val="21"/>
                      <w:szCs w:val="21"/>
                      <w:highlight w:val="none"/>
                    </w:rPr>
                    <w:t>中无组织排放监控浓度限值</w:t>
                  </w:r>
                  <w:r>
                    <w:rPr>
                      <w:rFonts w:hint="default" w:ascii="Times New Roman" w:hAnsi="Times New Roman" w:cs="Times New Roman"/>
                      <w:color w:val="auto"/>
                      <w:sz w:val="21"/>
                      <w:szCs w:val="21"/>
                      <w:highlight w:val="none"/>
                      <w:lang w:val="en-US" w:eastAsia="zh-CN"/>
                    </w:rPr>
                    <w:t>要求。</w:t>
                  </w:r>
                </w:p>
              </w:tc>
              <w:tc>
                <w:tcPr>
                  <w:tcW w:w="1169" w:type="dxa"/>
                  <w:noWrap w:val="0"/>
                  <w:vAlign w:val="center"/>
                </w:tcPr>
                <w:p w14:paraId="2C456A41">
                  <w:pPr>
                    <w:keepNext w:val="0"/>
                    <w:keepLines w:val="0"/>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default" w:ascii="Times New Roman" w:hAnsi="Times New Roman" w:eastAsia="宋体" w:cs="Times New Roman"/>
                      <w:bCs/>
                      <w:color w:val="auto"/>
                      <w:spacing w:val="0"/>
                      <w:kern w:val="2"/>
                      <w:sz w:val="21"/>
                      <w:szCs w:val="21"/>
                      <w:highlight w:val="none"/>
                      <w:lang w:val="en-US" w:eastAsia="zh-CN" w:bidi="ar-SA"/>
                    </w:rPr>
                    <w:t>新建</w:t>
                  </w:r>
                </w:p>
              </w:tc>
            </w:tr>
            <w:tr w14:paraId="2E81C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39" w:type="dxa"/>
                  <w:vMerge w:val="continue"/>
                  <w:noWrap w:val="0"/>
                  <w:vAlign w:val="center"/>
                </w:tcPr>
                <w:p w14:paraId="18A94FEA">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rPr>
                  </w:pPr>
                </w:p>
              </w:tc>
              <w:tc>
                <w:tcPr>
                  <w:tcW w:w="1308" w:type="dxa"/>
                  <w:vMerge w:val="restart"/>
                  <w:noWrap w:val="0"/>
                  <w:vAlign w:val="center"/>
                </w:tcPr>
                <w:p w14:paraId="124EC6BA">
                  <w:pPr>
                    <w:pStyle w:val="69"/>
                    <w:keepNext w:val="0"/>
                    <w:keepLines w:val="0"/>
                    <w:pageBreakBefore w:val="0"/>
                    <w:kinsoku/>
                    <w:wordWrap/>
                    <w:overflowPunct/>
                    <w:topLinePunct w:val="0"/>
                    <w:autoSpaceDE/>
                    <w:autoSpaceDN/>
                    <w:bidi w:val="0"/>
                    <w:spacing w:line="240" w:lineRule="auto"/>
                    <w:ind w:left="0" w:right="0"/>
                    <w:jc w:val="center"/>
                    <w:textAlignment w:val="auto"/>
                    <w:rPr>
                      <w:rFonts w:hint="default" w:ascii="Times New Roman" w:hAnsi="Times New Roman" w:eastAsia="宋体" w:cs="Times New Roman"/>
                      <w:snapToGrid w:val="0"/>
                      <w:color w:val="auto"/>
                      <w:spacing w:val="0"/>
                      <w:sz w:val="21"/>
                      <w:szCs w:val="21"/>
                      <w:highlight w:val="none"/>
                    </w:rPr>
                  </w:pPr>
                  <w:r>
                    <w:rPr>
                      <w:rFonts w:hint="default" w:ascii="Times New Roman" w:hAnsi="Times New Roman" w:eastAsia="宋体" w:cs="Times New Roman"/>
                      <w:snapToGrid w:val="0"/>
                      <w:color w:val="auto"/>
                      <w:spacing w:val="0"/>
                      <w:sz w:val="21"/>
                      <w:szCs w:val="21"/>
                      <w:highlight w:val="none"/>
                    </w:rPr>
                    <w:t>固废治理</w:t>
                  </w:r>
                </w:p>
              </w:tc>
              <w:tc>
                <w:tcPr>
                  <w:tcW w:w="4634" w:type="dxa"/>
                  <w:noWrap w:val="0"/>
                  <w:vAlign w:val="top"/>
                </w:tcPr>
                <w:p w14:paraId="2ED6DE1D">
                  <w:pPr>
                    <w:pStyle w:val="147"/>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宋体" w:cs="Times New Roman"/>
                      <w:bCs w:val="0"/>
                      <w:color w:val="auto"/>
                      <w:spacing w:val="0"/>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rPr>
                    <w:t>锅炉燃烧产生的炉渣及废气措施产生的收尘灰，</w:t>
                  </w:r>
                  <w:r>
                    <w:rPr>
                      <w:rFonts w:hint="default" w:ascii="Times New Roman" w:hAnsi="Times New Roman" w:eastAsia="宋体" w:cs="Times New Roman"/>
                      <w:color w:val="auto"/>
                      <w:spacing w:val="8"/>
                      <w:sz w:val="21"/>
                      <w:szCs w:val="21"/>
                      <w:highlight w:val="none"/>
                    </w:rPr>
                    <w:t>暂存于</w:t>
                  </w:r>
                  <w:r>
                    <w:rPr>
                      <w:rFonts w:hint="default" w:ascii="Times New Roman" w:hAnsi="Times New Roman" w:cs="Times New Roman"/>
                      <w:color w:val="auto"/>
                      <w:spacing w:val="8"/>
                      <w:sz w:val="21"/>
                      <w:szCs w:val="21"/>
                      <w:highlight w:val="none"/>
                      <w:lang w:eastAsia="zh-CN"/>
                    </w:rPr>
                    <w:t>灰渣库</w:t>
                  </w:r>
                  <w:r>
                    <w:rPr>
                      <w:rFonts w:hint="default" w:ascii="Times New Roman" w:hAnsi="Times New Roman" w:eastAsia="宋体" w:cs="Times New Roman"/>
                      <w:color w:val="auto"/>
                      <w:spacing w:val="8"/>
                      <w:sz w:val="21"/>
                      <w:szCs w:val="21"/>
                      <w:highlight w:val="none"/>
                    </w:rPr>
                    <w:t>，外售综合利用。</w:t>
                  </w:r>
                </w:p>
              </w:tc>
              <w:tc>
                <w:tcPr>
                  <w:tcW w:w="1169" w:type="dxa"/>
                  <w:vMerge w:val="restart"/>
                  <w:noWrap w:val="0"/>
                  <w:vAlign w:val="center"/>
                </w:tcPr>
                <w:p w14:paraId="2913A0A2">
                  <w:pPr>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default" w:ascii="Times New Roman" w:hAnsi="Times New Roman" w:eastAsia="宋体" w:cs="Times New Roman"/>
                      <w:bCs/>
                      <w:color w:val="auto"/>
                      <w:spacing w:val="0"/>
                      <w:kern w:val="2"/>
                      <w:sz w:val="21"/>
                      <w:szCs w:val="21"/>
                      <w:highlight w:val="none"/>
                      <w:lang w:val="en-US" w:eastAsia="zh-CN" w:bidi="ar-SA"/>
                    </w:rPr>
                    <w:t>新建</w:t>
                  </w:r>
                </w:p>
              </w:tc>
            </w:tr>
            <w:tr w14:paraId="44C84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39" w:type="dxa"/>
                  <w:vMerge w:val="continue"/>
                  <w:noWrap w:val="0"/>
                  <w:vAlign w:val="center"/>
                </w:tcPr>
                <w:p w14:paraId="095956CE">
                  <w:pPr>
                    <w:keepNext w:val="0"/>
                    <w:keepLines w:val="0"/>
                    <w:pageBreakBefore w:val="0"/>
                    <w:kinsoku/>
                    <w:wordWrap/>
                    <w:overflowPunct/>
                    <w:topLinePunct w:val="0"/>
                    <w:autoSpaceDE/>
                    <w:autoSpaceDN/>
                    <w:bidi w:val="0"/>
                    <w:spacing w:line="240" w:lineRule="auto"/>
                    <w:ind w:left="0" w:right="0"/>
                    <w:jc w:val="both"/>
                    <w:textAlignment w:val="auto"/>
                    <w:rPr>
                      <w:rFonts w:hint="default" w:ascii="Times New Roman" w:hAnsi="Times New Roman" w:eastAsia="宋体" w:cs="Times New Roman"/>
                      <w:color w:val="auto"/>
                      <w:highlight w:val="none"/>
                    </w:rPr>
                  </w:pPr>
                </w:p>
              </w:tc>
              <w:tc>
                <w:tcPr>
                  <w:tcW w:w="1308" w:type="dxa"/>
                  <w:vMerge w:val="continue"/>
                  <w:noWrap w:val="0"/>
                  <w:vAlign w:val="center"/>
                </w:tcPr>
                <w:p w14:paraId="60D2F40A">
                  <w:pPr>
                    <w:keepNext w:val="0"/>
                    <w:keepLines w:val="0"/>
                    <w:pageBreakBefore w:val="0"/>
                    <w:kinsoku/>
                    <w:wordWrap/>
                    <w:overflowPunct/>
                    <w:topLinePunct w:val="0"/>
                    <w:autoSpaceDE/>
                    <w:autoSpaceDN/>
                    <w:bidi w:val="0"/>
                    <w:spacing w:line="240" w:lineRule="auto"/>
                    <w:ind w:left="0" w:right="0"/>
                    <w:jc w:val="both"/>
                    <w:textAlignment w:val="auto"/>
                    <w:rPr>
                      <w:rFonts w:hint="default" w:ascii="Times New Roman" w:hAnsi="Times New Roman" w:eastAsia="宋体" w:cs="Times New Roman"/>
                      <w:color w:val="auto"/>
                      <w:highlight w:val="none"/>
                    </w:rPr>
                  </w:pPr>
                </w:p>
              </w:tc>
              <w:tc>
                <w:tcPr>
                  <w:tcW w:w="4634" w:type="dxa"/>
                  <w:noWrap w:val="0"/>
                  <w:vAlign w:val="top"/>
                </w:tcPr>
                <w:p w14:paraId="1B46759A">
                  <w:pPr>
                    <w:pStyle w:val="147"/>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宋体" w:cs="Times New Roman"/>
                      <w:bCs w:val="0"/>
                      <w:color w:val="auto"/>
                      <w:spacing w:val="0"/>
                      <w:kern w:val="2"/>
                      <w:sz w:val="21"/>
                      <w:szCs w:val="21"/>
                      <w:highlight w:val="none"/>
                      <w:lang w:val="en-US" w:eastAsia="zh-CN" w:bidi="ar-SA"/>
                    </w:rPr>
                  </w:pPr>
                  <w:r>
                    <w:rPr>
                      <w:rFonts w:hint="default" w:ascii="Times New Roman" w:hAnsi="Times New Roman" w:eastAsia="宋体" w:cs="Times New Roman"/>
                      <w:color w:val="auto"/>
                      <w:spacing w:val="19"/>
                      <w:sz w:val="21"/>
                      <w:szCs w:val="21"/>
                      <w:highlight w:val="none"/>
                    </w:rPr>
                    <w:t>项目产生的废布袋及废包装袋</w:t>
                  </w:r>
                  <w:r>
                    <w:rPr>
                      <w:rFonts w:hint="default" w:ascii="Times New Roman" w:hAnsi="Times New Roman" w:eastAsia="宋体" w:cs="Times New Roman"/>
                      <w:color w:val="auto"/>
                      <w:spacing w:val="5"/>
                      <w:sz w:val="21"/>
                      <w:szCs w:val="21"/>
                      <w:highlight w:val="none"/>
                      <w:lang w:val="en-US" w:eastAsia="zh-CN"/>
                    </w:rPr>
                    <w:t>交由</w:t>
                  </w:r>
                  <w:r>
                    <w:rPr>
                      <w:rFonts w:hint="default" w:ascii="Times New Roman" w:hAnsi="Times New Roman" w:eastAsia="宋体" w:cs="Times New Roman"/>
                      <w:color w:val="auto"/>
                      <w:spacing w:val="5"/>
                      <w:sz w:val="21"/>
                      <w:szCs w:val="21"/>
                      <w:highlight w:val="none"/>
                    </w:rPr>
                    <w:t>厂家回收。</w:t>
                  </w:r>
                </w:p>
              </w:tc>
              <w:tc>
                <w:tcPr>
                  <w:tcW w:w="1169" w:type="dxa"/>
                  <w:vMerge w:val="continue"/>
                  <w:noWrap w:val="0"/>
                  <w:vAlign w:val="center"/>
                </w:tcPr>
                <w:p w14:paraId="155AF30A">
                  <w:pPr>
                    <w:keepNext w:val="0"/>
                    <w:keepLines w:val="0"/>
                    <w:pageBreakBefore w:val="0"/>
                    <w:kinsoku/>
                    <w:wordWrap/>
                    <w:overflowPunct/>
                    <w:topLinePunct w:val="0"/>
                    <w:autoSpaceDE/>
                    <w:autoSpaceDN/>
                    <w:bidi w:val="0"/>
                    <w:spacing w:line="240" w:lineRule="auto"/>
                    <w:ind w:left="0" w:right="0"/>
                    <w:jc w:val="both"/>
                    <w:textAlignment w:val="auto"/>
                    <w:rPr>
                      <w:rFonts w:hint="default" w:ascii="Times New Roman" w:hAnsi="Times New Roman" w:eastAsia="宋体" w:cs="Times New Roman"/>
                      <w:bCs w:val="0"/>
                      <w:color w:val="auto"/>
                      <w:spacing w:val="0"/>
                      <w:kern w:val="2"/>
                      <w:sz w:val="21"/>
                      <w:szCs w:val="21"/>
                      <w:highlight w:val="none"/>
                      <w:lang w:val="en-US" w:eastAsia="zh-CN" w:bidi="ar-SA"/>
                    </w:rPr>
                  </w:pPr>
                </w:p>
              </w:tc>
            </w:tr>
            <w:tr w14:paraId="03D796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39" w:type="dxa"/>
                  <w:vMerge w:val="continue"/>
                  <w:noWrap w:val="0"/>
                  <w:vAlign w:val="center"/>
                </w:tcPr>
                <w:p w14:paraId="173865B9">
                  <w:pPr>
                    <w:keepNext w:val="0"/>
                    <w:keepLines w:val="0"/>
                    <w:pageBreakBefore w:val="0"/>
                    <w:kinsoku/>
                    <w:wordWrap/>
                    <w:overflowPunct/>
                    <w:topLinePunct w:val="0"/>
                    <w:autoSpaceDE/>
                    <w:autoSpaceDN/>
                    <w:bidi w:val="0"/>
                    <w:spacing w:line="240" w:lineRule="auto"/>
                    <w:ind w:left="0" w:right="0"/>
                    <w:jc w:val="both"/>
                    <w:textAlignment w:val="auto"/>
                    <w:rPr>
                      <w:rFonts w:hint="default" w:ascii="Times New Roman" w:hAnsi="Times New Roman" w:eastAsia="宋体" w:cs="Times New Roman"/>
                      <w:color w:val="auto"/>
                      <w:highlight w:val="none"/>
                    </w:rPr>
                  </w:pPr>
                </w:p>
              </w:tc>
              <w:tc>
                <w:tcPr>
                  <w:tcW w:w="1308" w:type="dxa"/>
                  <w:vMerge w:val="continue"/>
                  <w:noWrap w:val="0"/>
                  <w:vAlign w:val="center"/>
                </w:tcPr>
                <w:p w14:paraId="6D6DC87D">
                  <w:pPr>
                    <w:keepNext w:val="0"/>
                    <w:keepLines w:val="0"/>
                    <w:pageBreakBefore w:val="0"/>
                    <w:kinsoku/>
                    <w:wordWrap/>
                    <w:overflowPunct/>
                    <w:topLinePunct w:val="0"/>
                    <w:autoSpaceDE/>
                    <w:autoSpaceDN/>
                    <w:bidi w:val="0"/>
                    <w:spacing w:line="240" w:lineRule="auto"/>
                    <w:ind w:left="0" w:right="0"/>
                    <w:jc w:val="both"/>
                    <w:textAlignment w:val="auto"/>
                    <w:rPr>
                      <w:rFonts w:hint="default" w:ascii="Times New Roman" w:hAnsi="Times New Roman" w:eastAsia="宋体" w:cs="Times New Roman"/>
                      <w:color w:val="auto"/>
                      <w:highlight w:val="none"/>
                    </w:rPr>
                  </w:pPr>
                </w:p>
              </w:tc>
              <w:tc>
                <w:tcPr>
                  <w:tcW w:w="4634" w:type="dxa"/>
                  <w:noWrap w:val="0"/>
                  <w:vAlign w:val="top"/>
                </w:tcPr>
                <w:p w14:paraId="07FF6DE7">
                  <w:pPr>
                    <w:pStyle w:val="147"/>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宋体" w:cs="Times New Roman"/>
                      <w:color w:val="auto"/>
                      <w:spacing w:val="19"/>
                      <w:sz w:val="21"/>
                      <w:szCs w:val="21"/>
                      <w:highlight w:val="none"/>
                    </w:rPr>
                  </w:pPr>
                  <w:r>
                    <w:rPr>
                      <w:rFonts w:hint="default" w:ascii="Times New Roman" w:hAnsi="Times New Roman" w:eastAsia="宋体" w:cs="Times New Roman"/>
                      <w:color w:val="auto"/>
                      <w:spacing w:val="9"/>
                      <w:sz w:val="21"/>
                      <w:szCs w:val="21"/>
                      <w:highlight w:val="none"/>
                    </w:rPr>
                    <w:t>项目产生的</w:t>
                  </w:r>
                  <w:r>
                    <w:rPr>
                      <w:rFonts w:hint="default" w:ascii="Times New Roman" w:hAnsi="Times New Roman" w:cs="Times New Roman"/>
                      <w:color w:val="auto"/>
                      <w:spacing w:val="9"/>
                      <w:sz w:val="21"/>
                      <w:szCs w:val="21"/>
                      <w:highlight w:val="none"/>
                      <w:lang w:val="en-US" w:eastAsia="zh-CN"/>
                    </w:rPr>
                    <w:t>废润滑油、</w:t>
                  </w:r>
                  <w:r>
                    <w:rPr>
                      <w:rFonts w:hint="default" w:ascii="Times New Roman" w:hAnsi="Times New Roman" w:cs="Times New Roman"/>
                      <w:color w:val="auto"/>
                      <w:spacing w:val="7"/>
                      <w:sz w:val="21"/>
                      <w:szCs w:val="21"/>
                      <w:highlight w:val="none"/>
                      <w:lang w:val="en-US" w:eastAsia="zh-CN"/>
                    </w:rPr>
                    <w:t>废含油抹布</w:t>
                  </w:r>
                  <w:r>
                    <w:rPr>
                      <w:rFonts w:hint="default" w:ascii="Times New Roman" w:hAnsi="Times New Roman" w:eastAsia="宋体" w:cs="Times New Roman"/>
                      <w:color w:val="auto"/>
                      <w:spacing w:val="0"/>
                      <w:sz w:val="21"/>
                      <w:szCs w:val="21"/>
                      <w:highlight w:val="none"/>
                      <w:lang w:val="en-US" w:eastAsia="zh-CN"/>
                    </w:rPr>
                    <w:t>暂存于危险废物贮存点</w:t>
                  </w:r>
                  <w:r>
                    <w:rPr>
                      <w:rFonts w:hint="eastAsia" w:cs="Times New Roman"/>
                      <w:color w:val="auto"/>
                      <w:spacing w:val="0"/>
                      <w:sz w:val="21"/>
                      <w:szCs w:val="21"/>
                      <w:highlight w:val="none"/>
                      <w:lang w:val="en-US" w:eastAsia="zh-CN"/>
                    </w:rPr>
                    <w:t>，交由有资质单位处置。</w:t>
                  </w:r>
                </w:p>
              </w:tc>
              <w:tc>
                <w:tcPr>
                  <w:tcW w:w="1169" w:type="dxa"/>
                  <w:vMerge w:val="continue"/>
                  <w:noWrap w:val="0"/>
                  <w:vAlign w:val="center"/>
                </w:tcPr>
                <w:p w14:paraId="200E5719">
                  <w:pPr>
                    <w:keepNext w:val="0"/>
                    <w:keepLines w:val="0"/>
                    <w:pageBreakBefore w:val="0"/>
                    <w:kinsoku/>
                    <w:wordWrap/>
                    <w:overflowPunct/>
                    <w:topLinePunct w:val="0"/>
                    <w:autoSpaceDE/>
                    <w:autoSpaceDN/>
                    <w:bidi w:val="0"/>
                    <w:spacing w:line="240" w:lineRule="auto"/>
                    <w:ind w:left="0" w:right="0"/>
                    <w:jc w:val="both"/>
                    <w:textAlignment w:val="auto"/>
                    <w:rPr>
                      <w:rFonts w:hint="default" w:ascii="Times New Roman" w:hAnsi="Times New Roman" w:eastAsia="宋体" w:cs="Times New Roman"/>
                      <w:bCs w:val="0"/>
                      <w:color w:val="auto"/>
                      <w:spacing w:val="0"/>
                      <w:kern w:val="2"/>
                      <w:sz w:val="21"/>
                      <w:szCs w:val="21"/>
                      <w:highlight w:val="none"/>
                      <w:lang w:val="en-US" w:eastAsia="zh-CN" w:bidi="ar-SA"/>
                    </w:rPr>
                  </w:pPr>
                </w:p>
              </w:tc>
            </w:tr>
            <w:tr w14:paraId="5F3F6B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39" w:type="dxa"/>
                  <w:vMerge w:val="continue"/>
                  <w:noWrap w:val="0"/>
                  <w:vAlign w:val="center"/>
                </w:tcPr>
                <w:p w14:paraId="615E9D49">
                  <w:pPr>
                    <w:keepNext w:val="0"/>
                    <w:keepLines w:val="0"/>
                    <w:pageBreakBefore w:val="0"/>
                    <w:kinsoku/>
                    <w:wordWrap/>
                    <w:overflowPunct/>
                    <w:topLinePunct w:val="0"/>
                    <w:autoSpaceDE/>
                    <w:autoSpaceDN/>
                    <w:bidi w:val="0"/>
                    <w:spacing w:line="240" w:lineRule="auto"/>
                    <w:ind w:left="0" w:right="0"/>
                    <w:jc w:val="both"/>
                    <w:textAlignment w:val="auto"/>
                    <w:rPr>
                      <w:rFonts w:hint="default" w:ascii="Times New Roman" w:hAnsi="Times New Roman" w:eastAsia="宋体" w:cs="Times New Roman"/>
                      <w:bCs w:val="0"/>
                      <w:color w:val="auto"/>
                      <w:spacing w:val="0"/>
                      <w:kern w:val="2"/>
                      <w:sz w:val="21"/>
                      <w:szCs w:val="21"/>
                      <w:highlight w:val="none"/>
                      <w:lang w:val="en-US" w:eastAsia="zh-CN" w:bidi="ar-SA"/>
                    </w:rPr>
                  </w:pPr>
                </w:p>
              </w:tc>
              <w:tc>
                <w:tcPr>
                  <w:tcW w:w="1308" w:type="dxa"/>
                  <w:vMerge w:val="continue"/>
                  <w:noWrap w:val="0"/>
                  <w:vAlign w:val="center"/>
                </w:tcPr>
                <w:p w14:paraId="46D1B44F">
                  <w:pPr>
                    <w:keepNext w:val="0"/>
                    <w:keepLines w:val="0"/>
                    <w:pageBreakBefore w:val="0"/>
                    <w:kinsoku/>
                    <w:wordWrap/>
                    <w:overflowPunct/>
                    <w:topLinePunct w:val="0"/>
                    <w:autoSpaceDE/>
                    <w:autoSpaceDN/>
                    <w:bidi w:val="0"/>
                    <w:spacing w:line="240" w:lineRule="auto"/>
                    <w:ind w:left="0" w:right="0"/>
                    <w:jc w:val="both"/>
                    <w:textAlignment w:val="auto"/>
                    <w:rPr>
                      <w:rFonts w:hint="default" w:ascii="Times New Roman" w:hAnsi="Times New Roman" w:eastAsia="宋体" w:cs="Times New Roman"/>
                      <w:bCs w:val="0"/>
                      <w:color w:val="auto"/>
                      <w:spacing w:val="0"/>
                      <w:kern w:val="2"/>
                      <w:sz w:val="21"/>
                      <w:szCs w:val="21"/>
                      <w:highlight w:val="none"/>
                      <w:lang w:val="en-US" w:eastAsia="zh-CN" w:bidi="ar-SA"/>
                    </w:rPr>
                  </w:pPr>
                </w:p>
              </w:tc>
              <w:tc>
                <w:tcPr>
                  <w:tcW w:w="4634" w:type="dxa"/>
                  <w:noWrap w:val="0"/>
                  <w:vAlign w:val="top"/>
                </w:tcPr>
                <w:p w14:paraId="1A7B534A">
                  <w:pPr>
                    <w:pStyle w:val="147"/>
                    <w:keepNext w:val="0"/>
                    <w:keepLines w:val="0"/>
                    <w:pageBreakBefore w:val="0"/>
                    <w:kinsoku/>
                    <w:wordWrap/>
                    <w:overflowPunct/>
                    <w:topLinePunct w:val="0"/>
                    <w:autoSpaceDE/>
                    <w:autoSpaceDN/>
                    <w:bidi w:val="0"/>
                    <w:spacing w:line="240" w:lineRule="auto"/>
                    <w:ind w:left="0" w:leftChars="0" w:right="0" w:rightChars="0" w:firstLine="0" w:firstLineChars="0"/>
                    <w:jc w:val="left"/>
                    <w:textAlignment w:val="auto"/>
                    <w:rPr>
                      <w:rFonts w:hint="default" w:ascii="Times New Roman" w:hAnsi="Times New Roman" w:eastAsia="宋体" w:cs="Times New Roman"/>
                      <w:bCs w:val="0"/>
                      <w:color w:val="auto"/>
                      <w:spacing w:val="0"/>
                      <w:kern w:val="2"/>
                      <w:sz w:val="21"/>
                      <w:szCs w:val="21"/>
                      <w:highlight w:val="none"/>
                      <w:lang w:val="en-US" w:eastAsia="zh-CN" w:bidi="ar-SA"/>
                    </w:rPr>
                  </w:pPr>
                  <w:r>
                    <w:rPr>
                      <w:rFonts w:hint="default" w:ascii="Times New Roman" w:hAnsi="Times New Roman" w:eastAsia="宋体" w:cs="Times New Roman"/>
                      <w:bCs w:val="0"/>
                      <w:color w:val="auto"/>
                      <w:spacing w:val="0"/>
                      <w:kern w:val="2"/>
                      <w:sz w:val="21"/>
                      <w:szCs w:val="21"/>
                      <w:highlight w:val="none"/>
                      <w:lang w:val="en-US" w:eastAsia="zh-CN" w:bidi="ar-SA"/>
                    </w:rPr>
                    <w:t>废离子交换树脂交由厂家回收处置。</w:t>
                  </w:r>
                </w:p>
              </w:tc>
              <w:tc>
                <w:tcPr>
                  <w:tcW w:w="1169" w:type="dxa"/>
                  <w:vMerge w:val="continue"/>
                  <w:noWrap w:val="0"/>
                  <w:vAlign w:val="center"/>
                </w:tcPr>
                <w:p w14:paraId="35D25D6D">
                  <w:pPr>
                    <w:keepNext w:val="0"/>
                    <w:keepLines w:val="0"/>
                    <w:pageBreakBefore w:val="0"/>
                    <w:kinsoku/>
                    <w:wordWrap/>
                    <w:overflowPunct/>
                    <w:topLinePunct w:val="0"/>
                    <w:autoSpaceDE/>
                    <w:autoSpaceDN/>
                    <w:bidi w:val="0"/>
                    <w:spacing w:line="240" w:lineRule="auto"/>
                    <w:ind w:left="0" w:right="0"/>
                    <w:jc w:val="both"/>
                    <w:textAlignment w:val="auto"/>
                    <w:rPr>
                      <w:rFonts w:hint="default" w:ascii="Times New Roman" w:hAnsi="Times New Roman" w:eastAsia="宋体" w:cs="Times New Roman"/>
                      <w:bCs w:val="0"/>
                      <w:color w:val="auto"/>
                      <w:spacing w:val="0"/>
                      <w:kern w:val="2"/>
                      <w:sz w:val="21"/>
                      <w:szCs w:val="21"/>
                      <w:highlight w:val="none"/>
                      <w:lang w:val="en-US" w:eastAsia="zh-CN" w:bidi="ar-SA"/>
                    </w:rPr>
                  </w:pPr>
                </w:p>
              </w:tc>
            </w:tr>
          </w:tbl>
          <w:p w14:paraId="7B33735D">
            <w:pPr>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3、主要生产设备</w:t>
            </w:r>
          </w:p>
          <w:p w14:paraId="6407B837">
            <w:pP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本项目</w:t>
            </w:r>
            <w:r>
              <w:rPr>
                <w:rFonts w:hint="default" w:ascii="Times New Roman" w:hAnsi="Times New Roman" w:eastAsia="宋体" w:cs="Times New Roman"/>
                <w:color w:val="auto"/>
                <w:spacing w:val="0"/>
                <w:sz w:val="24"/>
                <w:szCs w:val="24"/>
                <w:highlight w:val="none"/>
                <w:lang w:val="en-US" w:eastAsia="zh-CN"/>
              </w:rPr>
              <w:t>主要</w:t>
            </w:r>
            <w:r>
              <w:rPr>
                <w:rFonts w:hint="default" w:ascii="Times New Roman" w:hAnsi="Times New Roman" w:eastAsia="宋体" w:cs="Times New Roman"/>
                <w:b w:val="0"/>
                <w:bCs w:val="0"/>
                <w:color w:val="auto"/>
                <w:spacing w:val="0"/>
                <w:sz w:val="24"/>
                <w:szCs w:val="24"/>
                <w:highlight w:val="none"/>
              </w:rPr>
              <w:t>设备</w:t>
            </w:r>
            <w:r>
              <w:rPr>
                <w:rFonts w:hint="default" w:ascii="Times New Roman" w:hAnsi="Times New Roman" w:eastAsia="宋体" w:cs="Times New Roman"/>
                <w:color w:val="auto"/>
                <w:spacing w:val="0"/>
                <w:sz w:val="24"/>
                <w:szCs w:val="24"/>
                <w:highlight w:val="none"/>
              </w:rPr>
              <w:t>如下表</w:t>
            </w:r>
            <w:r>
              <w:rPr>
                <w:rFonts w:hint="default" w:ascii="Times New Roman" w:hAnsi="Times New Roman" w:eastAsia="宋体" w:cs="Times New Roman"/>
                <w:color w:val="auto"/>
                <w:spacing w:val="0"/>
                <w:sz w:val="24"/>
                <w:szCs w:val="24"/>
                <w:highlight w:val="none"/>
                <w:lang w:val="en-US" w:eastAsia="zh-CN"/>
              </w:rPr>
              <w:t>2-2</w:t>
            </w:r>
            <w:r>
              <w:rPr>
                <w:rFonts w:hint="default" w:ascii="Times New Roman" w:hAnsi="Times New Roman" w:eastAsia="宋体" w:cs="Times New Roman"/>
                <w:color w:val="auto"/>
                <w:spacing w:val="0"/>
                <w:sz w:val="24"/>
                <w:szCs w:val="24"/>
                <w:highlight w:val="none"/>
              </w:rPr>
              <w:t>所示：</w:t>
            </w:r>
          </w:p>
          <w:p w14:paraId="6C328331">
            <w:pPr>
              <w:pStyle w:val="147"/>
              <w:spacing w:before="141" w:line="223" w:lineRule="auto"/>
              <w:ind w:left="0" w:leftChars="0" w:firstLine="0" w:firstLineChars="0"/>
              <w:jc w:val="center"/>
              <w:rPr>
                <w:rFonts w:hint="default" w:ascii="Times New Roman" w:hAnsi="Times New Roman" w:eastAsia="宋体" w:cs="Times New Roman"/>
                <w:b/>
                <w:bCs/>
                <w:color w:val="auto"/>
                <w:spacing w:val="5"/>
                <w:highlight w:val="none"/>
                <w:lang w:val="en-US" w:eastAsia="zh-CN"/>
              </w:rPr>
            </w:pPr>
            <w:r>
              <w:rPr>
                <w:rFonts w:hint="default" w:ascii="Times New Roman" w:hAnsi="Times New Roman" w:eastAsia="宋体" w:cs="Times New Roman"/>
                <w:b/>
                <w:bCs/>
                <w:color w:val="auto"/>
                <w:spacing w:val="5"/>
                <w:highlight w:val="none"/>
                <w:lang w:val="en-US" w:eastAsia="zh-CN"/>
              </w:rPr>
              <w:t>表</w:t>
            </w:r>
            <w:r>
              <w:rPr>
                <w:rFonts w:hint="default" w:ascii="Times New Roman" w:hAnsi="Times New Roman" w:eastAsia="宋体" w:cs="Times New Roman"/>
                <w:b/>
                <w:bCs/>
                <w:color w:val="auto"/>
                <w:spacing w:val="5"/>
                <w:sz w:val="21"/>
                <w:szCs w:val="21"/>
                <w:highlight w:val="none"/>
                <w:lang w:val="en-US" w:eastAsia="zh-CN"/>
              </w:rPr>
              <w:t>2-2</w:t>
            </w:r>
            <w:r>
              <w:rPr>
                <w:rFonts w:hint="default" w:ascii="Times New Roman" w:hAnsi="Times New Roman" w:eastAsia="宋体" w:cs="Times New Roman"/>
                <w:b/>
                <w:bCs/>
                <w:color w:val="auto"/>
                <w:spacing w:val="5"/>
                <w:highlight w:val="none"/>
                <w:lang w:val="en-US" w:eastAsia="zh-CN"/>
              </w:rPr>
              <w:t>生产设备一览表</w:t>
            </w:r>
          </w:p>
          <w:tbl>
            <w:tblPr>
              <w:tblStyle w:val="3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89"/>
              <w:gridCol w:w="2340"/>
              <w:gridCol w:w="1411"/>
              <w:gridCol w:w="1120"/>
              <w:gridCol w:w="1874"/>
            </w:tblGrid>
            <w:tr w14:paraId="51221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 w:hRule="atLeast"/>
              </w:trPr>
              <w:tc>
                <w:tcPr>
                  <w:tcW w:w="889" w:type="dxa"/>
                  <w:noWrap w:val="0"/>
                  <w:vAlign w:val="center"/>
                </w:tcPr>
                <w:p w14:paraId="0CD029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序号</w:t>
                  </w:r>
                </w:p>
              </w:tc>
              <w:tc>
                <w:tcPr>
                  <w:tcW w:w="2340" w:type="dxa"/>
                  <w:noWrap w:val="0"/>
                  <w:vAlign w:val="center"/>
                </w:tcPr>
                <w:p w14:paraId="0CAEF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设备名称</w:t>
                  </w:r>
                </w:p>
              </w:tc>
              <w:tc>
                <w:tcPr>
                  <w:tcW w:w="1411" w:type="dxa"/>
                  <w:noWrap w:val="0"/>
                  <w:vAlign w:val="center"/>
                </w:tcPr>
                <w:p w14:paraId="54FA4E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单位</w:t>
                  </w:r>
                </w:p>
              </w:tc>
              <w:tc>
                <w:tcPr>
                  <w:tcW w:w="1120" w:type="dxa"/>
                  <w:noWrap w:val="0"/>
                  <w:vAlign w:val="center"/>
                </w:tcPr>
                <w:p w14:paraId="726820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数量</w:t>
                  </w:r>
                </w:p>
              </w:tc>
              <w:tc>
                <w:tcPr>
                  <w:tcW w:w="1874" w:type="dxa"/>
                  <w:noWrap w:val="0"/>
                  <w:vAlign w:val="center"/>
                </w:tcPr>
                <w:p w14:paraId="23E040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备注</w:t>
                  </w:r>
                </w:p>
              </w:tc>
            </w:tr>
            <w:tr w14:paraId="243F5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0" w:hRule="atLeast"/>
              </w:trPr>
              <w:tc>
                <w:tcPr>
                  <w:tcW w:w="889" w:type="dxa"/>
                  <w:noWrap w:val="0"/>
                  <w:vAlign w:val="center"/>
                </w:tcPr>
                <w:p w14:paraId="56A29F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2340" w:type="dxa"/>
                  <w:noWrap w:val="0"/>
                  <w:vAlign w:val="center"/>
                </w:tcPr>
                <w:p w14:paraId="23527B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布袋除尘器</w:t>
                  </w:r>
                </w:p>
              </w:tc>
              <w:tc>
                <w:tcPr>
                  <w:tcW w:w="1411" w:type="dxa"/>
                  <w:noWrap w:val="0"/>
                  <w:vAlign w:val="center"/>
                </w:tcPr>
                <w:p w14:paraId="5A3AD6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台</w:t>
                  </w:r>
                </w:p>
              </w:tc>
              <w:tc>
                <w:tcPr>
                  <w:tcW w:w="1120" w:type="dxa"/>
                  <w:noWrap w:val="0"/>
                  <w:vAlign w:val="center"/>
                </w:tcPr>
                <w:p w14:paraId="686CDC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874" w:type="dxa"/>
                  <w:noWrap w:val="0"/>
                  <w:vAlign w:val="center"/>
                </w:tcPr>
                <w:p w14:paraId="5D1745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r>
            <w:tr w14:paraId="1165A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0" w:hRule="atLeast"/>
              </w:trPr>
              <w:tc>
                <w:tcPr>
                  <w:tcW w:w="889" w:type="dxa"/>
                  <w:noWrap w:val="0"/>
                  <w:vAlign w:val="center"/>
                </w:tcPr>
                <w:p w14:paraId="57EBDD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2340" w:type="dxa"/>
                  <w:noWrap w:val="0"/>
                  <w:vAlign w:val="center"/>
                </w:tcPr>
                <w:p w14:paraId="4CE717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鼓</w:t>
                  </w:r>
                  <w:r>
                    <w:rPr>
                      <w:rFonts w:hint="default" w:ascii="Times New Roman" w:hAnsi="Times New Roman" w:eastAsia="宋体" w:cs="Times New Roman"/>
                      <w:b w:val="0"/>
                      <w:bCs/>
                      <w:color w:val="auto"/>
                      <w:sz w:val="21"/>
                      <w:szCs w:val="21"/>
                      <w:highlight w:val="none"/>
                      <w:lang w:val="en-US" w:eastAsia="zh-CN"/>
                    </w:rPr>
                    <w:t>风机</w:t>
                  </w:r>
                </w:p>
              </w:tc>
              <w:tc>
                <w:tcPr>
                  <w:tcW w:w="1411" w:type="dxa"/>
                  <w:noWrap w:val="0"/>
                  <w:vAlign w:val="center"/>
                </w:tcPr>
                <w:p w14:paraId="102433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台</w:t>
                  </w:r>
                </w:p>
              </w:tc>
              <w:tc>
                <w:tcPr>
                  <w:tcW w:w="1120" w:type="dxa"/>
                  <w:noWrap w:val="0"/>
                  <w:vAlign w:val="center"/>
                </w:tcPr>
                <w:p w14:paraId="65066B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874" w:type="dxa"/>
                  <w:noWrap w:val="0"/>
                  <w:vAlign w:val="center"/>
                </w:tcPr>
                <w:p w14:paraId="6B5916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r>
            <w:tr w14:paraId="26EAA3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0" w:hRule="atLeast"/>
              </w:trPr>
              <w:tc>
                <w:tcPr>
                  <w:tcW w:w="889" w:type="dxa"/>
                  <w:shd w:val="clear" w:color="auto" w:fill="auto"/>
                  <w:noWrap w:val="0"/>
                  <w:vAlign w:val="center"/>
                </w:tcPr>
                <w:p w14:paraId="32A27D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3</w:t>
                  </w:r>
                </w:p>
              </w:tc>
              <w:tc>
                <w:tcPr>
                  <w:tcW w:w="2340" w:type="dxa"/>
                  <w:noWrap w:val="0"/>
                  <w:vAlign w:val="center"/>
                </w:tcPr>
                <w:p w14:paraId="114459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引风机</w:t>
                  </w:r>
                </w:p>
              </w:tc>
              <w:tc>
                <w:tcPr>
                  <w:tcW w:w="1411" w:type="dxa"/>
                  <w:noWrap w:val="0"/>
                  <w:vAlign w:val="center"/>
                </w:tcPr>
                <w:p w14:paraId="0A86AB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台</w:t>
                  </w:r>
                </w:p>
              </w:tc>
              <w:tc>
                <w:tcPr>
                  <w:tcW w:w="1120" w:type="dxa"/>
                  <w:noWrap w:val="0"/>
                  <w:vAlign w:val="center"/>
                </w:tcPr>
                <w:p w14:paraId="594ECF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1874" w:type="dxa"/>
                  <w:noWrap w:val="0"/>
                  <w:vAlign w:val="center"/>
                </w:tcPr>
                <w:p w14:paraId="4D8CDF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p>
              </w:tc>
            </w:tr>
            <w:tr w14:paraId="5786C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2" w:hRule="atLeast"/>
              </w:trPr>
              <w:tc>
                <w:tcPr>
                  <w:tcW w:w="889" w:type="dxa"/>
                  <w:shd w:val="clear" w:color="auto" w:fill="auto"/>
                  <w:noWrap w:val="0"/>
                  <w:vAlign w:val="center"/>
                </w:tcPr>
                <w:p w14:paraId="2CBBAF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4</w:t>
                  </w:r>
                </w:p>
              </w:tc>
              <w:tc>
                <w:tcPr>
                  <w:tcW w:w="2340" w:type="dxa"/>
                  <w:noWrap w:val="0"/>
                  <w:vAlign w:val="center"/>
                </w:tcPr>
                <w:p w14:paraId="013CBA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10t/h生物质蒸汽锅炉</w:t>
                  </w:r>
                </w:p>
              </w:tc>
              <w:tc>
                <w:tcPr>
                  <w:tcW w:w="1411" w:type="dxa"/>
                  <w:noWrap w:val="0"/>
                  <w:vAlign w:val="center"/>
                </w:tcPr>
                <w:p w14:paraId="1587C5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台</w:t>
                  </w:r>
                </w:p>
              </w:tc>
              <w:tc>
                <w:tcPr>
                  <w:tcW w:w="1120" w:type="dxa"/>
                  <w:noWrap w:val="0"/>
                  <w:vAlign w:val="center"/>
                </w:tcPr>
                <w:p w14:paraId="0F54A4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874" w:type="dxa"/>
                  <w:noWrap w:val="0"/>
                  <w:vAlign w:val="center"/>
                </w:tcPr>
                <w:p w14:paraId="1E787A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大鳞片式链条锅炉</w:t>
                  </w:r>
                </w:p>
              </w:tc>
            </w:tr>
            <w:tr w14:paraId="0221A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7" w:hRule="atLeast"/>
              </w:trPr>
              <w:tc>
                <w:tcPr>
                  <w:tcW w:w="889" w:type="dxa"/>
                  <w:noWrap w:val="0"/>
                  <w:vAlign w:val="center"/>
                </w:tcPr>
                <w:p w14:paraId="34B4BB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5</w:t>
                  </w:r>
                </w:p>
              </w:tc>
              <w:tc>
                <w:tcPr>
                  <w:tcW w:w="2340" w:type="dxa"/>
                  <w:noWrap w:val="0"/>
                  <w:vAlign w:val="center"/>
                </w:tcPr>
                <w:p w14:paraId="7901EF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烟囱</w:t>
                  </w:r>
                </w:p>
              </w:tc>
              <w:tc>
                <w:tcPr>
                  <w:tcW w:w="1411" w:type="dxa"/>
                  <w:noWrap w:val="0"/>
                  <w:vAlign w:val="center"/>
                </w:tcPr>
                <w:p w14:paraId="61C166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根</w:t>
                  </w:r>
                </w:p>
              </w:tc>
              <w:tc>
                <w:tcPr>
                  <w:tcW w:w="1120" w:type="dxa"/>
                  <w:noWrap w:val="0"/>
                  <w:vAlign w:val="center"/>
                </w:tcPr>
                <w:p w14:paraId="33D1F7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874" w:type="dxa"/>
                  <w:noWrap w:val="0"/>
                  <w:vAlign w:val="center"/>
                </w:tcPr>
                <w:p w14:paraId="4FB9AE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高度40m</w:t>
                  </w:r>
                </w:p>
              </w:tc>
            </w:tr>
          </w:tbl>
          <w:p w14:paraId="574679C9">
            <w:pPr>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3、本项目主要原辅材料消耗如下表2-3</w:t>
            </w:r>
          </w:p>
          <w:p w14:paraId="68FFAC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kern w:val="2"/>
                <w:sz w:val="21"/>
                <w:szCs w:val="21"/>
                <w:highlight w:val="none"/>
                <w:lang w:val="en-US" w:eastAsia="zh-CN" w:bidi="ar-SA"/>
              </w:rPr>
            </w:pPr>
            <w:r>
              <w:rPr>
                <w:rFonts w:hint="default" w:ascii="Times New Roman" w:hAnsi="Times New Roman" w:eastAsia="宋体" w:cs="Times New Roman"/>
                <w:b/>
                <w:bCs w:val="0"/>
                <w:color w:val="auto"/>
                <w:spacing w:val="0"/>
                <w:kern w:val="2"/>
                <w:sz w:val="21"/>
                <w:szCs w:val="21"/>
                <w:highlight w:val="none"/>
                <w:lang w:val="en-US" w:eastAsia="zh-CN" w:bidi="ar-SA"/>
              </w:rPr>
              <w:t>表2-3原辅材料消耗一览表</w:t>
            </w:r>
          </w:p>
          <w:tbl>
            <w:tblPr>
              <w:tblStyle w:val="14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92"/>
              <w:gridCol w:w="2278"/>
              <w:gridCol w:w="2016"/>
              <w:gridCol w:w="1440"/>
            </w:tblGrid>
            <w:tr w14:paraId="030CD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240" w:type="pct"/>
                  <w:tcBorders>
                    <w:top w:val="single" w:color="000000" w:sz="10" w:space="0"/>
                  </w:tcBorders>
                  <w:vAlign w:val="center"/>
                </w:tcPr>
                <w:p w14:paraId="56F3D72A">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名称</w:t>
                  </w:r>
                </w:p>
              </w:tc>
              <w:tc>
                <w:tcPr>
                  <w:tcW w:w="1493" w:type="pct"/>
                  <w:tcBorders>
                    <w:top w:val="single" w:color="000000" w:sz="10" w:space="0"/>
                  </w:tcBorders>
                  <w:vAlign w:val="center"/>
                </w:tcPr>
                <w:p w14:paraId="0145E9D6">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项目建成前</w:t>
                  </w:r>
                </w:p>
              </w:tc>
              <w:tc>
                <w:tcPr>
                  <w:tcW w:w="1321" w:type="pct"/>
                  <w:tcBorders>
                    <w:top w:val="single" w:color="000000" w:sz="10" w:space="0"/>
                  </w:tcBorders>
                  <w:vAlign w:val="center"/>
                </w:tcPr>
                <w:p w14:paraId="2EA58593">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本项目建设后用量</w:t>
                  </w:r>
                </w:p>
              </w:tc>
              <w:tc>
                <w:tcPr>
                  <w:tcW w:w="944" w:type="pct"/>
                  <w:tcBorders>
                    <w:top w:val="single" w:color="000000" w:sz="10" w:space="0"/>
                    <w:right w:val="nil"/>
                  </w:tcBorders>
                  <w:vAlign w:val="center"/>
                </w:tcPr>
                <w:p w14:paraId="45478324">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来源</w:t>
                  </w:r>
                </w:p>
              </w:tc>
            </w:tr>
            <w:tr w14:paraId="5E7D7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240" w:type="pct"/>
                  <w:tcBorders>
                    <w:top w:val="single" w:color="000000" w:sz="10" w:space="0"/>
                  </w:tcBorders>
                  <w:vAlign w:val="center"/>
                </w:tcPr>
                <w:p w14:paraId="325918D1">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cs="Times New Roman"/>
                      <w:snapToGrid w:val="0"/>
                      <w:color w:val="auto"/>
                      <w:spacing w:val="0"/>
                      <w:sz w:val="21"/>
                      <w:szCs w:val="21"/>
                      <w:highlight w:val="none"/>
                      <w:lang w:val="en-US" w:eastAsia="zh-CN"/>
                    </w:rPr>
                    <w:t>米糠</w:t>
                  </w:r>
                </w:p>
              </w:tc>
              <w:tc>
                <w:tcPr>
                  <w:tcW w:w="1493" w:type="pct"/>
                  <w:tcBorders>
                    <w:top w:val="single" w:color="000000" w:sz="10" w:space="0"/>
                  </w:tcBorders>
                  <w:vAlign w:val="center"/>
                </w:tcPr>
                <w:p w14:paraId="5F5F4F7B">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cs="Times New Roman"/>
                      <w:snapToGrid w:val="0"/>
                      <w:color w:val="auto"/>
                      <w:spacing w:val="0"/>
                      <w:sz w:val="21"/>
                      <w:szCs w:val="21"/>
                      <w:highlight w:val="none"/>
                      <w:lang w:val="en-US" w:eastAsia="zh-CN"/>
                    </w:rPr>
                    <w:t>60000</w:t>
                  </w:r>
                </w:p>
              </w:tc>
              <w:tc>
                <w:tcPr>
                  <w:tcW w:w="1321" w:type="pct"/>
                  <w:tcBorders>
                    <w:top w:val="single" w:color="000000" w:sz="10" w:space="0"/>
                  </w:tcBorders>
                  <w:vAlign w:val="center"/>
                </w:tcPr>
                <w:p w14:paraId="5167E39F">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cs="Times New Roman"/>
                      <w:snapToGrid w:val="0"/>
                      <w:color w:val="auto"/>
                      <w:spacing w:val="0"/>
                      <w:sz w:val="21"/>
                      <w:szCs w:val="21"/>
                      <w:highlight w:val="none"/>
                      <w:lang w:val="en-US" w:eastAsia="zh-CN"/>
                    </w:rPr>
                    <w:t>60000</w:t>
                  </w:r>
                </w:p>
              </w:tc>
              <w:tc>
                <w:tcPr>
                  <w:tcW w:w="944" w:type="pct"/>
                  <w:tcBorders>
                    <w:top w:val="single" w:color="000000" w:sz="10" w:space="0"/>
                    <w:right w:val="nil"/>
                  </w:tcBorders>
                  <w:vAlign w:val="center"/>
                </w:tcPr>
                <w:p w14:paraId="6E1DEEB3">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外购</w:t>
                  </w:r>
                </w:p>
              </w:tc>
            </w:tr>
            <w:tr w14:paraId="3F04F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240" w:type="pct"/>
                  <w:vAlign w:val="center"/>
                </w:tcPr>
                <w:p w14:paraId="0C5BF37D">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生物质成型</w:t>
                  </w:r>
                </w:p>
                <w:p w14:paraId="27D51DE7">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燃料</w:t>
                  </w:r>
                </w:p>
              </w:tc>
              <w:tc>
                <w:tcPr>
                  <w:tcW w:w="1493" w:type="pct"/>
                  <w:vAlign w:val="center"/>
                </w:tcPr>
                <w:p w14:paraId="02D190DC">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cs="Times New Roman"/>
                      <w:snapToGrid w:val="0"/>
                      <w:color w:val="auto"/>
                      <w:spacing w:val="0"/>
                      <w:sz w:val="21"/>
                      <w:szCs w:val="21"/>
                      <w:highlight w:val="none"/>
                      <w:lang w:val="en-US" w:eastAsia="zh-CN"/>
                    </w:rPr>
                    <w:t>4844</w:t>
                  </w:r>
                  <w:r>
                    <w:rPr>
                      <w:rFonts w:hint="default" w:ascii="Times New Roman" w:hAnsi="Times New Roman" w:eastAsia="宋体" w:cs="Times New Roman"/>
                      <w:snapToGrid w:val="0"/>
                      <w:color w:val="auto"/>
                      <w:spacing w:val="0"/>
                      <w:sz w:val="21"/>
                      <w:szCs w:val="21"/>
                      <w:highlight w:val="none"/>
                      <w:lang w:val="en-US" w:eastAsia="zh-CN"/>
                    </w:rPr>
                    <w:t>吨</w:t>
                  </w:r>
                </w:p>
              </w:tc>
              <w:tc>
                <w:tcPr>
                  <w:tcW w:w="1321" w:type="pct"/>
                  <w:vAlign w:val="center"/>
                </w:tcPr>
                <w:p w14:paraId="64E1976B">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cs="Times New Roman"/>
                      <w:snapToGrid w:val="0"/>
                      <w:color w:val="auto"/>
                      <w:spacing w:val="0"/>
                      <w:sz w:val="21"/>
                      <w:szCs w:val="21"/>
                      <w:highlight w:val="none"/>
                      <w:lang w:val="en-US" w:eastAsia="zh-CN"/>
                    </w:rPr>
                    <w:t>6598.62吨</w:t>
                  </w:r>
                </w:p>
              </w:tc>
              <w:tc>
                <w:tcPr>
                  <w:tcW w:w="944" w:type="pct"/>
                  <w:tcBorders>
                    <w:right w:val="nil"/>
                  </w:tcBorders>
                  <w:vAlign w:val="center"/>
                </w:tcPr>
                <w:p w14:paraId="73E0D141">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外购</w:t>
                  </w:r>
                </w:p>
              </w:tc>
            </w:tr>
            <w:tr w14:paraId="76652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240" w:type="pct"/>
                  <w:shd w:val="clear" w:color="auto" w:fill="auto"/>
                  <w:vAlign w:val="center"/>
                </w:tcPr>
                <w:p w14:paraId="1CB3EE96">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溶剂</w:t>
                  </w:r>
                </w:p>
              </w:tc>
              <w:tc>
                <w:tcPr>
                  <w:tcW w:w="1493" w:type="pct"/>
                  <w:shd w:val="clear" w:color="auto" w:fill="auto"/>
                  <w:vAlign w:val="center"/>
                </w:tcPr>
                <w:p w14:paraId="716B555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华文中宋" w:cs="Times New Roman"/>
                      <w:color w:val="auto"/>
                      <w:sz w:val="21"/>
                      <w:szCs w:val="21"/>
                      <w:highlight w:val="none"/>
                      <w:lang w:val="en-US" w:eastAsia="zh-CN"/>
                    </w:rPr>
                    <w:t>180.5</w:t>
                  </w:r>
                </w:p>
              </w:tc>
              <w:tc>
                <w:tcPr>
                  <w:tcW w:w="1321" w:type="pct"/>
                  <w:shd w:val="clear" w:color="auto" w:fill="auto"/>
                  <w:vAlign w:val="center"/>
                </w:tcPr>
                <w:p w14:paraId="3A9781C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华文中宋" w:cs="Times New Roman"/>
                      <w:color w:val="auto"/>
                      <w:sz w:val="21"/>
                      <w:szCs w:val="21"/>
                      <w:highlight w:val="none"/>
                      <w:lang w:val="en-US" w:eastAsia="zh-CN"/>
                    </w:rPr>
                    <w:t>180.5</w:t>
                  </w:r>
                </w:p>
              </w:tc>
              <w:tc>
                <w:tcPr>
                  <w:tcW w:w="944" w:type="pct"/>
                  <w:tcBorders>
                    <w:right w:val="nil"/>
                  </w:tcBorders>
                  <w:shd w:val="clear" w:color="auto" w:fill="auto"/>
                  <w:vAlign w:val="center"/>
                </w:tcPr>
                <w:p w14:paraId="2A668CE0">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外购</w:t>
                  </w:r>
                </w:p>
              </w:tc>
            </w:tr>
            <w:tr w14:paraId="6119A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240" w:type="pct"/>
                  <w:shd w:val="clear" w:color="auto" w:fill="auto"/>
                  <w:vAlign w:val="center"/>
                </w:tcPr>
                <w:p w14:paraId="6F7D7CF9">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活性白土</w:t>
                  </w:r>
                </w:p>
              </w:tc>
              <w:tc>
                <w:tcPr>
                  <w:tcW w:w="1493" w:type="pct"/>
                  <w:shd w:val="clear" w:color="auto" w:fill="auto"/>
                  <w:vAlign w:val="center"/>
                </w:tcPr>
                <w:p w14:paraId="6370F5B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华文中宋" w:cs="Times New Roman"/>
                      <w:color w:val="auto"/>
                      <w:sz w:val="21"/>
                      <w:szCs w:val="21"/>
                      <w:highlight w:val="none"/>
                      <w:lang w:val="en-US" w:eastAsia="zh-CN"/>
                    </w:rPr>
                    <w:t>97.5</w:t>
                  </w:r>
                </w:p>
              </w:tc>
              <w:tc>
                <w:tcPr>
                  <w:tcW w:w="1321" w:type="pct"/>
                  <w:shd w:val="clear" w:color="auto" w:fill="auto"/>
                  <w:vAlign w:val="center"/>
                </w:tcPr>
                <w:p w14:paraId="0EC5A81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华文中宋" w:cs="Times New Roman"/>
                      <w:color w:val="auto"/>
                      <w:sz w:val="21"/>
                      <w:szCs w:val="21"/>
                      <w:highlight w:val="none"/>
                      <w:lang w:val="en-US" w:eastAsia="zh-CN"/>
                    </w:rPr>
                    <w:t>97.5</w:t>
                  </w:r>
                </w:p>
              </w:tc>
              <w:tc>
                <w:tcPr>
                  <w:tcW w:w="944" w:type="pct"/>
                  <w:tcBorders>
                    <w:right w:val="nil"/>
                  </w:tcBorders>
                  <w:shd w:val="clear" w:color="auto" w:fill="auto"/>
                  <w:vAlign w:val="center"/>
                </w:tcPr>
                <w:p w14:paraId="6EBB9F46">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外购</w:t>
                  </w:r>
                </w:p>
              </w:tc>
            </w:tr>
            <w:tr w14:paraId="029A4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240" w:type="pct"/>
                  <w:shd w:val="clear" w:color="auto" w:fill="auto"/>
                  <w:vAlign w:val="center"/>
                </w:tcPr>
                <w:p w14:paraId="6F42C954">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烧碱</w:t>
                  </w:r>
                </w:p>
              </w:tc>
              <w:tc>
                <w:tcPr>
                  <w:tcW w:w="1493" w:type="pct"/>
                  <w:shd w:val="clear" w:color="auto" w:fill="auto"/>
                  <w:vAlign w:val="center"/>
                </w:tcPr>
                <w:p w14:paraId="7BC2C0E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华文中宋" w:cs="Times New Roman"/>
                      <w:color w:val="auto"/>
                      <w:sz w:val="21"/>
                      <w:szCs w:val="21"/>
                      <w:highlight w:val="none"/>
                      <w:lang w:val="en-US" w:eastAsia="zh-CN"/>
                    </w:rPr>
                    <w:t>18</w:t>
                  </w:r>
                </w:p>
              </w:tc>
              <w:tc>
                <w:tcPr>
                  <w:tcW w:w="1321" w:type="pct"/>
                  <w:shd w:val="clear" w:color="auto" w:fill="auto"/>
                  <w:vAlign w:val="center"/>
                </w:tcPr>
                <w:p w14:paraId="5A16BB2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华文中宋" w:cs="Times New Roman"/>
                      <w:color w:val="auto"/>
                      <w:sz w:val="21"/>
                      <w:szCs w:val="21"/>
                      <w:highlight w:val="none"/>
                      <w:lang w:val="en-US" w:eastAsia="zh-CN"/>
                    </w:rPr>
                    <w:t>18</w:t>
                  </w:r>
                </w:p>
              </w:tc>
              <w:tc>
                <w:tcPr>
                  <w:tcW w:w="944" w:type="pct"/>
                  <w:tcBorders>
                    <w:right w:val="nil"/>
                  </w:tcBorders>
                  <w:shd w:val="clear" w:color="auto" w:fill="auto"/>
                  <w:vAlign w:val="center"/>
                </w:tcPr>
                <w:p w14:paraId="474ECA1B">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外购</w:t>
                  </w:r>
                </w:p>
              </w:tc>
            </w:tr>
            <w:tr w14:paraId="4A41B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240" w:type="pct"/>
                  <w:shd w:val="clear" w:color="auto" w:fill="auto"/>
                  <w:vAlign w:val="center"/>
                </w:tcPr>
                <w:p w14:paraId="23E516EF">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磷酸</w:t>
                  </w:r>
                </w:p>
              </w:tc>
              <w:tc>
                <w:tcPr>
                  <w:tcW w:w="1493" w:type="pct"/>
                  <w:shd w:val="clear" w:color="auto" w:fill="auto"/>
                  <w:vAlign w:val="center"/>
                </w:tcPr>
                <w:p w14:paraId="536D5EC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华文中宋" w:cs="Times New Roman"/>
                      <w:snapToGrid w:val="0"/>
                      <w:color w:val="auto"/>
                      <w:spacing w:val="0"/>
                      <w:sz w:val="21"/>
                      <w:szCs w:val="21"/>
                      <w:highlight w:val="none"/>
                      <w:lang w:val="en-US" w:eastAsia="zh-CN"/>
                    </w:rPr>
                  </w:pPr>
                  <w:r>
                    <w:rPr>
                      <w:rFonts w:hint="default" w:ascii="Times New Roman" w:hAnsi="Times New Roman" w:eastAsia="华文中宋" w:cs="Times New Roman"/>
                      <w:color w:val="auto"/>
                      <w:sz w:val="21"/>
                      <w:szCs w:val="21"/>
                      <w:highlight w:val="none"/>
                    </w:rPr>
                    <w:t>19</w:t>
                  </w:r>
                  <w:r>
                    <w:rPr>
                      <w:rFonts w:hint="default" w:ascii="Times New Roman" w:hAnsi="Times New Roman" w:eastAsia="华文中宋" w:cs="Times New Roman"/>
                      <w:color w:val="auto"/>
                      <w:sz w:val="21"/>
                      <w:szCs w:val="21"/>
                      <w:highlight w:val="none"/>
                      <w:lang w:val="en-US" w:eastAsia="zh-CN"/>
                    </w:rPr>
                    <w:t>.5</w:t>
                  </w:r>
                </w:p>
              </w:tc>
              <w:tc>
                <w:tcPr>
                  <w:tcW w:w="1321" w:type="pct"/>
                  <w:shd w:val="clear" w:color="auto" w:fill="auto"/>
                  <w:vAlign w:val="center"/>
                </w:tcPr>
                <w:p w14:paraId="717DFAD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华文中宋" w:cs="Times New Roman"/>
                      <w:snapToGrid w:val="0"/>
                      <w:color w:val="auto"/>
                      <w:spacing w:val="0"/>
                      <w:sz w:val="21"/>
                      <w:szCs w:val="21"/>
                      <w:highlight w:val="none"/>
                      <w:lang w:val="en-US" w:eastAsia="zh-CN"/>
                    </w:rPr>
                  </w:pPr>
                  <w:r>
                    <w:rPr>
                      <w:rFonts w:hint="default" w:ascii="Times New Roman" w:hAnsi="Times New Roman" w:eastAsia="华文中宋" w:cs="Times New Roman"/>
                      <w:color w:val="auto"/>
                      <w:sz w:val="21"/>
                      <w:szCs w:val="21"/>
                      <w:highlight w:val="none"/>
                    </w:rPr>
                    <w:t>19</w:t>
                  </w:r>
                  <w:r>
                    <w:rPr>
                      <w:rFonts w:hint="default" w:ascii="Times New Roman" w:hAnsi="Times New Roman" w:eastAsia="华文中宋" w:cs="Times New Roman"/>
                      <w:color w:val="auto"/>
                      <w:sz w:val="21"/>
                      <w:szCs w:val="21"/>
                      <w:highlight w:val="none"/>
                      <w:lang w:val="en-US" w:eastAsia="zh-CN"/>
                    </w:rPr>
                    <w:t>.5</w:t>
                  </w:r>
                </w:p>
              </w:tc>
              <w:tc>
                <w:tcPr>
                  <w:tcW w:w="944" w:type="pct"/>
                  <w:tcBorders>
                    <w:right w:val="nil"/>
                  </w:tcBorders>
                  <w:shd w:val="clear" w:color="auto" w:fill="auto"/>
                  <w:vAlign w:val="center"/>
                </w:tcPr>
                <w:p w14:paraId="78F86BF4">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外购</w:t>
                  </w:r>
                </w:p>
              </w:tc>
            </w:tr>
            <w:tr w14:paraId="01138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240" w:type="pct"/>
                  <w:shd w:val="clear" w:color="auto" w:fill="auto"/>
                  <w:vAlign w:val="center"/>
                </w:tcPr>
                <w:p w14:paraId="31D89FEA">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包装桶（180kg）</w:t>
                  </w:r>
                </w:p>
              </w:tc>
              <w:tc>
                <w:tcPr>
                  <w:tcW w:w="1493" w:type="pct"/>
                  <w:shd w:val="clear" w:color="auto" w:fill="auto"/>
                  <w:vAlign w:val="center"/>
                </w:tcPr>
                <w:p w14:paraId="5FAD716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华文中宋" w:cs="Times New Roman"/>
                      <w:color w:val="auto"/>
                      <w:sz w:val="21"/>
                      <w:szCs w:val="21"/>
                      <w:highlight w:val="none"/>
                    </w:rPr>
                    <w:t>9.5</w:t>
                  </w:r>
                </w:p>
              </w:tc>
              <w:tc>
                <w:tcPr>
                  <w:tcW w:w="1321" w:type="pct"/>
                  <w:shd w:val="clear" w:color="auto" w:fill="auto"/>
                  <w:vAlign w:val="center"/>
                </w:tcPr>
                <w:p w14:paraId="6080AE3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华文中宋" w:cs="Times New Roman"/>
                      <w:color w:val="auto"/>
                      <w:sz w:val="21"/>
                      <w:szCs w:val="21"/>
                      <w:highlight w:val="none"/>
                    </w:rPr>
                    <w:t>9.5</w:t>
                  </w:r>
                </w:p>
              </w:tc>
              <w:tc>
                <w:tcPr>
                  <w:tcW w:w="944" w:type="pct"/>
                  <w:tcBorders>
                    <w:right w:val="nil"/>
                  </w:tcBorders>
                  <w:shd w:val="clear" w:color="auto" w:fill="auto"/>
                  <w:vAlign w:val="center"/>
                </w:tcPr>
                <w:p w14:paraId="4ABD1994">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外购</w:t>
                  </w:r>
                </w:p>
              </w:tc>
            </w:tr>
            <w:tr w14:paraId="57325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240" w:type="pct"/>
                  <w:shd w:val="clear" w:color="auto" w:fill="auto"/>
                  <w:vAlign w:val="center"/>
                </w:tcPr>
                <w:p w14:paraId="1D9185E8">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粕袋</w:t>
                  </w:r>
                </w:p>
              </w:tc>
              <w:tc>
                <w:tcPr>
                  <w:tcW w:w="1493" w:type="pct"/>
                  <w:shd w:val="clear" w:color="auto" w:fill="auto"/>
                  <w:vAlign w:val="center"/>
                </w:tcPr>
                <w:p w14:paraId="5185520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华文中宋" w:cs="Times New Roman"/>
                      <w:color w:val="auto"/>
                      <w:sz w:val="21"/>
                      <w:szCs w:val="21"/>
                      <w:highlight w:val="none"/>
                    </w:rPr>
                    <w:t>8520</w:t>
                  </w:r>
                </w:p>
              </w:tc>
              <w:tc>
                <w:tcPr>
                  <w:tcW w:w="1321" w:type="pct"/>
                  <w:shd w:val="clear" w:color="auto" w:fill="auto"/>
                  <w:vAlign w:val="center"/>
                </w:tcPr>
                <w:p w14:paraId="3B0D8E9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华文中宋" w:cs="Times New Roman"/>
                      <w:color w:val="auto"/>
                      <w:sz w:val="21"/>
                      <w:szCs w:val="21"/>
                      <w:highlight w:val="none"/>
                    </w:rPr>
                    <w:t>8520</w:t>
                  </w:r>
                </w:p>
              </w:tc>
              <w:tc>
                <w:tcPr>
                  <w:tcW w:w="944" w:type="pct"/>
                  <w:tcBorders>
                    <w:right w:val="nil"/>
                  </w:tcBorders>
                  <w:shd w:val="clear" w:color="auto" w:fill="auto"/>
                  <w:vAlign w:val="center"/>
                </w:tcPr>
                <w:p w14:paraId="5CDB4224">
                  <w:pPr>
                    <w:pStyle w:val="6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spacing w:val="0"/>
                      <w:sz w:val="21"/>
                      <w:szCs w:val="21"/>
                      <w:highlight w:val="none"/>
                      <w:lang w:val="en-US" w:eastAsia="zh-CN"/>
                    </w:rPr>
                  </w:pPr>
                  <w:r>
                    <w:rPr>
                      <w:rFonts w:hint="default" w:ascii="Times New Roman" w:hAnsi="Times New Roman" w:eastAsia="宋体" w:cs="Times New Roman"/>
                      <w:snapToGrid w:val="0"/>
                      <w:color w:val="auto"/>
                      <w:spacing w:val="0"/>
                      <w:sz w:val="21"/>
                      <w:szCs w:val="21"/>
                      <w:highlight w:val="none"/>
                      <w:lang w:val="en-US" w:eastAsia="zh-CN"/>
                    </w:rPr>
                    <w:t>外购</w:t>
                  </w:r>
                </w:p>
              </w:tc>
            </w:tr>
          </w:tbl>
          <w:p w14:paraId="3700DCAA">
            <w:pPr>
              <w:pStyle w:val="4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21"/>
                <w:szCs w:val="21"/>
                <w:highlight w:val="none"/>
              </w:rPr>
            </w:pPr>
          </w:p>
          <w:p w14:paraId="0150A37C">
            <w:pPr>
              <w:pStyle w:val="4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21"/>
                <w:szCs w:val="21"/>
                <w:highlight w:val="none"/>
              </w:rPr>
            </w:pPr>
          </w:p>
          <w:p w14:paraId="2E7BE1A8">
            <w:pPr>
              <w:pStyle w:val="4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21"/>
                <w:szCs w:val="21"/>
                <w:highlight w:val="none"/>
              </w:rPr>
            </w:pPr>
          </w:p>
          <w:p w14:paraId="4ACD0335">
            <w:pPr>
              <w:pStyle w:val="43"/>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生物质颗粒燃料质检一览表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46"/>
              <w:gridCol w:w="3451"/>
              <w:gridCol w:w="3234"/>
            </w:tblGrid>
            <w:tr w14:paraId="4AEA42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620" w:type="pct"/>
                  <w:noWrap w:val="0"/>
                  <w:vAlign w:val="center"/>
                </w:tcPr>
                <w:p w14:paraId="2A12CC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序号</w:t>
                  </w:r>
                </w:p>
              </w:tc>
              <w:tc>
                <w:tcPr>
                  <w:tcW w:w="2260" w:type="pct"/>
                  <w:noWrap w:val="0"/>
                  <w:vAlign w:val="center"/>
                </w:tcPr>
                <w:p w14:paraId="7D855F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检验项目</w:t>
                  </w:r>
                </w:p>
              </w:tc>
              <w:tc>
                <w:tcPr>
                  <w:tcW w:w="2118" w:type="pct"/>
                  <w:noWrap w:val="0"/>
                  <w:vAlign w:val="center"/>
                </w:tcPr>
                <w:p w14:paraId="7BA580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检验值</w:t>
                  </w:r>
                </w:p>
              </w:tc>
            </w:tr>
            <w:tr w14:paraId="285EB1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620" w:type="pct"/>
                  <w:noWrap w:val="0"/>
                  <w:vAlign w:val="center"/>
                </w:tcPr>
                <w:p w14:paraId="33ED5C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2260" w:type="pct"/>
                  <w:noWrap w:val="0"/>
                  <w:vAlign w:val="center"/>
                </w:tcPr>
                <w:p w14:paraId="7F4C57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全水分M</w:t>
                  </w:r>
                  <w:r>
                    <w:rPr>
                      <w:rFonts w:hint="default" w:ascii="Times New Roman" w:hAnsi="Times New Roman" w:cs="Times New Roman"/>
                      <w:b w:val="0"/>
                      <w:bCs/>
                      <w:color w:val="auto"/>
                      <w:sz w:val="21"/>
                      <w:szCs w:val="21"/>
                      <w:highlight w:val="none"/>
                      <w:lang w:val="en-US" w:eastAsia="zh-CN"/>
                    </w:rPr>
                    <w:t>ar</w:t>
                  </w:r>
                  <w:r>
                    <w:rPr>
                      <w:rFonts w:hint="default" w:ascii="Times New Roman" w:hAnsi="Times New Roman" w:eastAsia="宋体" w:cs="Times New Roman"/>
                      <w:b w:val="0"/>
                      <w:bCs/>
                      <w:color w:val="auto"/>
                      <w:sz w:val="21"/>
                      <w:szCs w:val="21"/>
                      <w:highlight w:val="none"/>
                      <w:lang w:val="en-US" w:eastAsia="zh-CN"/>
                    </w:rPr>
                    <w:t>(%)</w:t>
                  </w:r>
                </w:p>
              </w:tc>
              <w:tc>
                <w:tcPr>
                  <w:tcW w:w="2118" w:type="pct"/>
                  <w:noWrap w:val="0"/>
                  <w:vAlign w:val="center"/>
                </w:tcPr>
                <w:p w14:paraId="33196E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10.21</w:t>
                  </w:r>
                </w:p>
              </w:tc>
            </w:tr>
            <w:tr w14:paraId="0C05A4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620" w:type="pct"/>
                  <w:noWrap w:val="0"/>
                  <w:vAlign w:val="center"/>
                </w:tcPr>
                <w:p w14:paraId="128C96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2260" w:type="pct"/>
                  <w:noWrap w:val="0"/>
                  <w:vAlign w:val="center"/>
                </w:tcPr>
                <w:p w14:paraId="6384E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空气干燥基水分Mad（%）</w:t>
                  </w:r>
                </w:p>
              </w:tc>
              <w:tc>
                <w:tcPr>
                  <w:tcW w:w="2118" w:type="pct"/>
                  <w:noWrap w:val="0"/>
                  <w:vAlign w:val="center"/>
                </w:tcPr>
                <w:p w14:paraId="080619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3.35</w:t>
                  </w:r>
                </w:p>
              </w:tc>
            </w:tr>
            <w:tr w14:paraId="515DF4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620" w:type="pct"/>
                  <w:noWrap w:val="0"/>
                  <w:vAlign w:val="center"/>
                </w:tcPr>
                <w:p w14:paraId="5EDF58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w:t>
                  </w:r>
                </w:p>
              </w:tc>
              <w:tc>
                <w:tcPr>
                  <w:tcW w:w="2260" w:type="pct"/>
                  <w:noWrap w:val="0"/>
                  <w:vAlign w:val="center"/>
                </w:tcPr>
                <w:p w14:paraId="3047E8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挥发分V</w:t>
                  </w:r>
                  <w:r>
                    <w:rPr>
                      <w:rFonts w:hint="default" w:ascii="Times New Roman" w:hAnsi="Times New Roman" w:cs="Times New Roman"/>
                      <w:b w:val="0"/>
                      <w:bCs/>
                      <w:color w:val="auto"/>
                      <w:sz w:val="21"/>
                      <w:szCs w:val="21"/>
                      <w:highlight w:val="none"/>
                      <w:lang w:val="en-US" w:eastAsia="zh-CN"/>
                    </w:rPr>
                    <w:t>daf</w:t>
                  </w:r>
                  <w:r>
                    <w:rPr>
                      <w:rFonts w:hint="default" w:ascii="Times New Roman" w:hAnsi="Times New Roman" w:eastAsia="宋体" w:cs="Times New Roman"/>
                      <w:b w:val="0"/>
                      <w:bCs/>
                      <w:color w:val="auto"/>
                      <w:sz w:val="21"/>
                      <w:szCs w:val="21"/>
                      <w:highlight w:val="none"/>
                      <w:lang w:val="en-US" w:eastAsia="zh-CN"/>
                    </w:rPr>
                    <w:t>（%）</w:t>
                  </w:r>
                </w:p>
              </w:tc>
              <w:tc>
                <w:tcPr>
                  <w:tcW w:w="2118" w:type="pct"/>
                  <w:noWrap w:val="0"/>
                  <w:vAlign w:val="center"/>
                </w:tcPr>
                <w:p w14:paraId="0CBFF6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81.61</w:t>
                  </w:r>
                </w:p>
              </w:tc>
            </w:tr>
            <w:tr w14:paraId="7F9339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9" w:hRule="atLeast"/>
                <w:jc w:val="center"/>
              </w:trPr>
              <w:tc>
                <w:tcPr>
                  <w:tcW w:w="620" w:type="pct"/>
                  <w:shd w:val="clear" w:color="auto" w:fill="auto"/>
                  <w:noWrap w:val="0"/>
                  <w:vAlign w:val="center"/>
                </w:tcPr>
                <w:p w14:paraId="6A91D5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4</w:t>
                  </w:r>
                </w:p>
              </w:tc>
              <w:tc>
                <w:tcPr>
                  <w:tcW w:w="2260" w:type="pct"/>
                  <w:noWrap w:val="0"/>
                  <w:vAlign w:val="center"/>
                </w:tcPr>
                <w:p w14:paraId="0310C4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燃料干燥无灰基挥发分Vadf（%）</w:t>
                  </w:r>
                </w:p>
              </w:tc>
              <w:tc>
                <w:tcPr>
                  <w:tcW w:w="2118" w:type="pct"/>
                  <w:noWrap w:val="0"/>
                  <w:vAlign w:val="center"/>
                </w:tcPr>
                <w:p w14:paraId="4182A2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81.61</w:t>
                  </w:r>
                </w:p>
              </w:tc>
            </w:tr>
            <w:tr w14:paraId="12C6EE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6" w:hRule="atLeast"/>
                <w:jc w:val="center"/>
              </w:trPr>
              <w:tc>
                <w:tcPr>
                  <w:tcW w:w="620" w:type="pct"/>
                  <w:shd w:val="clear" w:color="auto" w:fill="auto"/>
                  <w:noWrap w:val="0"/>
                  <w:vAlign w:val="center"/>
                </w:tcPr>
                <w:p w14:paraId="205E7E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5</w:t>
                  </w:r>
                </w:p>
              </w:tc>
              <w:tc>
                <w:tcPr>
                  <w:tcW w:w="2260" w:type="pct"/>
                  <w:noWrap w:val="0"/>
                  <w:vAlign w:val="center"/>
                </w:tcPr>
                <w:p w14:paraId="6BBF56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灰分A</w:t>
                  </w:r>
                  <w:r>
                    <w:rPr>
                      <w:rFonts w:hint="default" w:ascii="Times New Roman" w:hAnsi="Times New Roman" w:cs="Times New Roman"/>
                      <w:b w:val="0"/>
                      <w:bCs/>
                      <w:color w:val="auto"/>
                      <w:sz w:val="21"/>
                      <w:szCs w:val="21"/>
                      <w:highlight w:val="none"/>
                      <w:lang w:val="en-US" w:eastAsia="zh-CN"/>
                    </w:rPr>
                    <w:t>ar</w:t>
                  </w:r>
                  <w:r>
                    <w:rPr>
                      <w:rFonts w:hint="default" w:ascii="Times New Roman" w:hAnsi="Times New Roman" w:eastAsia="宋体" w:cs="Times New Roman"/>
                      <w:b w:val="0"/>
                      <w:bCs/>
                      <w:color w:val="auto"/>
                      <w:sz w:val="21"/>
                      <w:szCs w:val="21"/>
                      <w:highlight w:val="none"/>
                      <w:lang w:val="en-US" w:eastAsia="zh-CN"/>
                    </w:rPr>
                    <w:t>（%）</w:t>
                  </w:r>
                </w:p>
              </w:tc>
              <w:tc>
                <w:tcPr>
                  <w:tcW w:w="2118" w:type="pct"/>
                  <w:noWrap w:val="0"/>
                  <w:vAlign w:val="center"/>
                </w:tcPr>
                <w:p w14:paraId="133159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15.75</w:t>
                  </w:r>
                </w:p>
              </w:tc>
            </w:tr>
            <w:tr w14:paraId="536CEE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620" w:type="pct"/>
                  <w:shd w:val="clear" w:color="auto" w:fill="auto"/>
                  <w:noWrap w:val="0"/>
                  <w:vAlign w:val="center"/>
                </w:tcPr>
                <w:p w14:paraId="1990A7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6</w:t>
                  </w:r>
                </w:p>
              </w:tc>
              <w:tc>
                <w:tcPr>
                  <w:tcW w:w="2260" w:type="pct"/>
                  <w:noWrap w:val="0"/>
                  <w:vAlign w:val="center"/>
                </w:tcPr>
                <w:p w14:paraId="0F4E40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碳Ca</w:t>
                  </w:r>
                  <w:r>
                    <w:rPr>
                      <w:rFonts w:hint="default" w:ascii="Times New Roman" w:hAnsi="Times New Roman" w:cs="Times New Roman"/>
                      <w:b w:val="0"/>
                      <w:bCs/>
                      <w:color w:val="auto"/>
                      <w:sz w:val="21"/>
                      <w:szCs w:val="21"/>
                      <w:highlight w:val="none"/>
                      <w:lang w:val="en-US" w:eastAsia="zh-CN"/>
                    </w:rPr>
                    <w:t>r</w:t>
                  </w:r>
                  <w:r>
                    <w:rPr>
                      <w:rFonts w:hint="default" w:ascii="Times New Roman" w:hAnsi="Times New Roman" w:eastAsia="宋体" w:cs="Times New Roman"/>
                      <w:b w:val="0"/>
                      <w:bCs/>
                      <w:color w:val="auto"/>
                      <w:sz w:val="21"/>
                      <w:szCs w:val="21"/>
                      <w:highlight w:val="none"/>
                      <w:lang w:val="en-US" w:eastAsia="zh-CN"/>
                    </w:rPr>
                    <w:t>（%）</w:t>
                  </w:r>
                </w:p>
              </w:tc>
              <w:tc>
                <w:tcPr>
                  <w:tcW w:w="2118" w:type="pct"/>
                  <w:noWrap w:val="0"/>
                  <w:vAlign w:val="center"/>
                </w:tcPr>
                <w:p w14:paraId="6AF02E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38.16</w:t>
                  </w:r>
                </w:p>
              </w:tc>
            </w:tr>
            <w:tr w14:paraId="460799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620" w:type="pct"/>
                  <w:shd w:val="clear" w:color="auto" w:fill="auto"/>
                  <w:noWrap w:val="0"/>
                  <w:vAlign w:val="center"/>
                </w:tcPr>
                <w:p w14:paraId="62D6C0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7</w:t>
                  </w:r>
                </w:p>
              </w:tc>
              <w:tc>
                <w:tcPr>
                  <w:tcW w:w="2260" w:type="pct"/>
                  <w:noWrap w:val="0"/>
                  <w:vAlign w:val="center"/>
                </w:tcPr>
                <w:p w14:paraId="36037CDA">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氢Har</w:t>
                  </w:r>
                  <w:r>
                    <w:rPr>
                      <w:rFonts w:hint="default" w:ascii="Times New Roman" w:hAnsi="Times New Roman" w:eastAsia="宋体" w:cs="Times New Roman"/>
                      <w:b w:val="0"/>
                      <w:bCs/>
                      <w:color w:val="auto"/>
                      <w:sz w:val="21"/>
                      <w:szCs w:val="21"/>
                      <w:highlight w:val="none"/>
                      <w:lang w:val="en-US" w:eastAsia="zh-CN"/>
                    </w:rPr>
                    <w:t>（%）</w:t>
                  </w:r>
                </w:p>
              </w:tc>
              <w:tc>
                <w:tcPr>
                  <w:tcW w:w="2118" w:type="pct"/>
                  <w:noWrap w:val="0"/>
                  <w:vAlign w:val="center"/>
                </w:tcPr>
                <w:p w14:paraId="54ABBF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4.32</w:t>
                  </w:r>
                </w:p>
              </w:tc>
            </w:tr>
            <w:tr w14:paraId="6D605F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620" w:type="pct"/>
                  <w:shd w:val="clear" w:color="auto" w:fill="auto"/>
                  <w:noWrap w:val="0"/>
                  <w:vAlign w:val="center"/>
                </w:tcPr>
                <w:p w14:paraId="05C9A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8</w:t>
                  </w:r>
                </w:p>
              </w:tc>
              <w:tc>
                <w:tcPr>
                  <w:tcW w:w="2260" w:type="pct"/>
                  <w:noWrap w:val="0"/>
                  <w:vAlign w:val="center"/>
                </w:tcPr>
                <w:p w14:paraId="40229DB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氦Nar</w:t>
                  </w:r>
                  <w:r>
                    <w:rPr>
                      <w:rFonts w:hint="default" w:ascii="Times New Roman" w:hAnsi="Times New Roman" w:eastAsia="宋体" w:cs="Times New Roman"/>
                      <w:b w:val="0"/>
                      <w:bCs/>
                      <w:color w:val="auto"/>
                      <w:sz w:val="21"/>
                      <w:szCs w:val="21"/>
                      <w:highlight w:val="none"/>
                      <w:lang w:val="en-US" w:eastAsia="zh-CN"/>
                    </w:rPr>
                    <w:t>（%）</w:t>
                  </w:r>
                </w:p>
              </w:tc>
              <w:tc>
                <w:tcPr>
                  <w:tcW w:w="2118" w:type="pct"/>
                  <w:noWrap w:val="0"/>
                  <w:vAlign w:val="center"/>
                </w:tcPr>
                <w:p w14:paraId="1073F4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0.34</w:t>
                  </w:r>
                </w:p>
              </w:tc>
            </w:tr>
            <w:tr w14:paraId="0BA801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620" w:type="pct"/>
                  <w:shd w:val="clear" w:color="auto" w:fill="auto"/>
                  <w:noWrap w:val="0"/>
                  <w:vAlign w:val="center"/>
                </w:tcPr>
                <w:p w14:paraId="1BD6BE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9</w:t>
                  </w:r>
                </w:p>
              </w:tc>
              <w:tc>
                <w:tcPr>
                  <w:tcW w:w="2260" w:type="pct"/>
                  <w:noWrap w:val="0"/>
                  <w:vAlign w:val="center"/>
                </w:tcPr>
                <w:p w14:paraId="6603FEA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空气干燥基</w:t>
                  </w:r>
                  <w:r>
                    <w:rPr>
                      <w:rFonts w:hint="default" w:ascii="Times New Roman" w:hAnsi="Times New Roman" w:cs="Times New Roman"/>
                      <w:b w:val="0"/>
                      <w:bCs/>
                      <w:color w:val="auto"/>
                      <w:sz w:val="21"/>
                      <w:szCs w:val="21"/>
                      <w:highlight w:val="none"/>
                      <w:lang w:val="en-US" w:eastAsia="zh-CN"/>
                    </w:rPr>
                    <w:t>全硫St，ad</w:t>
                  </w:r>
                  <w:r>
                    <w:rPr>
                      <w:rFonts w:hint="default" w:ascii="Times New Roman" w:hAnsi="Times New Roman" w:eastAsia="宋体" w:cs="Times New Roman"/>
                      <w:b w:val="0"/>
                      <w:bCs/>
                      <w:color w:val="auto"/>
                      <w:sz w:val="21"/>
                      <w:szCs w:val="21"/>
                      <w:highlight w:val="none"/>
                      <w:lang w:val="en-US" w:eastAsia="zh-CN"/>
                    </w:rPr>
                    <w:t>（%）</w:t>
                  </w:r>
                </w:p>
              </w:tc>
              <w:tc>
                <w:tcPr>
                  <w:tcW w:w="2118" w:type="pct"/>
                  <w:noWrap w:val="0"/>
                  <w:vAlign w:val="center"/>
                </w:tcPr>
                <w:p w14:paraId="4D4F62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0.07</w:t>
                  </w:r>
                </w:p>
              </w:tc>
            </w:tr>
            <w:tr w14:paraId="10074C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620" w:type="pct"/>
                  <w:shd w:val="clear" w:color="auto" w:fill="auto"/>
                  <w:noWrap w:val="0"/>
                  <w:vAlign w:val="center"/>
                </w:tcPr>
                <w:p w14:paraId="28C70F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10</w:t>
                  </w:r>
                </w:p>
              </w:tc>
              <w:tc>
                <w:tcPr>
                  <w:tcW w:w="2260" w:type="pct"/>
                  <w:noWrap w:val="0"/>
                  <w:vAlign w:val="center"/>
                </w:tcPr>
                <w:p w14:paraId="70AC523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氧Oar</w:t>
                  </w:r>
                  <w:r>
                    <w:rPr>
                      <w:rFonts w:hint="default" w:ascii="Times New Roman" w:hAnsi="Times New Roman" w:eastAsia="宋体" w:cs="Times New Roman"/>
                      <w:b w:val="0"/>
                      <w:bCs/>
                      <w:color w:val="auto"/>
                      <w:sz w:val="21"/>
                      <w:szCs w:val="21"/>
                      <w:highlight w:val="none"/>
                      <w:lang w:val="en-US" w:eastAsia="zh-CN"/>
                    </w:rPr>
                    <w:t>（%）</w:t>
                  </w:r>
                </w:p>
              </w:tc>
              <w:tc>
                <w:tcPr>
                  <w:tcW w:w="2118" w:type="pct"/>
                  <w:noWrap w:val="0"/>
                  <w:vAlign w:val="center"/>
                </w:tcPr>
                <w:p w14:paraId="55D72F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31.02</w:t>
                  </w:r>
                </w:p>
              </w:tc>
            </w:tr>
            <w:tr w14:paraId="2D1568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620" w:type="pct"/>
                  <w:shd w:val="clear" w:color="auto" w:fill="auto"/>
                  <w:noWrap w:val="0"/>
                  <w:vAlign w:val="center"/>
                </w:tcPr>
                <w:p w14:paraId="5FBFCF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11</w:t>
                  </w:r>
                </w:p>
              </w:tc>
              <w:tc>
                <w:tcPr>
                  <w:tcW w:w="2260" w:type="pct"/>
                  <w:noWrap w:val="0"/>
                  <w:vAlign w:val="center"/>
                </w:tcPr>
                <w:p w14:paraId="28FED5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分析基高位发热量Qgr.ad</w:t>
                  </w:r>
                </w:p>
              </w:tc>
              <w:tc>
                <w:tcPr>
                  <w:tcW w:w="2118" w:type="pct"/>
                  <w:noWrap w:val="0"/>
                  <w:vAlign w:val="center"/>
                </w:tcPr>
                <w:p w14:paraId="77FE60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15.37</w:t>
                  </w:r>
                  <w:r>
                    <w:rPr>
                      <w:rFonts w:hint="default" w:ascii="Times New Roman" w:hAnsi="Times New Roman" w:eastAsia="宋体" w:cs="Times New Roman"/>
                      <w:b w:val="0"/>
                      <w:bCs/>
                      <w:color w:val="auto"/>
                      <w:sz w:val="21"/>
                      <w:szCs w:val="21"/>
                      <w:highlight w:val="none"/>
                      <w:lang w:val="en-US" w:eastAsia="zh-CN"/>
                    </w:rPr>
                    <w:t>MJ/kg</w:t>
                  </w:r>
                </w:p>
              </w:tc>
            </w:tr>
            <w:tr w14:paraId="60EBD9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620" w:type="pct"/>
                  <w:shd w:val="clear" w:color="auto" w:fill="auto"/>
                  <w:noWrap w:val="0"/>
                  <w:vAlign w:val="center"/>
                </w:tcPr>
                <w:p w14:paraId="251AA4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12</w:t>
                  </w:r>
                </w:p>
              </w:tc>
              <w:tc>
                <w:tcPr>
                  <w:tcW w:w="2260" w:type="pct"/>
                  <w:noWrap w:val="0"/>
                  <w:vAlign w:val="center"/>
                </w:tcPr>
                <w:p w14:paraId="68E900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收到基低位发热量Qnet.ar</w:t>
                  </w:r>
                </w:p>
              </w:tc>
              <w:tc>
                <w:tcPr>
                  <w:tcW w:w="2118" w:type="pct"/>
                  <w:noWrap w:val="0"/>
                  <w:vAlign w:val="center"/>
                </w:tcPr>
                <w:p w14:paraId="41F3F0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12.68</w:t>
                  </w:r>
                  <w:r>
                    <w:rPr>
                      <w:rFonts w:hint="default" w:ascii="Times New Roman" w:hAnsi="Times New Roman" w:eastAsia="宋体" w:cs="Times New Roman"/>
                      <w:b w:val="0"/>
                      <w:bCs/>
                      <w:color w:val="auto"/>
                      <w:sz w:val="21"/>
                      <w:szCs w:val="21"/>
                      <w:highlight w:val="none"/>
                      <w:lang w:val="en-US" w:eastAsia="zh-CN"/>
                    </w:rPr>
                    <w:t>MJ/kg</w:t>
                  </w:r>
                </w:p>
              </w:tc>
            </w:tr>
          </w:tbl>
          <w:p w14:paraId="1B285D89">
            <w:pPr>
              <w:numPr>
                <w:ilvl w:val="0"/>
                <w:numId w:val="5"/>
              </w:numPr>
              <w:spacing w:line="360" w:lineRule="auto"/>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生物质燃料消耗</w:t>
            </w:r>
          </w:p>
          <w:p w14:paraId="47F978BD">
            <w:pPr>
              <w:widowControl/>
              <w:numPr>
                <w:ilvl w:val="0"/>
                <w:numId w:val="0"/>
              </w:numPr>
              <w:tabs>
                <w:tab w:val="left" w:pos="4785"/>
              </w:tabs>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lang w:val="en-US" w:eastAsia="zh-CN"/>
              </w:rPr>
              <w:t>生产用热：</w:t>
            </w:r>
            <w:r>
              <w:rPr>
                <w:rFonts w:hint="default" w:ascii="Times New Roman" w:hAnsi="Times New Roman" w:eastAsia="宋体" w:cs="Times New Roman"/>
                <w:color w:val="auto"/>
                <w:sz w:val="24"/>
                <w:szCs w:val="24"/>
                <w:highlight w:val="none"/>
              </w:rPr>
              <w:t>本项目设置一台</w:t>
            </w:r>
            <w:r>
              <w:rPr>
                <w:rFonts w:hint="default" w:ascii="Times New Roman" w:hAnsi="Times New Roman" w:eastAsia="宋体" w:cs="Times New Roman"/>
                <w:color w:val="auto"/>
                <w:sz w:val="24"/>
                <w:szCs w:val="24"/>
                <w:highlight w:val="none"/>
                <w:lang w:val="en-US" w:eastAsia="zh-CN"/>
              </w:rPr>
              <w:t>10t/h</w:t>
            </w:r>
            <w:r>
              <w:rPr>
                <w:rFonts w:hint="default" w:ascii="Times New Roman" w:hAnsi="Times New Roman" w:eastAsia="宋体" w:cs="Times New Roman"/>
                <w:color w:val="auto"/>
                <w:sz w:val="24"/>
                <w:szCs w:val="24"/>
                <w:highlight w:val="none"/>
              </w:rPr>
              <w:t>的燃</w:t>
            </w:r>
            <w:r>
              <w:rPr>
                <w:rFonts w:hint="default" w:ascii="Times New Roman" w:hAnsi="Times New Roman" w:eastAsia="宋体" w:cs="Times New Roman"/>
                <w:color w:val="auto"/>
                <w:sz w:val="24"/>
                <w:szCs w:val="24"/>
                <w:highlight w:val="none"/>
                <w:lang w:eastAsia="zh-CN"/>
              </w:rPr>
              <w:t>生物质蒸汽锅炉</w:t>
            </w:r>
            <w:r>
              <w:rPr>
                <w:rFonts w:hint="default" w:ascii="Times New Roman" w:hAnsi="Times New Roman" w:eastAsia="宋体" w:cs="Times New Roman"/>
                <w:color w:val="auto"/>
                <w:sz w:val="24"/>
                <w:szCs w:val="24"/>
                <w:highlight w:val="none"/>
              </w:rPr>
              <w:t>用于</w:t>
            </w:r>
            <w:r>
              <w:rPr>
                <w:rFonts w:hint="default" w:ascii="Times New Roman" w:hAnsi="Times New Roman"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lang w:eastAsia="zh-CN"/>
              </w:rPr>
              <w:t>供</w:t>
            </w:r>
            <w:r>
              <w:rPr>
                <w:rFonts w:hint="default" w:ascii="Times New Roman" w:hAnsi="Times New Roman" w:eastAsia="宋体" w:cs="Times New Roman"/>
                <w:color w:val="auto"/>
                <w:sz w:val="24"/>
                <w:szCs w:val="24"/>
                <w:highlight w:val="none"/>
                <w:lang w:val="en-US" w:eastAsia="zh-CN"/>
              </w:rPr>
              <w:t>汽</w:t>
            </w:r>
            <w:r>
              <w:rPr>
                <w:rFonts w:hint="default" w:ascii="Times New Roman" w:hAnsi="Times New Roman" w:cs="Times New Roman"/>
                <w:color w:val="auto"/>
                <w:sz w:val="24"/>
                <w:szCs w:val="24"/>
                <w:highlight w:val="none"/>
                <w:lang w:val="en-US" w:eastAsia="zh-CN"/>
              </w:rPr>
              <w:t>和冬季供暖</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虎林市绿都海狮油脂有限责任公司</w:t>
            </w:r>
            <w:r>
              <w:rPr>
                <w:rFonts w:hint="default" w:ascii="Times New Roman" w:hAnsi="Times New Roman" w:eastAsia="宋体" w:cs="Times New Roman"/>
                <w:color w:val="auto"/>
                <w:sz w:val="24"/>
                <w:szCs w:val="24"/>
                <w:lang w:val="en-US" w:eastAsia="zh-CN"/>
              </w:rPr>
              <w:t>生产过程中烘干、蒸脱</w:t>
            </w:r>
            <w:r>
              <w:rPr>
                <w:rFonts w:hint="default" w:ascii="Times New Roman" w:hAnsi="Times New Roman" w:cs="Times New Roman"/>
                <w:color w:val="auto"/>
                <w:sz w:val="24"/>
                <w:szCs w:val="24"/>
                <w:lang w:val="en-US" w:eastAsia="zh-CN"/>
              </w:rPr>
              <w:t>、浸出</w:t>
            </w:r>
            <w:r>
              <w:rPr>
                <w:rFonts w:hint="default" w:ascii="Times New Roman" w:hAnsi="Times New Roman" w:eastAsia="宋体" w:cs="Times New Roman"/>
                <w:color w:val="auto"/>
                <w:sz w:val="24"/>
                <w:szCs w:val="24"/>
                <w:lang w:val="en-US" w:eastAsia="zh-CN"/>
              </w:rPr>
              <w:t>等生产工序均需要</w:t>
            </w:r>
            <w:r>
              <w:rPr>
                <w:rFonts w:hint="default" w:ascii="Times New Roman" w:hAnsi="Times New Roman" w:eastAsia="宋体" w:cs="Times New Roman"/>
                <w:color w:val="auto"/>
                <w:sz w:val="24"/>
                <w:szCs w:val="24"/>
              </w:rPr>
              <w:t>利用蒸汽，</w:t>
            </w:r>
            <w:r>
              <w:rPr>
                <w:rFonts w:hint="default" w:ascii="Times New Roman" w:hAnsi="Times New Roman" w:eastAsia="宋体" w:cs="Times New Roman"/>
                <w:color w:val="auto"/>
                <w:sz w:val="24"/>
                <w:szCs w:val="24"/>
                <w:lang w:val="en-US" w:eastAsia="zh-CN"/>
              </w:rPr>
              <w:t>锅炉为提供蒸汽将水从20℃加热到100℃，根据企业提供资料。本项目生产所需蒸汽量为6t/h。</w:t>
            </w:r>
          </w:p>
          <w:p w14:paraId="5CBFF443">
            <w:pPr>
              <w:widowControl/>
              <w:numPr>
                <w:ilvl w:val="0"/>
                <w:numId w:val="0"/>
              </w:numPr>
              <w:tabs>
                <w:tab w:val="left" w:pos="4785"/>
              </w:tabs>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本项目年运行300d，烘干、浸出、蒸脱工序每天运行16h，则本项目年用蒸汽28800t，</w:t>
            </w:r>
            <w:r>
              <w:rPr>
                <w:rFonts w:hint="default" w:ascii="Times New Roman" w:hAnsi="Times New Roman" w:eastAsia="宋体" w:cs="Times New Roman"/>
                <w:color w:val="auto"/>
                <w:sz w:val="24"/>
                <w:szCs w:val="24"/>
                <w:highlight w:val="none"/>
                <w:lang w:eastAsia="zh-CN"/>
              </w:rPr>
              <w:t>根据水的物理性质，</w:t>
            </w:r>
            <w:r>
              <w:rPr>
                <w:rFonts w:hint="default" w:ascii="Times New Roman" w:hAnsi="Times New Roman" w:eastAsia="宋体" w:cs="Times New Roman"/>
                <w:bCs/>
                <w:color w:val="auto"/>
                <w:sz w:val="24"/>
                <w:szCs w:val="24"/>
                <w:highlight w:val="none"/>
                <w:lang w:val="en-US" w:eastAsia="zh-CN"/>
              </w:rPr>
              <w:t>1kg水汽化需要热量2260千焦，</w:t>
            </w:r>
            <w:r>
              <w:rPr>
                <w:rFonts w:hint="default" w:ascii="Times New Roman" w:hAnsi="Times New Roman" w:eastAsia="宋体" w:cs="Times New Roman"/>
                <w:color w:val="auto"/>
                <w:sz w:val="24"/>
                <w:szCs w:val="24"/>
                <w:highlight w:val="none"/>
                <w:lang w:val="en-US" w:eastAsia="zh-CN"/>
              </w:rPr>
              <w:t>需要热量为6.51×10</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bCs/>
                <w:color w:val="auto"/>
                <w:sz w:val="24"/>
                <w:szCs w:val="24"/>
                <w:highlight w:val="none"/>
                <w:lang w:val="en-US" w:eastAsia="zh-CN"/>
              </w:rPr>
              <w:t>MJ，</w:t>
            </w:r>
            <w:r>
              <w:rPr>
                <w:rFonts w:hint="default" w:ascii="Times New Roman" w:hAnsi="Times New Roman" w:eastAsia="宋体" w:cs="Times New Roman"/>
                <w:color w:val="auto"/>
                <w:sz w:val="24"/>
                <w:szCs w:val="24"/>
                <w:highlight w:val="none"/>
                <w:lang w:val="en-US" w:eastAsia="zh-CN"/>
              </w:rPr>
              <w:t>本项目选用生物质低位热值为12.68MJ/kg，生物质锅炉热效率85%，通过热值平衡折算，生物质</w:t>
            </w:r>
            <w:r>
              <w:rPr>
                <w:rFonts w:hint="default" w:ascii="Times New Roman" w:hAnsi="Times New Roman" w:eastAsia="宋体" w:cs="Times New Roman"/>
                <w:color w:val="auto"/>
                <w:sz w:val="24"/>
                <w:szCs w:val="24"/>
                <w:highlight w:val="none"/>
                <w:lang w:eastAsia="zh-CN"/>
              </w:rPr>
              <w:t>成型燃料使用量为</w:t>
            </w:r>
            <w:r>
              <w:rPr>
                <w:rFonts w:hint="default" w:ascii="Times New Roman" w:hAnsi="Times New Roman" w:eastAsia="宋体" w:cs="Times New Roman"/>
                <w:color w:val="auto"/>
                <w:sz w:val="24"/>
                <w:szCs w:val="24"/>
                <w:highlight w:val="none"/>
                <w:lang w:val="en-US" w:eastAsia="zh-CN"/>
              </w:rPr>
              <w:t>6040.08t/a</w:t>
            </w:r>
            <w:r>
              <w:rPr>
                <w:rFonts w:hint="default" w:ascii="Times New Roman" w:hAnsi="Times New Roman" w:cs="Times New Roman"/>
                <w:color w:val="auto"/>
                <w:sz w:val="24"/>
                <w:szCs w:val="24"/>
                <w:highlight w:val="none"/>
                <w:lang w:val="en-US" w:eastAsia="zh-CN"/>
              </w:rPr>
              <w:t>，20.1336t/d。</w:t>
            </w:r>
          </w:p>
          <w:p w14:paraId="2585D4CA">
            <w:pPr>
              <w:widowControl/>
              <w:numPr>
                <w:ilvl w:val="0"/>
                <w:numId w:val="0"/>
              </w:numPr>
              <w:tabs>
                <w:tab w:val="left" w:pos="4785"/>
              </w:tabs>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生活供热：</w:t>
            </w:r>
            <w:r>
              <w:rPr>
                <w:rFonts w:hint="default" w:ascii="Times New Roman" w:hAnsi="Times New Roman" w:eastAsia="宋体" w:cs="Times New Roman"/>
                <w:color w:val="auto"/>
                <w:sz w:val="24"/>
                <w:szCs w:val="24"/>
                <w:lang w:val="en-US" w:eastAsia="zh-CN"/>
              </w:rPr>
              <w:t>本项目锅炉用于浸出车间，预处理车间，精炼车间，办公室，检斤化验室，污水处理站，锅炉</w:t>
            </w:r>
            <w:r>
              <w:rPr>
                <w:rFonts w:hint="default" w:ascii="Times New Roman" w:hAnsi="Times New Roman" w:cs="Times New Roman"/>
                <w:color w:val="auto"/>
                <w:sz w:val="24"/>
                <w:szCs w:val="24"/>
                <w:lang w:val="en-US" w:eastAsia="zh-CN"/>
              </w:rPr>
              <w:t>房冬季供暖</w:t>
            </w:r>
            <w:r>
              <w:rPr>
                <w:rFonts w:hint="default" w:ascii="Times New Roman" w:hAnsi="Times New Roman" w:eastAsia="宋体" w:cs="Times New Roman"/>
                <w:color w:val="auto"/>
                <w:sz w:val="24"/>
                <w:szCs w:val="24"/>
                <w:lang w:val="en-US" w:eastAsia="zh-CN"/>
              </w:rPr>
              <w:t>共计5135平方米</w:t>
            </w:r>
            <w:r>
              <w:rPr>
                <w:rFonts w:hint="default" w:ascii="Times New Roman" w:hAnsi="Times New Roman" w:eastAsia="宋体" w:cs="Times New Roman"/>
                <w:color w:val="auto"/>
                <w:sz w:val="24"/>
                <w:szCs w:val="24"/>
              </w:rPr>
              <w:t>，供暖燃煤量通过供热面积进行计算，燃煤量=供热面积×40千克/平方米，则供暖燃煤量=</w:t>
            </w:r>
            <w:r>
              <w:rPr>
                <w:rFonts w:hint="default" w:ascii="Times New Roman" w:hAnsi="Times New Roman" w:cs="Times New Roman"/>
                <w:color w:val="auto"/>
                <w:sz w:val="24"/>
                <w:szCs w:val="24"/>
                <w:lang w:val="en-US" w:eastAsia="zh-CN"/>
              </w:rPr>
              <w:t>5135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×40kg/m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205400</w:t>
            </w:r>
            <w:r>
              <w:rPr>
                <w:rFonts w:hint="default" w:ascii="Times New Roman" w:hAnsi="Times New Roman" w:eastAsia="宋体" w:cs="Times New Roman"/>
                <w:color w:val="auto"/>
                <w:sz w:val="24"/>
                <w:szCs w:val="24"/>
              </w:rPr>
              <w:t>kg/a。标煤的热值为7000大卡/kg，生物质燃料热值约3028.5</w:t>
            </w:r>
            <w:r>
              <w:rPr>
                <w:rFonts w:hint="default" w:ascii="Times New Roman" w:hAnsi="Times New Roman" w:cs="Times New Roman"/>
                <w:color w:val="auto"/>
                <w:sz w:val="24"/>
                <w:szCs w:val="24"/>
                <w:lang w:val="en-US" w:eastAsia="zh-CN"/>
              </w:rPr>
              <w:t>kcal</w:t>
            </w:r>
            <w:r>
              <w:rPr>
                <w:rFonts w:hint="default" w:ascii="Times New Roman" w:hAnsi="Times New Roman" w:eastAsia="宋体" w:cs="Times New Roman"/>
                <w:color w:val="auto"/>
                <w:sz w:val="24"/>
                <w:szCs w:val="24"/>
              </w:rPr>
              <w:t>/kg，锅炉热效率以8</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%计，则冬季供暖生物质成型燃料的用量为</w:t>
            </w:r>
            <w:r>
              <w:rPr>
                <w:rFonts w:hint="default" w:ascii="Times New Roman" w:hAnsi="Times New Roman" w:cs="Times New Roman"/>
                <w:color w:val="auto"/>
                <w:sz w:val="24"/>
                <w:szCs w:val="24"/>
                <w:lang w:val="en-US" w:eastAsia="zh-CN"/>
              </w:rPr>
              <w:t>558.54</w:t>
            </w:r>
            <w:r>
              <w:rPr>
                <w:rFonts w:hint="default" w:ascii="Times New Roman" w:hAnsi="Times New Roman" w:eastAsia="宋体" w:cs="Times New Roman"/>
                <w:color w:val="auto"/>
                <w:sz w:val="24"/>
                <w:szCs w:val="24"/>
              </w:rPr>
              <w:t>t/a。</w:t>
            </w:r>
            <w:r>
              <w:rPr>
                <w:rFonts w:hint="default" w:ascii="Times New Roman" w:hAnsi="Times New Roman" w:cs="Times New Roman"/>
                <w:color w:val="auto"/>
                <w:sz w:val="24"/>
                <w:szCs w:val="24"/>
                <w:lang w:val="en-US" w:eastAsia="zh-CN"/>
              </w:rPr>
              <w:t>本项目冬季供暖时间约为180d，</w:t>
            </w:r>
            <w:r>
              <w:rPr>
                <w:rFonts w:hint="default" w:ascii="Times New Roman" w:hAnsi="Times New Roman" w:eastAsia="宋体" w:cs="Times New Roman"/>
                <w:color w:val="auto"/>
                <w:sz w:val="24"/>
                <w:szCs w:val="24"/>
              </w:rPr>
              <w:t>冬季供暖生物质成型燃料的用量为</w:t>
            </w:r>
            <w:r>
              <w:rPr>
                <w:rFonts w:hint="default" w:ascii="Times New Roman" w:hAnsi="Times New Roman" w:eastAsia="宋体" w:cs="Times New Roman"/>
                <w:color w:val="auto"/>
                <w:sz w:val="24"/>
                <w:szCs w:val="24"/>
                <w:lang w:val="en-US" w:eastAsia="zh-CN"/>
              </w:rPr>
              <w:t>3.103</w:t>
            </w:r>
            <w:r>
              <w:rPr>
                <w:rFonts w:hint="default" w:ascii="Times New Roman" w:hAnsi="Times New Roman" w:cs="Times New Roman"/>
                <w:color w:val="auto"/>
                <w:sz w:val="24"/>
                <w:szCs w:val="24"/>
                <w:highlight w:val="none"/>
                <w:lang w:val="en-US" w:eastAsia="zh-CN"/>
              </w:rPr>
              <w:t>t/d。</w:t>
            </w:r>
          </w:p>
          <w:p w14:paraId="0A27054F">
            <w:pPr>
              <w:widowControl/>
              <w:numPr>
                <w:ilvl w:val="0"/>
                <w:numId w:val="0"/>
              </w:numPr>
              <w:tabs>
                <w:tab w:val="left" w:pos="4785"/>
              </w:tabs>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rPr>
              <w:t>生物质成型燃料的用量为</w:t>
            </w:r>
            <w:r>
              <w:rPr>
                <w:rFonts w:hint="default" w:ascii="Times New Roman" w:hAnsi="Times New Roman" w:eastAsia="宋体" w:cs="Times New Roman"/>
                <w:color w:val="auto"/>
                <w:sz w:val="24"/>
                <w:szCs w:val="24"/>
                <w:lang w:val="en-US" w:eastAsia="zh-CN"/>
              </w:rPr>
              <w:t>6598.62</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冬季23.2366</w:t>
            </w:r>
            <w:r>
              <w:rPr>
                <w:rFonts w:hint="default" w:ascii="Times New Roman" w:hAnsi="Times New Roman" w:cs="Times New Roman"/>
                <w:color w:val="auto"/>
                <w:sz w:val="24"/>
                <w:szCs w:val="24"/>
                <w:highlight w:val="none"/>
                <w:lang w:val="en-US" w:eastAsia="zh-CN"/>
              </w:rPr>
              <w:t>t/d，夏季20.1336t/d。</w:t>
            </w:r>
            <w:r>
              <w:rPr>
                <w:rFonts w:hint="eastAsia" w:ascii="Times New Roman" w:hAnsi="Times New Roman" w:cs="Times New Roman"/>
                <w:color w:val="auto"/>
                <w:sz w:val="24"/>
                <w:szCs w:val="24"/>
                <w:highlight w:val="none"/>
                <w:lang w:val="en-US" w:eastAsia="zh-CN"/>
              </w:rPr>
              <w:t>根据锅炉厂家提供资料，本项目锅炉每小时生物质最大燃烧量为2.1t/h，则</w:t>
            </w:r>
            <w:r>
              <w:rPr>
                <w:rFonts w:hint="eastAsia"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锅炉的</w:t>
            </w:r>
            <w:r>
              <w:rPr>
                <w:rFonts w:hint="eastAsia"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lang w:val="en-US" w:eastAsia="zh-CN"/>
              </w:rPr>
              <w:t>运行小时数</w:t>
            </w:r>
            <w:r>
              <w:rPr>
                <w:rFonts w:hint="eastAsia" w:ascii="Times New Roman" w:hAnsi="Times New Roman" w:eastAsia="宋体" w:cs="Times New Roman"/>
                <w:color w:val="auto"/>
                <w:sz w:val="24"/>
                <w:szCs w:val="24"/>
                <w:lang w:val="en-US" w:eastAsia="zh-CN"/>
              </w:rPr>
              <w:t>为4800h</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lang w:val="en-US" w:eastAsia="zh-CN"/>
              </w:rPr>
              <w:t>利用小时数</w:t>
            </w:r>
            <w:r>
              <w:rPr>
                <w:rFonts w:hint="eastAsia" w:ascii="Times New Roman" w:hAnsi="Times New Roman" w:eastAsia="宋体" w:cs="Times New Roman"/>
                <w:color w:val="auto"/>
                <w:sz w:val="24"/>
                <w:szCs w:val="24"/>
                <w:lang w:val="en-US" w:eastAsia="zh-CN"/>
              </w:rPr>
              <w:t>为</w:t>
            </w:r>
            <w:r>
              <w:rPr>
                <w:rFonts w:hint="eastAsia" w:ascii="Times New Roman" w:hAnsi="Times New Roman" w:cs="Times New Roman"/>
                <w:color w:val="auto"/>
                <w:sz w:val="24"/>
                <w:szCs w:val="24"/>
                <w:lang w:val="en-US" w:eastAsia="zh-CN"/>
              </w:rPr>
              <w:t>3142.2h。</w:t>
            </w:r>
          </w:p>
          <w:p w14:paraId="14090EEF">
            <w:pPr>
              <w:spacing w:line="360" w:lineRule="auto"/>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5、劳动定员及工作制度</w:t>
            </w:r>
          </w:p>
          <w:p w14:paraId="4993FC9D">
            <w:pPr>
              <w:spacing w:line="360" w:lineRule="auto"/>
              <w:contextualSpacing/>
              <w:jc w:val="left"/>
              <w:rPr>
                <w:rFonts w:hint="default" w:ascii="Times New Roman" w:hAnsi="Times New Roman" w:eastAsia="宋体" w:cs="Times New Roman"/>
                <w:color w:val="auto"/>
                <w:spacing w:val="0"/>
                <w:kern w:val="0"/>
                <w:sz w:val="24"/>
                <w:szCs w:val="24"/>
                <w:highlight w:val="none"/>
              </w:rPr>
            </w:pPr>
            <w:r>
              <w:rPr>
                <w:rFonts w:hint="default" w:ascii="Times New Roman" w:hAnsi="Times New Roman" w:eastAsia="宋体" w:cs="Times New Roman"/>
                <w:color w:val="auto"/>
                <w:spacing w:val="0"/>
                <w:sz w:val="24"/>
                <w:szCs w:val="24"/>
                <w:highlight w:val="none"/>
              </w:rPr>
              <w:t>项目</w:t>
            </w:r>
            <w:r>
              <w:rPr>
                <w:rFonts w:hint="default" w:ascii="Times New Roman" w:hAnsi="Times New Roman" w:eastAsia="宋体" w:cs="Times New Roman"/>
                <w:color w:val="auto"/>
                <w:spacing w:val="0"/>
                <w:sz w:val="24"/>
                <w:szCs w:val="24"/>
                <w:highlight w:val="none"/>
                <w:lang w:val="en-US" w:eastAsia="zh-CN"/>
              </w:rPr>
              <w:t>不新增</w:t>
            </w:r>
            <w:r>
              <w:rPr>
                <w:rFonts w:hint="default" w:ascii="Times New Roman" w:hAnsi="Times New Roman" w:eastAsia="宋体" w:cs="Times New Roman"/>
                <w:color w:val="auto"/>
                <w:spacing w:val="0"/>
                <w:sz w:val="24"/>
                <w:szCs w:val="24"/>
                <w:highlight w:val="none"/>
              </w:rPr>
              <w:t>劳动定员，年工作</w:t>
            </w:r>
            <w:r>
              <w:rPr>
                <w:rFonts w:hint="default" w:ascii="Times New Roman" w:hAnsi="Times New Roman" w:cs="Times New Roman"/>
                <w:color w:val="auto"/>
                <w:spacing w:val="0"/>
                <w:sz w:val="24"/>
                <w:szCs w:val="24"/>
                <w:highlight w:val="none"/>
                <w:lang w:val="en-US" w:eastAsia="zh-CN"/>
              </w:rPr>
              <w:t>300</w:t>
            </w:r>
            <w:r>
              <w:rPr>
                <w:rFonts w:hint="default" w:ascii="Times New Roman" w:hAnsi="Times New Roman" w:eastAsia="宋体" w:cs="Times New Roman"/>
                <w:color w:val="auto"/>
                <w:spacing w:val="0"/>
                <w:sz w:val="24"/>
                <w:szCs w:val="24"/>
                <w:highlight w:val="none"/>
              </w:rPr>
              <w:t>天</w:t>
            </w:r>
            <w:r>
              <w:rPr>
                <w:rFonts w:hint="default"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rPr>
              <w:t>日工作时间</w:t>
            </w:r>
            <w:r>
              <w:rPr>
                <w:rFonts w:hint="default" w:ascii="Times New Roman" w:hAnsi="Times New Roman" w:cs="Times New Roman"/>
                <w:color w:val="auto"/>
                <w:spacing w:val="0"/>
                <w:sz w:val="24"/>
                <w:szCs w:val="24"/>
                <w:highlight w:val="none"/>
                <w:lang w:val="en-US" w:eastAsia="zh-CN"/>
              </w:rPr>
              <w:t>16</w:t>
            </w:r>
            <w:r>
              <w:rPr>
                <w:rFonts w:hint="default" w:ascii="Times New Roman" w:hAnsi="Times New Roman" w:eastAsia="宋体" w:cs="Times New Roman"/>
                <w:color w:val="auto"/>
                <w:spacing w:val="0"/>
                <w:sz w:val="24"/>
                <w:szCs w:val="24"/>
                <w:highlight w:val="none"/>
              </w:rPr>
              <w:t>h，</w:t>
            </w:r>
            <w:r>
              <w:rPr>
                <w:rFonts w:hint="default" w:ascii="Times New Roman" w:hAnsi="Times New Roman" w:eastAsia="宋体" w:cs="Times New Roman"/>
                <w:color w:val="auto"/>
                <w:spacing w:val="0"/>
                <w:sz w:val="24"/>
                <w:szCs w:val="24"/>
                <w:highlight w:val="none"/>
                <w:lang w:val="en-US" w:eastAsia="zh-CN"/>
              </w:rPr>
              <w:t>双</w:t>
            </w:r>
            <w:r>
              <w:rPr>
                <w:rFonts w:hint="default" w:ascii="Times New Roman" w:hAnsi="Times New Roman" w:eastAsia="宋体" w:cs="Times New Roman"/>
                <w:color w:val="auto"/>
                <w:spacing w:val="0"/>
                <w:sz w:val="24"/>
                <w:szCs w:val="24"/>
                <w:highlight w:val="none"/>
              </w:rPr>
              <w:t>班制</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lang w:val="en-US" w:eastAsia="zh-CN"/>
              </w:rPr>
              <w:t>每班工作</w:t>
            </w:r>
            <w:r>
              <w:rPr>
                <w:rFonts w:hint="default" w:ascii="Times New Roman" w:hAnsi="Times New Roman" w:cs="Times New Roman"/>
                <w:color w:val="auto"/>
                <w:spacing w:val="0"/>
                <w:sz w:val="24"/>
                <w:szCs w:val="24"/>
                <w:highlight w:val="none"/>
                <w:lang w:val="en-US" w:eastAsia="zh-CN"/>
              </w:rPr>
              <w:t>8</w:t>
            </w:r>
            <w:r>
              <w:rPr>
                <w:rFonts w:hint="default" w:ascii="Times New Roman" w:hAnsi="Times New Roman" w:eastAsia="宋体" w:cs="Times New Roman"/>
                <w:color w:val="auto"/>
                <w:spacing w:val="0"/>
                <w:sz w:val="24"/>
                <w:szCs w:val="24"/>
                <w:highlight w:val="none"/>
                <w:lang w:val="en-US" w:eastAsia="zh-CN"/>
              </w:rPr>
              <w:t>小时</w:t>
            </w:r>
            <w:r>
              <w:rPr>
                <w:rFonts w:hint="default" w:ascii="Times New Roman" w:hAnsi="Times New Roman" w:eastAsia="宋体" w:cs="Times New Roman"/>
                <w:color w:val="auto"/>
                <w:spacing w:val="0"/>
                <w:sz w:val="24"/>
                <w:szCs w:val="24"/>
                <w:highlight w:val="none"/>
              </w:rPr>
              <w:t>。</w:t>
            </w:r>
          </w:p>
          <w:p w14:paraId="11C2433C">
            <w:pPr>
              <w:spacing w:line="360" w:lineRule="auto"/>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6、工程进度</w:t>
            </w:r>
          </w:p>
          <w:p w14:paraId="232D22E2">
            <w:pPr>
              <w:pStyle w:val="123"/>
              <w:adjustRightInd/>
              <w:snapToGrid/>
              <w:spacing w:line="360" w:lineRule="auto"/>
              <w:ind w:firstLine="480"/>
              <w:rPr>
                <w:rFonts w:hint="default" w:ascii="Times New Roman" w:hAnsi="Times New Roman" w:eastAsia="宋体" w:cs="Times New Roman"/>
                <w:color w:val="auto"/>
                <w:spacing w:val="0"/>
                <w:kern w:val="2"/>
                <w:sz w:val="24"/>
                <w:szCs w:val="24"/>
                <w:highlight w:val="none"/>
                <w:lang w:val="en-US" w:eastAsia="zh-CN"/>
              </w:rPr>
            </w:pPr>
            <w:r>
              <w:rPr>
                <w:rFonts w:hint="default" w:ascii="Times New Roman" w:hAnsi="Times New Roman" w:eastAsia="宋体" w:cs="Times New Roman"/>
                <w:color w:val="auto"/>
                <w:spacing w:val="0"/>
                <w:kern w:val="2"/>
                <w:sz w:val="24"/>
                <w:szCs w:val="24"/>
                <w:highlight w:val="none"/>
              </w:rPr>
              <w:t>本项目建设期为</w:t>
            </w:r>
            <w:r>
              <w:rPr>
                <w:rFonts w:hint="default" w:ascii="Times New Roman" w:hAnsi="Times New Roman" w:eastAsia="宋体" w:cs="Times New Roman"/>
                <w:color w:val="auto"/>
                <w:spacing w:val="0"/>
                <w:kern w:val="2"/>
                <w:sz w:val="24"/>
                <w:szCs w:val="24"/>
                <w:highlight w:val="none"/>
                <w:lang w:val="en-US" w:eastAsia="zh-CN"/>
              </w:rPr>
              <w:t>1</w:t>
            </w:r>
            <w:r>
              <w:rPr>
                <w:rFonts w:hint="default" w:ascii="Times New Roman" w:hAnsi="Times New Roman" w:eastAsia="宋体" w:cs="Times New Roman"/>
                <w:color w:val="auto"/>
                <w:spacing w:val="0"/>
                <w:kern w:val="2"/>
                <w:sz w:val="24"/>
                <w:szCs w:val="24"/>
                <w:highlight w:val="none"/>
              </w:rPr>
              <w:t>个月，施工工期</w:t>
            </w:r>
            <w:r>
              <w:rPr>
                <w:rFonts w:hint="default" w:ascii="Times New Roman" w:hAnsi="Times New Roman" w:eastAsia="宋体" w:cs="Times New Roman"/>
                <w:color w:val="auto"/>
                <w:spacing w:val="0"/>
                <w:kern w:val="2"/>
                <w:sz w:val="24"/>
                <w:szCs w:val="24"/>
                <w:highlight w:val="none"/>
                <w:lang w:val="en-US" w:eastAsia="zh-CN"/>
              </w:rPr>
              <w:t>为</w:t>
            </w:r>
            <w:r>
              <w:rPr>
                <w:rFonts w:hint="default" w:ascii="Times New Roman" w:hAnsi="Times New Roman" w:eastAsia="宋体" w:cs="Times New Roman"/>
                <w:color w:val="auto"/>
                <w:spacing w:val="0"/>
                <w:kern w:val="2"/>
                <w:sz w:val="24"/>
                <w:szCs w:val="24"/>
                <w:highlight w:val="none"/>
              </w:rPr>
              <w:t>202</w:t>
            </w:r>
            <w:r>
              <w:rPr>
                <w:rFonts w:hint="default" w:ascii="Times New Roman" w:hAnsi="Times New Roman" w:cs="Times New Roman"/>
                <w:color w:val="auto"/>
                <w:spacing w:val="0"/>
                <w:kern w:val="2"/>
                <w:sz w:val="24"/>
                <w:szCs w:val="24"/>
                <w:highlight w:val="none"/>
                <w:lang w:val="en-US" w:eastAsia="zh-CN"/>
              </w:rPr>
              <w:t>6</w:t>
            </w:r>
            <w:r>
              <w:rPr>
                <w:rFonts w:hint="default" w:ascii="Times New Roman" w:hAnsi="Times New Roman" w:eastAsia="宋体" w:cs="Times New Roman"/>
                <w:color w:val="auto"/>
                <w:spacing w:val="0"/>
                <w:kern w:val="2"/>
                <w:sz w:val="24"/>
                <w:szCs w:val="24"/>
                <w:highlight w:val="none"/>
              </w:rPr>
              <w:t>年</w:t>
            </w:r>
            <w:r>
              <w:rPr>
                <w:rFonts w:hint="default" w:ascii="Times New Roman" w:hAnsi="Times New Roman" w:cs="Times New Roman"/>
                <w:color w:val="auto"/>
                <w:spacing w:val="0"/>
                <w:kern w:val="2"/>
                <w:sz w:val="24"/>
                <w:szCs w:val="24"/>
                <w:highlight w:val="none"/>
                <w:lang w:val="en-US" w:eastAsia="zh-CN"/>
              </w:rPr>
              <w:t>3</w:t>
            </w:r>
            <w:r>
              <w:rPr>
                <w:rFonts w:hint="default" w:ascii="Times New Roman" w:hAnsi="Times New Roman" w:eastAsia="宋体" w:cs="Times New Roman"/>
                <w:color w:val="auto"/>
                <w:spacing w:val="0"/>
                <w:kern w:val="2"/>
                <w:sz w:val="24"/>
                <w:szCs w:val="24"/>
                <w:highlight w:val="none"/>
              </w:rPr>
              <w:t>月</w:t>
            </w:r>
            <w:r>
              <w:rPr>
                <w:rFonts w:hint="default" w:ascii="Times New Roman" w:hAnsi="Times New Roman" w:eastAsia="宋体" w:cs="Times New Roman"/>
                <w:color w:val="auto"/>
                <w:spacing w:val="0"/>
                <w:kern w:val="2"/>
                <w:sz w:val="24"/>
                <w:szCs w:val="24"/>
                <w:highlight w:val="none"/>
                <w:lang w:val="en-US" w:eastAsia="zh-CN"/>
              </w:rPr>
              <w:t>-202</w:t>
            </w:r>
            <w:r>
              <w:rPr>
                <w:rFonts w:hint="default" w:ascii="Times New Roman" w:hAnsi="Times New Roman" w:cs="Times New Roman"/>
                <w:color w:val="auto"/>
                <w:spacing w:val="0"/>
                <w:kern w:val="2"/>
                <w:sz w:val="24"/>
                <w:szCs w:val="24"/>
                <w:highlight w:val="none"/>
                <w:lang w:val="en-US" w:eastAsia="zh-CN"/>
              </w:rPr>
              <w:t>6</w:t>
            </w:r>
            <w:r>
              <w:rPr>
                <w:rFonts w:hint="default" w:ascii="Times New Roman" w:hAnsi="Times New Roman" w:eastAsia="宋体" w:cs="Times New Roman"/>
                <w:color w:val="auto"/>
                <w:spacing w:val="0"/>
                <w:kern w:val="2"/>
                <w:sz w:val="24"/>
                <w:szCs w:val="24"/>
                <w:highlight w:val="none"/>
                <w:lang w:val="en-US" w:eastAsia="zh-CN"/>
              </w:rPr>
              <w:t>年</w:t>
            </w:r>
            <w:r>
              <w:rPr>
                <w:rFonts w:hint="default" w:ascii="Times New Roman" w:hAnsi="Times New Roman" w:cs="Times New Roman"/>
                <w:color w:val="auto"/>
                <w:spacing w:val="0"/>
                <w:kern w:val="2"/>
                <w:sz w:val="24"/>
                <w:szCs w:val="24"/>
                <w:highlight w:val="none"/>
                <w:lang w:val="en-US" w:eastAsia="zh-CN"/>
              </w:rPr>
              <w:t>4</w:t>
            </w:r>
            <w:r>
              <w:rPr>
                <w:rFonts w:hint="default" w:ascii="Times New Roman" w:hAnsi="Times New Roman" w:eastAsia="宋体" w:cs="Times New Roman"/>
                <w:color w:val="auto"/>
                <w:spacing w:val="0"/>
                <w:kern w:val="2"/>
                <w:sz w:val="24"/>
                <w:szCs w:val="24"/>
                <w:highlight w:val="none"/>
              </w:rPr>
              <w:t>月。</w:t>
            </w:r>
          </w:p>
          <w:p w14:paraId="18C7E5F1">
            <w:pPr>
              <w:spacing w:line="360" w:lineRule="auto"/>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7、公用工程</w:t>
            </w:r>
          </w:p>
          <w:p w14:paraId="0979DF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（1）给水</w:t>
            </w:r>
          </w:p>
          <w:p w14:paraId="2B561E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①生活用水</w:t>
            </w:r>
          </w:p>
          <w:p w14:paraId="2367B311">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highlight w:val="none"/>
                <w:lang w:val="en-US" w:eastAsia="zh-CN"/>
              </w:rPr>
              <w:t>员工厂区内调配，无新增员工，无新增生活污水。</w:t>
            </w:r>
          </w:p>
          <w:p w14:paraId="3553D5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②锅炉用水</w:t>
            </w:r>
          </w:p>
          <w:p w14:paraId="3E163B6E">
            <w:pPr>
              <w:widowControl/>
              <w:numPr>
                <w:ilvl w:val="0"/>
                <w:numId w:val="0"/>
              </w:numPr>
              <w:tabs>
                <w:tab w:val="left" w:pos="4785"/>
              </w:tabs>
              <w:spacing w:line="360" w:lineRule="auto"/>
              <w:ind w:firstLine="480" w:firstLineChars="200"/>
              <w:jc w:val="both"/>
              <w:rPr>
                <w:rFonts w:hint="default" w:ascii="Times New Roman" w:hAnsi="Times New Roman" w:cs="Times New Roman"/>
                <w:bCs/>
                <w:color w:val="auto"/>
                <w:kern w:val="0"/>
                <w:sz w:val="24"/>
                <w:szCs w:val="24"/>
                <w:highlight w:val="none"/>
                <w:lang w:val="en-US" w:eastAsia="zh-CN" w:bidi="ar"/>
              </w:rPr>
            </w:pPr>
            <w:r>
              <w:rPr>
                <w:rFonts w:hint="default" w:ascii="Times New Roman" w:hAnsi="Times New Roman" w:eastAsia="宋体" w:cs="Times New Roman"/>
                <w:color w:val="auto"/>
                <w:sz w:val="24"/>
                <w:szCs w:val="24"/>
                <w:lang w:val="en-US" w:eastAsia="zh-CN"/>
              </w:rPr>
              <w:t>本项目生产所需蒸汽量为6t/h。</w:t>
            </w:r>
            <w:r>
              <w:rPr>
                <w:rFonts w:hint="default" w:ascii="Times New Roman" w:hAnsi="Times New Roman" w:cs="Times New Roman"/>
                <w:color w:val="auto"/>
                <w:sz w:val="24"/>
                <w:szCs w:val="24"/>
                <w:lang w:val="en-US" w:eastAsia="zh-CN"/>
              </w:rPr>
              <w:t>每天运行16h，年运行300d。本项目蒸汽经过冷凝循环器循环使用，</w:t>
            </w:r>
            <w:r>
              <w:rPr>
                <w:rFonts w:hint="default" w:ascii="Times New Roman" w:hAnsi="Times New Roman" w:eastAsia="宋体" w:cs="Times New Roman"/>
                <w:bCs/>
                <w:color w:val="auto"/>
                <w:kern w:val="0"/>
                <w:sz w:val="24"/>
                <w:szCs w:val="24"/>
                <w:highlight w:val="none"/>
                <w:lang w:val="en-US" w:eastAsia="zh-CN" w:bidi="ar"/>
              </w:rPr>
              <w:t>蒸汽在循环使用中会有部分输送损耗，损耗量约占蒸汽量总量的10%，则蒸汽损耗量为</w:t>
            </w:r>
            <w:r>
              <w:rPr>
                <w:rFonts w:hint="default" w:ascii="Times New Roman" w:hAnsi="Times New Roman" w:cs="Times New Roman"/>
                <w:bCs/>
                <w:color w:val="auto"/>
                <w:kern w:val="0"/>
                <w:sz w:val="24"/>
                <w:szCs w:val="24"/>
                <w:highlight w:val="none"/>
                <w:lang w:val="en-US" w:eastAsia="zh-CN" w:bidi="ar"/>
              </w:rPr>
              <w:t>9.6</w:t>
            </w:r>
            <w:r>
              <w:rPr>
                <w:rFonts w:hint="default" w:ascii="Times New Roman" w:hAnsi="Times New Roman" w:eastAsia="宋体" w:cs="Times New Roman"/>
                <w:bCs/>
                <w:color w:val="auto"/>
                <w:kern w:val="0"/>
                <w:sz w:val="24"/>
                <w:szCs w:val="24"/>
                <w:highlight w:val="none"/>
                <w:lang w:val="en-US" w:eastAsia="zh-CN" w:bidi="ar"/>
              </w:rPr>
              <w:t>t/d（</w:t>
            </w:r>
            <w:r>
              <w:rPr>
                <w:rFonts w:hint="default" w:ascii="Times New Roman" w:hAnsi="Times New Roman" w:cs="Times New Roman"/>
                <w:bCs/>
                <w:color w:val="auto"/>
                <w:kern w:val="0"/>
                <w:sz w:val="24"/>
                <w:szCs w:val="24"/>
                <w:highlight w:val="none"/>
                <w:lang w:val="en-US" w:eastAsia="zh-CN" w:bidi="ar"/>
              </w:rPr>
              <w:t>2880t</w:t>
            </w:r>
            <w:r>
              <w:rPr>
                <w:rFonts w:hint="default" w:ascii="Times New Roman" w:hAnsi="Times New Roman" w:eastAsia="宋体" w:cs="Times New Roman"/>
                <w:bCs/>
                <w:color w:val="auto"/>
                <w:kern w:val="0"/>
                <w:sz w:val="24"/>
                <w:szCs w:val="24"/>
                <w:highlight w:val="none"/>
                <w:lang w:val="en-US" w:eastAsia="zh-CN" w:bidi="ar"/>
              </w:rPr>
              <w:t>/a），则锅炉补充软水用量为</w:t>
            </w:r>
            <w:r>
              <w:rPr>
                <w:rFonts w:hint="default" w:ascii="Times New Roman" w:hAnsi="Times New Roman" w:cs="Times New Roman"/>
                <w:bCs/>
                <w:color w:val="auto"/>
                <w:kern w:val="0"/>
                <w:sz w:val="24"/>
                <w:szCs w:val="24"/>
                <w:highlight w:val="none"/>
                <w:lang w:val="en-US" w:eastAsia="zh-CN" w:bidi="ar"/>
              </w:rPr>
              <w:t>9.6</w:t>
            </w:r>
            <w:r>
              <w:rPr>
                <w:rFonts w:hint="default" w:ascii="Times New Roman" w:hAnsi="Times New Roman" w:eastAsia="宋体" w:cs="Times New Roman"/>
                <w:bCs/>
                <w:color w:val="auto"/>
                <w:kern w:val="0"/>
                <w:sz w:val="24"/>
                <w:szCs w:val="24"/>
                <w:highlight w:val="none"/>
                <w:lang w:val="en-US" w:eastAsia="zh-CN" w:bidi="ar"/>
              </w:rPr>
              <w:t>t/d（</w:t>
            </w:r>
            <w:r>
              <w:rPr>
                <w:rFonts w:hint="default" w:ascii="Times New Roman" w:hAnsi="Times New Roman" w:cs="Times New Roman"/>
                <w:bCs/>
                <w:color w:val="auto"/>
                <w:kern w:val="0"/>
                <w:sz w:val="24"/>
                <w:szCs w:val="24"/>
                <w:highlight w:val="none"/>
                <w:lang w:val="en-US" w:eastAsia="zh-CN" w:bidi="ar"/>
              </w:rPr>
              <w:t>2880t</w:t>
            </w:r>
            <w:r>
              <w:rPr>
                <w:rFonts w:hint="default" w:ascii="Times New Roman" w:hAnsi="Times New Roman" w:eastAsia="宋体" w:cs="Times New Roman"/>
                <w:bCs/>
                <w:color w:val="auto"/>
                <w:kern w:val="0"/>
                <w:sz w:val="24"/>
                <w:szCs w:val="24"/>
                <w:highlight w:val="none"/>
                <w:lang w:val="en-US" w:eastAsia="zh-CN" w:bidi="ar"/>
              </w:rPr>
              <w:t>/a）。软水制备系统制取效率约75%，则软水制备用水量为</w:t>
            </w:r>
            <w:r>
              <w:rPr>
                <w:rFonts w:hint="default" w:ascii="Times New Roman" w:hAnsi="Times New Roman" w:cs="Times New Roman"/>
                <w:bCs/>
                <w:color w:val="auto"/>
                <w:kern w:val="0"/>
                <w:sz w:val="24"/>
                <w:szCs w:val="24"/>
                <w:highlight w:val="none"/>
                <w:lang w:val="en-US" w:eastAsia="zh-CN" w:bidi="ar"/>
              </w:rPr>
              <w:t>12.8t</w:t>
            </w:r>
            <w:r>
              <w:rPr>
                <w:rFonts w:hint="default" w:ascii="Times New Roman" w:hAnsi="Times New Roman" w:eastAsia="宋体" w:cs="Times New Roman"/>
                <w:bCs/>
                <w:color w:val="auto"/>
                <w:kern w:val="0"/>
                <w:sz w:val="24"/>
                <w:szCs w:val="24"/>
                <w:highlight w:val="none"/>
                <w:lang w:val="en-US" w:eastAsia="zh-CN" w:bidi="ar"/>
              </w:rPr>
              <w:t>/d（</w:t>
            </w:r>
            <w:r>
              <w:rPr>
                <w:rFonts w:hint="default" w:ascii="Times New Roman" w:hAnsi="Times New Roman" w:cs="Times New Roman"/>
                <w:bCs/>
                <w:color w:val="auto"/>
                <w:kern w:val="0"/>
                <w:sz w:val="24"/>
                <w:szCs w:val="24"/>
                <w:highlight w:val="none"/>
                <w:lang w:val="en-US" w:eastAsia="zh-CN" w:bidi="ar"/>
              </w:rPr>
              <w:t>3840t</w:t>
            </w:r>
            <w:r>
              <w:rPr>
                <w:rFonts w:hint="default" w:ascii="Times New Roman" w:hAnsi="Times New Roman" w:eastAsia="宋体" w:cs="Times New Roman"/>
                <w:bCs/>
                <w:color w:val="auto"/>
                <w:kern w:val="0"/>
                <w:sz w:val="24"/>
                <w:szCs w:val="24"/>
                <w:highlight w:val="none"/>
                <w:lang w:val="en-US" w:eastAsia="zh-CN" w:bidi="ar"/>
              </w:rPr>
              <w:t>/a</w:t>
            </w:r>
            <w:r>
              <w:rPr>
                <w:rFonts w:hint="eastAsia" w:ascii="Times New Roman" w:hAnsi="Times New Roman" w:cs="Times New Roman"/>
                <w:bCs/>
                <w:color w:val="auto"/>
                <w:kern w:val="0"/>
                <w:sz w:val="24"/>
                <w:szCs w:val="24"/>
                <w:highlight w:val="none"/>
                <w:lang w:val="en-US" w:eastAsia="zh-CN" w:bidi="ar"/>
              </w:rPr>
              <w:t>）</w:t>
            </w:r>
            <w:r>
              <w:rPr>
                <w:rFonts w:hint="default" w:ascii="Times New Roman" w:hAnsi="Times New Roman" w:eastAsia="宋体" w:cs="Times New Roman"/>
                <w:bCs/>
                <w:color w:val="auto"/>
                <w:kern w:val="0"/>
                <w:sz w:val="24"/>
                <w:szCs w:val="24"/>
                <w:highlight w:val="none"/>
                <w:lang w:val="en-US" w:eastAsia="zh-CN" w:bidi="ar"/>
              </w:rPr>
              <w:t>，浓水产生量为</w:t>
            </w:r>
            <w:r>
              <w:rPr>
                <w:rFonts w:hint="default" w:ascii="Times New Roman" w:hAnsi="Times New Roman" w:cs="Times New Roman"/>
                <w:bCs/>
                <w:color w:val="auto"/>
                <w:kern w:val="0"/>
                <w:sz w:val="24"/>
                <w:szCs w:val="24"/>
                <w:highlight w:val="none"/>
                <w:lang w:val="en-US" w:eastAsia="zh-CN" w:bidi="ar"/>
              </w:rPr>
              <w:t>3.2t</w:t>
            </w:r>
            <w:r>
              <w:rPr>
                <w:rFonts w:hint="default" w:ascii="Times New Roman" w:hAnsi="Times New Roman" w:eastAsia="宋体" w:cs="Times New Roman"/>
                <w:bCs/>
                <w:color w:val="auto"/>
                <w:kern w:val="0"/>
                <w:sz w:val="24"/>
                <w:szCs w:val="24"/>
                <w:highlight w:val="none"/>
                <w:lang w:val="en-US" w:eastAsia="zh-CN" w:bidi="ar"/>
              </w:rPr>
              <w:t>/a（</w:t>
            </w:r>
            <w:r>
              <w:rPr>
                <w:rFonts w:hint="default" w:ascii="Times New Roman" w:hAnsi="Times New Roman" w:cs="Times New Roman"/>
                <w:bCs/>
                <w:color w:val="auto"/>
                <w:kern w:val="0"/>
                <w:sz w:val="24"/>
                <w:szCs w:val="24"/>
                <w:highlight w:val="none"/>
                <w:lang w:val="en-US" w:eastAsia="zh-CN" w:bidi="ar"/>
              </w:rPr>
              <w:t>960t</w:t>
            </w:r>
            <w:r>
              <w:rPr>
                <w:rFonts w:hint="default" w:ascii="Times New Roman" w:hAnsi="Times New Roman" w:eastAsia="宋体" w:cs="Times New Roman"/>
                <w:bCs/>
                <w:color w:val="auto"/>
                <w:kern w:val="0"/>
                <w:sz w:val="24"/>
                <w:szCs w:val="24"/>
                <w:highlight w:val="none"/>
                <w:lang w:val="en-US" w:eastAsia="zh-CN" w:bidi="ar"/>
              </w:rPr>
              <w:t>/a）。则新鲜水用量为</w:t>
            </w:r>
            <w:r>
              <w:rPr>
                <w:rFonts w:hint="default" w:ascii="Times New Roman" w:hAnsi="Times New Roman" w:cs="Times New Roman"/>
                <w:bCs/>
                <w:color w:val="auto"/>
                <w:kern w:val="0"/>
                <w:sz w:val="24"/>
                <w:szCs w:val="24"/>
                <w:highlight w:val="none"/>
                <w:lang w:val="en-US" w:eastAsia="zh-CN" w:bidi="ar"/>
              </w:rPr>
              <w:t>12.8t</w:t>
            </w:r>
            <w:r>
              <w:rPr>
                <w:rFonts w:hint="default" w:ascii="Times New Roman" w:hAnsi="Times New Roman" w:eastAsia="宋体" w:cs="Times New Roman"/>
                <w:bCs/>
                <w:color w:val="auto"/>
                <w:kern w:val="0"/>
                <w:sz w:val="24"/>
                <w:szCs w:val="24"/>
                <w:highlight w:val="none"/>
                <w:lang w:val="en-US" w:eastAsia="zh-CN" w:bidi="ar"/>
              </w:rPr>
              <w:t>/a（</w:t>
            </w:r>
            <w:r>
              <w:rPr>
                <w:rFonts w:hint="default" w:ascii="Times New Roman" w:hAnsi="Times New Roman" w:cs="Times New Roman"/>
                <w:bCs/>
                <w:color w:val="auto"/>
                <w:kern w:val="0"/>
                <w:sz w:val="24"/>
                <w:szCs w:val="24"/>
                <w:highlight w:val="none"/>
                <w:lang w:val="en-US" w:eastAsia="zh-CN" w:bidi="ar"/>
              </w:rPr>
              <w:t>3840t</w:t>
            </w:r>
            <w:r>
              <w:rPr>
                <w:rFonts w:hint="default" w:ascii="Times New Roman" w:hAnsi="Times New Roman" w:eastAsia="宋体" w:cs="Times New Roman"/>
                <w:bCs/>
                <w:color w:val="auto"/>
                <w:kern w:val="0"/>
                <w:sz w:val="24"/>
                <w:szCs w:val="24"/>
                <w:highlight w:val="none"/>
                <w:lang w:val="en-US" w:eastAsia="zh-CN" w:bidi="ar"/>
              </w:rPr>
              <w:t>/a）。蒸汽发生器软水制备浓水用于厂区周围绿化，不外排。</w:t>
            </w:r>
          </w:p>
          <w:p w14:paraId="0F4796D1">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Cs/>
                <w:color w:val="auto"/>
                <w:kern w:val="0"/>
                <w:sz w:val="24"/>
                <w:szCs w:val="24"/>
                <w:highlight w:val="none"/>
                <w:lang w:val="en-US" w:eastAsia="zh-CN" w:bidi="ar"/>
              </w:rPr>
              <w:t>本项目冬季锅炉同时用于厂区生产用热和供暖，根据上文，</w:t>
            </w:r>
            <w:r>
              <w:rPr>
                <w:rFonts w:hint="default" w:ascii="Times New Roman" w:hAnsi="Times New Roman" w:cs="Times New Roman"/>
                <w:color w:val="auto"/>
                <w:sz w:val="24"/>
                <w:szCs w:val="24"/>
                <w:lang w:val="en-US" w:eastAsia="zh-CN"/>
              </w:rPr>
              <w:t>本项目冬季供暖时间约为180d，</w:t>
            </w:r>
            <w:r>
              <w:rPr>
                <w:rFonts w:hint="default" w:ascii="Times New Roman" w:hAnsi="Times New Roman" w:eastAsia="宋体" w:cs="Times New Roman"/>
                <w:color w:val="auto"/>
                <w:sz w:val="24"/>
                <w:szCs w:val="24"/>
              </w:rPr>
              <w:t>冬季</w:t>
            </w:r>
            <w:r>
              <w:rPr>
                <w:rFonts w:hint="default" w:ascii="Times New Roman" w:hAnsi="Times New Roman" w:cs="Times New Roman"/>
                <w:color w:val="auto"/>
                <w:sz w:val="24"/>
                <w:szCs w:val="24"/>
                <w:lang w:val="en-US" w:eastAsia="zh-CN"/>
              </w:rPr>
              <w:t>用于</w:t>
            </w:r>
            <w:r>
              <w:rPr>
                <w:rFonts w:hint="default" w:ascii="Times New Roman" w:hAnsi="Times New Roman" w:eastAsia="宋体" w:cs="Times New Roman"/>
                <w:color w:val="auto"/>
                <w:sz w:val="24"/>
                <w:szCs w:val="24"/>
              </w:rPr>
              <w:t>供暖</w:t>
            </w:r>
            <w:r>
              <w:rPr>
                <w:rFonts w:hint="default" w:ascii="Times New Roman" w:hAnsi="Times New Roman" w:cs="Times New Roman"/>
                <w:color w:val="auto"/>
                <w:sz w:val="24"/>
                <w:szCs w:val="24"/>
                <w:lang w:val="en-US" w:eastAsia="zh-CN"/>
              </w:rPr>
              <w:t>用的</w:t>
            </w:r>
            <w:r>
              <w:rPr>
                <w:rFonts w:hint="default" w:ascii="Times New Roman" w:hAnsi="Times New Roman" w:eastAsia="宋体" w:cs="Times New Roman"/>
                <w:color w:val="auto"/>
                <w:sz w:val="24"/>
                <w:szCs w:val="24"/>
              </w:rPr>
              <w:t>生物质成型燃料的用量为</w:t>
            </w:r>
            <w:r>
              <w:rPr>
                <w:rFonts w:hint="default" w:ascii="Times New Roman" w:hAnsi="Times New Roman" w:eastAsia="宋体" w:cs="Times New Roman"/>
                <w:color w:val="auto"/>
                <w:sz w:val="24"/>
                <w:szCs w:val="24"/>
                <w:lang w:val="en-US" w:eastAsia="zh-CN"/>
              </w:rPr>
              <w:t>3.103</w:t>
            </w:r>
            <w:r>
              <w:rPr>
                <w:rFonts w:hint="default" w:ascii="Times New Roman" w:hAnsi="Times New Roman" w:cs="Times New Roman"/>
                <w:color w:val="auto"/>
                <w:sz w:val="24"/>
                <w:szCs w:val="24"/>
                <w:highlight w:val="none"/>
                <w:lang w:val="en-US" w:eastAsia="zh-CN"/>
              </w:rPr>
              <w:t>t/d，</w:t>
            </w:r>
            <w:r>
              <w:rPr>
                <w:rFonts w:hint="default" w:ascii="Times New Roman" w:hAnsi="Times New Roman" w:eastAsia="宋体" w:cs="Times New Roman"/>
                <w:color w:val="auto"/>
                <w:sz w:val="24"/>
                <w:szCs w:val="24"/>
                <w:highlight w:val="none"/>
              </w:rPr>
              <w:t>根据《排放源统计调查产排污核算方法和系数手册》中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4430工业锅炉（热力生产和供应）行业系数手册</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中产污系数，燃生物质锅炉（锅外水处理）废水产生系数为0.356吨/吨-原料</w:t>
            </w:r>
            <w:r>
              <w:rPr>
                <w:rFonts w:hint="default" w:ascii="Times New Roman" w:hAnsi="Times New Roman" w:cs="Times New Roman"/>
                <w:color w:val="auto"/>
                <w:sz w:val="24"/>
                <w:szCs w:val="24"/>
                <w:highlight w:val="none"/>
                <w:lang w:eastAsia="zh-CN"/>
              </w:rPr>
              <w:t>，</w:t>
            </w:r>
          </w:p>
          <w:p w14:paraId="5660704C">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则本项目供暖产生的</w:t>
            </w:r>
            <w:r>
              <w:rPr>
                <w:rFonts w:hint="default" w:ascii="Times New Roman" w:hAnsi="Times New Roman" w:eastAsia="宋体" w:cs="Times New Roman"/>
                <w:color w:val="auto"/>
                <w:sz w:val="24"/>
                <w:szCs w:val="24"/>
                <w:highlight w:val="none"/>
              </w:rPr>
              <w:t>锅炉排污水和软化处理废水产生量为</w:t>
            </w:r>
            <w:r>
              <w:rPr>
                <w:rFonts w:hint="default" w:ascii="Times New Roman" w:hAnsi="Times New Roman" w:cs="Times New Roman"/>
                <w:color w:val="auto"/>
                <w:sz w:val="24"/>
                <w:szCs w:val="24"/>
                <w:highlight w:val="none"/>
                <w:lang w:val="en-US" w:eastAsia="zh-CN"/>
              </w:rPr>
              <w:t>1.105t/d，198.9t/a。</w:t>
            </w:r>
          </w:p>
          <w:p w14:paraId="2358B887">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排放量按用水量90%计，则锅炉用水量为</w:t>
            </w:r>
            <w:r>
              <w:rPr>
                <w:rFonts w:hint="default" w:ascii="Times New Roman" w:hAnsi="Times New Roman" w:cs="Times New Roman"/>
                <w:color w:val="auto"/>
                <w:sz w:val="24"/>
                <w:szCs w:val="24"/>
                <w:highlight w:val="none"/>
                <w:lang w:val="en-US" w:eastAsia="zh-CN"/>
              </w:rPr>
              <w:t>1.228</w:t>
            </w:r>
            <w:r>
              <w:rPr>
                <w:rFonts w:hint="default" w:ascii="Times New Roman" w:hAnsi="Times New Roman" w:eastAsia="宋体" w:cs="Times New Roman"/>
                <w:color w:val="auto"/>
                <w:sz w:val="24"/>
                <w:szCs w:val="24"/>
                <w:highlight w:val="none"/>
              </w:rPr>
              <w:t>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221.04</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p>
          <w:p w14:paraId="65099391">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锅炉用水均需要软化处理，本项目</w:t>
            </w:r>
            <w:r>
              <w:rPr>
                <w:rFonts w:hint="default" w:ascii="Times New Roman" w:hAnsi="Times New Roman" w:eastAsia="宋体" w:cs="Times New Roman"/>
                <w:bCs/>
                <w:color w:val="auto"/>
                <w:kern w:val="0"/>
                <w:sz w:val="24"/>
                <w:szCs w:val="24"/>
                <w:highlight w:val="none"/>
                <w:lang w:val="en-US" w:eastAsia="zh-CN" w:bidi="ar"/>
              </w:rPr>
              <w:t>软水制备系统制取效率约75%</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则本项目用水量为1.637</w:t>
            </w:r>
            <w:r>
              <w:rPr>
                <w:rFonts w:hint="default" w:ascii="Times New Roman" w:hAnsi="Times New Roman" w:eastAsia="宋体" w:cs="Times New Roman"/>
                <w:color w:val="auto"/>
                <w:sz w:val="24"/>
                <w:szCs w:val="24"/>
                <w:highlight w:val="none"/>
              </w:rPr>
              <w:t>t/d</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294.66t/a；</w:t>
            </w:r>
            <w:r>
              <w:rPr>
                <w:rFonts w:hint="default" w:ascii="Times New Roman" w:hAnsi="Times New Roman" w:eastAsia="宋体" w:cs="Times New Roman"/>
                <w:bCs/>
                <w:color w:val="auto"/>
                <w:kern w:val="0"/>
                <w:sz w:val="24"/>
                <w:szCs w:val="24"/>
                <w:highlight w:val="none"/>
                <w:lang w:val="en-US" w:eastAsia="zh-CN" w:bidi="ar"/>
              </w:rPr>
              <w:t>则浓水产生量为</w:t>
            </w:r>
            <w:r>
              <w:rPr>
                <w:rFonts w:hint="default" w:ascii="Times New Roman" w:hAnsi="Times New Roman" w:cs="Times New Roman"/>
                <w:bCs/>
                <w:color w:val="auto"/>
                <w:kern w:val="0"/>
                <w:sz w:val="24"/>
                <w:szCs w:val="24"/>
                <w:highlight w:val="none"/>
                <w:lang w:val="en-US" w:eastAsia="zh-CN" w:bidi="ar"/>
              </w:rPr>
              <w:t>0.409t</w:t>
            </w:r>
            <w:r>
              <w:rPr>
                <w:rFonts w:hint="default" w:ascii="Times New Roman" w:hAnsi="Times New Roman" w:eastAsia="宋体" w:cs="Times New Roman"/>
                <w:bCs/>
                <w:color w:val="auto"/>
                <w:kern w:val="0"/>
                <w:sz w:val="24"/>
                <w:szCs w:val="24"/>
                <w:highlight w:val="none"/>
                <w:lang w:val="en-US" w:eastAsia="zh-CN" w:bidi="ar"/>
              </w:rPr>
              <w:t>/</w:t>
            </w:r>
            <w:r>
              <w:rPr>
                <w:rFonts w:hint="default" w:ascii="Times New Roman" w:hAnsi="Times New Roman" w:cs="Times New Roman"/>
                <w:bCs/>
                <w:color w:val="auto"/>
                <w:kern w:val="0"/>
                <w:sz w:val="24"/>
                <w:szCs w:val="24"/>
                <w:highlight w:val="none"/>
                <w:lang w:val="en-US" w:eastAsia="zh-CN" w:bidi="ar"/>
              </w:rPr>
              <w:t>d，73.62t</w:t>
            </w:r>
            <w:r>
              <w:rPr>
                <w:rFonts w:hint="default" w:ascii="Times New Roman" w:hAnsi="Times New Roman" w:eastAsia="宋体" w:cs="Times New Roman"/>
                <w:bCs/>
                <w:color w:val="auto"/>
                <w:kern w:val="0"/>
                <w:sz w:val="24"/>
                <w:szCs w:val="24"/>
                <w:highlight w:val="none"/>
                <w:lang w:val="en-US" w:eastAsia="zh-CN" w:bidi="ar"/>
              </w:rPr>
              <w:t>/a</w:t>
            </w:r>
            <w:r>
              <w:rPr>
                <w:rFonts w:hint="default" w:ascii="Times New Roman" w:hAnsi="Times New Roman" w:cs="Times New Roman"/>
                <w:bCs/>
                <w:color w:val="auto"/>
                <w:kern w:val="0"/>
                <w:sz w:val="24"/>
                <w:szCs w:val="24"/>
                <w:highlight w:val="none"/>
                <w:lang w:val="en-US" w:eastAsia="zh-CN" w:bidi="ar"/>
              </w:rPr>
              <w:t>；</w:t>
            </w:r>
            <w:r>
              <w:rPr>
                <w:rFonts w:hint="default" w:ascii="Times New Roman" w:hAnsi="Times New Roman" w:eastAsia="宋体" w:cs="Times New Roman"/>
                <w:color w:val="auto"/>
                <w:sz w:val="24"/>
                <w:szCs w:val="24"/>
                <w:highlight w:val="none"/>
              </w:rPr>
              <w:t>锅炉排污水</w:t>
            </w:r>
            <w:r>
              <w:rPr>
                <w:rFonts w:hint="default" w:ascii="Times New Roman" w:hAnsi="Times New Roman" w:cs="Times New Roman"/>
                <w:color w:val="auto"/>
                <w:sz w:val="24"/>
                <w:szCs w:val="24"/>
                <w:highlight w:val="none"/>
                <w:lang w:val="en-US" w:eastAsia="zh-CN"/>
              </w:rPr>
              <w:t>0.696</w:t>
            </w:r>
            <w:r>
              <w:rPr>
                <w:rFonts w:hint="default" w:ascii="Times New Roman" w:hAnsi="Times New Roman" w:cs="Times New Roman"/>
                <w:bCs/>
                <w:color w:val="auto"/>
                <w:kern w:val="0"/>
                <w:sz w:val="24"/>
                <w:szCs w:val="24"/>
                <w:highlight w:val="none"/>
                <w:lang w:val="en-US" w:eastAsia="zh-CN" w:bidi="ar"/>
              </w:rPr>
              <w:t>t</w:t>
            </w:r>
            <w:r>
              <w:rPr>
                <w:rFonts w:hint="default" w:ascii="Times New Roman" w:hAnsi="Times New Roman" w:eastAsia="宋体" w:cs="Times New Roman"/>
                <w:bCs/>
                <w:color w:val="auto"/>
                <w:kern w:val="0"/>
                <w:sz w:val="24"/>
                <w:szCs w:val="24"/>
                <w:highlight w:val="none"/>
                <w:lang w:val="en-US" w:eastAsia="zh-CN" w:bidi="ar"/>
              </w:rPr>
              <w:t>/</w:t>
            </w:r>
            <w:r>
              <w:rPr>
                <w:rFonts w:hint="default" w:ascii="Times New Roman" w:hAnsi="Times New Roman" w:cs="Times New Roman"/>
                <w:bCs/>
                <w:color w:val="auto"/>
                <w:kern w:val="0"/>
                <w:sz w:val="24"/>
                <w:szCs w:val="24"/>
                <w:highlight w:val="none"/>
                <w:lang w:val="en-US" w:eastAsia="zh-CN" w:bidi="ar"/>
              </w:rPr>
              <w:t>d，</w:t>
            </w:r>
            <w:r>
              <w:rPr>
                <w:rFonts w:hint="default" w:ascii="Times New Roman" w:hAnsi="Times New Roman" w:cs="Times New Roman"/>
                <w:color w:val="auto"/>
                <w:sz w:val="24"/>
                <w:szCs w:val="24"/>
                <w:highlight w:val="none"/>
                <w:lang w:val="en-US" w:eastAsia="zh-CN"/>
              </w:rPr>
              <w:t>125.28t/a。则本项目全年用水量为生产用水量+冬季锅炉用水量3840+294.66=4134.66t/a</w:t>
            </w:r>
          </w:p>
          <w:p w14:paraId="0E2B97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本项目给水依托厂区原有1</w:t>
            </w:r>
            <w:r>
              <w:rPr>
                <w:rFonts w:hint="default" w:ascii="Times New Roman" w:hAnsi="Times New Roman" w:eastAsia="宋体" w:cs="Times New Roman"/>
                <w:color w:val="auto"/>
                <w:sz w:val="24"/>
                <w:szCs w:val="24"/>
                <w:highlight w:val="none"/>
                <w:lang w:eastAsia="zh-CN"/>
              </w:rPr>
              <w:t>眼深水井及泵房等附属给水设施，单井出水能力最大可达100t/h，可满足本项目区生产、生活用水需要。</w:t>
            </w:r>
          </w:p>
          <w:p w14:paraId="0B028D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（2）排水</w:t>
            </w:r>
          </w:p>
          <w:p w14:paraId="69971E2B">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highlight w:val="none"/>
                <w:lang w:val="en-US" w:eastAsia="zh-CN"/>
              </w:rPr>
              <w:t>员工厂区内调配，无新增员工，无新增生活污水产生</w:t>
            </w:r>
            <w:r>
              <w:rPr>
                <w:rFonts w:hint="default" w:ascii="Times New Roman" w:hAnsi="Times New Roman" w:eastAsia="宋体" w:cs="Times New Roman"/>
                <w:color w:val="auto"/>
                <w:sz w:val="24"/>
                <w:szCs w:val="24"/>
                <w:highlight w:val="none"/>
                <w:lang w:val="en-US" w:eastAsia="zh-CN"/>
              </w:rPr>
              <w:t>。</w:t>
            </w:r>
          </w:p>
          <w:p w14:paraId="2FCA6D1F">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本项目非采暖季仅涉及生产用热，本项目</w:t>
            </w:r>
            <w:r>
              <w:rPr>
                <w:rFonts w:hint="default" w:ascii="Times New Roman" w:hAnsi="Times New Roman" w:eastAsia="宋体" w:cs="Times New Roman"/>
                <w:color w:val="auto"/>
                <w:sz w:val="24"/>
                <w:szCs w:val="24"/>
                <w:lang w:val="en-US" w:eastAsia="zh-CN"/>
              </w:rPr>
              <w:t>生产所需蒸汽量为6t/h。</w:t>
            </w:r>
            <w:r>
              <w:rPr>
                <w:rFonts w:hint="default" w:ascii="Times New Roman" w:hAnsi="Times New Roman" w:cs="Times New Roman"/>
                <w:color w:val="auto"/>
                <w:sz w:val="24"/>
                <w:szCs w:val="24"/>
                <w:lang w:val="en-US" w:eastAsia="zh-CN"/>
              </w:rPr>
              <w:t>每天运行16h，本项目蒸汽经过冷凝循环器循环使用，</w:t>
            </w:r>
            <w:r>
              <w:rPr>
                <w:rFonts w:hint="default" w:ascii="Times New Roman" w:hAnsi="Times New Roman" w:eastAsia="宋体" w:cs="Times New Roman"/>
                <w:bCs/>
                <w:color w:val="auto"/>
                <w:kern w:val="0"/>
                <w:sz w:val="24"/>
                <w:szCs w:val="24"/>
                <w:highlight w:val="none"/>
                <w:lang w:val="en-US" w:eastAsia="zh-CN" w:bidi="ar"/>
              </w:rPr>
              <w:t>蒸汽在循环使用中会有部分输送损耗，损耗量约占蒸汽量总量的10%，则蒸汽损耗量为</w:t>
            </w:r>
            <w:r>
              <w:rPr>
                <w:rFonts w:hint="default" w:ascii="Times New Roman" w:hAnsi="Times New Roman" w:cs="Times New Roman"/>
                <w:bCs/>
                <w:color w:val="auto"/>
                <w:kern w:val="0"/>
                <w:sz w:val="24"/>
                <w:szCs w:val="24"/>
                <w:highlight w:val="none"/>
                <w:lang w:val="en-US" w:eastAsia="zh-CN" w:bidi="ar"/>
              </w:rPr>
              <w:t>9.6</w:t>
            </w:r>
            <w:r>
              <w:rPr>
                <w:rFonts w:hint="default" w:ascii="Times New Roman" w:hAnsi="Times New Roman" w:eastAsia="宋体" w:cs="Times New Roman"/>
                <w:bCs/>
                <w:color w:val="auto"/>
                <w:kern w:val="0"/>
                <w:sz w:val="24"/>
                <w:szCs w:val="24"/>
                <w:highlight w:val="none"/>
                <w:lang w:val="en-US" w:eastAsia="zh-CN" w:bidi="ar"/>
              </w:rPr>
              <w:t>t/d（</w:t>
            </w:r>
            <w:r>
              <w:rPr>
                <w:rFonts w:hint="default" w:ascii="Times New Roman" w:hAnsi="Times New Roman" w:cs="Times New Roman"/>
                <w:bCs/>
                <w:color w:val="auto"/>
                <w:kern w:val="0"/>
                <w:sz w:val="24"/>
                <w:szCs w:val="24"/>
                <w:highlight w:val="none"/>
                <w:lang w:val="en-US" w:eastAsia="zh-CN" w:bidi="ar"/>
              </w:rPr>
              <w:t>2880t</w:t>
            </w:r>
            <w:r>
              <w:rPr>
                <w:rFonts w:hint="default" w:ascii="Times New Roman" w:hAnsi="Times New Roman" w:eastAsia="宋体" w:cs="Times New Roman"/>
                <w:bCs/>
                <w:color w:val="auto"/>
                <w:kern w:val="0"/>
                <w:sz w:val="24"/>
                <w:szCs w:val="24"/>
                <w:highlight w:val="none"/>
                <w:lang w:val="en-US" w:eastAsia="zh-CN" w:bidi="ar"/>
              </w:rPr>
              <w:t>/a），则锅炉补充软水用量为</w:t>
            </w:r>
            <w:r>
              <w:rPr>
                <w:rFonts w:hint="default" w:ascii="Times New Roman" w:hAnsi="Times New Roman" w:cs="Times New Roman"/>
                <w:bCs/>
                <w:color w:val="auto"/>
                <w:kern w:val="0"/>
                <w:sz w:val="24"/>
                <w:szCs w:val="24"/>
                <w:highlight w:val="none"/>
                <w:lang w:val="en-US" w:eastAsia="zh-CN" w:bidi="ar"/>
              </w:rPr>
              <w:t>9.6</w:t>
            </w:r>
            <w:r>
              <w:rPr>
                <w:rFonts w:hint="default" w:ascii="Times New Roman" w:hAnsi="Times New Roman" w:eastAsia="宋体" w:cs="Times New Roman"/>
                <w:bCs/>
                <w:color w:val="auto"/>
                <w:kern w:val="0"/>
                <w:sz w:val="24"/>
                <w:szCs w:val="24"/>
                <w:highlight w:val="none"/>
                <w:lang w:val="en-US" w:eastAsia="zh-CN" w:bidi="ar"/>
              </w:rPr>
              <w:t>t/d（</w:t>
            </w:r>
            <w:r>
              <w:rPr>
                <w:rFonts w:hint="default" w:ascii="Times New Roman" w:hAnsi="Times New Roman" w:cs="Times New Roman"/>
                <w:bCs/>
                <w:color w:val="auto"/>
                <w:kern w:val="0"/>
                <w:sz w:val="24"/>
                <w:szCs w:val="24"/>
                <w:highlight w:val="none"/>
                <w:lang w:val="en-US" w:eastAsia="zh-CN" w:bidi="ar"/>
              </w:rPr>
              <w:t>2880t</w:t>
            </w:r>
            <w:r>
              <w:rPr>
                <w:rFonts w:hint="default" w:ascii="Times New Roman" w:hAnsi="Times New Roman" w:eastAsia="宋体" w:cs="Times New Roman"/>
                <w:bCs/>
                <w:color w:val="auto"/>
                <w:kern w:val="0"/>
                <w:sz w:val="24"/>
                <w:szCs w:val="24"/>
                <w:highlight w:val="none"/>
                <w:lang w:val="en-US" w:eastAsia="zh-CN" w:bidi="ar"/>
              </w:rPr>
              <w:t>/a）。软水制备系统制取效率约75%，则软水制备用水量为</w:t>
            </w:r>
            <w:r>
              <w:rPr>
                <w:rFonts w:hint="default" w:ascii="Times New Roman" w:hAnsi="Times New Roman" w:cs="Times New Roman"/>
                <w:bCs/>
                <w:color w:val="auto"/>
                <w:kern w:val="0"/>
                <w:sz w:val="24"/>
                <w:szCs w:val="24"/>
                <w:highlight w:val="none"/>
                <w:lang w:val="en-US" w:eastAsia="zh-CN" w:bidi="ar"/>
              </w:rPr>
              <w:t>12.8t</w:t>
            </w:r>
            <w:r>
              <w:rPr>
                <w:rFonts w:hint="default" w:ascii="Times New Roman" w:hAnsi="Times New Roman" w:eastAsia="宋体" w:cs="Times New Roman"/>
                <w:bCs/>
                <w:color w:val="auto"/>
                <w:kern w:val="0"/>
                <w:sz w:val="24"/>
                <w:szCs w:val="24"/>
                <w:highlight w:val="none"/>
                <w:lang w:val="en-US" w:eastAsia="zh-CN" w:bidi="ar"/>
              </w:rPr>
              <w:t>/d（</w:t>
            </w:r>
            <w:r>
              <w:rPr>
                <w:rFonts w:hint="default" w:ascii="Times New Roman" w:hAnsi="Times New Roman" w:cs="Times New Roman"/>
                <w:bCs/>
                <w:color w:val="auto"/>
                <w:kern w:val="0"/>
                <w:sz w:val="24"/>
                <w:szCs w:val="24"/>
                <w:highlight w:val="none"/>
                <w:lang w:val="en-US" w:eastAsia="zh-CN" w:bidi="ar"/>
              </w:rPr>
              <w:t>3840t</w:t>
            </w:r>
            <w:r>
              <w:rPr>
                <w:rFonts w:hint="default" w:ascii="Times New Roman" w:hAnsi="Times New Roman" w:eastAsia="宋体" w:cs="Times New Roman"/>
                <w:bCs/>
                <w:color w:val="auto"/>
                <w:kern w:val="0"/>
                <w:sz w:val="24"/>
                <w:szCs w:val="24"/>
                <w:highlight w:val="none"/>
                <w:lang w:val="en-US" w:eastAsia="zh-CN" w:bidi="ar"/>
              </w:rPr>
              <w:t>/a</w:t>
            </w:r>
            <w:r>
              <w:rPr>
                <w:rFonts w:hint="eastAsia" w:cs="Times New Roman"/>
                <w:bCs/>
                <w:color w:val="auto"/>
                <w:kern w:val="0"/>
                <w:sz w:val="24"/>
                <w:szCs w:val="24"/>
                <w:highlight w:val="none"/>
                <w:lang w:val="en-US" w:eastAsia="zh-CN" w:bidi="ar"/>
              </w:rPr>
              <w:t>）</w:t>
            </w:r>
            <w:r>
              <w:rPr>
                <w:rFonts w:hint="default" w:ascii="Times New Roman" w:hAnsi="Times New Roman" w:eastAsia="宋体" w:cs="Times New Roman"/>
                <w:bCs/>
                <w:color w:val="auto"/>
                <w:kern w:val="0"/>
                <w:sz w:val="24"/>
                <w:szCs w:val="24"/>
                <w:highlight w:val="none"/>
                <w:lang w:val="en-US" w:eastAsia="zh-CN" w:bidi="ar"/>
              </w:rPr>
              <w:t>，浓水产生量为</w:t>
            </w:r>
            <w:r>
              <w:rPr>
                <w:rFonts w:hint="default" w:ascii="Times New Roman" w:hAnsi="Times New Roman" w:cs="Times New Roman"/>
                <w:bCs/>
                <w:color w:val="auto"/>
                <w:kern w:val="0"/>
                <w:sz w:val="24"/>
                <w:szCs w:val="24"/>
                <w:highlight w:val="none"/>
                <w:lang w:val="en-US" w:eastAsia="zh-CN" w:bidi="ar"/>
              </w:rPr>
              <w:t>3.2t</w:t>
            </w:r>
            <w:r>
              <w:rPr>
                <w:rFonts w:hint="default" w:ascii="Times New Roman" w:hAnsi="Times New Roman" w:eastAsia="宋体" w:cs="Times New Roman"/>
                <w:bCs/>
                <w:color w:val="auto"/>
                <w:kern w:val="0"/>
                <w:sz w:val="24"/>
                <w:szCs w:val="24"/>
                <w:highlight w:val="none"/>
                <w:lang w:val="en-US" w:eastAsia="zh-CN" w:bidi="ar"/>
              </w:rPr>
              <w:t>/a（</w:t>
            </w:r>
            <w:r>
              <w:rPr>
                <w:rFonts w:hint="default" w:ascii="Times New Roman" w:hAnsi="Times New Roman" w:cs="Times New Roman"/>
                <w:bCs/>
                <w:color w:val="auto"/>
                <w:kern w:val="0"/>
                <w:sz w:val="24"/>
                <w:szCs w:val="24"/>
                <w:highlight w:val="none"/>
                <w:lang w:val="en-US" w:eastAsia="zh-CN" w:bidi="ar"/>
              </w:rPr>
              <w:t>960t</w:t>
            </w:r>
            <w:r>
              <w:rPr>
                <w:rFonts w:hint="default" w:ascii="Times New Roman" w:hAnsi="Times New Roman" w:eastAsia="宋体" w:cs="Times New Roman"/>
                <w:bCs/>
                <w:color w:val="auto"/>
                <w:kern w:val="0"/>
                <w:sz w:val="24"/>
                <w:szCs w:val="24"/>
                <w:highlight w:val="none"/>
                <w:lang w:val="en-US" w:eastAsia="zh-CN" w:bidi="ar"/>
              </w:rPr>
              <w:t>/a）</w:t>
            </w:r>
          </w:p>
          <w:p w14:paraId="28AF3CED">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本项目采暖季由于供暖产生的</w:t>
            </w:r>
            <w:r>
              <w:rPr>
                <w:rFonts w:hint="default" w:ascii="Times New Roman" w:hAnsi="Times New Roman" w:eastAsia="宋体" w:cs="Times New Roman"/>
                <w:color w:val="auto"/>
                <w:sz w:val="24"/>
                <w:szCs w:val="24"/>
                <w:highlight w:val="none"/>
              </w:rPr>
              <w:t>锅炉排污水和软化处理废水产生量为</w:t>
            </w:r>
            <w:r>
              <w:rPr>
                <w:rFonts w:hint="default" w:ascii="Times New Roman" w:hAnsi="Times New Roman" w:cs="Times New Roman"/>
                <w:color w:val="auto"/>
                <w:sz w:val="24"/>
                <w:szCs w:val="24"/>
                <w:highlight w:val="none"/>
                <w:lang w:val="en-US" w:eastAsia="zh-CN"/>
              </w:rPr>
              <w:t>1.105t/d，198.9t/a。</w:t>
            </w:r>
            <w:r>
              <w:rPr>
                <w:rFonts w:hint="default" w:ascii="Times New Roman" w:hAnsi="Times New Roman" w:eastAsia="宋体" w:cs="Times New Roman"/>
                <w:bCs/>
                <w:color w:val="auto"/>
                <w:kern w:val="0"/>
                <w:sz w:val="24"/>
                <w:szCs w:val="24"/>
                <w:highlight w:val="none"/>
                <w:lang w:val="en-US" w:eastAsia="zh-CN" w:bidi="ar"/>
              </w:rPr>
              <w:t>则浓水产生量为</w:t>
            </w:r>
            <w:r>
              <w:rPr>
                <w:rFonts w:hint="default" w:ascii="Times New Roman" w:hAnsi="Times New Roman" w:cs="Times New Roman"/>
                <w:bCs/>
                <w:color w:val="auto"/>
                <w:kern w:val="0"/>
                <w:sz w:val="24"/>
                <w:szCs w:val="24"/>
                <w:highlight w:val="none"/>
                <w:lang w:val="en-US" w:eastAsia="zh-CN" w:bidi="ar"/>
              </w:rPr>
              <w:t>0.409t</w:t>
            </w:r>
            <w:r>
              <w:rPr>
                <w:rFonts w:hint="default" w:ascii="Times New Roman" w:hAnsi="Times New Roman" w:eastAsia="宋体" w:cs="Times New Roman"/>
                <w:bCs/>
                <w:color w:val="auto"/>
                <w:kern w:val="0"/>
                <w:sz w:val="24"/>
                <w:szCs w:val="24"/>
                <w:highlight w:val="none"/>
                <w:lang w:val="en-US" w:eastAsia="zh-CN" w:bidi="ar"/>
              </w:rPr>
              <w:t>/</w:t>
            </w:r>
            <w:r>
              <w:rPr>
                <w:rFonts w:hint="default" w:ascii="Times New Roman" w:hAnsi="Times New Roman" w:cs="Times New Roman"/>
                <w:bCs/>
                <w:color w:val="auto"/>
                <w:kern w:val="0"/>
                <w:sz w:val="24"/>
                <w:szCs w:val="24"/>
                <w:highlight w:val="none"/>
                <w:lang w:val="en-US" w:eastAsia="zh-CN" w:bidi="ar"/>
              </w:rPr>
              <w:t>d，73.62t</w:t>
            </w:r>
            <w:r>
              <w:rPr>
                <w:rFonts w:hint="default" w:ascii="Times New Roman" w:hAnsi="Times New Roman" w:eastAsia="宋体" w:cs="Times New Roman"/>
                <w:bCs/>
                <w:color w:val="auto"/>
                <w:kern w:val="0"/>
                <w:sz w:val="24"/>
                <w:szCs w:val="24"/>
                <w:highlight w:val="none"/>
                <w:lang w:val="en-US" w:eastAsia="zh-CN" w:bidi="ar"/>
              </w:rPr>
              <w:t>/a</w:t>
            </w:r>
            <w:r>
              <w:rPr>
                <w:rFonts w:hint="default" w:ascii="Times New Roman" w:hAnsi="Times New Roman" w:cs="Times New Roman"/>
                <w:bCs/>
                <w:color w:val="auto"/>
                <w:kern w:val="0"/>
                <w:sz w:val="24"/>
                <w:szCs w:val="24"/>
                <w:highlight w:val="none"/>
                <w:lang w:val="en-US" w:eastAsia="zh-CN" w:bidi="ar"/>
              </w:rPr>
              <w:t>；</w:t>
            </w:r>
            <w:r>
              <w:rPr>
                <w:rFonts w:hint="default" w:ascii="Times New Roman" w:hAnsi="Times New Roman" w:eastAsia="宋体" w:cs="Times New Roman"/>
                <w:color w:val="auto"/>
                <w:sz w:val="24"/>
                <w:szCs w:val="24"/>
                <w:highlight w:val="none"/>
              </w:rPr>
              <w:t>锅炉排污水</w:t>
            </w:r>
            <w:r>
              <w:rPr>
                <w:rFonts w:hint="default" w:ascii="Times New Roman" w:hAnsi="Times New Roman" w:cs="Times New Roman"/>
                <w:color w:val="auto"/>
                <w:sz w:val="24"/>
                <w:szCs w:val="24"/>
                <w:highlight w:val="none"/>
                <w:lang w:val="en-US" w:eastAsia="zh-CN"/>
              </w:rPr>
              <w:t>0.696</w:t>
            </w:r>
            <w:r>
              <w:rPr>
                <w:rFonts w:hint="default" w:ascii="Times New Roman" w:hAnsi="Times New Roman" w:cs="Times New Roman"/>
                <w:bCs/>
                <w:color w:val="auto"/>
                <w:kern w:val="0"/>
                <w:sz w:val="24"/>
                <w:szCs w:val="24"/>
                <w:highlight w:val="none"/>
                <w:lang w:val="en-US" w:eastAsia="zh-CN" w:bidi="ar"/>
              </w:rPr>
              <w:t>t</w:t>
            </w:r>
            <w:r>
              <w:rPr>
                <w:rFonts w:hint="default" w:ascii="Times New Roman" w:hAnsi="Times New Roman" w:eastAsia="宋体" w:cs="Times New Roman"/>
                <w:bCs/>
                <w:color w:val="auto"/>
                <w:kern w:val="0"/>
                <w:sz w:val="24"/>
                <w:szCs w:val="24"/>
                <w:highlight w:val="none"/>
                <w:lang w:val="en-US" w:eastAsia="zh-CN" w:bidi="ar"/>
              </w:rPr>
              <w:t>/</w:t>
            </w:r>
            <w:r>
              <w:rPr>
                <w:rFonts w:hint="default" w:ascii="Times New Roman" w:hAnsi="Times New Roman" w:cs="Times New Roman"/>
                <w:bCs/>
                <w:color w:val="auto"/>
                <w:kern w:val="0"/>
                <w:sz w:val="24"/>
                <w:szCs w:val="24"/>
                <w:highlight w:val="none"/>
                <w:lang w:val="en-US" w:eastAsia="zh-CN" w:bidi="ar"/>
              </w:rPr>
              <w:t>d，</w:t>
            </w:r>
            <w:r>
              <w:rPr>
                <w:rFonts w:hint="default" w:ascii="Times New Roman" w:hAnsi="Times New Roman" w:cs="Times New Roman"/>
                <w:color w:val="auto"/>
                <w:sz w:val="24"/>
                <w:szCs w:val="24"/>
                <w:highlight w:val="none"/>
                <w:lang w:val="en-US" w:eastAsia="zh-CN"/>
              </w:rPr>
              <w:t>125.28t/a。</w:t>
            </w:r>
          </w:p>
          <w:p w14:paraId="27BFB82C">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则本项目冬季用水量14.27t/d，</w:t>
            </w:r>
            <w:r>
              <w:rPr>
                <w:rFonts w:hint="default" w:ascii="Times New Roman" w:hAnsi="Times New Roman" w:eastAsia="宋体" w:cs="Times New Roman"/>
                <w:bCs/>
                <w:color w:val="auto"/>
                <w:kern w:val="0"/>
                <w:sz w:val="24"/>
                <w:szCs w:val="24"/>
                <w:highlight w:val="none"/>
                <w:lang w:val="en-US" w:eastAsia="zh-CN" w:bidi="ar"/>
              </w:rPr>
              <w:t>浓水产生量为</w:t>
            </w:r>
            <w:r>
              <w:rPr>
                <w:rFonts w:hint="default" w:ascii="Times New Roman" w:hAnsi="Times New Roman" w:cs="Times New Roman"/>
                <w:color w:val="auto"/>
                <w:sz w:val="24"/>
                <w:szCs w:val="24"/>
                <w:highlight w:val="none"/>
                <w:lang w:val="en-US" w:eastAsia="zh-CN"/>
              </w:rPr>
              <w:t>3.568t/d，锅炉排污水产生量为0.737t/d。</w:t>
            </w:r>
          </w:p>
          <w:p w14:paraId="6FE3B102">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w:t>
            </w:r>
            <w:r>
              <w:rPr>
                <w:rFonts w:hint="default" w:ascii="Times New Roman" w:hAnsi="Times New Roman" w:eastAsia="宋体" w:cs="Times New Roman"/>
                <w:color w:val="auto"/>
                <w:kern w:val="0"/>
                <w:sz w:val="24"/>
                <w:szCs w:val="24"/>
                <w:highlight w:val="none"/>
              </w:rPr>
              <w:t>锅炉排污水及软化处理废水</w:t>
            </w:r>
            <w:r>
              <w:rPr>
                <w:rFonts w:hint="default" w:ascii="Times New Roman" w:hAnsi="Times New Roman" w:cs="Times New Roman"/>
                <w:color w:val="auto"/>
                <w:kern w:val="0"/>
                <w:sz w:val="24"/>
                <w:szCs w:val="24"/>
                <w:highlight w:val="none"/>
                <w:lang w:val="en-US" w:eastAsia="zh-CN"/>
              </w:rPr>
              <w:t>总量为960+198.9=1158.9t/a</w:t>
            </w:r>
          </w:p>
          <w:p w14:paraId="4BEB1D56">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0"/>
                <w:sz w:val="24"/>
                <w:szCs w:val="24"/>
                <w:highlight w:val="none"/>
                <w:lang w:val="en-US" w:eastAsia="zh-CN"/>
              </w:rPr>
              <w:t>暂存于厂区原有储水池内，用于</w:t>
            </w:r>
            <w:r>
              <w:rPr>
                <w:rFonts w:hint="default" w:ascii="Times New Roman" w:hAnsi="Times New Roman" w:eastAsia="宋体" w:cs="Times New Roman"/>
                <w:color w:val="auto"/>
                <w:sz w:val="24"/>
                <w:szCs w:val="24"/>
                <w:highlight w:val="none"/>
              </w:rPr>
              <w:t>锅炉除渣</w:t>
            </w:r>
            <w:r>
              <w:rPr>
                <w:rFonts w:hint="default" w:ascii="Times New Roman" w:hAnsi="Times New Roman" w:eastAsia="宋体" w:cs="Times New Roman"/>
                <w:color w:val="auto"/>
                <w:sz w:val="24"/>
                <w:szCs w:val="24"/>
                <w:highlight w:val="none"/>
                <w:lang w:val="en-US" w:eastAsia="zh-CN"/>
              </w:rPr>
              <w:t>加湿</w:t>
            </w:r>
            <w:r>
              <w:rPr>
                <w:rFonts w:hint="default" w:ascii="Times New Roman" w:hAnsi="Times New Roman" w:eastAsia="宋体" w:cs="Times New Roman"/>
                <w:color w:val="auto"/>
                <w:sz w:val="24"/>
                <w:szCs w:val="24"/>
                <w:highlight w:val="none"/>
              </w:rPr>
              <w:t>和锅炉间地面洒水降尘，不外排</w:t>
            </w:r>
            <w:r>
              <w:rPr>
                <w:rFonts w:hint="default" w:ascii="Times New Roman" w:hAnsi="Times New Roman" w:eastAsia="宋体" w:cs="Times New Roman"/>
                <w:color w:val="auto"/>
                <w:sz w:val="24"/>
                <w:szCs w:val="24"/>
                <w:highlight w:val="none"/>
                <w:lang w:eastAsia="zh-CN"/>
              </w:rPr>
              <w:t>。</w:t>
            </w:r>
          </w:p>
          <w:p w14:paraId="7A392D28">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object>
                <v:shape id="_x0000_i1025" o:spt="75" type="#_x0000_t75" style="height:126.3pt;width:336.25pt;" o:ole="t" filled="f" o:preferrelative="t" stroked="f" coordsize="21600,21600">
                  <v:path/>
                  <v:fill on="f" focussize="0,0"/>
                  <v:stroke on="f"/>
                  <v:imagedata r:id="rId18" o:title=""/>
                  <o:lock v:ext="edit" aspectratio="f"/>
                  <w10:wrap type="none"/>
                  <w10:anchorlock/>
                </v:shape>
                <o:OLEObject Type="Embed" ProgID="Visio.Drawing.11" ShapeID="_x0000_i1025" DrawAspect="Content" ObjectID="_1468075725" r:id="rId17">
                  <o:LockedField>false</o:LockedField>
                </o:OLEObject>
              </w:object>
            </w:r>
          </w:p>
          <w:p w14:paraId="5C83D891">
            <w:pPr>
              <w:pStyle w:val="1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图2-1</w:t>
            </w:r>
            <w:r>
              <w:rPr>
                <w:rFonts w:hint="default" w:ascii="Times New Roman" w:hAnsi="Times New Roman" w:cs="Times New Roman"/>
                <w:b/>
                <w:bCs/>
                <w:color w:val="auto"/>
                <w:sz w:val="21"/>
                <w:szCs w:val="21"/>
                <w:highlight w:val="none"/>
                <w:lang w:val="en-US" w:eastAsia="zh-CN"/>
              </w:rPr>
              <w:t>非采暖季</w:t>
            </w:r>
            <w:r>
              <w:rPr>
                <w:rFonts w:hint="default" w:ascii="Times New Roman" w:hAnsi="Times New Roman" w:eastAsia="宋体" w:cs="Times New Roman"/>
                <w:b/>
                <w:bCs/>
                <w:color w:val="auto"/>
                <w:sz w:val="21"/>
                <w:szCs w:val="21"/>
                <w:highlight w:val="none"/>
                <w:lang w:val="en-US" w:eastAsia="zh-CN"/>
              </w:rPr>
              <w:t>水量平衡图</w:t>
            </w:r>
          </w:p>
          <w:p w14:paraId="24D3263E">
            <w:pPr>
              <w:pStyle w:val="43"/>
              <w:rPr>
                <w:rFonts w:hint="default" w:ascii="Times New Roman" w:hAnsi="Times New Roman" w:cs="Times New Roman"/>
                <w:color w:val="auto"/>
                <w:lang w:val="en-US" w:eastAsia="zh-CN"/>
              </w:rPr>
            </w:pPr>
            <w:r>
              <w:rPr>
                <w:rFonts w:hint="default" w:ascii="Times New Roman" w:hAnsi="Times New Roman" w:cs="Times New Roman"/>
                <w:color w:val="auto"/>
              </w:rPr>
              <w:object>
                <v:shape id="_x0000_i1026" o:spt="75" type="#_x0000_t75" style="height:152.75pt;width:391.1pt;" o:ole="t" filled="f" o:preferrelative="t" stroked="f" coordsize="21600,21600">
                  <v:path/>
                  <v:fill on="f" focussize="0,0"/>
                  <v:stroke on="f"/>
                  <v:imagedata r:id="rId20" o:title=""/>
                  <o:lock v:ext="edit" aspectratio="f"/>
                  <w10:wrap type="none"/>
                  <w10:anchorlock/>
                </v:shape>
                <o:OLEObject Type="Embed" ProgID="Visio.Drawing.11" ShapeID="_x0000_i1026" DrawAspect="Content" ObjectID="_1468075726" r:id="rId19">
                  <o:LockedField>false</o:LockedField>
                </o:OLEObject>
              </w:object>
            </w:r>
            <w:r>
              <w:rPr>
                <w:rFonts w:hint="default" w:ascii="Times New Roman" w:hAnsi="Times New Roman" w:eastAsia="宋体" w:cs="Times New Roman"/>
                <w:b/>
                <w:bCs/>
                <w:color w:val="auto"/>
                <w:sz w:val="21"/>
                <w:szCs w:val="21"/>
                <w:highlight w:val="none"/>
                <w:lang w:val="en-US" w:eastAsia="zh-CN"/>
              </w:rPr>
              <w:t xml:space="preserve">图2-2 </w:t>
            </w:r>
            <w:r>
              <w:rPr>
                <w:rFonts w:hint="default" w:ascii="Times New Roman" w:hAnsi="Times New Roman" w:cs="Times New Roman"/>
                <w:b/>
                <w:bCs/>
                <w:color w:val="auto"/>
                <w:sz w:val="21"/>
                <w:szCs w:val="21"/>
                <w:highlight w:val="none"/>
                <w:lang w:val="en-US" w:eastAsia="zh-CN"/>
              </w:rPr>
              <w:t>采暖季</w:t>
            </w:r>
            <w:r>
              <w:rPr>
                <w:rFonts w:hint="default" w:ascii="Times New Roman" w:hAnsi="Times New Roman" w:eastAsia="宋体" w:cs="Times New Roman"/>
                <w:b/>
                <w:bCs/>
                <w:color w:val="auto"/>
                <w:sz w:val="21"/>
                <w:szCs w:val="21"/>
                <w:highlight w:val="none"/>
                <w:lang w:val="en-US" w:eastAsia="zh-CN"/>
              </w:rPr>
              <w:t>水量平衡图</w:t>
            </w:r>
          </w:p>
          <w:p w14:paraId="398FA2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（3）供热</w:t>
            </w:r>
          </w:p>
          <w:p w14:paraId="12053D6E">
            <w:pPr>
              <w:widowControl/>
              <w:numPr>
                <w:ilvl w:val="0"/>
                <w:numId w:val="0"/>
              </w:numPr>
              <w:tabs>
                <w:tab w:val="left" w:pos="4785"/>
              </w:tabs>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10t/h</w:t>
            </w:r>
            <w:r>
              <w:rPr>
                <w:rFonts w:hint="default" w:ascii="Times New Roman" w:hAnsi="Times New Roman" w:eastAsia="宋体" w:cs="Times New Roman"/>
                <w:color w:val="auto"/>
                <w:sz w:val="24"/>
                <w:szCs w:val="24"/>
                <w:highlight w:val="none"/>
              </w:rPr>
              <w:t>的燃</w:t>
            </w:r>
            <w:r>
              <w:rPr>
                <w:rFonts w:hint="default" w:ascii="Times New Roman" w:hAnsi="Times New Roman" w:eastAsia="宋体" w:cs="Times New Roman"/>
                <w:color w:val="auto"/>
                <w:sz w:val="24"/>
                <w:szCs w:val="24"/>
                <w:highlight w:val="none"/>
                <w:lang w:eastAsia="zh-CN"/>
              </w:rPr>
              <w:t>生物质蒸汽锅炉</w:t>
            </w:r>
            <w:r>
              <w:rPr>
                <w:rFonts w:hint="default" w:ascii="Times New Roman" w:hAnsi="Times New Roman" w:eastAsia="宋体" w:cs="Times New Roman"/>
                <w:color w:val="auto"/>
                <w:sz w:val="24"/>
                <w:szCs w:val="24"/>
                <w:highlight w:val="none"/>
              </w:rPr>
              <w:t>用于</w:t>
            </w:r>
            <w:r>
              <w:rPr>
                <w:rFonts w:hint="default" w:ascii="Times New Roman" w:hAnsi="Times New Roman" w:cs="Times New Roman"/>
                <w:color w:val="auto"/>
                <w:sz w:val="24"/>
                <w:szCs w:val="24"/>
                <w:highlight w:val="none"/>
                <w:lang w:val="en-US" w:eastAsia="zh-CN"/>
              </w:rPr>
              <w:t>厂区</w:t>
            </w:r>
            <w:r>
              <w:rPr>
                <w:rFonts w:hint="default"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lang w:eastAsia="zh-CN"/>
              </w:rPr>
              <w:t>供</w:t>
            </w:r>
            <w:r>
              <w:rPr>
                <w:rFonts w:hint="default" w:ascii="Times New Roman" w:hAnsi="Times New Roman" w:eastAsia="宋体" w:cs="Times New Roman"/>
                <w:color w:val="auto"/>
                <w:sz w:val="24"/>
                <w:szCs w:val="24"/>
                <w:highlight w:val="none"/>
                <w:lang w:val="en-US" w:eastAsia="zh-CN"/>
              </w:rPr>
              <w:t>汽</w:t>
            </w:r>
            <w:r>
              <w:rPr>
                <w:rFonts w:hint="default" w:ascii="Times New Roman" w:hAnsi="Times New Roman" w:cs="Times New Roman"/>
                <w:color w:val="auto"/>
                <w:sz w:val="24"/>
                <w:szCs w:val="24"/>
                <w:highlight w:val="none"/>
                <w:lang w:val="en-US" w:eastAsia="zh-CN"/>
              </w:rPr>
              <w:t>和冬季供暖</w:t>
            </w:r>
            <w:r>
              <w:rPr>
                <w:rFonts w:hint="default" w:ascii="Times New Roman" w:hAnsi="Times New Roman" w:eastAsia="宋体" w:cs="Times New Roman"/>
                <w:color w:val="auto"/>
                <w:sz w:val="24"/>
                <w:szCs w:val="24"/>
                <w:highlight w:val="none"/>
              </w:rPr>
              <w:t>。</w:t>
            </w:r>
          </w:p>
          <w:p w14:paraId="17A42C0F">
            <w:pPr>
              <w:widowControl/>
              <w:numPr>
                <w:ilvl w:val="0"/>
                <w:numId w:val="0"/>
              </w:numPr>
              <w:tabs>
                <w:tab w:val="left" w:pos="4785"/>
              </w:tabs>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（4）供电</w:t>
            </w:r>
          </w:p>
          <w:p w14:paraId="254E5E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本项目用电由市政电网提供，可满足本项目用电需求。</w:t>
            </w:r>
          </w:p>
          <w:p w14:paraId="3695FE00">
            <w:pPr>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8、厂区平面布置</w:t>
            </w:r>
          </w:p>
          <w:p w14:paraId="475A7330">
            <w:pPr>
              <w:shd w:val="clear" w:color="auto" w:fill="auto"/>
              <w:rPr>
                <w:rFonts w:hint="default" w:ascii="Times New Roman" w:hAnsi="Times New Roman" w:eastAsia="宋体" w:cs="Times New Roman"/>
                <w:bCs/>
                <w:color w:val="auto"/>
                <w:spacing w:val="0"/>
                <w:kern w:val="0"/>
                <w:sz w:val="24"/>
                <w:szCs w:val="24"/>
                <w:highlight w:val="none"/>
                <w:lang w:val="en-US" w:eastAsia="zh-CN" w:bidi="ar-SA"/>
              </w:rPr>
            </w:pPr>
            <w:r>
              <w:rPr>
                <w:rFonts w:hint="default" w:ascii="Times New Roman" w:hAnsi="Times New Roman" w:eastAsia="宋体" w:cs="Times New Roman"/>
                <w:bCs/>
                <w:color w:val="auto"/>
                <w:spacing w:val="0"/>
                <w:kern w:val="0"/>
                <w:sz w:val="24"/>
                <w:szCs w:val="24"/>
                <w:highlight w:val="none"/>
                <w:lang w:val="en-US" w:eastAsia="zh-CN" w:bidi="ar-SA"/>
              </w:rPr>
              <w:t>本项目使用厂房为</w:t>
            </w:r>
            <w:r>
              <w:rPr>
                <w:rFonts w:hint="default" w:ascii="Times New Roman" w:hAnsi="Times New Roman" w:eastAsia="宋体" w:cs="Times New Roman"/>
                <w:bCs/>
                <w:color w:val="auto"/>
                <w:spacing w:val="0"/>
                <w:sz w:val="24"/>
                <w:szCs w:val="24"/>
                <w:highlight w:val="none"/>
                <w:shd w:val="clear"/>
                <w:lang w:val="en-US" w:eastAsia="zh-CN"/>
              </w:rPr>
              <w:t>现有锅炉房</w:t>
            </w:r>
            <w:r>
              <w:rPr>
                <w:rFonts w:hint="default" w:ascii="Times New Roman" w:hAnsi="Times New Roman" w:eastAsia="宋体" w:cs="Times New Roman"/>
                <w:bCs/>
                <w:color w:val="auto"/>
                <w:spacing w:val="0"/>
                <w:kern w:val="0"/>
                <w:sz w:val="24"/>
                <w:szCs w:val="24"/>
                <w:highlight w:val="none"/>
                <w:lang w:val="en-US" w:eastAsia="zh-CN" w:bidi="ar-SA"/>
              </w:rPr>
              <w:t>，不新增占地</w:t>
            </w:r>
            <w:r>
              <w:rPr>
                <w:rFonts w:hint="default" w:ascii="Times New Roman" w:hAnsi="Times New Roman" w:eastAsia="宋体" w:cs="Times New Roman"/>
                <w:color w:val="auto"/>
                <w:spacing w:val="0"/>
                <w:sz w:val="24"/>
                <w:szCs w:val="24"/>
                <w:highlight w:val="none"/>
                <w:vertAlign w:val="baseline"/>
                <w:lang w:val="en-US" w:eastAsia="zh-CN"/>
              </w:rPr>
              <w:t>，</w:t>
            </w:r>
            <w:r>
              <w:rPr>
                <w:rFonts w:hint="default" w:ascii="Times New Roman" w:hAnsi="Times New Roman" w:eastAsia="宋体" w:cs="Times New Roman"/>
                <w:color w:val="auto"/>
                <w:spacing w:val="0"/>
                <w:sz w:val="24"/>
                <w:szCs w:val="24"/>
                <w:highlight w:val="none"/>
                <w:lang w:val="en-US" w:eastAsia="zh-CN"/>
              </w:rPr>
              <w:t>主要建设内容为拆除原有</w:t>
            </w:r>
            <w:r>
              <w:rPr>
                <w:rFonts w:hint="default" w:ascii="Times New Roman" w:hAnsi="Times New Roman" w:cs="Times New Roman"/>
                <w:color w:val="auto"/>
                <w:spacing w:val="0"/>
                <w:sz w:val="24"/>
                <w:szCs w:val="24"/>
                <w:highlight w:val="none"/>
                <w:lang w:val="en-US" w:eastAsia="zh-CN"/>
              </w:rPr>
              <w:t>2t/h</w:t>
            </w:r>
            <w:r>
              <w:rPr>
                <w:rFonts w:hint="default" w:ascii="Times New Roman" w:hAnsi="Times New Roman" w:eastAsia="宋体" w:cs="Times New Roman"/>
                <w:color w:val="auto"/>
                <w:spacing w:val="0"/>
                <w:sz w:val="24"/>
                <w:szCs w:val="24"/>
                <w:highlight w:val="none"/>
                <w:lang w:val="en-US" w:eastAsia="zh-CN"/>
              </w:rPr>
              <w:t>生物质</w:t>
            </w:r>
            <w:r>
              <w:rPr>
                <w:rFonts w:hint="default" w:ascii="Times New Roman" w:hAnsi="Times New Roman" w:cs="Times New Roman"/>
                <w:color w:val="auto"/>
                <w:spacing w:val="0"/>
                <w:sz w:val="24"/>
                <w:szCs w:val="24"/>
                <w:highlight w:val="none"/>
                <w:lang w:val="en-US" w:eastAsia="zh-CN"/>
              </w:rPr>
              <w:t>蒸汽锅炉</w:t>
            </w:r>
            <w:r>
              <w:rPr>
                <w:rFonts w:hint="default" w:ascii="Times New Roman" w:hAnsi="Times New Roman" w:eastAsia="宋体" w:cs="Times New Roman"/>
                <w:color w:val="auto"/>
                <w:spacing w:val="0"/>
                <w:sz w:val="24"/>
                <w:szCs w:val="24"/>
                <w:highlight w:val="none"/>
                <w:lang w:val="en-US" w:eastAsia="zh-CN"/>
              </w:rPr>
              <w:t>，新建</w:t>
            </w:r>
            <w:r>
              <w:rPr>
                <w:rFonts w:hint="default" w:ascii="Times New Roman" w:hAnsi="Times New Roman" w:cs="Times New Roman"/>
                <w:color w:val="auto"/>
                <w:spacing w:val="0"/>
                <w:sz w:val="24"/>
                <w:szCs w:val="24"/>
                <w:highlight w:val="none"/>
                <w:lang w:val="en-US" w:eastAsia="zh-CN"/>
              </w:rPr>
              <w:t>10t/h</w:t>
            </w:r>
            <w:r>
              <w:rPr>
                <w:rFonts w:hint="default" w:ascii="Times New Roman" w:hAnsi="Times New Roman" w:cs="Times New Roman"/>
                <w:color w:val="auto"/>
                <w:sz w:val="24"/>
                <w:szCs w:val="24"/>
                <w:highlight w:val="none"/>
                <w:lang w:val="en-US" w:eastAsia="zh-CN"/>
              </w:rPr>
              <w:t>生物质蒸汽锅炉</w:t>
            </w:r>
            <w:r>
              <w:rPr>
                <w:rFonts w:hint="default"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snapToGrid w:val="0"/>
                <w:color w:val="auto"/>
                <w:spacing w:val="0"/>
                <w:sz w:val="24"/>
                <w:szCs w:val="24"/>
                <w:highlight w:val="none"/>
                <w:lang w:val="en-US" w:eastAsia="zh-CN"/>
              </w:rPr>
              <w:t>本项目工作时长为</w:t>
            </w:r>
            <w:r>
              <w:rPr>
                <w:rFonts w:hint="default" w:ascii="Times New Roman" w:hAnsi="Times New Roman" w:cs="Times New Roman"/>
                <w:snapToGrid w:val="0"/>
                <w:color w:val="auto"/>
                <w:spacing w:val="0"/>
                <w:sz w:val="24"/>
                <w:szCs w:val="24"/>
                <w:highlight w:val="none"/>
                <w:lang w:val="en-US" w:eastAsia="zh-CN"/>
              </w:rPr>
              <w:t>16</w:t>
            </w:r>
            <w:r>
              <w:rPr>
                <w:rFonts w:hint="default" w:ascii="Times New Roman" w:hAnsi="Times New Roman" w:eastAsia="宋体" w:cs="Times New Roman"/>
                <w:snapToGrid w:val="0"/>
                <w:color w:val="auto"/>
                <w:spacing w:val="0"/>
                <w:sz w:val="24"/>
                <w:szCs w:val="24"/>
                <w:highlight w:val="none"/>
                <w:lang w:val="en-US" w:eastAsia="zh-CN"/>
              </w:rPr>
              <w:t>h，采用双班制，年供热</w:t>
            </w:r>
            <w:r>
              <w:rPr>
                <w:rFonts w:hint="default" w:ascii="Times New Roman" w:hAnsi="Times New Roman" w:cs="Times New Roman"/>
                <w:snapToGrid w:val="0"/>
                <w:color w:val="auto"/>
                <w:spacing w:val="0"/>
                <w:sz w:val="24"/>
                <w:szCs w:val="24"/>
                <w:highlight w:val="none"/>
                <w:lang w:val="en-US" w:eastAsia="zh-CN"/>
              </w:rPr>
              <w:t>300</w:t>
            </w:r>
            <w:r>
              <w:rPr>
                <w:rFonts w:hint="default" w:ascii="Times New Roman" w:hAnsi="Times New Roman" w:eastAsia="宋体" w:cs="Times New Roman"/>
                <w:snapToGrid w:val="0"/>
                <w:color w:val="auto"/>
                <w:spacing w:val="0"/>
                <w:sz w:val="24"/>
                <w:szCs w:val="24"/>
                <w:highlight w:val="none"/>
                <w:lang w:val="en-US" w:eastAsia="zh-CN"/>
              </w:rPr>
              <w:t>天。锅炉房位于厂区</w:t>
            </w:r>
            <w:r>
              <w:rPr>
                <w:rFonts w:hint="default" w:ascii="Times New Roman" w:hAnsi="Times New Roman" w:cs="Times New Roman"/>
                <w:snapToGrid w:val="0"/>
                <w:color w:val="auto"/>
                <w:spacing w:val="0"/>
                <w:sz w:val="24"/>
                <w:szCs w:val="24"/>
                <w:highlight w:val="none"/>
                <w:lang w:val="en-US" w:eastAsia="zh-CN"/>
              </w:rPr>
              <w:t>东北角</w:t>
            </w:r>
            <w:r>
              <w:rPr>
                <w:rFonts w:hint="default" w:ascii="Times New Roman" w:hAnsi="Times New Roman" w:eastAsia="宋体" w:cs="Times New Roman"/>
                <w:snapToGrid w:val="0"/>
                <w:color w:val="auto"/>
                <w:spacing w:val="0"/>
                <w:sz w:val="24"/>
                <w:szCs w:val="24"/>
                <w:highlight w:val="none"/>
                <w:lang w:val="en-US" w:eastAsia="zh-CN"/>
              </w:rPr>
              <w:t>，</w:t>
            </w:r>
            <w:r>
              <w:rPr>
                <w:rFonts w:hint="default" w:ascii="Times New Roman" w:hAnsi="Times New Roman" w:cs="Times New Roman"/>
                <w:snapToGrid w:val="0"/>
                <w:color w:val="auto"/>
                <w:spacing w:val="0"/>
                <w:sz w:val="24"/>
                <w:szCs w:val="24"/>
                <w:highlight w:val="none"/>
                <w:lang w:val="en-US" w:eastAsia="zh-CN"/>
              </w:rPr>
              <w:t>位于原料库南侧。</w:t>
            </w:r>
            <w:r>
              <w:rPr>
                <w:rFonts w:hint="default" w:ascii="Times New Roman" w:hAnsi="Times New Roman" w:eastAsia="宋体" w:cs="Times New Roman"/>
                <w:color w:val="auto"/>
                <w:spacing w:val="0"/>
                <w:sz w:val="24"/>
                <w:szCs w:val="24"/>
                <w:highlight w:val="none"/>
              </w:rPr>
              <w:t>从总平面布置上来看，该项目功能区划分比较明确，</w:t>
            </w:r>
            <w:r>
              <w:rPr>
                <w:rFonts w:hint="default" w:ascii="Times New Roman" w:hAnsi="Times New Roman" w:eastAsia="宋体" w:cs="Times New Roman"/>
                <w:color w:val="auto"/>
                <w:spacing w:val="0"/>
                <w:sz w:val="24"/>
                <w:szCs w:val="24"/>
                <w:highlight w:val="none"/>
                <w:lang w:val="en-US" w:eastAsia="zh-CN"/>
              </w:rPr>
              <w:t>车间</w:t>
            </w:r>
            <w:r>
              <w:rPr>
                <w:rFonts w:hint="default" w:ascii="Times New Roman" w:hAnsi="Times New Roman" w:eastAsia="宋体" w:cs="Times New Roman"/>
                <w:color w:val="auto"/>
                <w:spacing w:val="0"/>
                <w:sz w:val="24"/>
                <w:szCs w:val="24"/>
                <w:highlight w:val="none"/>
              </w:rPr>
              <w:t>布置合理</w:t>
            </w:r>
            <w:r>
              <w:rPr>
                <w:rFonts w:hint="default" w:ascii="Times New Roman" w:hAnsi="Times New Roman" w:eastAsia="宋体" w:cs="Times New Roman"/>
                <w:bCs/>
                <w:color w:val="auto"/>
                <w:spacing w:val="0"/>
                <w:kern w:val="0"/>
                <w:sz w:val="24"/>
                <w:szCs w:val="24"/>
                <w:highlight w:val="none"/>
                <w:lang w:val="en-US" w:eastAsia="zh-CN" w:bidi="ar-SA"/>
              </w:rPr>
              <w:t>。平面布置见附图2</w:t>
            </w:r>
            <w:r>
              <w:rPr>
                <w:rFonts w:hint="default" w:ascii="Times New Roman" w:hAnsi="Times New Roman" w:cs="Times New Roman"/>
                <w:bCs/>
                <w:color w:val="auto"/>
                <w:spacing w:val="0"/>
                <w:kern w:val="0"/>
                <w:sz w:val="24"/>
                <w:szCs w:val="24"/>
                <w:highlight w:val="none"/>
                <w:lang w:val="en-US" w:eastAsia="zh-CN" w:bidi="ar-SA"/>
              </w:rPr>
              <w:t>。</w:t>
            </w:r>
          </w:p>
          <w:p w14:paraId="26FC2125">
            <w:pPr>
              <w:shd w:val="clear" w:color="auto" w:fill="auto"/>
              <w:ind w:left="0" w:leftChars="0" w:firstLine="0" w:firstLineChars="0"/>
              <w:rPr>
                <w:rFonts w:hint="default" w:ascii="Times New Roman" w:hAnsi="Times New Roman" w:eastAsia="宋体" w:cs="Times New Roman"/>
                <w:bCs/>
                <w:color w:val="auto"/>
                <w:spacing w:val="0"/>
                <w:kern w:val="0"/>
                <w:sz w:val="24"/>
                <w:szCs w:val="24"/>
                <w:highlight w:val="none"/>
                <w:lang w:val="en-US" w:eastAsia="zh-CN" w:bidi="ar-SA"/>
              </w:rPr>
            </w:pPr>
          </w:p>
          <w:p w14:paraId="57074368">
            <w:pPr>
              <w:shd w:val="clear" w:color="auto" w:fill="auto"/>
              <w:ind w:left="0" w:leftChars="0" w:firstLine="0" w:firstLineChars="0"/>
              <w:rPr>
                <w:rFonts w:hint="default" w:ascii="Times New Roman" w:hAnsi="Times New Roman" w:eastAsia="宋体" w:cs="Times New Roman"/>
                <w:bCs/>
                <w:color w:val="auto"/>
                <w:spacing w:val="0"/>
                <w:kern w:val="0"/>
                <w:sz w:val="24"/>
                <w:szCs w:val="24"/>
                <w:highlight w:val="none"/>
                <w:lang w:val="en-US" w:eastAsia="zh-CN" w:bidi="ar-SA"/>
              </w:rPr>
            </w:pPr>
          </w:p>
          <w:p w14:paraId="6B272838">
            <w:pPr>
              <w:shd w:val="clear" w:color="auto" w:fill="auto"/>
              <w:ind w:left="0" w:leftChars="0" w:firstLine="0" w:firstLineChars="0"/>
              <w:rPr>
                <w:rFonts w:hint="default" w:ascii="Times New Roman" w:hAnsi="Times New Roman" w:eastAsia="宋体" w:cs="Times New Roman"/>
                <w:bCs/>
                <w:color w:val="auto"/>
                <w:spacing w:val="0"/>
                <w:kern w:val="0"/>
                <w:sz w:val="24"/>
                <w:szCs w:val="24"/>
                <w:highlight w:val="none"/>
                <w:lang w:val="en-US" w:eastAsia="zh-CN" w:bidi="ar-SA"/>
              </w:rPr>
            </w:pPr>
          </w:p>
          <w:p w14:paraId="2D9CDE89">
            <w:pPr>
              <w:shd w:val="clear" w:color="auto" w:fill="auto"/>
              <w:ind w:left="0" w:leftChars="0" w:firstLine="0" w:firstLineChars="0"/>
              <w:rPr>
                <w:rFonts w:hint="default" w:ascii="Times New Roman" w:hAnsi="Times New Roman" w:eastAsia="宋体" w:cs="Times New Roman"/>
                <w:color w:val="auto"/>
                <w:spacing w:val="0"/>
                <w:highlight w:val="none"/>
              </w:rPr>
            </w:pPr>
          </w:p>
          <w:p w14:paraId="10AFD6B1">
            <w:pPr>
              <w:ind w:left="0" w:leftChars="0" w:firstLine="0" w:firstLineChars="0"/>
              <w:rPr>
                <w:rFonts w:hint="default" w:ascii="Times New Roman" w:hAnsi="Times New Roman" w:cs="Times New Roman"/>
                <w:color w:val="auto"/>
                <w:highlight w:val="none"/>
              </w:rPr>
            </w:pPr>
          </w:p>
        </w:tc>
        <w:tc>
          <w:tcPr>
            <w:tcW w:w="4143" w:type="dxa"/>
            <w:noWrap w:val="0"/>
            <w:vAlign w:val="top"/>
          </w:tcPr>
          <w:p w14:paraId="76F330C0">
            <w:pPr>
              <w:rPr>
                <w:rFonts w:hint="default" w:ascii="Times New Roman" w:hAnsi="Times New Roman" w:cs="Times New Roman"/>
                <w:color w:val="auto"/>
                <w:highlight w:val="none"/>
              </w:rPr>
            </w:pPr>
          </w:p>
        </w:tc>
      </w:tr>
      <w:tr w14:paraId="3838CC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dxa"/>
            <w:noWrap w:val="0"/>
            <w:vAlign w:val="center"/>
          </w:tcPr>
          <w:p w14:paraId="01B59890">
            <w:pPr>
              <w:pStyle w:val="29"/>
              <w:spacing w:before="0" w:beforeAutospacing="0" w:after="0" w:afterAutospacing="0" w:line="240" w:lineRule="auto"/>
              <w:ind w:firstLine="0" w:firstLineChars="0"/>
              <w:jc w:val="center"/>
              <w:rPr>
                <w:rFonts w:hint="default" w:ascii="Times New Roman" w:hAnsi="Times New Roman" w:eastAsia="宋体" w:cs="Times New Roman"/>
                <w:bCs/>
                <w:color w:val="auto"/>
                <w:spacing w:val="0"/>
                <w:highlight w:val="none"/>
              </w:rPr>
            </w:pPr>
            <w:r>
              <w:rPr>
                <w:rFonts w:hint="default" w:ascii="Times New Roman" w:hAnsi="Times New Roman" w:eastAsia="宋体" w:cs="Times New Roman"/>
                <w:bCs/>
                <w:color w:val="auto"/>
                <w:spacing w:val="0"/>
                <w:highlight w:val="none"/>
              </w:rPr>
              <w:t>工艺流程和产排污环节</w:t>
            </w:r>
          </w:p>
        </w:tc>
        <w:tc>
          <w:tcPr>
            <w:tcW w:w="4143" w:type="dxa"/>
            <w:noWrap w:val="0"/>
            <w:vAlign w:val="top"/>
          </w:tcPr>
          <w:p w14:paraId="576734C8">
            <w:pPr>
              <w:tabs>
                <w:tab w:val="left" w:pos="870"/>
              </w:tabs>
              <w:spacing w:line="360" w:lineRule="auto"/>
              <w:ind w:firstLine="0" w:firstLineChars="0"/>
              <w:rPr>
                <w:rFonts w:hint="default" w:ascii="Times New Roman" w:hAnsi="Times New Roman" w:eastAsia="宋体" w:cs="Times New Roman"/>
                <w:b/>
                <w:bCs w:val="0"/>
                <w:color w:val="auto"/>
                <w:spacing w:val="0"/>
                <w:sz w:val="24"/>
                <w:highlight w:val="none"/>
              </w:rPr>
            </w:pPr>
            <w:r>
              <w:rPr>
                <w:rFonts w:hint="default" w:ascii="Times New Roman" w:hAnsi="Times New Roman" w:eastAsia="宋体" w:cs="Times New Roman"/>
                <w:b/>
                <w:bCs w:val="0"/>
                <w:color w:val="auto"/>
                <w:spacing w:val="0"/>
                <w:sz w:val="24"/>
                <w:highlight w:val="none"/>
              </w:rPr>
              <w:t>一、施工期工程分析</w:t>
            </w:r>
          </w:p>
          <w:p w14:paraId="20CE91FD">
            <w:pPr>
              <w:pStyle w:val="147"/>
              <w:spacing w:before="179" w:line="360" w:lineRule="auto"/>
              <w:ind w:left="109" w:right="105" w:firstLine="47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color w:val="auto"/>
                <w:spacing w:val="0"/>
                <w:sz w:val="24"/>
                <w:highlight w:val="none"/>
                <w:lang w:val="en-US" w:eastAsia="zh-CN"/>
              </w:rPr>
              <w:t>本项目在现有锅炉房内进行建设，不新增建筑，</w:t>
            </w:r>
            <w:r>
              <w:rPr>
                <w:rFonts w:hint="default" w:ascii="Times New Roman" w:hAnsi="Times New Roman" w:eastAsia="宋体" w:cs="Times New Roman"/>
                <w:color w:val="auto"/>
                <w:spacing w:val="2"/>
                <w:sz w:val="24"/>
                <w:szCs w:val="24"/>
                <w:highlight w:val="none"/>
              </w:rPr>
              <w:t>本项目施工期主要为旧设备拆除、新设备安</w:t>
            </w:r>
            <w:r>
              <w:rPr>
                <w:rFonts w:hint="default" w:ascii="Times New Roman" w:hAnsi="Times New Roman" w:eastAsia="宋体" w:cs="Times New Roman"/>
                <w:color w:val="auto"/>
                <w:spacing w:val="-2"/>
                <w:sz w:val="24"/>
                <w:szCs w:val="24"/>
                <w:highlight w:val="none"/>
              </w:rPr>
              <w:t>装</w:t>
            </w:r>
            <w:r>
              <w:rPr>
                <w:rFonts w:hint="default" w:ascii="Times New Roman" w:hAnsi="Times New Roman" w:eastAsia="宋体" w:cs="Times New Roman"/>
                <w:color w:val="auto"/>
                <w:spacing w:val="-2"/>
                <w:sz w:val="24"/>
                <w:szCs w:val="24"/>
                <w:highlight w:val="none"/>
                <w:lang w:eastAsia="zh-CN"/>
              </w:rPr>
              <w:t>。</w:t>
            </w:r>
            <w:r>
              <w:rPr>
                <w:rFonts w:hint="default" w:ascii="Times New Roman" w:hAnsi="Times New Roman" w:eastAsia="宋体" w:cs="Times New Roman"/>
                <w:color w:val="auto"/>
                <w:spacing w:val="3"/>
                <w:sz w:val="24"/>
                <w:szCs w:val="24"/>
                <w:highlight w:val="none"/>
              </w:rPr>
              <w:t>本项目施工期会对环境造成一定影响，主要为少量粉尘、噪声、施工人员</w:t>
            </w:r>
            <w:r>
              <w:rPr>
                <w:rFonts w:hint="default" w:ascii="Times New Roman" w:hAnsi="Times New Roman" w:eastAsia="宋体" w:cs="Times New Roman"/>
                <w:color w:val="auto"/>
                <w:spacing w:val="-1"/>
                <w:sz w:val="24"/>
                <w:szCs w:val="24"/>
                <w:highlight w:val="none"/>
              </w:rPr>
              <w:t>生活污水及固废，对环境影响较小。</w:t>
            </w:r>
          </w:p>
          <w:p w14:paraId="015484E9">
            <w:pPr>
              <w:tabs>
                <w:tab w:val="left" w:pos="870"/>
              </w:tabs>
              <w:spacing w:line="360" w:lineRule="auto"/>
              <w:ind w:firstLine="0" w:firstLineChars="0"/>
              <w:rPr>
                <w:rFonts w:hint="default" w:ascii="Times New Roman" w:hAnsi="Times New Roman" w:eastAsia="宋体" w:cs="Times New Roman"/>
                <w:b/>
                <w:bCs w:val="0"/>
                <w:color w:val="auto"/>
                <w:spacing w:val="0"/>
                <w:sz w:val="24"/>
                <w:highlight w:val="none"/>
                <w:lang w:val="en-US" w:eastAsia="zh-CN"/>
              </w:rPr>
            </w:pPr>
            <w:r>
              <w:rPr>
                <w:rFonts w:hint="default" w:ascii="Times New Roman" w:hAnsi="Times New Roman" w:eastAsia="宋体" w:cs="Times New Roman"/>
                <w:b/>
                <w:bCs w:val="0"/>
                <w:color w:val="auto"/>
                <w:spacing w:val="0"/>
                <w:sz w:val="24"/>
                <w:highlight w:val="none"/>
                <w:lang w:val="en-US" w:eastAsia="zh-CN"/>
              </w:rPr>
              <w:t>二、运营期工艺流程</w:t>
            </w:r>
          </w:p>
          <w:p w14:paraId="09B9F0B1">
            <w:pPr>
              <w:ind w:left="0" w:lef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7" o:spt="75" type="#_x0000_t75" style="height:240.75pt;width:360pt;" o:ole="t" filled="f" o:preferrelative="t" stroked="f" coordsize="21600,21600">
                  <v:path/>
                  <v:fill on="f" focussize="0,0"/>
                  <v:stroke on="f"/>
                  <v:imagedata r:id="rId22" o:title=""/>
                  <o:lock v:ext="edit" aspectratio="f"/>
                  <w10:wrap type="none"/>
                  <w10:anchorlock/>
                </v:shape>
                <o:OLEObject Type="Embed" ProgID="Visio.Drawing.11" ShapeID="_x0000_i1027" DrawAspect="Content" ObjectID="_1468075727" r:id="rId21">
                  <o:LockedField>false</o:LockedField>
                </o:OLEObject>
              </w:object>
            </w:r>
          </w:p>
          <w:p w14:paraId="61EB3C35">
            <w:pPr>
              <w:ind w:left="0" w:leftChars="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图2-</w:t>
            </w:r>
            <w:r>
              <w:rPr>
                <w:rFonts w:hint="eastAsia" w:ascii="Times New Roman" w:hAnsi="Times New Roman" w:eastAsia="宋体" w:cs="Times New Roman"/>
                <w:b/>
                <w:bCs/>
                <w:color w:val="auto"/>
                <w:kern w:val="0"/>
                <w:sz w:val="21"/>
                <w:szCs w:val="21"/>
                <w:highlight w:val="none"/>
                <w:lang w:val="en-US" w:eastAsia="zh-CN" w:bidi="ar-SA"/>
              </w:rPr>
              <w:t>3</w:t>
            </w:r>
            <w:r>
              <w:rPr>
                <w:rFonts w:hint="default" w:ascii="Times New Roman" w:hAnsi="Times New Roman" w:eastAsia="宋体" w:cs="Times New Roman"/>
                <w:b/>
                <w:bCs/>
                <w:color w:val="auto"/>
                <w:kern w:val="0"/>
                <w:sz w:val="21"/>
                <w:szCs w:val="21"/>
                <w:highlight w:val="none"/>
                <w:lang w:val="en-US" w:eastAsia="zh-CN" w:bidi="ar-SA"/>
              </w:rPr>
              <w:t>锅炉供热工艺流程图</w:t>
            </w:r>
          </w:p>
          <w:p w14:paraId="35ACAE31">
            <w:pPr>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三、营运期的主要污染源</w:t>
            </w:r>
          </w:p>
          <w:p w14:paraId="25EEB311">
            <w:pPr>
              <w:keepNext w:val="0"/>
              <w:keepLines w:val="0"/>
              <w:pageBreakBefore w:val="0"/>
              <w:widowControl/>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pacing w:val="0"/>
                <w:kern w:val="0"/>
                <w:sz w:val="24"/>
                <w:szCs w:val="24"/>
                <w:highlight w:val="none"/>
                <w:lang w:bidi="ar"/>
              </w:rPr>
            </w:pPr>
            <w:r>
              <w:rPr>
                <w:rFonts w:hint="default" w:ascii="Times New Roman" w:hAnsi="Times New Roman" w:eastAsia="宋体" w:cs="Times New Roman"/>
                <w:color w:val="auto"/>
                <w:spacing w:val="0"/>
                <w:kern w:val="0"/>
                <w:sz w:val="24"/>
                <w:szCs w:val="24"/>
                <w:highlight w:val="none"/>
                <w:lang w:bidi="ar"/>
              </w:rPr>
              <w:t>主要产污环节如下</w:t>
            </w:r>
          </w:p>
          <w:p w14:paraId="4F18CEA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0"/>
                <w:kern w:val="0"/>
                <w:sz w:val="24"/>
                <w:szCs w:val="24"/>
                <w:highlight w:val="none"/>
                <w:lang w:bidi="ar"/>
              </w:rPr>
            </w:pPr>
            <w:r>
              <w:rPr>
                <w:rFonts w:hint="default" w:ascii="Times New Roman" w:hAnsi="Times New Roman" w:eastAsia="宋体" w:cs="Times New Roman"/>
                <w:b/>
                <w:bCs/>
                <w:color w:val="auto"/>
                <w:spacing w:val="5"/>
                <w:highlight w:val="none"/>
              </w:rPr>
              <w:t>表2-</w:t>
            </w:r>
            <w:r>
              <w:rPr>
                <w:rFonts w:hint="default" w:ascii="Times New Roman" w:hAnsi="Times New Roman" w:eastAsia="宋体" w:cs="Times New Roman"/>
                <w:b/>
                <w:bCs/>
                <w:color w:val="auto"/>
                <w:spacing w:val="5"/>
                <w:highlight w:val="none"/>
                <w:lang w:val="en-US" w:eastAsia="zh-CN"/>
              </w:rPr>
              <w:t>4</w:t>
            </w:r>
            <w:r>
              <w:rPr>
                <w:rFonts w:hint="default" w:ascii="Times New Roman" w:hAnsi="Times New Roman" w:eastAsia="宋体" w:cs="Times New Roman"/>
                <w:b/>
                <w:bCs/>
                <w:color w:val="auto"/>
                <w:spacing w:val="5"/>
                <w:highlight w:val="none"/>
              </w:rPr>
              <w:t>项目污染源汇总表</w:t>
            </w:r>
          </w:p>
          <w:tbl>
            <w:tblPr>
              <w:tblStyle w:val="148"/>
              <w:tblW w:w="4998" w:type="pct"/>
              <w:tblInd w:w="2" w:type="dxa"/>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105"/>
              <w:gridCol w:w="586"/>
              <w:gridCol w:w="1412"/>
              <w:gridCol w:w="1211"/>
              <w:gridCol w:w="1713"/>
              <w:gridCol w:w="1604"/>
            </w:tblGrid>
            <w:tr w14:paraId="50CDF58C">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724" w:type="pct"/>
                  <w:tcBorders>
                    <w:top w:val="single" w:color="000000" w:sz="10" w:space="0"/>
                  </w:tcBorders>
                  <w:vAlign w:val="center"/>
                </w:tcPr>
                <w:p w14:paraId="5CEF7D58">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pacing w:val="6"/>
                      <w:sz w:val="21"/>
                      <w:szCs w:val="21"/>
                      <w:highlight w:val="none"/>
                    </w:rPr>
                    <w:t>污染时期</w:t>
                  </w:r>
                </w:p>
              </w:tc>
              <w:tc>
                <w:tcPr>
                  <w:tcW w:w="384" w:type="pct"/>
                  <w:tcBorders>
                    <w:top w:val="single" w:color="000000" w:sz="10" w:space="0"/>
                  </w:tcBorders>
                  <w:vAlign w:val="center"/>
                </w:tcPr>
                <w:p w14:paraId="4B229B0A">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pacing w:val="4"/>
                      <w:sz w:val="21"/>
                      <w:szCs w:val="21"/>
                      <w:highlight w:val="none"/>
                    </w:rPr>
                    <w:t>影响</w:t>
                  </w:r>
                  <w:r>
                    <w:rPr>
                      <w:rFonts w:hint="default" w:ascii="Times New Roman" w:hAnsi="Times New Roman" w:eastAsia="宋体" w:cs="Times New Roman"/>
                      <w:b/>
                      <w:bCs w:val="0"/>
                      <w:color w:val="auto"/>
                      <w:spacing w:val="-4"/>
                      <w:sz w:val="21"/>
                      <w:szCs w:val="21"/>
                      <w:highlight w:val="none"/>
                    </w:rPr>
                    <w:t>因素</w:t>
                  </w:r>
                </w:p>
              </w:tc>
              <w:tc>
                <w:tcPr>
                  <w:tcW w:w="925" w:type="pct"/>
                  <w:tcBorders>
                    <w:top w:val="single" w:color="000000" w:sz="10" w:space="0"/>
                  </w:tcBorders>
                  <w:vAlign w:val="center"/>
                </w:tcPr>
                <w:p w14:paraId="2F8D960C">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pacing w:val="7"/>
                      <w:sz w:val="21"/>
                      <w:szCs w:val="21"/>
                      <w:highlight w:val="none"/>
                    </w:rPr>
                    <w:t>产污环节</w:t>
                  </w:r>
                </w:p>
              </w:tc>
              <w:tc>
                <w:tcPr>
                  <w:tcW w:w="793" w:type="pct"/>
                  <w:tcBorders>
                    <w:top w:val="single" w:color="000000" w:sz="10" w:space="0"/>
                  </w:tcBorders>
                  <w:vAlign w:val="center"/>
                </w:tcPr>
                <w:p w14:paraId="44D3C410">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pacing w:val="7"/>
                      <w:sz w:val="21"/>
                      <w:szCs w:val="21"/>
                      <w:highlight w:val="none"/>
                    </w:rPr>
                    <w:t>主要污染物</w:t>
                  </w:r>
                </w:p>
              </w:tc>
              <w:tc>
                <w:tcPr>
                  <w:tcW w:w="1122" w:type="pct"/>
                  <w:tcBorders>
                    <w:top w:val="single" w:color="000000" w:sz="10" w:space="0"/>
                  </w:tcBorders>
                  <w:vAlign w:val="center"/>
                </w:tcPr>
                <w:p w14:paraId="6C910CC9">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pacing w:val="6"/>
                      <w:sz w:val="21"/>
                      <w:szCs w:val="21"/>
                      <w:highlight w:val="none"/>
                    </w:rPr>
                    <w:t>处理措施</w:t>
                  </w:r>
                </w:p>
              </w:tc>
              <w:tc>
                <w:tcPr>
                  <w:tcW w:w="1049" w:type="pct"/>
                  <w:tcBorders>
                    <w:top w:val="single" w:color="000000" w:sz="10" w:space="0"/>
                  </w:tcBorders>
                  <w:vAlign w:val="center"/>
                </w:tcPr>
                <w:p w14:paraId="0AD8026D">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pacing w:val="7"/>
                      <w:position w:val="1"/>
                      <w:sz w:val="21"/>
                      <w:szCs w:val="21"/>
                      <w:highlight w:val="none"/>
                    </w:rPr>
                    <w:t>排放方式/去向</w:t>
                  </w:r>
                </w:p>
              </w:tc>
            </w:tr>
            <w:tr w14:paraId="5FD6370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24" w:type="pct"/>
                  <w:vMerge w:val="restart"/>
                  <w:tcBorders>
                    <w:bottom w:val="nil"/>
                  </w:tcBorders>
                  <w:vAlign w:val="center"/>
                </w:tcPr>
                <w:p w14:paraId="059D8CC0">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施工期</w:t>
                  </w:r>
                </w:p>
              </w:tc>
              <w:tc>
                <w:tcPr>
                  <w:tcW w:w="384" w:type="pct"/>
                  <w:vAlign w:val="center"/>
                </w:tcPr>
                <w:p w14:paraId="4EB1BED1">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废气</w:t>
                  </w:r>
                </w:p>
              </w:tc>
              <w:tc>
                <w:tcPr>
                  <w:tcW w:w="925" w:type="pct"/>
                  <w:vAlign w:val="center"/>
                </w:tcPr>
                <w:p w14:paraId="46578B1A">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施工废气</w:t>
                  </w:r>
                </w:p>
              </w:tc>
              <w:tc>
                <w:tcPr>
                  <w:tcW w:w="793" w:type="pct"/>
                  <w:vAlign w:val="center"/>
                </w:tcPr>
                <w:p w14:paraId="39DF0EAA">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颗粒物</w:t>
                  </w:r>
                </w:p>
              </w:tc>
              <w:tc>
                <w:tcPr>
                  <w:tcW w:w="1122" w:type="pct"/>
                  <w:vAlign w:val="center"/>
                </w:tcPr>
                <w:p w14:paraId="0765ADE7">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洒水降尘</w:t>
                  </w:r>
                </w:p>
              </w:tc>
              <w:tc>
                <w:tcPr>
                  <w:tcW w:w="1049" w:type="pct"/>
                  <w:vAlign w:val="center"/>
                </w:tcPr>
                <w:p w14:paraId="0F7A23C1">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大气环境</w:t>
                  </w:r>
                </w:p>
              </w:tc>
            </w:tr>
            <w:tr w14:paraId="042D4EF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24" w:type="pct"/>
                  <w:vMerge w:val="continue"/>
                  <w:tcBorders>
                    <w:top w:val="nil"/>
                    <w:bottom w:val="nil"/>
                  </w:tcBorders>
                  <w:vAlign w:val="center"/>
                </w:tcPr>
                <w:p w14:paraId="165670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Align w:val="center"/>
                </w:tcPr>
                <w:p w14:paraId="42FE2578">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废水</w:t>
                  </w:r>
                </w:p>
              </w:tc>
              <w:tc>
                <w:tcPr>
                  <w:tcW w:w="925" w:type="pct"/>
                  <w:vAlign w:val="center"/>
                </w:tcPr>
                <w:p w14:paraId="67D7EBEB">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员工生活污水</w:t>
                  </w:r>
                </w:p>
              </w:tc>
              <w:tc>
                <w:tcPr>
                  <w:tcW w:w="793" w:type="pct"/>
                  <w:vAlign w:val="center"/>
                </w:tcPr>
                <w:p w14:paraId="5EE61C5E">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pacing w:val="5"/>
                      <w:sz w:val="21"/>
                      <w:szCs w:val="21"/>
                      <w:highlight w:val="none"/>
                    </w:rPr>
                    <w:t>、氨氮</w:t>
                  </w:r>
                  <w:r>
                    <w:rPr>
                      <w:rFonts w:hint="default" w:ascii="Times New Roman" w:hAnsi="Times New Roman" w:eastAsia="宋体" w:cs="Times New Roman"/>
                      <w:color w:val="auto"/>
                      <w:sz w:val="21"/>
                      <w:szCs w:val="21"/>
                      <w:highlight w:val="none"/>
                    </w:rPr>
                    <w:t>等</w:t>
                  </w:r>
                </w:p>
              </w:tc>
              <w:tc>
                <w:tcPr>
                  <w:tcW w:w="1122" w:type="pct"/>
                  <w:vAlign w:val="center"/>
                </w:tcPr>
                <w:p w14:paraId="2E346E95">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pacing w:val="3"/>
                      <w:sz w:val="21"/>
                      <w:szCs w:val="21"/>
                      <w:highlight w:val="none"/>
                      <w:lang w:val="en-US" w:eastAsia="zh-CN"/>
                    </w:rPr>
                    <w:t>化粪池</w:t>
                  </w:r>
                </w:p>
              </w:tc>
              <w:tc>
                <w:tcPr>
                  <w:tcW w:w="1049" w:type="pct"/>
                  <w:vAlign w:val="center"/>
                </w:tcPr>
                <w:p w14:paraId="6BEB0807">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7"/>
                      <w:sz w:val="21"/>
                      <w:szCs w:val="21"/>
                      <w:highlight w:val="none"/>
                    </w:rPr>
                    <w:t>经化粪池收集后，</w:t>
                  </w:r>
                  <w:r>
                    <w:rPr>
                      <w:rFonts w:hint="default" w:ascii="Times New Roman" w:hAnsi="Times New Roman" w:cs="Times New Roman"/>
                      <w:color w:val="auto"/>
                      <w:spacing w:val="7"/>
                      <w:sz w:val="21"/>
                      <w:szCs w:val="21"/>
                      <w:highlight w:val="none"/>
                      <w:lang w:val="en-US" w:eastAsia="zh-CN"/>
                    </w:rPr>
                    <w:t>排入虎林污水处理厂</w:t>
                  </w:r>
                </w:p>
              </w:tc>
            </w:tr>
            <w:tr w14:paraId="734109F4">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24" w:type="pct"/>
                  <w:vMerge w:val="continue"/>
                  <w:tcBorders>
                    <w:top w:val="nil"/>
                    <w:bottom w:val="nil"/>
                  </w:tcBorders>
                  <w:vAlign w:val="center"/>
                </w:tcPr>
                <w:p w14:paraId="654431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Align w:val="center"/>
                </w:tcPr>
                <w:p w14:paraId="145E6CFD">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5"/>
                      <w:sz w:val="21"/>
                      <w:szCs w:val="21"/>
                      <w:highlight w:val="none"/>
                      <w:lang w:val="en-US" w:eastAsia="zh-CN"/>
                    </w:rPr>
                  </w:pPr>
                  <w:r>
                    <w:rPr>
                      <w:rFonts w:hint="default" w:ascii="Times New Roman" w:hAnsi="Times New Roman" w:cs="Times New Roman"/>
                      <w:color w:val="auto"/>
                      <w:spacing w:val="5"/>
                      <w:sz w:val="21"/>
                      <w:szCs w:val="21"/>
                      <w:highlight w:val="none"/>
                      <w:lang w:val="en-US" w:eastAsia="zh-CN"/>
                    </w:rPr>
                    <w:t>噪声</w:t>
                  </w:r>
                </w:p>
              </w:tc>
              <w:tc>
                <w:tcPr>
                  <w:tcW w:w="925" w:type="pct"/>
                  <w:vAlign w:val="center"/>
                </w:tcPr>
                <w:p w14:paraId="31E4E15A">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cs="Times New Roman"/>
                      <w:color w:val="auto"/>
                      <w:spacing w:val="6"/>
                      <w:sz w:val="21"/>
                      <w:szCs w:val="21"/>
                      <w:highlight w:val="none"/>
                      <w:lang w:val="en-US" w:eastAsia="zh-CN"/>
                    </w:rPr>
                    <w:t>设备噪声</w:t>
                  </w:r>
                </w:p>
              </w:tc>
              <w:tc>
                <w:tcPr>
                  <w:tcW w:w="793" w:type="pct"/>
                  <w:vAlign w:val="center"/>
                </w:tcPr>
                <w:p w14:paraId="53646074">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w:t>
                  </w:r>
                </w:p>
              </w:tc>
              <w:tc>
                <w:tcPr>
                  <w:tcW w:w="1122" w:type="pct"/>
                  <w:vAlign w:val="center"/>
                </w:tcPr>
                <w:p w14:paraId="224C350F">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3"/>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选用低噪声设备、</w:t>
                  </w:r>
                  <w:r>
                    <w:rPr>
                      <w:rFonts w:hint="default" w:ascii="Times New Roman" w:hAnsi="Times New Roman" w:eastAsia="宋体" w:cs="Times New Roman"/>
                      <w:color w:val="auto"/>
                      <w:spacing w:val="0"/>
                      <w:sz w:val="21"/>
                      <w:szCs w:val="21"/>
                      <w:highlight w:val="none"/>
                      <w:lang w:eastAsia="zh-CN"/>
                    </w:rPr>
                    <w:t>采</w:t>
                  </w:r>
                  <w:r>
                    <w:rPr>
                      <w:rFonts w:hint="default" w:ascii="Times New Roman" w:hAnsi="Times New Roman" w:eastAsia="宋体" w:cs="Times New Roman"/>
                      <w:color w:val="auto"/>
                      <w:spacing w:val="0"/>
                      <w:sz w:val="21"/>
                      <w:szCs w:val="21"/>
                      <w:highlight w:val="none"/>
                      <w:lang w:val="en-US" w:eastAsia="zh-CN"/>
                    </w:rPr>
                    <w:t>用</w:t>
                  </w:r>
                  <w:r>
                    <w:rPr>
                      <w:rFonts w:hint="default" w:ascii="Times New Roman" w:hAnsi="Times New Roman" w:eastAsia="宋体" w:cs="Times New Roman"/>
                      <w:color w:val="auto"/>
                      <w:spacing w:val="0"/>
                      <w:sz w:val="21"/>
                      <w:szCs w:val="21"/>
                      <w:highlight w:val="none"/>
                      <w:lang w:eastAsia="zh-CN"/>
                    </w:rPr>
                    <w:t>基础减振</w:t>
                  </w:r>
                  <w:r>
                    <w:rPr>
                      <w:rFonts w:hint="default" w:ascii="Times New Roman" w:hAnsi="Times New Roman"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lang w:val="en-US" w:eastAsia="zh-CN"/>
                    </w:rPr>
                    <w:t>夜间不施工</w:t>
                  </w:r>
                </w:p>
              </w:tc>
              <w:tc>
                <w:tcPr>
                  <w:tcW w:w="1049" w:type="pct"/>
                  <w:vAlign w:val="center"/>
                </w:tcPr>
                <w:p w14:paraId="190947EF">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声环境</w:t>
                  </w:r>
                </w:p>
              </w:tc>
            </w:tr>
            <w:tr w14:paraId="0C66EBD8">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24" w:type="pct"/>
                  <w:vMerge w:val="continue"/>
                  <w:tcBorders>
                    <w:top w:val="nil"/>
                    <w:bottom w:val="nil"/>
                  </w:tcBorders>
                  <w:vAlign w:val="center"/>
                </w:tcPr>
                <w:p w14:paraId="65CBB9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restart"/>
                  <w:tcBorders>
                    <w:bottom w:val="nil"/>
                  </w:tcBorders>
                  <w:vAlign w:val="center"/>
                </w:tcPr>
                <w:p w14:paraId="5469A5C2">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固废</w:t>
                  </w:r>
                </w:p>
              </w:tc>
              <w:tc>
                <w:tcPr>
                  <w:tcW w:w="925" w:type="pct"/>
                  <w:vAlign w:val="center"/>
                </w:tcPr>
                <w:p w14:paraId="5D162C02">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旧锅炉、废金</w:t>
                  </w:r>
                  <w:r>
                    <w:rPr>
                      <w:rFonts w:hint="default" w:ascii="Times New Roman" w:hAnsi="Times New Roman" w:eastAsia="宋体" w:cs="Times New Roman"/>
                      <w:color w:val="auto"/>
                      <w:spacing w:val="6"/>
                      <w:sz w:val="21"/>
                      <w:szCs w:val="21"/>
                      <w:highlight w:val="none"/>
                    </w:rPr>
                    <w:t>属附件等</w:t>
                  </w:r>
                </w:p>
              </w:tc>
              <w:tc>
                <w:tcPr>
                  <w:tcW w:w="793" w:type="pct"/>
                  <w:vAlign w:val="center"/>
                </w:tcPr>
                <w:p w14:paraId="107ADFE7">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金属</w:t>
                  </w:r>
                </w:p>
              </w:tc>
              <w:tc>
                <w:tcPr>
                  <w:tcW w:w="1122" w:type="pct"/>
                  <w:vAlign w:val="center"/>
                </w:tcPr>
                <w:p w14:paraId="0F8D1845">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厂区不贮存</w:t>
                  </w:r>
                </w:p>
              </w:tc>
              <w:tc>
                <w:tcPr>
                  <w:tcW w:w="1049" w:type="pct"/>
                  <w:vAlign w:val="center"/>
                </w:tcPr>
                <w:p w14:paraId="3AA5C351">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由厂家回收</w:t>
                  </w:r>
                </w:p>
              </w:tc>
            </w:tr>
            <w:tr w14:paraId="711CFF42">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24" w:type="pct"/>
                  <w:vMerge w:val="continue"/>
                  <w:tcBorders>
                    <w:top w:val="nil"/>
                    <w:bottom w:val="nil"/>
                  </w:tcBorders>
                  <w:vAlign w:val="center"/>
                </w:tcPr>
                <w:p w14:paraId="4A3002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tcBorders>
                    <w:top w:val="nil"/>
                    <w:bottom w:val="nil"/>
                  </w:tcBorders>
                  <w:vAlign w:val="center"/>
                </w:tcPr>
                <w:p w14:paraId="656727D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25" w:type="pct"/>
                  <w:vAlign w:val="center"/>
                </w:tcPr>
                <w:p w14:paraId="0C2E51B2">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建筑垃圾</w:t>
                  </w:r>
                </w:p>
              </w:tc>
              <w:tc>
                <w:tcPr>
                  <w:tcW w:w="793" w:type="pct"/>
                  <w:vAlign w:val="center"/>
                </w:tcPr>
                <w:p w14:paraId="48C2BDA2">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水泥、石块</w:t>
                  </w:r>
                  <w:r>
                    <w:rPr>
                      <w:rFonts w:hint="default" w:ascii="Times New Roman" w:hAnsi="Times New Roman" w:eastAsia="宋体" w:cs="Times New Roman"/>
                      <w:color w:val="auto"/>
                      <w:sz w:val="21"/>
                      <w:szCs w:val="21"/>
                      <w:highlight w:val="none"/>
                    </w:rPr>
                    <w:t>等</w:t>
                  </w:r>
                </w:p>
              </w:tc>
              <w:tc>
                <w:tcPr>
                  <w:tcW w:w="1122" w:type="pct"/>
                  <w:vAlign w:val="center"/>
                </w:tcPr>
                <w:p w14:paraId="038AE3C6">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厂区不暂存</w:t>
                  </w:r>
                </w:p>
              </w:tc>
              <w:tc>
                <w:tcPr>
                  <w:tcW w:w="1049" w:type="pct"/>
                  <w:vAlign w:val="center"/>
                </w:tcPr>
                <w:p w14:paraId="0BA1C2F7">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送市政建筑垃</w:t>
                  </w:r>
                  <w:r>
                    <w:rPr>
                      <w:rFonts w:hint="default" w:ascii="Times New Roman" w:hAnsi="Times New Roman" w:eastAsia="宋体" w:cs="Times New Roman"/>
                      <w:color w:val="auto"/>
                      <w:spacing w:val="7"/>
                      <w:sz w:val="21"/>
                      <w:szCs w:val="21"/>
                      <w:highlight w:val="none"/>
                    </w:rPr>
                    <w:t>圾堆放场</w:t>
                  </w:r>
                </w:p>
              </w:tc>
            </w:tr>
            <w:tr w14:paraId="19FE38F5">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24" w:type="pct"/>
                  <w:vMerge w:val="continue"/>
                  <w:tcBorders>
                    <w:top w:val="nil"/>
                  </w:tcBorders>
                  <w:vAlign w:val="center"/>
                </w:tcPr>
                <w:p w14:paraId="2DD66D9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tcBorders>
                    <w:top w:val="nil"/>
                    <w:bottom w:val="single" w:color="auto" w:sz="4" w:space="0"/>
                  </w:tcBorders>
                  <w:vAlign w:val="center"/>
                </w:tcPr>
                <w:p w14:paraId="4282B9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25" w:type="pct"/>
                  <w:vAlign w:val="center"/>
                </w:tcPr>
                <w:p w14:paraId="3535443B">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废包装材料、</w:t>
                  </w:r>
                  <w:r>
                    <w:rPr>
                      <w:rFonts w:hint="default" w:ascii="Times New Roman" w:hAnsi="Times New Roman" w:eastAsia="宋体" w:cs="Times New Roman"/>
                      <w:color w:val="auto"/>
                      <w:spacing w:val="7"/>
                      <w:sz w:val="21"/>
                      <w:szCs w:val="21"/>
                      <w:highlight w:val="none"/>
                    </w:rPr>
                    <w:t>生活垃圾等</w:t>
                  </w:r>
                </w:p>
              </w:tc>
              <w:tc>
                <w:tcPr>
                  <w:tcW w:w="793" w:type="pct"/>
                  <w:vAlign w:val="center"/>
                </w:tcPr>
                <w:p w14:paraId="7126470C">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塑料、纸壳</w:t>
                  </w:r>
                  <w:r>
                    <w:rPr>
                      <w:rFonts w:hint="default" w:ascii="Times New Roman" w:hAnsi="Times New Roman" w:eastAsia="宋体" w:cs="Times New Roman"/>
                      <w:color w:val="auto"/>
                      <w:sz w:val="21"/>
                      <w:szCs w:val="21"/>
                      <w:highlight w:val="none"/>
                    </w:rPr>
                    <w:t>等</w:t>
                  </w:r>
                </w:p>
              </w:tc>
              <w:tc>
                <w:tcPr>
                  <w:tcW w:w="1122" w:type="pct"/>
                  <w:vAlign w:val="center"/>
                </w:tcPr>
                <w:p w14:paraId="038909A8">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及时回收，无法回</w:t>
                  </w:r>
                  <w:r>
                    <w:rPr>
                      <w:rFonts w:hint="default" w:ascii="Times New Roman" w:hAnsi="Times New Roman" w:eastAsia="宋体" w:cs="Times New Roman"/>
                      <w:color w:val="auto"/>
                      <w:spacing w:val="7"/>
                      <w:sz w:val="21"/>
                      <w:szCs w:val="21"/>
                      <w:highlight w:val="none"/>
                    </w:rPr>
                    <w:t>收的送环卫垃圾桶</w:t>
                  </w:r>
                </w:p>
              </w:tc>
              <w:tc>
                <w:tcPr>
                  <w:tcW w:w="1049" w:type="pct"/>
                  <w:vAlign w:val="center"/>
                </w:tcPr>
                <w:p w14:paraId="2BFE7EA7">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委托环卫处理</w:t>
                  </w:r>
                </w:p>
              </w:tc>
            </w:tr>
            <w:tr w14:paraId="121E1478">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24" w:type="pct"/>
                  <w:vMerge w:val="restart"/>
                  <w:tcBorders>
                    <w:bottom w:val="nil"/>
                    <w:right w:val="single" w:color="auto" w:sz="4" w:space="0"/>
                  </w:tcBorders>
                  <w:vAlign w:val="center"/>
                </w:tcPr>
                <w:p w14:paraId="42D2F4C1">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运营期</w:t>
                  </w:r>
                </w:p>
              </w:tc>
              <w:tc>
                <w:tcPr>
                  <w:tcW w:w="384" w:type="pct"/>
                  <w:vMerge w:val="restart"/>
                  <w:tcBorders>
                    <w:top w:val="single" w:color="auto" w:sz="4" w:space="0"/>
                    <w:left w:val="single" w:color="auto" w:sz="4" w:space="0"/>
                    <w:bottom w:val="single" w:color="auto" w:sz="4" w:space="0"/>
                    <w:right w:val="single" w:color="auto" w:sz="4" w:space="0"/>
                  </w:tcBorders>
                  <w:vAlign w:val="center"/>
                </w:tcPr>
                <w:p w14:paraId="2AAAD4D9">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废气</w:t>
                  </w:r>
                </w:p>
              </w:tc>
              <w:tc>
                <w:tcPr>
                  <w:tcW w:w="925" w:type="pct"/>
                  <w:tcBorders>
                    <w:left w:val="single" w:color="auto" w:sz="4" w:space="0"/>
                  </w:tcBorders>
                  <w:vAlign w:val="center"/>
                </w:tcPr>
                <w:p w14:paraId="50BAF88B">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锅炉燃烧废气</w:t>
                  </w:r>
                </w:p>
              </w:tc>
              <w:tc>
                <w:tcPr>
                  <w:tcW w:w="793" w:type="pct"/>
                  <w:vAlign w:val="center"/>
                </w:tcPr>
                <w:p w14:paraId="2062746C">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8"/>
                      <w:sz w:val="21"/>
                      <w:szCs w:val="21"/>
                      <w:highlight w:val="none"/>
                    </w:rPr>
                    <w:t>颗粒物、二</w:t>
                  </w:r>
                  <w:r>
                    <w:rPr>
                      <w:rFonts w:hint="default" w:ascii="Times New Roman" w:hAnsi="Times New Roman" w:eastAsia="宋体" w:cs="Times New Roman"/>
                      <w:color w:val="auto"/>
                      <w:spacing w:val="7"/>
                      <w:sz w:val="21"/>
                      <w:szCs w:val="21"/>
                      <w:highlight w:val="none"/>
                    </w:rPr>
                    <w:t>氧化硫、氮</w:t>
                  </w:r>
                  <w:r>
                    <w:rPr>
                      <w:rFonts w:hint="default" w:ascii="Times New Roman" w:hAnsi="Times New Roman" w:eastAsia="宋体" w:cs="Times New Roman"/>
                      <w:color w:val="auto"/>
                      <w:spacing w:val="6"/>
                      <w:sz w:val="21"/>
                      <w:szCs w:val="21"/>
                      <w:highlight w:val="none"/>
                    </w:rPr>
                    <w:t>氧化物</w:t>
                  </w:r>
                  <w:r>
                    <w:rPr>
                      <w:rFonts w:hint="default" w:ascii="Times New Roman" w:hAnsi="Times New Roman" w:cs="Times New Roman"/>
                      <w:color w:val="auto"/>
                      <w:spacing w:val="6"/>
                      <w:sz w:val="21"/>
                      <w:szCs w:val="21"/>
                      <w:highlight w:val="none"/>
                      <w:lang w:eastAsia="zh-CN"/>
                    </w:rPr>
                    <w:t>、</w:t>
                  </w:r>
                  <w:r>
                    <w:rPr>
                      <w:rFonts w:hint="default" w:ascii="Times New Roman" w:hAnsi="Times New Roman" w:cs="Times New Roman"/>
                      <w:color w:val="auto"/>
                      <w:spacing w:val="6"/>
                      <w:sz w:val="21"/>
                      <w:szCs w:val="21"/>
                      <w:highlight w:val="none"/>
                      <w:lang w:val="en-US" w:eastAsia="zh-CN"/>
                    </w:rPr>
                    <w:t>烟气黑度</w:t>
                  </w:r>
                </w:p>
              </w:tc>
              <w:tc>
                <w:tcPr>
                  <w:tcW w:w="1122" w:type="pct"/>
                  <w:vAlign w:val="center"/>
                </w:tcPr>
                <w:p w14:paraId="056D04AD">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布袋除尘</w:t>
                  </w:r>
                  <w:r>
                    <w:rPr>
                      <w:rFonts w:hint="default" w:ascii="Times New Roman" w:hAnsi="Times New Roman" w:eastAsia="宋体" w:cs="Times New Roman"/>
                      <w:color w:val="auto"/>
                      <w:sz w:val="21"/>
                      <w:szCs w:val="21"/>
                      <w:highlight w:val="none"/>
                    </w:rPr>
                    <w:t>器</w:t>
                  </w:r>
                </w:p>
              </w:tc>
              <w:tc>
                <w:tcPr>
                  <w:tcW w:w="1049" w:type="pct"/>
                  <w:vAlign w:val="center"/>
                </w:tcPr>
                <w:p w14:paraId="175CB712">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大气环境</w:t>
                  </w:r>
                </w:p>
              </w:tc>
            </w:tr>
            <w:tr w14:paraId="7D6E6160">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24" w:type="pct"/>
                  <w:vMerge w:val="continue"/>
                  <w:tcBorders>
                    <w:top w:val="nil"/>
                    <w:bottom w:val="nil"/>
                    <w:right w:val="single" w:color="auto" w:sz="4" w:space="0"/>
                  </w:tcBorders>
                  <w:vAlign w:val="center"/>
                </w:tcPr>
                <w:p w14:paraId="48E1AC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tcBorders>
                    <w:top w:val="single" w:color="auto" w:sz="4" w:space="0"/>
                    <w:left w:val="single" w:color="auto" w:sz="4" w:space="0"/>
                    <w:bottom w:val="single" w:color="auto" w:sz="4" w:space="0"/>
                    <w:right w:val="single" w:color="auto" w:sz="4" w:space="0"/>
                  </w:tcBorders>
                  <w:vAlign w:val="center"/>
                </w:tcPr>
                <w:p w14:paraId="0029CEB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25" w:type="pct"/>
                  <w:tcBorders>
                    <w:left w:val="single" w:color="auto" w:sz="4" w:space="0"/>
                  </w:tcBorders>
                  <w:vAlign w:val="center"/>
                </w:tcPr>
                <w:p w14:paraId="59B19FDC">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炉渣收集废气</w:t>
                  </w:r>
                </w:p>
              </w:tc>
              <w:tc>
                <w:tcPr>
                  <w:tcW w:w="793" w:type="pct"/>
                  <w:vAlign w:val="center"/>
                </w:tcPr>
                <w:p w14:paraId="16130A0D">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颗粒物</w:t>
                  </w:r>
                </w:p>
              </w:tc>
              <w:tc>
                <w:tcPr>
                  <w:tcW w:w="1122" w:type="pct"/>
                  <w:vAlign w:val="center"/>
                </w:tcPr>
                <w:p w14:paraId="67313890">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厂房密闭，人工装袋。地面定期洒扫</w:t>
                  </w:r>
                </w:p>
              </w:tc>
              <w:tc>
                <w:tcPr>
                  <w:tcW w:w="1049" w:type="pct"/>
                  <w:vAlign w:val="center"/>
                </w:tcPr>
                <w:p w14:paraId="42E17633">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大气环境</w:t>
                  </w:r>
                </w:p>
              </w:tc>
            </w:tr>
            <w:tr w14:paraId="61ED03DB">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724" w:type="pct"/>
                  <w:vMerge w:val="continue"/>
                  <w:tcBorders>
                    <w:top w:val="nil"/>
                    <w:bottom w:val="nil"/>
                    <w:right w:val="single" w:color="auto" w:sz="4" w:space="0"/>
                  </w:tcBorders>
                  <w:vAlign w:val="center"/>
                </w:tcPr>
                <w:p w14:paraId="528011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tcBorders>
                    <w:top w:val="single" w:color="auto" w:sz="4" w:space="0"/>
                    <w:left w:val="single" w:color="auto" w:sz="4" w:space="0"/>
                    <w:bottom w:val="single" w:color="auto" w:sz="4" w:space="0"/>
                    <w:right w:val="single" w:color="auto" w:sz="4" w:space="0"/>
                  </w:tcBorders>
                  <w:vAlign w:val="center"/>
                </w:tcPr>
                <w:p w14:paraId="3A733A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25" w:type="pct"/>
                  <w:tcBorders>
                    <w:left w:val="single" w:color="auto" w:sz="4" w:space="0"/>
                  </w:tcBorders>
                  <w:vAlign w:val="center"/>
                </w:tcPr>
                <w:p w14:paraId="33845EB2">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布袋除尘灰</w:t>
                  </w:r>
                </w:p>
              </w:tc>
              <w:tc>
                <w:tcPr>
                  <w:tcW w:w="793" w:type="pct"/>
                  <w:vAlign w:val="center"/>
                </w:tcPr>
                <w:p w14:paraId="1AE8FB6B">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颗粒物</w:t>
                  </w:r>
                </w:p>
              </w:tc>
              <w:tc>
                <w:tcPr>
                  <w:tcW w:w="1122" w:type="pct"/>
                  <w:vAlign w:val="center"/>
                </w:tcPr>
                <w:p w14:paraId="1B2DCF9C">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人工装袋，将包装袋密封固定于出料</w:t>
                  </w:r>
                  <w:r>
                    <w:rPr>
                      <w:rFonts w:hint="default" w:ascii="Times New Roman" w:hAnsi="Times New Roman" w:eastAsia="宋体" w:cs="Times New Roman"/>
                      <w:color w:val="auto"/>
                      <w:spacing w:val="4"/>
                      <w:sz w:val="21"/>
                      <w:szCs w:val="21"/>
                      <w:highlight w:val="none"/>
                    </w:rPr>
                    <w:t>口，之后打开下料口插板阀，密闭下</w:t>
                  </w:r>
                  <w:r>
                    <w:rPr>
                      <w:rFonts w:hint="default" w:ascii="Times New Roman" w:hAnsi="Times New Roman" w:eastAsia="宋体" w:cs="Times New Roman"/>
                      <w:color w:val="auto"/>
                      <w:spacing w:val="6"/>
                      <w:sz w:val="21"/>
                      <w:szCs w:val="21"/>
                      <w:highlight w:val="none"/>
                    </w:rPr>
                    <w:t>料封装</w:t>
                  </w:r>
                </w:p>
              </w:tc>
              <w:tc>
                <w:tcPr>
                  <w:tcW w:w="1049" w:type="pct"/>
                  <w:vAlign w:val="center"/>
                </w:tcPr>
                <w:p w14:paraId="41614CD5">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大气环境</w:t>
                  </w:r>
                </w:p>
              </w:tc>
            </w:tr>
            <w:tr w14:paraId="13768E2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724" w:type="pct"/>
                  <w:vMerge w:val="continue"/>
                  <w:tcBorders>
                    <w:top w:val="nil"/>
                    <w:bottom w:val="nil"/>
                    <w:right w:val="single" w:color="auto" w:sz="4" w:space="0"/>
                  </w:tcBorders>
                  <w:vAlign w:val="center"/>
                </w:tcPr>
                <w:p w14:paraId="352A76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tcBorders>
                    <w:top w:val="single" w:color="auto" w:sz="4" w:space="0"/>
                    <w:left w:val="single" w:color="auto" w:sz="4" w:space="0"/>
                    <w:bottom w:val="single" w:color="auto" w:sz="4" w:space="0"/>
                    <w:right w:val="single" w:color="auto" w:sz="4" w:space="0"/>
                  </w:tcBorders>
                  <w:vAlign w:val="center"/>
                </w:tcPr>
                <w:p w14:paraId="01481D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w:t>
                  </w:r>
                </w:p>
              </w:tc>
              <w:tc>
                <w:tcPr>
                  <w:tcW w:w="925" w:type="pct"/>
                  <w:tcBorders>
                    <w:left w:val="single" w:color="auto" w:sz="4" w:space="0"/>
                  </w:tcBorders>
                  <w:vAlign w:val="center"/>
                </w:tcPr>
                <w:p w14:paraId="727C027D">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kern w:val="0"/>
                      <w:sz w:val="21"/>
                      <w:szCs w:val="21"/>
                      <w:highlight w:val="none"/>
                    </w:rPr>
                    <w:t>锅炉排污水及软化处理废水</w:t>
                  </w:r>
                </w:p>
              </w:tc>
              <w:tc>
                <w:tcPr>
                  <w:tcW w:w="793" w:type="pct"/>
                  <w:vAlign w:val="center"/>
                </w:tcPr>
                <w:p w14:paraId="2536EAB6">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COD、pH、溶解性总固体</w:t>
                  </w:r>
                </w:p>
              </w:tc>
              <w:tc>
                <w:tcPr>
                  <w:tcW w:w="1122" w:type="pct"/>
                  <w:vAlign w:val="center"/>
                </w:tcPr>
                <w:p w14:paraId="6CFE7582">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kern w:val="0"/>
                      <w:sz w:val="21"/>
                      <w:szCs w:val="21"/>
                      <w:highlight w:val="none"/>
                      <w:lang w:val="en-US" w:eastAsia="zh-CN"/>
                    </w:rPr>
                    <w:t>本项目</w:t>
                  </w:r>
                  <w:r>
                    <w:rPr>
                      <w:rFonts w:hint="default" w:ascii="Times New Roman" w:hAnsi="Times New Roman" w:eastAsia="宋体" w:cs="Times New Roman"/>
                      <w:color w:val="auto"/>
                      <w:kern w:val="0"/>
                      <w:sz w:val="21"/>
                      <w:szCs w:val="21"/>
                      <w:highlight w:val="none"/>
                    </w:rPr>
                    <w:t>锅炉排污水及软化处理废水</w:t>
                  </w:r>
                  <w:r>
                    <w:rPr>
                      <w:rFonts w:hint="default" w:ascii="Times New Roman" w:hAnsi="Times New Roman" w:eastAsia="宋体" w:cs="Times New Roman"/>
                      <w:color w:val="auto"/>
                      <w:kern w:val="0"/>
                      <w:sz w:val="21"/>
                      <w:szCs w:val="21"/>
                      <w:highlight w:val="none"/>
                      <w:lang w:val="en-US" w:eastAsia="zh-CN"/>
                    </w:rPr>
                    <w:t>回用于</w:t>
                  </w:r>
                  <w:r>
                    <w:rPr>
                      <w:rFonts w:hint="default" w:ascii="Times New Roman" w:hAnsi="Times New Roman" w:eastAsia="宋体" w:cs="Times New Roman"/>
                      <w:color w:val="auto"/>
                      <w:sz w:val="21"/>
                      <w:szCs w:val="21"/>
                      <w:highlight w:val="none"/>
                    </w:rPr>
                    <w:t>锅炉除渣</w:t>
                  </w:r>
                  <w:r>
                    <w:rPr>
                      <w:rFonts w:hint="default" w:ascii="Times New Roman" w:hAnsi="Times New Roman" w:eastAsia="宋体" w:cs="Times New Roman"/>
                      <w:color w:val="auto"/>
                      <w:sz w:val="21"/>
                      <w:szCs w:val="21"/>
                      <w:highlight w:val="none"/>
                      <w:lang w:val="en-US" w:eastAsia="zh-CN"/>
                    </w:rPr>
                    <w:t>加湿</w:t>
                  </w:r>
                  <w:r>
                    <w:rPr>
                      <w:rFonts w:hint="default" w:ascii="Times New Roman" w:hAnsi="Times New Roman" w:eastAsia="宋体" w:cs="Times New Roman"/>
                      <w:color w:val="auto"/>
                      <w:sz w:val="21"/>
                      <w:szCs w:val="21"/>
                      <w:highlight w:val="none"/>
                    </w:rPr>
                    <w:t>和锅炉间地面洒水降尘</w:t>
                  </w:r>
                </w:p>
              </w:tc>
              <w:tc>
                <w:tcPr>
                  <w:tcW w:w="1049" w:type="pct"/>
                  <w:vAlign w:val="center"/>
                </w:tcPr>
                <w:p w14:paraId="54F93B56">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z w:val="21"/>
                      <w:szCs w:val="21"/>
                      <w:highlight w:val="none"/>
                    </w:rPr>
                    <w:t>不外排</w:t>
                  </w:r>
                </w:p>
              </w:tc>
            </w:tr>
            <w:tr w14:paraId="20E43CE0">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724" w:type="pct"/>
                  <w:vMerge w:val="continue"/>
                  <w:tcBorders>
                    <w:top w:val="nil"/>
                    <w:bottom w:val="nil"/>
                    <w:right w:val="single" w:color="auto" w:sz="4" w:space="0"/>
                  </w:tcBorders>
                  <w:vAlign w:val="center"/>
                </w:tcPr>
                <w:p w14:paraId="673771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tcBorders>
                    <w:top w:val="single" w:color="auto" w:sz="4" w:space="0"/>
                    <w:left w:val="single" w:color="auto" w:sz="4" w:space="0"/>
                    <w:bottom w:val="single" w:color="auto" w:sz="4" w:space="0"/>
                    <w:right w:val="single" w:color="auto" w:sz="4" w:space="0"/>
                  </w:tcBorders>
                  <w:vAlign w:val="center"/>
                </w:tcPr>
                <w:p w14:paraId="7E5743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噪声</w:t>
                  </w:r>
                </w:p>
              </w:tc>
              <w:tc>
                <w:tcPr>
                  <w:tcW w:w="925" w:type="pct"/>
                  <w:tcBorders>
                    <w:left w:val="single" w:color="auto" w:sz="4" w:space="0"/>
                  </w:tcBorders>
                  <w:vAlign w:val="center"/>
                </w:tcPr>
                <w:p w14:paraId="1902D89B">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设备噪声</w:t>
                  </w:r>
                </w:p>
              </w:tc>
              <w:tc>
                <w:tcPr>
                  <w:tcW w:w="793" w:type="pct"/>
                  <w:vAlign w:val="center"/>
                </w:tcPr>
                <w:p w14:paraId="16EE00D3">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噪声</w:t>
                  </w:r>
                </w:p>
              </w:tc>
              <w:tc>
                <w:tcPr>
                  <w:tcW w:w="1122" w:type="pct"/>
                  <w:vAlign w:val="center"/>
                </w:tcPr>
                <w:p w14:paraId="4EBBC7D2">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选用低噪声设备、</w:t>
                  </w:r>
                  <w:r>
                    <w:rPr>
                      <w:rFonts w:hint="default" w:ascii="Times New Roman" w:hAnsi="Times New Roman" w:eastAsia="宋体" w:cs="Times New Roman"/>
                      <w:color w:val="auto"/>
                      <w:spacing w:val="0"/>
                      <w:sz w:val="21"/>
                      <w:szCs w:val="21"/>
                      <w:highlight w:val="none"/>
                      <w:lang w:eastAsia="zh-CN"/>
                    </w:rPr>
                    <w:t>采</w:t>
                  </w:r>
                  <w:r>
                    <w:rPr>
                      <w:rFonts w:hint="default" w:ascii="Times New Roman" w:hAnsi="Times New Roman" w:eastAsia="宋体" w:cs="Times New Roman"/>
                      <w:color w:val="auto"/>
                      <w:spacing w:val="0"/>
                      <w:sz w:val="21"/>
                      <w:szCs w:val="21"/>
                      <w:highlight w:val="none"/>
                      <w:lang w:val="en-US" w:eastAsia="zh-CN"/>
                    </w:rPr>
                    <w:t>用</w:t>
                  </w:r>
                  <w:r>
                    <w:rPr>
                      <w:rFonts w:hint="default" w:ascii="Times New Roman" w:hAnsi="Times New Roman" w:eastAsia="宋体" w:cs="Times New Roman"/>
                      <w:color w:val="auto"/>
                      <w:spacing w:val="0"/>
                      <w:sz w:val="21"/>
                      <w:szCs w:val="21"/>
                      <w:highlight w:val="none"/>
                      <w:lang w:eastAsia="zh-CN"/>
                    </w:rPr>
                    <w:t>基础减振、厂房隔声等措施</w:t>
                  </w:r>
                </w:p>
              </w:tc>
              <w:tc>
                <w:tcPr>
                  <w:tcW w:w="1049" w:type="pct"/>
                  <w:vAlign w:val="center"/>
                </w:tcPr>
                <w:p w14:paraId="735B1B92">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声环境</w:t>
                  </w:r>
                </w:p>
              </w:tc>
            </w:tr>
            <w:tr w14:paraId="3C488C9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24" w:type="pct"/>
                  <w:vMerge w:val="continue"/>
                  <w:tcBorders>
                    <w:top w:val="nil"/>
                    <w:bottom w:val="nil"/>
                  </w:tcBorders>
                  <w:vAlign w:val="center"/>
                </w:tcPr>
                <w:p w14:paraId="4E2B24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restart"/>
                  <w:tcBorders>
                    <w:top w:val="single" w:color="auto" w:sz="4" w:space="0"/>
                    <w:bottom w:val="single" w:color="auto" w:sz="4" w:space="0"/>
                  </w:tcBorders>
                  <w:vAlign w:val="center"/>
                </w:tcPr>
                <w:p w14:paraId="2BADBF98">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固废</w:t>
                  </w:r>
                </w:p>
              </w:tc>
              <w:tc>
                <w:tcPr>
                  <w:tcW w:w="925" w:type="pct"/>
                  <w:vAlign w:val="center"/>
                </w:tcPr>
                <w:p w14:paraId="5CB1A948">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炉渣</w:t>
                  </w:r>
                </w:p>
              </w:tc>
              <w:tc>
                <w:tcPr>
                  <w:tcW w:w="793" w:type="pct"/>
                  <w:vAlign w:val="center"/>
                </w:tcPr>
                <w:p w14:paraId="40AAFC8B">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炉渣</w:t>
                  </w:r>
                </w:p>
              </w:tc>
              <w:tc>
                <w:tcPr>
                  <w:tcW w:w="1122" w:type="pct"/>
                  <w:vMerge w:val="restart"/>
                  <w:tcBorders>
                    <w:bottom w:val="nil"/>
                  </w:tcBorders>
                  <w:vAlign w:val="center"/>
                </w:tcPr>
                <w:p w14:paraId="451B3DDB">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rPr>
                    <w:t>暂存于</w:t>
                  </w:r>
                  <w:r>
                    <w:rPr>
                      <w:rFonts w:hint="default" w:ascii="Times New Roman" w:hAnsi="Times New Roman" w:cs="Times New Roman"/>
                      <w:color w:val="auto"/>
                      <w:spacing w:val="7"/>
                      <w:sz w:val="21"/>
                      <w:szCs w:val="21"/>
                      <w:highlight w:val="none"/>
                      <w:lang w:eastAsia="zh-CN"/>
                    </w:rPr>
                    <w:t>灰渣库</w:t>
                  </w:r>
                </w:p>
              </w:tc>
              <w:tc>
                <w:tcPr>
                  <w:tcW w:w="1049" w:type="pct"/>
                  <w:vAlign w:val="center"/>
                </w:tcPr>
                <w:p w14:paraId="5F16812C">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外售综合利用</w:t>
                  </w:r>
                </w:p>
              </w:tc>
            </w:tr>
            <w:tr w14:paraId="5B731C91">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24" w:type="pct"/>
                  <w:vMerge w:val="continue"/>
                  <w:tcBorders>
                    <w:top w:val="nil"/>
                    <w:bottom w:val="nil"/>
                  </w:tcBorders>
                  <w:vAlign w:val="center"/>
                </w:tcPr>
                <w:p w14:paraId="3F1672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tcBorders>
                    <w:top w:val="single" w:color="auto" w:sz="4" w:space="0"/>
                    <w:bottom w:val="single" w:color="auto" w:sz="4" w:space="0"/>
                  </w:tcBorders>
                  <w:vAlign w:val="center"/>
                </w:tcPr>
                <w:p w14:paraId="781C92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25" w:type="pct"/>
                  <w:vAlign w:val="center"/>
                </w:tcPr>
                <w:p w14:paraId="615E8E4E">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除尘灰</w:t>
                  </w:r>
                </w:p>
              </w:tc>
              <w:tc>
                <w:tcPr>
                  <w:tcW w:w="793" w:type="pct"/>
                  <w:vAlign w:val="center"/>
                </w:tcPr>
                <w:p w14:paraId="34CAE860">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粉尘</w:t>
                  </w:r>
                </w:p>
              </w:tc>
              <w:tc>
                <w:tcPr>
                  <w:tcW w:w="1122" w:type="pct"/>
                  <w:vMerge w:val="continue"/>
                  <w:tcBorders>
                    <w:top w:val="nil"/>
                  </w:tcBorders>
                  <w:vAlign w:val="center"/>
                </w:tcPr>
                <w:p w14:paraId="6BC7D5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49" w:type="pct"/>
                  <w:vAlign w:val="center"/>
                </w:tcPr>
                <w:p w14:paraId="0C1A7FE1">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外售综合利用</w:t>
                  </w:r>
                </w:p>
              </w:tc>
            </w:tr>
            <w:tr w14:paraId="7E3A98D8">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24" w:type="pct"/>
                  <w:vMerge w:val="continue"/>
                  <w:tcBorders>
                    <w:top w:val="nil"/>
                    <w:bottom w:val="nil"/>
                  </w:tcBorders>
                  <w:vAlign w:val="center"/>
                </w:tcPr>
                <w:p w14:paraId="326B52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tcBorders>
                    <w:top w:val="single" w:color="auto" w:sz="4" w:space="0"/>
                    <w:bottom w:val="single" w:color="auto" w:sz="4" w:space="0"/>
                  </w:tcBorders>
                  <w:vAlign w:val="center"/>
                </w:tcPr>
                <w:p w14:paraId="3D297A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25" w:type="pct"/>
                  <w:vAlign w:val="center"/>
                </w:tcPr>
                <w:p w14:paraId="7741E921">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废布袋</w:t>
                  </w:r>
                </w:p>
              </w:tc>
              <w:tc>
                <w:tcPr>
                  <w:tcW w:w="793" w:type="pct"/>
                  <w:vAlign w:val="center"/>
                </w:tcPr>
                <w:p w14:paraId="7FA9DFBB">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布袋</w:t>
                  </w:r>
                </w:p>
              </w:tc>
              <w:tc>
                <w:tcPr>
                  <w:tcW w:w="1122" w:type="pct"/>
                  <w:vMerge w:val="restart"/>
                  <w:tcBorders>
                    <w:bottom w:val="nil"/>
                  </w:tcBorders>
                  <w:vAlign w:val="center"/>
                </w:tcPr>
                <w:p w14:paraId="7025B332">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7"/>
                      <w:sz w:val="21"/>
                      <w:szCs w:val="21"/>
                      <w:highlight w:val="none"/>
                    </w:rPr>
                    <w:t>暂存于</w:t>
                  </w:r>
                  <w:r>
                    <w:rPr>
                      <w:rFonts w:hint="default" w:ascii="Times New Roman" w:hAnsi="Times New Roman" w:cs="Times New Roman"/>
                      <w:color w:val="auto"/>
                      <w:spacing w:val="7"/>
                      <w:sz w:val="21"/>
                      <w:szCs w:val="21"/>
                      <w:highlight w:val="none"/>
                      <w:lang w:eastAsia="zh-CN"/>
                    </w:rPr>
                    <w:t>灰渣库</w:t>
                  </w:r>
                </w:p>
              </w:tc>
              <w:tc>
                <w:tcPr>
                  <w:tcW w:w="1049" w:type="pct"/>
                  <w:vAlign w:val="center"/>
                </w:tcPr>
                <w:p w14:paraId="08314FBB">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厂家回收</w:t>
                  </w:r>
                </w:p>
              </w:tc>
            </w:tr>
            <w:tr w14:paraId="738BF22D">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24" w:type="pct"/>
                  <w:vMerge w:val="continue"/>
                  <w:tcBorders>
                    <w:top w:val="nil"/>
                    <w:bottom w:val="nil"/>
                  </w:tcBorders>
                  <w:vAlign w:val="center"/>
                </w:tcPr>
                <w:p w14:paraId="7DC625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tcBorders>
                    <w:top w:val="single" w:color="auto" w:sz="4" w:space="0"/>
                    <w:bottom w:val="single" w:color="auto" w:sz="4" w:space="0"/>
                  </w:tcBorders>
                  <w:vAlign w:val="center"/>
                </w:tcPr>
                <w:p w14:paraId="51B2D5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25" w:type="pct"/>
                  <w:vAlign w:val="center"/>
                </w:tcPr>
                <w:p w14:paraId="32A2E052">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废包装袋</w:t>
                  </w:r>
                </w:p>
              </w:tc>
              <w:tc>
                <w:tcPr>
                  <w:tcW w:w="793" w:type="pct"/>
                  <w:vAlign w:val="center"/>
                </w:tcPr>
                <w:p w14:paraId="124631E1">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包装袋</w:t>
                  </w:r>
                </w:p>
              </w:tc>
              <w:tc>
                <w:tcPr>
                  <w:tcW w:w="1122" w:type="pct"/>
                  <w:vMerge w:val="continue"/>
                  <w:tcBorders>
                    <w:top w:val="nil"/>
                  </w:tcBorders>
                  <w:vAlign w:val="center"/>
                </w:tcPr>
                <w:p w14:paraId="0EDB34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049" w:type="pct"/>
                  <w:vAlign w:val="center"/>
                </w:tcPr>
                <w:p w14:paraId="17BB5778">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厂家回收</w:t>
                  </w:r>
                </w:p>
              </w:tc>
            </w:tr>
            <w:tr w14:paraId="62070B70">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24" w:type="pct"/>
                  <w:vMerge w:val="continue"/>
                  <w:tcBorders>
                    <w:top w:val="nil"/>
                  </w:tcBorders>
                  <w:vAlign w:val="center"/>
                </w:tcPr>
                <w:p w14:paraId="4C80AB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384" w:type="pct"/>
                  <w:vMerge w:val="continue"/>
                  <w:tcBorders>
                    <w:top w:val="single" w:color="auto" w:sz="4" w:space="0"/>
                    <w:bottom w:val="single" w:color="auto" w:sz="4" w:space="0"/>
                  </w:tcBorders>
                  <w:vAlign w:val="center"/>
                </w:tcPr>
                <w:p w14:paraId="6F9F63F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925" w:type="pct"/>
                  <w:vAlign w:val="center"/>
                </w:tcPr>
                <w:p w14:paraId="184A1C8D">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pacing w:val="7"/>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废润滑油</w:t>
                  </w:r>
                </w:p>
                <w:p w14:paraId="170745E5">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废含油抹布</w:t>
                  </w:r>
                </w:p>
              </w:tc>
              <w:tc>
                <w:tcPr>
                  <w:tcW w:w="793" w:type="pct"/>
                  <w:vAlign w:val="center"/>
                </w:tcPr>
                <w:p w14:paraId="66436BC4">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pacing w:val="3"/>
                      <w:sz w:val="21"/>
                      <w:szCs w:val="21"/>
                      <w:highlight w:val="none"/>
                      <w:lang w:val="en-US" w:eastAsia="zh-CN"/>
                    </w:rPr>
                    <w:t>危险废物</w:t>
                  </w:r>
                </w:p>
              </w:tc>
              <w:tc>
                <w:tcPr>
                  <w:tcW w:w="1122" w:type="pct"/>
                  <w:vAlign w:val="center"/>
                </w:tcPr>
                <w:p w14:paraId="0245A754">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7"/>
                      <w:sz w:val="21"/>
                      <w:szCs w:val="21"/>
                      <w:highlight w:val="none"/>
                      <w:lang w:val="en-US" w:eastAsia="zh-CN"/>
                    </w:rPr>
                    <w:t>暂存</w:t>
                  </w:r>
                  <w:r>
                    <w:rPr>
                      <w:rFonts w:hint="eastAsia" w:ascii="Times New Roman" w:hAnsi="Times New Roman" w:cs="Times New Roman"/>
                      <w:color w:val="auto"/>
                      <w:spacing w:val="7"/>
                      <w:sz w:val="21"/>
                      <w:szCs w:val="21"/>
                      <w:highlight w:val="none"/>
                      <w:lang w:val="en-US" w:eastAsia="zh-CN"/>
                    </w:rPr>
                    <w:t>于</w:t>
                  </w:r>
                  <w:r>
                    <w:rPr>
                      <w:rFonts w:hint="default" w:ascii="Times New Roman" w:hAnsi="Times New Roman" w:cs="Times New Roman"/>
                      <w:color w:val="auto"/>
                      <w:spacing w:val="7"/>
                      <w:sz w:val="21"/>
                      <w:szCs w:val="21"/>
                      <w:highlight w:val="none"/>
                      <w:lang w:val="en-US" w:eastAsia="zh-CN"/>
                    </w:rPr>
                    <w:t>厂区</w:t>
                  </w:r>
                  <w:r>
                    <w:rPr>
                      <w:rFonts w:hint="eastAsia" w:ascii="Times New Roman" w:hAnsi="Times New Roman" w:cs="Times New Roman"/>
                      <w:color w:val="auto"/>
                      <w:spacing w:val="7"/>
                      <w:sz w:val="21"/>
                      <w:szCs w:val="21"/>
                      <w:highlight w:val="none"/>
                      <w:lang w:val="en-US" w:eastAsia="zh-CN"/>
                    </w:rPr>
                    <w:t>危险废物贮存点</w:t>
                  </w:r>
                </w:p>
              </w:tc>
              <w:tc>
                <w:tcPr>
                  <w:tcW w:w="1049" w:type="pct"/>
                  <w:vAlign w:val="center"/>
                </w:tcPr>
                <w:p w14:paraId="5B908332">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委托有资质单</w:t>
                  </w:r>
                  <w:r>
                    <w:rPr>
                      <w:rFonts w:hint="default" w:ascii="Times New Roman" w:hAnsi="Times New Roman" w:eastAsia="宋体" w:cs="Times New Roman"/>
                      <w:color w:val="auto"/>
                      <w:spacing w:val="6"/>
                      <w:sz w:val="21"/>
                      <w:szCs w:val="21"/>
                      <w:highlight w:val="none"/>
                    </w:rPr>
                    <w:t>位处理</w:t>
                  </w:r>
                </w:p>
              </w:tc>
            </w:tr>
            <w:tr w14:paraId="70A275FF">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724" w:type="pct"/>
                  <w:tcBorders>
                    <w:bottom w:val="single" w:color="000000" w:sz="6" w:space="0"/>
                  </w:tcBorders>
                  <w:vAlign w:val="center"/>
                </w:tcPr>
                <w:p w14:paraId="56853E56">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运营期</w:t>
                  </w:r>
                  <w:r>
                    <w:rPr>
                      <w:rFonts w:hint="default" w:ascii="Times New Roman" w:hAnsi="Times New Roman" w:eastAsia="宋体" w:cs="Times New Roman"/>
                      <w:color w:val="auto"/>
                      <w:spacing w:val="6"/>
                      <w:sz w:val="21"/>
                      <w:szCs w:val="21"/>
                      <w:highlight w:val="none"/>
                    </w:rPr>
                    <w:t>风险</w:t>
                  </w:r>
                </w:p>
              </w:tc>
              <w:tc>
                <w:tcPr>
                  <w:tcW w:w="4275" w:type="pct"/>
                  <w:gridSpan w:val="5"/>
                  <w:tcBorders>
                    <w:bottom w:val="single" w:color="000000" w:sz="6" w:space="0"/>
                  </w:tcBorders>
                  <w:vAlign w:val="center"/>
                </w:tcPr>
                <w:p w14:paraId="344C559C">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项目涉及环境风险物质废</w:t>
                  </w:r>
                  <w:r>
                    <w:rPr>
                      <w:rFonts w:hint="default" w:ascii="Times New Roman" w:hAnsi="Times New Roman" w:cs="Times New Roman"/>
                      <w:color w:val="auto"/>
                      <w:spacing w:val="8"/>
                      <w:sz w:val="21"/>
                      <w:szCs w:val="21"/>
                      <w:highlight w:val="none"/>
                      <w:lang w:val="en-US" w:eastAsia="zh-CN"/>
                    </w:rPr>
                    <w:t>润滑</w:t>
                  </w:r>
                  <w:r>
                    <w:rPr>
                      <w:rFonts w:hint="default" w:ascii="Times New Roman" w:hAnsi="Times New Roman" w:eastAsia="宋体" w:cs="Times New Roman"/>
                      <w:color w:val="auto"/>
                      <w:spacing w:val="8"/>
                      <w:sz w:val="21"/>
                      <w:szCs w:val="21"/>
                      <w:highlight w:val="none"/>
                    </w:rPr>
                    <w:t>油。</w:t>
                  </w:r>
                </w:p>
              </w:tc>
            </w:tr>
          </w:tbl>
          <w:p w14:paraId="4A7D59CC">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highlight w:val="none"/>
                <w:lang w:val="en-US" w:eastAsia="zh-CN"/>
              </w:rPr>
            </w:pPr>
          </w:p>
          <w:p w14:paraId="7F9398B5">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highlight w:val="none"/>
                <w:lang w:val="en-US" w:eastAsia="zh-CN"/>
              </w:rPr>
            </w:pPr>
          </w:p>
          <w:p w14:paraId="75920544">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highlight w:val="none"/>
                <w:lang w:val="en-US" w:eastAsia="zh-CN"/>
              </w:rPr>
            </w:pPr>
          </w:p>
          <w:p w14:paraId="1FE6452E">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highlight w:val="none"/>
                <w:lang w:val="en-US" w:eastAsia="zh-CN"/>
              </w:rPr>
            </w:pPr>
          </w:p>
          <w:p w14:paraId="2D8478F3">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highlight w:val="none"/>
                <w:lang w:val="en-US" w:eastAsia="zh-CN"/>
              </w:rPr>
            </w:pPr>
          </w:p>
          <w:p w14:paraId="60E96B78">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highlight w:val="none"/>
                <w:lang w:val="en-US" w:eastAsia="zh-CN"/>
              </w:rPr>
            </w:pPr>
          </w:p>
          <w:p w14:paraId="4E7560B1">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highlight w:val="none"/>
                <w:lang w:val="en-US" w:eastAsia="zh-CN"/>
              </w:rPr>
            </w:pPr>
          </w:p>
          <w:p w14:paraId="35A050BC">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highlight w:val="none"/>
                <w:lang w:val="en-US" w:eastAsia="zh-CN"/>
              </w:rPr>
            </w:pPr>
          </w:p>
          <w:p w14:paraId="7DBF4709">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highlight w:val="none"/>
                <w:lang w:val="en-US" w:eastAsia="zh-CN"/>
              </w:rPr>
            </w:pPr>
          </w:p>
          <w:p w14:paraId="27D1238C">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0"/>
                <w:highlight w:val="none"/>
                <w:lang w:val="en-US" w:eastAsia="zh-CN"/>
              </w:rPr>
            </w:pPr>
          </w:p>
          <w:p w14:paraId="38736E97">
            <w:pPr>
              <w:keepNext w:val="0"/>
              <w:keepLines w:val="0"/>
              <w:pageBreakBefore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auto"/>
                <w:spacing w:val="0"/>
                <w:highlight w:val="none"/>
                <w:lang w:val="en-US" w:eastAsia="zh-CN"/>
              </w:rPr>
            </w:pPr>
          </w:p>
          <w:p w14:paraId="7D48E50A">
            <w:pPr>
              <w:keepNext w:val="0"/>
              <w:keepLines w:val="0"/>
              <w:pageBreakBefore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auto"/>
                <w:spacing w:val="0"/>
                <w:highlight w:val="none"/>
                <w:lang w:val="en-US" w:eastAsia="zh-CN"/>
              </w:rPr>
            </w:pPr>
          </w:p>
        </w:tc>
        <w:tc>
          <w:tcPr>
            <w:tcW w:w="4143" w:type="dxa"/>
            <w:noWrap w:val="0"/>
            <w:vAlign w:val="top"/>
          </w:tcPr>
          <w:p w14:paraId="3E3F75C1">
            <w:pPr>
              <w:keepNext w:val="0"/>
              <w:keepLines w:val="0"/>
              <w:pageBreakBefore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auto"/>
                <w:spacing w:val="0"/>
                <w:highlight w:val="none"/>
                <w:lang w:val="en-US" w:eastAsia="zh-CN"/>
              </w:rPr>
            </w:pPr>
          </w:p>
        </w:tc>
      </w:tr>
      <w:tr w14:paraId="6EC46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27" w:hRule="atLeast"/>
          <w:jc w:val="center"/>
        </w:trPr>
        <w:tc>
          <w:tcPr>
            <w:tcW w:w="234" w:type="dxa"/>
            <w:noWrap w:val="0"/>
            <w:vAlign w:val="center"/>
          </w:tcPr>
          <w:p w14:paraId="573F9594">
            <w:pPr>
              <w:pStyle w:val="29"/>
              <w:spacing w:before="0" w:beforeAutospacing="0" w:after="0" w:afterAutospacing="0" w:line="240" w:lineRule="auto"/>
              <w:ind w:firstLine="0" w:firstLineChars="0"/>
              <w:jc w:val="center"/>
              <w:rPr>
                <w:rFonts w:hint="default" w:ascii="Times New Roman" w:hAnsi="Times New Roman" w:eastAsia="宋体" w:cs="Times New Roman"/>
                <w:bCs/>
                <w:color w:val="auto"/>
                <w:spacing w:val="0"/>
                <w:highlight w:val="none"/>
              </w:rPr>
            </w:pPr>
            <w:r>
              <w:rPr>
                <w:rFonts w:hint="default" w:ascii="Times New Roman" w:hAnsi="Times New Roman" w:eastAsia="宋体" w:cs="Times New Roman"/>
                <w:bCs/>
                <w:color w:val="auto"/>
                <w:spacing w:val="0"/>
                <w:kern w:val="2"/>
                <w:sz w:val="22"/>
                <w:szCs w:val="18"/>
                <w:highlight w:val="none"/>
              </w:rPr>
              <w:t>与项目有关的原有环境污染问题</w:t>
            </w:r>
          </w:p>
        </w:tc>
        <w:tc>
          <w:tcPr>
            <w:tcW w:w="4143" w:type="dxa"/>
            <w:noWrap w:val="0"/>
            <w:vAlign w:val="center"/>
          </w:tcPr>
          <w:p w14:paraId="5DFBEAB7">
            <w:pPr>
              <w:spacing w:line="360" w:lineRule="auto"/>
              <w:ind w:left="0" w:leftChars="0" w:firstLine="0" w:firstLineChars="0"/>
              <w:jc w:val="left"/>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1.原项目环保手续</w:t>
            </w:r>
          </w:p>
          <w:p w14:paraId="3103C2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虎林市绿都海狮油脂有限责任公司</w:t>
            </w:r>
            <w:r>
              <w:rPr>
                <w:rFonts w:hint="default" w:ascii="Times New Roman" w:hAnsi="Times New Roman" w:eastAsia="宋体" w:cs="Times New Roman"/>
                <w:color w:val="auto"/>
                <w:sz w:val="24"/>
                <w:szCs w:val="24"/>
                <w:highlight w:val="none"/>
                <w:lang w:val="en-US" w:eastAsia="zh-CN"/>
              </w:rPr>
              <w:t>位于黑龙江省鸡西市虎林市虎林镇东方红街道东升委（粮库院内），建设日处理200t米糠生产线1条，日处理200t浸油生产线1条，日处理35t毛油精炼生产线1条。</w:t>
            </w:r>
          </w:p>
          <w:p w14:paraId="03D63F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绿都集团股份有限公司2012年8月委托黑龙江大学环境科学研究所编制《绿都集团股份有限公司日处理200吨米糠制油设施建设项目环境影响评价报告表》，2012年8月17日取得《关于绿都集团股份有限公司日处理 200 吨米糠制油设施建设项目环境影响报告表的批复》，见附件</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p>
          <w:p w14:paraId="4AA77B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在企业建设过程中，原有4t/h锅炉无法满足企业后续的发展规划，故企业新增1台10t/h生物质蒸汽锅炉用于企业生产用热和冬季取暖。原有4t/h生物质锅炉变更为2t/h生物质锅炉，作为备用锅炉。</w:t>
            </w:r>
          </w:p>
          <w:p w14:paraId="3CFA9C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2013年12月11日绿都集团股份有限公司取得《关于同意绿都集团股份有限公司日处理200吨米糠制油设施建设项目变更的函》虎环函</w:t>
            </w:r>
            <w:r>
              <w:rPr>
                <w:rFonts w:hint="eastAsia" w:ascii="Times New Roman" w:hAnsi="Times New Roman" w:cs="Times New Roman"/>
                <w:color w:val="auto"/>
                <w:sz w:val="24"/>
                <w:szCs w:val="24"/>
                <w:highlight w:val="none"/>
                <w:lang w:val="en-US" w:eastAsia="zh-CN"/>
              </w:rPr>
              <w:t>〔2013〕57号</w:t>
            </w:r>
            <w:r>
              <w:rPr>
                <w:rFonts w:hint="default" w:ascii="Times New Roman" w:hAnsi="Times New Roman" w:eastAsia="宋体" w:cs="Times New Roman"/>
                <w:color w:val="auto"/>
                <w:sz w:val="24"/>
                <w:szCs w:val="24"/>
                <w:highlight w:val="none"/>
                <w:lang w:val="en-US" w:eastAsia="zh-CN"/>
              </w:rPr>
              <w:t>，见附件</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。项目变更的内容主要为：供热锅炉由原来链条炉排的蒸汽锅炉，型号 SHL4-1.25AⅡ，额定蒸发量4t/h锅炉，变更为型号SZL2-1.25，额定蒸发量2t/h锅炉；新增生产锅炉一台，型号为大鳞片式链条锅炉，额定蒸发量10t/h。</w:t>
            </w:r>
          </w:p>
          <w:p w14:paraId="643D5872">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baseline"/>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虎林市绿都海狮油脂有限责任公司已于2023年6月10日取得排污许可证，证书编号为912303815982191536001Q。</w:t>
            </w:r>
            <w:r>
              <w:rPr>
                <w:rFonts w:hint="default" w:ascii="Times New Roman" w:hAnsi="Times New Roman" w:eastAsia="宋体" w:cs="Times New Roman"/>
                <w:color w:val="auto"/>
                <w:sz w:val="24"/>
                <w:szCs w:val="24"/>
                <w:highlight w:val="none"/>
                <w:lang w:val="en-US" w:eastAsia="zh-CN"/>
              </w:rPr>
              <w:t>本项目建成已久，一直未进行生产，故未进行</w:t>
            </w:r>
            <w:r>
              <w:rPr>
                <w:rFonts w:hint="default" w:ascii="Times New Roman" w:hAnsi="Times New Roman" w:eastAsia="宋体" w:cs="Times New Roman"/>
                <w:b w:val="0"/>
                <w:bCs/>
                <w:color w:val="auto"/>
                <w:sz w:val="24"/>
                <w:szCs w:val="24"/>
                <w:highlight w:val="none"/>
                <w:lang w:val="en-US" w:eastAsia="zh-CN"/>
              </w:rPr>
              <w:t>竣工环境保护验收</w:t>
            </w:r>
            <w:r>
              <w:rPr>
                <w:rFonts w:hint="default" w:ascii="Times New Roman" w:hAnsi="Times New Roman" w:cs="Times New Roman"/>
                <w:b w:val="0"/>
                <w:bCs/>
                <w:color w:val="auto"/>
                <w:sz w:val="24"/>
                <w:szCs w:val="24"/>
                <w:highlight w:val="none"/>
                <w:lang w:val="en-US" w:eastAsia="zh-CN"/>
              </w:rPr>
              <w:t>。</w:t>
            </w:r>
          </w:p>
          <w:p w14:paraId="544D043F">
            <w:pPr>
              <w:spacing w:line="360" w:lineRule="auto"/>
              <w:ind w:left="0" w:leftChars="0" w:firstLine="0" w:firstLineChars="0"/>
              <w:jc w:val="left"/>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2.原项目建设内容</w:t>
            </w:r>
          </w:p>
          <w:p w14:paraId="11339C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表2-5原有项目建设内容一览表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1906"/>
              <w:gridCol w:w="987"/>
              <w:gridCol w:w="3449"/>
            </w:tblGrid>
            <w:tr w14:paraId="4487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shd w:val="clear" w:color="auto" w:fill="auto"/>
                  <w:noWrap w:val="0"/>
                  <w:vAlign w:val="center"/>
                </w:tcPr>
                <w:p w14:paraId="0A2991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i w:val="0"/>
                      <w:iCs w:val="0"/>
                      <w:color w:val="auto"/>
                      <w:sz w:val="21"/>
                      <w:szCs w:val="21"/>
                      <w:highlight w:val="none"/>
                    </w:rPr>
                  </w:pPr>
                  <w:r>
                    <w:rPr>
                      <w:rFonts w:hint="default" w:ascii="Times New Roman" w:hAnsi="Times New Roman" w:eastAsia="宋体" w:cs="Times New Roman"/>
                      <w:b w:val="0"/>
                      <w:bCs/>
                      <w:i w:val="0"/>
                      <w:iCs w:val="0"/>
                      <w:color w:val="auto"/>
                      <w:sz w:val="21"/>
                      <w:szCs w:val="21"/>
                      <w:highlight w:val="none"/>
                    </w:rPr>
                    <w:t>工程类别</w:t>
                  </w:r>
                </w:p>
              </w:tc>
              <w:tc>
                <w:tcPr>
                  <w:tcW w:w="1897" w:type="pct"/>
                  <w:gridSpan w:val="2"/>
                  <w:shd w:val="clear" w:color="auto" w:fill="auto"/>
                  <w:noWrap w:val="0"/>
                  <w:vAlign w:val="center"/>
                </w:tcPr>
                <w:p w14:paraId="2AC7D5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i w:val="0"/>
                      <w:iCs w:val="0"/>
                      <w:color w:val="auto"/>
                      <w:sz w:val="21"/>
                      <w:szCs w:val="21"/>
                      <w:highlight w:val="none"/>
                    </w:rPr>
                  </w:pPr>
                  <w:r>
                    <w:rPr>
                      <w:rFonts w:hint="default" w:ascii="Times New Roman" w:hAnsi="Times New Roman" w:eastAsia="宋体" w:cs="Times New Roman"/>
                      <w:b w:val="0"/>
                      <w:bCs/>
                      <w:i w:val="0"/>
                      <w:iCs w:val="0"/>
                      <w:color w:val="auto"/>
                      <w:sz w:val="21"/>
                      <w:szCs w:val="21"/>
                      <w:highlight w:val="none"/>
                    </w:rPr>
                    <w:t>内容</w:t>
                  </w:r>
                </w:p>
              </w:tc>
              <w:tc>
                <w:tcPr>
                  <w:tcW w:w="2262" w:type="pct"/>
                  <w:shd w:val="clear" w:color="auto" w:fill="auto"/>
                  <w:noWrap w:val="0"/>
                  <w:vAlign w:val="center"/>
                </w:tcPr>
                <w:p w14:paraId="7190B2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i w:val="0"/>
                      <w:iCs w:val="0"/>
                      <w:color w:val="auto"/>
                      <w:sz w:val="21"/>
                      <w:szCs w:val="21"/>
                      <w:highlight w:val="none"/>
                    </w:rPr>
                  </w:pPr>
                  <w:r>
                    <w:rPr>
                      <w:rFonts w:hint="default" w:ascii="Times New Roman" w:hAnsi="Times New Roman" w:eastAsia="宋体" w:cs="Times New Roman"/>
                      <w:b w:val="0"/>
                      <w:bCs/>
                      <w:i w:val="0"/>
                      <w:iCs w:val="0"/>
                      <w:color w:val="auto"/>
                      <w:sz w:val="21"/>
                      <w:szCs w:val="21"/>
                      <w:highlight w:val="none"/>
                    </w:rPr>
                    <w:t>具体内容</w:t>
                  </w:r>
                </w:p>
              </w:tc>
            </w:tr>
            <w:tr w14:paraId="49E3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shd w:val="clear" w:color="auto" w:fill="auto"/>
                  <w:noWrap w:val="0"/>
                  <w:vAlign w:val="center"/>
                </w:tcPr>
                <w:p w14:paraId="2EF64C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i w:val="0"/>
                      <w:iCs w:val="0"/>
                      <w:color w:val="auto"/>
                      <w:sz w:val="21"/>
                      <w:szCs w:val="21"/>
                      <w:highlight w:val="none"/>
                    </w:rPr>
                  </w:pPr>
                  <w:r>
                    <w:rPr>
                      <w:rFonts w:hint="default" w:ascii="Times New Roman" w:hAnsi="Times New Roman" w:eastAsia="宋体" w:cs="Times New Roman"/>
                      <w:b w:val="0"/>
                      <w:bCs/>
                      <w:i w:val="0"/>
                      <w:iCs w:val="0"/>
                      <w:color w:val="auto"/>
                      <w:sz w:val="21"/>
                      <w:szCs w:val="21"/>
                      <w:highlight w:val="none"/>
                    </w:rPr>
                    <w:t>主体工程</w:t>
                  </w:r>
                </w:p>
              </w:tc>
              <w:tc>
                <w:tcPr>
                  <w:tcW w:w="4159" w:type="pct"/>
                  <w:gridSpan w:val="3"/>
                  <w:shd w:val="clear" w:color="auto" w:fill="auto"/>
                  <w:noWrap w:val="0"/>
                  <w:vAlign w:val="top"/>
                </w:tcPr>
                <w:p w14:paraId="601CA8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color w:val="auto"/>
                      <w:sz w:val="21"/>
                      <w:szCs w:val="21"/>
                      <w:highlight w:val="none"/>
                    </w:rPr>
                  </w:pPr>
                  <w:r>
                    <w:rPr>
                      <w:rFonts w:hint="default" w:ascii="Times New Roman" w:hAnsi="Times New Roman" w:eastAsia="宋体" w:cs="Times New Roman"/>
                      <w:b w:val="0"/>
                      <w:bCs/>
                      <w:i w:val="0"/>
                      <w:iCs w:val="0"/>
                      <w:color w:val="auto"/>
                      <w:sz w:val="21"/>
                      <w:szCs w:val="21"/>
                      <w:highlight w:val="none"/>
                    </w:rPr>
                    <w:t>日处理200t米糠预处理生产线1条、日处理200t浸油生产线1条、日处理35t毛油精炼生产线1条；浸出车间，预处理车间，精炼车间，办公室，检斤化验室，污水处理站，锅炉车间共计5135平方米，库房3753平方米。</w:t>
                  </w:r>
                </w:p>
              </w:tc>
            </w:tr>
            <w:tr w14:paraId="10F3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shd w:val="clear" w:color="auto" w:fill="auto"/>
                  <w:noWrap w:val="0"/>
                  <w:vAlign w:val="center"/>
                </w:tcPr>
                <w:p w14:paraId="788026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i w:val="0"/>
                      <w:iCs w:val="0"/>
                      <w:color w:val="auto"/>
                      <w:sz w:val="21"/>
                      <w:szCs w:val="21"/>
                      <w:highlight w:val="none"/>
                    </w:rPr>
                  </w:pPr>
                  <w:r>
                    <w:rPr>
                      <w:rFonts w:hint="default" w:ascii="Times New Roman" w:hAnsi="Times New Roman" w:eastAsia="宋体" w:cs="Times New Roman"/>
                      <w:b w:val="0"/>
                      <w:bCs/>
                      <w:i w:val="0"/>
                      <w:iCs w:val="0"/>
                      <w:color w:val="auto"/>
                      <w:sz w:val="21"/>
                      <w:szCs w:val="21"/>
                      <w:highlight w:val="none"/>
                    </w:rPr>
                    <w:t>配套工程</w:t>
                  </w:r>
                </w:p>
              </w:tc>
              <w:tc>
                <w:tcPr>
                  <w:tcW w:w="1250" w:type="pct"/>
                  <w:shd w:val="clear" w:color="auto" w:fill="auto"/>
                  <w:noWrap w:val="0"/>
                  <w:vAlign w:val="center"/>
                </w:tcPr>
                <w:p w14:paraId="372180E5">
                  <w:pPr>
                    <w:pStyle w:val="1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snapToGrid w:val="0"/>
                      <w:color w:val="auto"/>
                      <w:kern w:val="0"/>
                      <w:sz w:val="21"/>
                      <w:szCs w:val="21"/>
                      <w:highlight w:val="none"/>
                    </w:rPr>
                  </w:pPr>
                  <w:r>
                    <w:rPr>
                      <w:rFonts w:hint="default" w:ascii="Times New Roman" w:hAnsi="Times New Roman" w:eastAsia="宋体" w:cs="Times New Roman"/>
                      <w:b w:val="0"/>
                      <w:bCs/>
                      <w:i w:val="0"/>
                      <w:iCs w:val="0"/>
                      <w:snapToGrid w:val="0"/>
                      <w:color w:val="auto"/>
                      <w:kern w:val="0"/>
                      <w:sz w:val="21"/>
                      <w:szCs w:val="21"/>
                      <w:highlight w:val="none"/>
                    </w:rPr>
                    <w:t>厂区道路</w:t>
                  </w:r>
                </w:p>
              </w:tc>
              <w:tc>
                <w:tcPr>
                  <w:tcW w:w="2909" w:type="pct"/>
                  <w:gridSpan w:val="2"/>
                  <w:shd w:val="clear" w:color="auto" w:fill="auto"/>
                  <w:noWrap w:val="0"/>
                  <w:vAlign w:val="center"/>
                </w:tcPr>
                <w:p w14:paraId="1156FF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color w:val="auto"/>
                      <w:sz w:val="21"/>
                      <w:szCs w:val="21"/>
                      <w:highlight w:val="none"/>
                    </w:rPr>
                  </w:pPr>
                  <w:r>
                    <w:rPr>
                      <w:rFonts w:hint="default" w:ascii="Times New Roman" w:hAnsi="Times New Roman" w:eastAsia="宋体" w:cs="Times New Roman"/>
                      <w:b w:val="0"/>
                      <w:bCs/>
                      <w:i w:val="0"/>
                      <w:iCs w:val="0"/>
                      <w:color w:val="auto"/>
                      <w:sz w:val="21"/>
                      <w:szCs w:val="21"/>
                      <w:highlight w:val="none"/>
                    </w:rPr>
                    <w:t>厂区道路采用混凝土路面。厂区主干道宽为8m，次干道宽6m，满足交通和消防的要求。</w:t>
                  </w:r>
                </w:p>
              </w:tc>
            </w:tr>
            <w:tr w14:paraId="185C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Merge w:val="restart"/>
                  <w:shd w:val="clear" w:color="auto" w:fill="auto"/>
                  <w:noWrap w:val="0"/>
                  <w:vAlign w:val="center"/>
                </w:tcPr>
                <w:p w14:paraId="6F6274A3">
                  <w:pPr>
                    <w:pStyle w:val="1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snapToGrid w:val="0"/>
                      <w:color w:val="auto"/>
                      <w:kern w:val="0"/>
                      <w:sz w:val="21"/>
                      <w:szCs w:val="21"/>
                      <w:highlight w:val="none"/>
                    </w:rPr>
                  </w:pPr>
                  <w:r>
                    <w:rPr>
                      <w:rFonts w:hint="default" w:ascii="Times New Roman" w:hAnsi="Times New Roman" w:eastAsia="宋体" w:cs="Times New Roman"/>
                      <w:b w:val="0"/>
                      <w:bCs/>
                      <w:i w:val="0"/>
                      <w:iCs w:val="0"/>
                      <w:snapToGrid w:val="0"/>
                      <w:color w:val="auto"/>
                      <w:kern w:val="0"/>
                      <w:sz w:val="21"/>
                      <w:szCs w:val="21"/>
                      <w:highlight w:val="none"/>
                    </w:rPr>
                    <w:t>公用工程</w:t>
                  </w:r>
                </w:p>
              </w:tc>
              <w:tc>
                <w:tcPr>
                  <w:tcW w:w="1250" w:type="pct"/>
                  <w:shd w:val="clear" w:color="auto" w:fill="auto"/>
                  <w:noWrap w:val="0"/>
                  <w:vAlign w:val="center"/>
                </w:tcPr>
                <w:p w14:paraId="42D9BC16">
                  <w:pPr>
                    <w:pStyle w:val="1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snapToGrid w:val="0"/>
                      <w:color w:val="auto"/>
                      <w:kern w:val="0"/>
                      <w:sz w:val="21"/>
                      <w:szCs w:val="21"/>
                      <w:highlight w:val="none"/>
                    </w:rPr>
                  </w:pPr>
                  <w:r>
                    <w:rPr>
                      <w:rFonts w:hint="default" w:ascii="Times New Roman" w:hAnsi="Times New Roman" w:eastAsia="宋体" w:cs="Times New Roman"/>
                      <w:b w:val="0"/>
                      <w:bCs/>
                      <w:i w:val="0"/>
                      <w:iCs w:val="0"/>
                      <w:snapToGrid w:val="0"/>
                      <w:color w:val="auto"/>
                      <w:kern w:val="0"/>
                      <w:sz w:val="21"/>
                      <w:szCs w:val="21"/>
                      <w:highlight w:val="none"/>
                    </w:rPr>
                    <w:t>供水</w:t>
                  </w:r>
                </w:p>
              </w:tc>
              <w:tc>
                <w:tcPr>
                  <w:tcW w:w="2909" w:type="pct"/>
                  <w:gridSpan w:val="2"/>
                  <w:shd w:val="clear" w:color="auto" w:fill="auto"/>
                  <w:noWrap w:val="0"/>
                  <w:vAlign w:val="center"/>
                </w:tcPr>
                <w:p w14:paraId="0025CC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color w:val="auto"/>
                      <w:sz w:val="21"/>
                      <w:szCs w:val="21"/>
                      <w:highlight w:val="none"/>
                    </w:rPr>
                  </w:pPr>
                  <w:r>
                    <w:rPr>
                      <w:rFonts w:hint="default" w:ascii="Times New Roman" w:hAnsi="Times New Roman" w:eastAsia="宋体" w:cs="Times New Roman"/>
                      <w:b w:val="0"/>
                      <w:bCs/>
                      <w:i w:val="0"/>
                      <w:iCs w:val="0"/>
                      <w:color w:val="auto"/>
                      <w:sz w:val="21"/>
                      <w:szCs w:val="21"/>
                      <w:highlight w:val="none"/>
                    </w:rPr>
                    <w:t>本项目</w:t>
                  </w:r>
                  <w:r>
                    <w:rPr>
                      <w:rFonts w:hint="default" w:ascii="Times New Roman" w:hAnsi="Times New Roman" w:cs="Times New Roman"/>
                      <w:b w:val="0"/>
                      <w:bCs/>
                      <w:i w:val="0"/>
                      <w:iCs w:val="0"/>
                      <w:color w:val="auto"/>
                      <w:sz w:val="21"/>
                      <w:szCs w:val="21"/>
                      <w:highlight w:val="none"/>
                      <w:lang w:val="en-US" w:eastAsia="zh-CN"/>
                    </w:rPr>
                    <w:t>建设1</w:t>
                  </w:r>
                  <w:r>
                    <w:rPr>
                      <w:rFonts w:hint="default" w:ascii="Times New Roman" w:hAnsi="Times New Roman" w:eastAsia="宋体" w:cs="Times New Roman"/>
                      <w:b w:val="0"/>
                      <w:bCs/>
                      <w:i w:val="0"/>
                      <w:iCs w:val="0"/>
                      <w:color w:val="auto"/>
                      <w:sz w:val="21"/>
                      <w:szCs w:val="21"/>
                      <w:highlight w:val="none"/>
                    </w:rPr>
                    <w:t>眼深水井及泵房等附属给水设施，单井出水能力最大可达100t/h，可满足本项目区生产、生活和消防用水需要。</w:t>
                  </w:r>
                </w:p>
              </w:tc>
            </w:tr>
            <w:tr w14:paraId="28DB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Merge w:val="continue"/>
                  <w:shd w:val="clear" w:color="auto" w:fill="auto"/>
                  <w:noWrap w:val="0"/>
                  <w:vAlign w:val="center"/>
                </w:tcPr>
                <w:p w14:paraId="7C89D8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i w:val="0"/>
                      <w:iCs w:val="0"/>
                      <w:color w:val="auto"/>
                      <w:sz w:val="21"/>
                      <w:szCs w:val="21"/>
                      <w:highlight w:val="none"/>
                    </w:rPr>
                  </w:pPr>
                </w:p>
              </w:tc>
              <w:tc>
                <w:tcPr>
                  <w:tcW w:w="1250" w:type="pct"/>
                  <w:shd w:val="clear" w:color="auto" w:fill="auto"/>
                  <w:noWrap w:val="0"/>
                  <w:vAlign w:val="center"/>
                </w:tcPr>
                <w:p w14:paraId="6A635144">
                  <w:pPr>
                    <w:pStyle w:val="1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snapToGrid w:val="0"/>
                      <w:color w:val="auto"/>
                      <w:kern w:val="0"/>
                      <w:sz w:val="21"/>
                      <w:szCs w:val="21"/>
                      <w:highlight w:val="none"/>
                    </w:rPr>
                  </w:pPr>
                  <w:r>
                    <w:rPr>
                      <w:rFonts w:hint="default" w:ascii="Times New Roman" w:hAnsi="Times New Roman" w:eastAsia="宋体" w:cs="Times New Roman"/>
                      <w:b w:val="0"/>
                      <w:bCs/>
                      <w:i w:val="0"/>
                      <w:iCs w:val="0"/>
                      <w:snapToGrid w:val="0"/>
                      <w:color w:val="auto"/>
                      <w:kern w:val="0"/>
                      <w:sz w:val="21"/>
                      <w:szCs w:val="21"/>
                      <w:highlight w:val="none"/>
                    </w:rPr>
                    <w:t>排水</w:t>
                  </w:r>
                </w:p>
              </w:tc>
              <w:tc>
                <w:tcPr>
                  <w:tcW w:w="2909" w:type="pct"/>
                  <w:gridSpan w:val="2"/>
                  <w:shd w:val="clear" w:color="auto" w:fill="auto"/>
                  <w:noWrap w:val="0"/>
                  <w:vAlign w:val="center"/>
                </w:tcPr>
                <w:p w14:paraId="2514F9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snapToGrid w:val="0"/>
                      <w:color w:val="auto"/>
                      <w:sz w:val="21"/>
                      <w:szCs w:val="21"/>
                      <w:highlight w:val="none"/>
                    </w:rPr>
                  </w:pPr>
                  <w:r>
                    <w:rPr>
                      <w:rFonts w:hint="default" w:ascii="Times New Roman" w:hAnsi="Times New Roman" w:eastAsia="宋体" w:cs="Times New Roman"/>
                      <w:b w:val="0"/>
                      <w:bCs/>
                      <w:i w:val="0"/>
                      <w:iCs w:val="0"/>
                      <w:color w:val="auto"/>
                      <w:sz w:val="21"/>
                      <w:szCs w:val="21"/>
                      <w:highlight w:val="none"/>
                    </w:rPr>
                    <w:t>厂区排水管网沿道路布置，其中全厂生产车间排出的污水由管道引到污水处理系统，经过处理后，排入市政排水管网，进入虎林市污水处理厂处理达标后排放。</w:t>
                  </w:r>
                </w:p>
              </w:tc>
            </w:tr>
            <w:tr w14:paraId="42CD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Merge w:val="continue"/>
                  <w:shd w:val="clear" w:color="auto" w:fill="auto"/>
                  <w:noWrap w:val="0"/>
                  <w:vAlign w:val="center"/>
                </w:tcPr>
                <w:p w14:paraId="7D0603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i w:val="0"/>
                      <w:iCs w:val="0"/>
                      <w:color w:val="auto"/>
                      <w:sz w:val="21"/>
                      <w:szCs w:val="21"/>
                      <w:highlight w:val="none"/>
                    </w:rPr>
                  </w:pPr>
                </w:p>
              </w:tc>
              <w:tc>
                <w:tcPr>
                  <w:tcW w:w="1250" w:type="pct"/>
                  <w:shd w:val="clear" w:color="auto" w:fill="auto"/>
                  <w:noWrap w:val="0"/>
                  <w:vAlign w:val="center"/>
                </w:tcPr>
                <w:p w14:paraId="0D8FCB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i w:val="0"/>
                      <w:iCs w:val="0"/>
                      <w:color w:val="auto"/>
                      <w:sz w:val="21"/>
                      <w:szCs w:val="21"/>
                      <w:highlight w:val="none"/>
                    </w:rPr>
                  </w:pPr>
                  <w:r>
                    <w:rPr>
                      <w:rFonts w:hint="default" w:ascii="Times New Roman" w:hAnsi="Times New Roman" w:eastAsia="宋体" w:cs="Times New Roman"/>
                      <w:b w:val="0"/>
                      <w:bCs/>
                      <w:i w:val="0"/>
                      <w:iCs w:val="0"/>
                      <w:color w:val="auto"/>
                      <w:sz w:val="21"/>
                      <w:szCs w:val="21"/>
                      <w:highlight w:val="none"/>
                    </w:rPr>
                    <w:t>供热</w:t>
                  </w:r>
                </w:p>
              </w:tc>
              <w:tc>
                <w:tcPr>
                  <w:tcW w:w="2909" w:type="pct"/>
                  <w:gridSpan w:val="2"/>
                  <w:shd w:val="clear" w:color="auto" w:fill="auto"/>
                  <w:noWrap w:val="0"/>
                  <w:vAlign w:val="center"/>
                </w:tcPr>
                <w:p w14:paraId="495413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color w:val="auto"/>
                      <w:sz w:val="21"/>
                      <w:szCs w:val="21"/>
                      <w:highlight w:val="none"/>
                      <w:lang w:val="en-US" w:eastAsia="zh-CN"/>
                    </w:rPr>
                  </w:pPr>
                  <w:r>
                    <w:rPr>
                      <w:rFonts w:hint="default" w:ascii="Times New Roman" w:hAnsi="Times New Roman" w:eastAsia="宋体" w:cs="Times New Roman"/>
                      <w:b w:val="0"/>
                      <w:bCs/>
                      <w:i w:val="0"/>
                      <w:iCs w:val="0"/>
                      <w:color w:val="auto"/>
                      <w:sz w:val="21"/>
                      <w:szCs w:val="21"/>
                      <w:highlight w:val="none"/>
                    </w:rPr>
                    <w:t>本项目生产及生活供热采用</w:t>
                  </w:r>
                  <w:r>
                    <w:rPr>
                      <w:rFonts w:hint="default" w:ascii="Times New Roman" w:hAnsi="Times New Roman" w:eastAsia="宋体" w:cs="Times New Roman"/>
                      <w:b w:val="0"/>
                      <w:bCs/>
                      <w:i w:val="0"/>
                      <w:iCs w:val="0"/>
                      <w:color w:val="auto"/>
                      <w:sz w:val="21"/>
                      <w:szCs w:val="21"/>
                      <w:highlight w:val="none"/>
                      <w:lang w:val="en-US" w:eastAsia="zh-CN"/>
                    </w:rPr>
                    <w:t>2</w:t>
                  </w:r>
                  <w:r>
                    <w:rPr>
                      <w:rFonts w:hint="default" w:ascii="Times New Roman" w:hAnsi="Times New Roman" w:eastAsia="宋体" w:cs="Times New Roman"/>
                      <w:b w:val="0"/>
                      <w:bCs/>
                      <w:i w:val="0"/>
                      <w:iCs w:val="0"/>
                      <w:color w:val="auto"/>
                      <w:sz w:val="21"/>
                      <w:szCs w:val="21"/>
                      <w:highlight w:val="none"/>
                    </w:rPr>
                    <w:t>t/h</w:t>
                  </w:r>
                  <w:r>
                    <w:rPr>
                      <w:rFonts w:hint="default" w:ascii="Times New Roman" w:hAnsi="Times New Roman" w:cs="Times New Roman"/>
                      <w:b w:val="0"/>
                      <w:bCs/>
                      <w:i w:val="0"/>
                      <w:iCs w:val="0"/>
                      <w:color w:val="auto"/>
                      <w:sz w:val="21"/>
                      <w:szCs w:val="21"/>
                      <w:highlight w:val="none"/>
                      <w:lang w:val="en-US" w:eastAsia="zh-CN"/>
                    </w:rPr>
                    <w:t>生物质</w:t>
                  </w:r>
                  <w:r>
                    <w:rPr>
                      <w:rFonts w:hint="default" w:ascii="Times New Roman" w:hAnsi="Times New Roman" w:eastAsia="宋体" w:cs="Times New Roman"/>
                      <w:b w:val="0"/>
                      <w:bCs/>
                      <w:i w:val="0"/>
                      <w:iCs w:val="0"/>
                      <w:color w:val="auto"/>
                      <w:sz w:val="21"/>
                      <w:szCs w:val="21"/>
                      <w:highlight w:val="none"/>
                    </w:rPr>
                    <w:t>蒸汽锅炉</w:t>
                  </w:r>
                </w:p>
              </w:tc>
            </w:tr>
            <w:tr w14:paraId="358C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Merge w:val="continue"/>
                  <w:shd w:val="clear" w:color="auto" w:fill="auto"/>
                  <w:noWrap w:val="0"/>
                  <w:vAlign w:val="center"/>
                </w:tcPr>
                <w:p w14:paraId="2D8AC3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i w:val="0"/>
                      <w:iCs w:val="0"/>
                      <w:color w:val="auto"/>
                      <w:sz w:val="21"/>
                      <w:szCs w:val="21"/>
                      <w:highlight w:val="none"/>
                    </w:rPr>
                  </w:pPr>
                </w:p>
              </w:tc>
              <w:tc>
                <w:tcPr>
                  <w:tcW w:w="1250" w:type="pct"/>
                  <w:shd w:val="clear" w:color="auto" w:fill="auto"/>
                  <w:noWrap w:val="0"/>
                  <w:vAlign w:val="center"/>
                </w:tcPr>
                <w:p w14:paraId="7EE8AC4C">
                  <w:pPr>
                    <w:pStyle w:val="1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snapToGrid w:val="0"/>
                      <w:color w:val="auto"/>
                      <w:kern w:val="0"/>
                      <w:sz w:val="21"/>
                      <w:szCs w:val="21"/>
                      <w:highlight w:val="none"/>
                    </w:rPr>
                  </w:pPr>
                  <w:r>
                    <w:rPr>
                      <w:rFonts w:hint="default" w:ascii="Times New Roman" w:hAnsi="Times New Roman" w:eastAsia="宋体" w:cs="Times New Roman"/>
                      <w:b w:val="0"/>
                      <w:bCs/>
                      <w:i w:val="0"/>
                      <w:iCs w:val="0"/>
                      <w:snapToGrid w:val="0"/>
                      <w:color w:val="auto"/>
                      <w:kern w:val="0"/>
                      <w:sz w:val="21"/>
                      <w:szCs w:val="21"/>
                      <w:highlight w:val="none"/>
                    </w:rPr>
                    <w:t>供电</w:t>
                  </w:r>
                </w:p>
              </w:tc>
              <w:tc>
                <w:tcPr>
                  <w:tcW w:w="2909" w:type="pct"/>
                  <w:gridSpan w:val="2"/>
                  <w:shd w:val="clear" w:color="auto" w:fill="auto"/>
                  <w:noWrap w:val="0"/>
                  <w:vAlign w:val="center"/>
                </w:tcPr>
                <w:p w14:paraId="00D46F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i w:val="0"/>
                      <w:iCs w:val="0"/>
                      <w:color w:val="auto"/>
                      <w:sz w:val="21"/>
                      <w:szCs w:val="21"/>
                      <w:highlight w:val="none"/>
                    </w:rPr>
                  </w:pPr>
                  <w:r>
                    <w:rPr>
                      <w:rFonts w:hint="default" w:ascii="Times New Roman" w:hAnsi="Times New Roman" w:eastAsia="宋体" w:cs="Times New Roman"/>
                      <w:b w:val="0"/>
                      <w:bCs/>
                      <w:i w:val="0"/>
                      <w:iCs w:val="0"/>
                      <w:color w:val="auto"/>
                      <w:sz w:val="21"/>
                      <w:szCs w:val="21"/>
                      <w:highlight w:val="none"/>
                    </w:rPr>
                    <w:t>本项目供电来自虎林市电网。</w:t>
                  </w:r>
                </w:p>
              </w:tc>
            </w:tr>
            <w:tr w14:paraId="6EFD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Merge w:val="restart"/>
                  <w:shd w:val="clear" w:color="auto" w:fill="auto"/>
                  <w:noWrap w:val="0"/>
                  <w:vAlign w:val="center"/>
                </w:tcPr>
                <w:p w14:paraId="18E9F180">
                  <w:pPr>
                    <w:pStyle w:val="1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snapToGrid w:val="0"/>
                      <w:color w:val="auto"/>
                      <w:kern w:val="0"/>
                      <w:sz w:val="21"/>
                      <w:szCs w:val="21"/>
                      <w:highlight w:val="none"/>
                    </w:rPr>
                  </w:pPr>
                  <w:r>
                    <w:rPr>
                      <w:rFonts w:hint="default" w:ascii="Times New Roman" w:hAnsi="Times New Roman" w:eastAsia="宋体" w:cs="Times New Roman"/>
                      <w:b w:val="0"/>
                      <w:bCs/>
                      <w:i w:val="0"/>
                      <w:iCs w:val="0"/>
                      <w:snapToGrid w:val="0"/>
                      <w:color w:val="auto"/>
                      <w:kern w:val="0"/>
                      <w:sz w:val="21"/>
                      <w:szCs w:val="21"/>
                      <w:highlight w:val="none"/>
                    </w:rPr>
                    <w:t>环保工程</w:t>
                  </w:r>
                </w:p>
              </w:tc>
              <w:tc>
                <w:tcPr>
                  <w:tcW w:w="1250" w:type="pct"/>
                  <w:shd w:val="clear" w:color="auto" w:fill="auto"/>
                  <w:noWrap w:val="0"/>
                  <w:vAlign w:val="center"/>
                </w:tcPr>
                <w:p w14:paraId="75CDEA8F">
                  <w:pPr>
                    <w:pStyle w:val="1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snapToGrid w:val="0"/>
                      <w:color w:val="auto"/>
                      <w:kern w:val="0"/>
                      <w:sz w:val="21"/>
                      <w:szCs w:val="21"/>
                      <w:highlight w:val="none"/>
                    </w:rPr>
                  </w:pPr>
                  <w:r>
                    <w:rPr>
                      <w:rFonts w:hint="default" w:ascii="Times New Roman" w:hAnsi="Times New Roman" w:eastAsia="宋体" w:cs="Times New Roman"/>
                      <w:b w:val="0"/>
                      <w:bCs/>
                      <w:i w:val="0"/>
                      <w:iCs w:val="0"/>
                      <w:snapToGrid w:val="0"/>
                      <w:color w:val="auto"/>
                      <w:kern w:val="0"/>
                      <w:sz w:val="21"/>
                      <w:szCs w:val="21"/>
                      <w:highlight w:val="none"/>
                    </w:rPr>
                    <w:t>锅炉烟气</w:t>
                  </w:r>
                </w:p>
              </w:tc>
              <w:tc>
                <w:tcPr>
                  <w:tcW w:w="2909" w:type="pct"/>
                  <w:gridSpan w:val="2"/>
                  <w:shd w:val="clear" w:color="auto" w:fill="auto"/>
                  <w:noWrap w:val="0"/>
                  <w:vAlign w:val="center"/>
                </w:tcPr>
                <w:p w14:paraId="1485BE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i w:val="0"/>
                      <w:iCs w:val="0"/>
                      <w:color w:val="auto"/>
                      <w:sz w:val="21"/>
                      <w:szCs w:val="21"/>
                      <w:highlight w:val="none"/>
                    </w:rPr>
                  </w:pPr>
                  <w:r>
                    <w:rPr>
                      <w:rFonts w:hint="default" w:ascii="Times New Roman" w:hAnsi="Times New Roman" w:eastAsia="宋体" w:cs="Times New Roman"/>
                      <w:b w:val="0"/>
                      <w:bCs/>
                      <w:i w:val="0"/>
                      <w:iCs w:val="0"/>
                      <w:color w:val="auto"/>
                      <w:sz w:val="21"/>
                      <w:szCs w:val="21"/>
                      <w:highlight w:val="none"/>
                    </w:rPr>
                    <w:t>本项目采用布袋除尘器，锅炉烟气经除尘器处理后，经排气筒排放</w:t>
                  </w:r>
                </w:p>
              </w:tc>
            </w:tr>
            <w:tr w14:paraId="3F256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Merge w:val="continue"/>
                  <w:shd w:val="clear" w:color="auto" w:fill="auto"/>
                  <w:noWrap w:val="0"/>
                  <w:vAlign w:val="center"/>
                </w:tcPr>
                <w:p w14:paraId="7954F800">
                  <w:pPr>
                    <w:pStyle w:val="1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snapToGrid w:val="0"/>
                      <w:color w:val="auto"/>
                      <w:kern w:val="0"/>
                      <w:sz w:val="21"/>
                      <w:szCs w:val="21"/>
                      <w:highlight w:val="none"/>
                    </w:rPr>
                  </w:pPr>
                </w:p>
              </w:tc>
              <w:tc>
                <w:tcPr>
                  <w:tcW w:w="1250" w:type="pct"/>
                  <w:shd w:val="clear" w:color="auto" w:fill="auto"/>
                  <w:noWrap w:val="0"/>
                  <w:vAlign w:val="center"/>
                </w:tcPr>
                <w:p w14:paraId="25DBC682">
                  <w:pPr>
                    <w:pStyle w:val="1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snapToGrid w:val="0"/>
                      <w:color w:val="auto"/>
                      <w:kern w:val="0"/>
                      <w:sz w:val="21"/>
                      <w:szCs w:val="21"/>
                      <w:highlight w:val="none"/>
                    </w:rPr>
                  </w:pPr>
                  <w:r>
                    <w:rPr>
                      <w:rFonts w:hint="default" w:ascii="Times New Roman" w:hAnsi="Times New Roman" w:eastAsia="宋体" w:cs="Times New Roman"/>
                      <w:b w:val="0"/>
                      <w:bCs/>
                      <w:i w:val="0"/>
                      <w:iCs w:val="0"/>
                      <w:snapToGrid w:val="0"/>
                      <w:color w:val="auto"/>
                      <w:kern w:val="0"/>
                      <w:sz w:val="21"/>
                      <w:szCs w:val="21"/>
                      <w:highlight w:val="none"/>
                    </w:rPr>
                    <w:t>预处理车间粉尘</w:t>
                  </w:r>
                </w:p>
              </w:tc>
              <w:tc>
                <w:tcPr>
                  <w:tcW w:w="2909" w:type="pct"/>
                  <w:gridSpan w:val="2"/>
                  <w:shd w:val="clear" w:color="auto" w:fill="auto"/>
                  <w:noWrap w:val="0"/>
                  <w:vAlign w:val="center"/>
                </w:tcPr>
                <w:p w14:paraId="22F094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i w:val="0"/>
                      <w:iCs w:val="0"/>
                      <w:color w:val="auto"/>
                      <w:sz w:val="21"/>
                      <w:szCs w:val="21"/>
                      <w:highlight w:val="none"/>
                    </w:rPr>
                  </w:pPr>
                  <w:r>
                    <w:rPr>
                      <w:rFonts w:hint="default" w:ascii="Times New Roman" w:hAnsi="Times New Roman" w:eastAsia="宋体" w:cs="Times New Roman"/>
                      <w:b w:val="0"/>
                      <w:bCs/>
                      <w:i w:val="0"/>
                      <w:iCs w:val="0"/>
                      <w:color w:val="auto"/>
                      <w:sz w:val="21"/>
                      <w:szCs w:val="21"/>
                      <w:highlight w:val="none"/>
                    </w:rPr>
                    <w:t>采用型号为TBLM78-A的脉冲布袋除尘器，除尘效率为99</w:t>
                  </w:r>
                  <w:r>
                    <w:rPr>
                      <w:rFonts w:hint="default" w:ascii="Times New Roman" w:hAnsi="Times New Roman" w:eastAsia="宋体" w:cs="Times New Roman"/>
                      <w:b w:val="0"/>
                      <w:bCs/>
                      <w:i w:val="0"/>
                      <w:iCs w:val="0"/>
                      <w:color w:val="auto"/>
                      <w:sz w:val="21"/>
                      <w:szCs w:val="21"/>
                      <w:highlight w:val="none"/>
                      <w:lang w:val="en-US" w:eastAsia="zh-CN"/>
                    </w:rPr>
                    <w:t>.9</w:t>
                  </w:r>
                  <w:r>
                    <w:rPr>
                      <w:rFonts w:hint="default" w:ascii="Times New Roman" w:hAnsi="Times New Roman" w:eastAsia="宋体" w:cs="Times New Roman"/>
                      <w:b w:val="0"/>
                      <w:bCs/>
                      <w:i w:val="0"/>
                      <w:iCs w:val="0"/>
                      <w:color w:val="auto"/>
                      <w:sz w:val="21"/>
                      <w:szCs w:val="21"/>
                      <w:highlight w:val="none"/>
                    </w:rPr>
                    <w:t>%，车间设置抽排风管道，收集的含尘气体经除尘处理后，通过15m高排气筒高空排放。</w:t>
                  </w:r>
                </w:p>
              </w:tc>
            </w:tr>
            <w:tr w14:paraId="48EB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Merge w:val="continue"/>
                  <w:shd w:val="clear" w:color="auto" w:fill="auto"/>
                  <w:noWrap w:val="0"/>
                  <w:vAlign w:val="center"/>
                </w:tcPr>
                <w:p w14:paraId="65A191A0">
                  <w:pPr>
                    <w:pStyle w:val="1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snapToGrid w:val="0"/>
                      <w:color w:val="auto"/>
                      <w:kern w:val="0"/>
                      <w:sz w:val="21"/>
                      <w:szCs w:val="21"/>
                      <w:highlight w:val="none"/>
                    </w:rPr>
                  </w:pPr>
                </w:p>
              </w:tc>
              <w:tc>
                <w:tcPr>
                  <w:tcW w:w="1250" w:type="pct"/>
                  <w:shd w:val="clear" w:color="auto" w:fill="auto"/>
                  <w:noWrap w:val="0"/>
                  <w:vAlign w:val="center"/>
                </w:tcPr>
                <w:p w14:paraId="7AB9F5CF">
                  <w:pPr>
                    <w:pStyle w:val="1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snapToGrid w:val="0"/>
                      <w:color w:val="auto"/>
                      <w:kern w:val="0"/>
                      <w:sz w:val="21"/>
                      <w:szCs w:val="21"/>
                      <w:highlight w:val="none"/>
                    </w:rPr>
                  </w:pPr>
                  <w:r>
                    <w:rPr>
                      <w:rFonts w:hint="default" w:ascii="Times New Roman" w:hAnsi="Times New Roman" w:eastAsia="宋体" w:cs="Times New Roman"/>
                      <w:b w:val="0"/>
                      <w:bCs/>
                      <w:i w:val="0"/>
                      <w:iCs w:val="0"/>
                      <w:snapToGrid w:val="0"/>
                      <w:color w:val="auto"/>
                      <w:kern w:val="0"/>
                      <w:sz w:val="21"/>
                      <w:szCs w:val="21"/>
                      <w:highlight w:val="none"/>
                    </w:rPr>
                    <w:t>精炼车间粉尘</w:t>
                  </w:r>
                </w:p>
              </w:tc>
              <w:tc>
                <w:tcPr>
                  <w:tcW w:w="2909" w:type="pct"/>
                  <w:gridSpan w:val="2"/>
                  <w:shd w:val="clear" w:color="auto" w:fill="auto"/>
                  <w:noWrap w:val="0"/>
                  <w:vAlign w:val="center"/>
                </w:tcPr>
                <w:p w14:paraId="094C2C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i w:val="0"/>
                      <w:iCs w:val="0"/>
                      <w:color w:val="auto"/>
                      <w:sz w:val="21"/>
                      <w:szCs w:val="21"/>
                      <w:highlight w:val="none"/>
                    </w:rPr>
                  </w:pPr>
                  <w:r>
                    <w:rPr>
                      <w:rFonts w:hint="default" w:ascii="Times New Roman" w:hAnsi="Times New Roman" w:eastAsia="宋体" w:cs="Times New Roman"/>
                      <w:b w:val="0"/>
                      <w:bCs/>
                      <w:i w:val="0"/>
                      <w:iCs w:val="0"/>
                      <w:color w:val="auto"/>
                      <w:sz w:val="21"/>
                      <w:szCs w:val="21"/>
                      <w:highlight w:val="none"/>
                    </w:rPr>
                    <w:t>采用布袋除尘器，处理效率按照9</w:t>
                  </w:r>
                  <w:r>
                    <w:rPr>
                      <w:rFonts w:hint="default" w:ascii="Times New Roman" w:hAnsi="Times New Roman" w:eastAsia="宋体" w:cs="Times New Roman"/>
                      <w:b w:val="0"/>
                      <w:bCs/>
                      <w:i w:val="0"/>
                      <w:iCs w:val="0"/>
                      <w:color w:val="auto"/>
                      <w:sz w:val="21"/>
                      <w:szCs w:val="21"/>
                      <w:highlight w:val="none"/>
                      <w:lang w:val="en-US" w:eastAsia="zh-CN"/>
                    </w:rPr>
                    <w:t>9</w:t>
                  </w:r>
                  <w:r>
                    <w:rPr>
                      <w:rFonts w:hint="default" w:ascii="Times New Roman" w:hAnsi="Times New Roman" w:eastAsia="宋体" w:cs="Times New Roman"/>
                      <w:b w:val="0"/>
                      <w:bCs/>
                      <w:i w:val="0"/>
                      <w:iCs w:val="0"/>
                      <w:color w:val="auto"/>
                      <w:sz w:val="21"/>
                      <w:szCs w:val="21"/>
                      <w:highlight w:val="none"/>
                    </w:rPr>
                    <w:t>%估算，集得的粉尘全部回用于生产，剩余尾气于15米高烟囱排空。</w:t>
                  </w:r>
                </w:p>
              </w:tc>
            </w:tr>
            <w:tr w14:paraId="6A1C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Merge w:val="continue"/>
                  <w:shd w:val="clear" w:color="auto" w:fill="auto"/>
                  <w:noWrap w:val="0"/>
                  <w:vAlign w:val="center"/>
                </w:tcPr>
                <w:p w14:paraId="0EC8A1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i w:val="0"/>
                      <w:iCs w:val="0"/>
                      <w:color w:val="auto"/>
                      <w:sz w:val="21"/>
                      <w:szCs w:val="21"/>
                      <w:highlight w:val="none"/>
                    </w:rPr>
                  </w:pPr>
                </w:p>
              </w:tc>
              <w:tc>
                <w:tcPr>
                  <w:tcW w:w="1250" w:type="pct"/>
                  <w:shd w:val="clear" w:color="auto" w:fill="auto"/>
                  <w:noWrap w:val="0"/>
                  <w:vAlign w:val="center"/>
                </w:tcPr>
                <w:p w14:paraId="6AA0E158">
                  <w:pPr>
                    <w:pStyle w:val="1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color w:val="auto"/>
                      <w:sz w:val="21"/>
                      <w:szCs w:val="21"/>
                      <w:highlight w:val="none"/>
                    </w:rPr>
                  </w:pPr>
                  <w:r>
                    <w:rPr>
                      <w:rFonts w:hint="default" w:ascii="Times New Roman" w:hAnsi="Times New Roman" w:eastAsia="宋体" w:cs="Times New Roman"/>
                      <w:b w:val="0"/>
                      <w:bCs/>
                      <w:i w:val="0"/>
                      <w:iCs w:val="0"/>
                      <w:snapToGrid w:val="0"/>
                      <w:color w:val="auto"/>
                      <w:kern w:val="0"/>
                      <w:sz w:val="21"/>
                      <w:szCs w:val="21"/>
                      <w:highlight w:val="none"/>
                    </w:rPr>
                    <w:t>污水处理</w:t>
                  </w:r>
                </w:p>
              </w:tc>
              <w:tc>
                <w:tcPr>
                  <w:tcW w:w="2909" w:type="pct"/>
                  <w:gridSpan w:val="2"/>
                  <w:shd w:val="clear" w:color="auto" w:fill="auto"/>
                  <w:noWrap w:val="0"/>
                  <w:vAlign w:val="center"/>
                </w:tcPr>
                <w:p w14:paraId="40BC93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snapToGrid w:val="0"/>
                      <w:color w:val="auto"/>
                      <w:sz w:val="21"/>
                      <w:szCs w:val="21"/>
                      <w:highlight w:val="none"/>
                    </w:rPr>
                  </w:pPr>
                  <w:r>
                    <w:rPr>
                      <w:rFonts w:hint="default" w:ascii="Times New Roman" w:hAnsi="Times New Roman" w:eastAsia="宋体" w:cs="Times New Roman"/>
                      <w:b w:val="0"/>
                      <w:bCs/>
                      <w:i w:val="0"/>
                      <w:iCs w:val="0"/>
                      <w:color w:val="auto"/>
                      <w:sz w:val="21"/>
                      <w:szCs w:val="21"/>
                      <w:highlight w:val="none"/>
                    </w:rPr>
                    <w:t>本项目产生废水经自建污水处理系统处理达到《污水综合排放标准》（GB8978-1996）三级标准后排入市政排水管网。</w:t>
                  </w:r>
                </w:p>
              </w:tc>
            </w:tr>
            <w:tr w14:paraId="414C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Merge w:val="continue"/>
                  <w:shd w:val="clear" w:color="auto" w:fill="auto"/>
                  <w:noWrap w:val="0"/>
                  <w:vAlign w:val="center"/>
                </w:tcPr>
                <w:p w14:paraId="6047C4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i w:val="0"/>
                      <w:iCs w:val="0"/>
                      <w:color w:val="auto"/>
                      <w:sz w:val="21"/>
                      <w:szCs w:val="21"/>
                      <w:highlight w:val="none"/>
                    </w:rPr>
                  </w:pPr>
                </w:p>
              </w:tc>
              <w:tc>
                <w:tcPr>
                  <w:tcW w:w="1250" w:type="pct"/>
                  <w:shd w:val="clear" w:color="auto" w:fill="auto"/>
                  <w:noWrap w:val="0"/>
                  <w:vAlign w:val="center"/>
                </w:tcPr>
                <w:p w14:paraId="68EF691C">
                  <w:pPr>
                    <w:pStyle w:val="1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snapToGrid w:val="0"/>
                      <w:color w:val="auto"/>
                      <w:kern w:val="0"/>
                      <w:sz w:val="21"/>
                      <w:szCs w:val="21"/>
                      <w:highlight w:val="none"/>
                    </w:rPr>
                  </w:pPr>
                  <w:r>
                    <w:rPr>
                      <w:rFonts w:hint="default" w:ascii="Times New Roman" w:hAnsi="Times New Roman" w:eastAsia="宋体" w:cs="Times New Roman"/>
                      <w:b w:val="0"/>
                      <w:bCs/>
                      <w:i w:val="0"/>
                      <w:iCs w:val="0"/>
                      <w:snapToGrid w:val="0"/>
                      <w:color w:val="auto"/>
                      <w:kern w:val="0"/>
                      <w:sz w:val="21"/>
                      <w:szCs w:val="21"/>
                      <w:highlight w:val="none"/>
                    </w:rPr>
                    <w:t>设备噪声</w:t>
                  </w:r>
                </w:p>
              </w:tc>
              <w:tc>
                <w:tcPr>
                  <w:tcW w:w="2909" w:type="pct"/>
                  <w:gridSpan w:val="2"/>
                  <w:shd w:val="clear" w:color="auto" w:fill="auto"/>
                  <w:noWrap w:val="0"/>
                  <w:vAlign w:val="center"/>
                </w:tcPr>
                <w:p w14:paraId="1CFAB5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snapToGrid w:val="0"/>
                      <w:color w:val="auto"/>
                      <w:sz w:val="21"/>
                      <w:szCs w:val="21"/>
                      <w:highlight w:val="none"/>
                    </w:rPr>
                  </w:pPr>
                  <w:r>
                    <w:rPr>
                      <w:rFonts w:hint="default" w:ascii="Times New Roman" w:hAnsi="Times New Roman" w:eastAsia="宋体" w:cs="Times New Roman"/>
                      <w:b w:val="0"/>
                      <w:bCs/>
                      <w:i w:val="0"/>
                      <w:iCs w:val="0"/>
                      <w:color w:val="auto"/>
                      <w:sz w:val="21"/>
                      <w:szCs w:val="21"/>
                      <w:highlight w:val="none"/>
                    </w:rPr>
                    <w:t>在设备上选用高效低噪声设备。把噪声较大的空压机等布置在独立的房间内，对预处理车间的风机进行</w:t>
                  </w:r>
                  <w:r>
                    <w:rPr>
                      <w:rFonts w:hint="eastAsia" w:ascii="Times New Roman" w:hAnsi="Times New Roman" w:cs="Times New Roman"/>
                      <w:b w:val="0"/>
                      <w:bCs/>
                      <w:i w:val="0"/>
                      <w:iCs w:val="0"/>
                      <w:color w:val="auto"/>
                      <w:sz w:val="21"/>
                      <w:szCs w:val="21"/>
                      <w:highlight w:val="none"/>
                      <w:lang w:eastAsia="zh-CN"/>
                    </w:rPr>
                    <w:t>减振</w:t>
                  </w:r>
                  <w:r>
                    <w:rPr>
                      <w:rFonts w:hint="default" w:ascii="Times New Roman" w:hAnsi="Times New Roman" w:eastAsia="宋体" w:cs="Times New Roman"/>
                      <w:b w:val="0"/>
                      <w:bCs/>
                      <w:i w:val="0"/>
                      <w:iCs w:val="0"/>
                      <w:color w:val="auto"/>
                      <w:sz w:val="21"/>
                      <w:szCs w:val="21"/>
                      <w:highlight w:val="none"/>
                    </w:rPr>
                    <w:t>，同时土建专业</w:t>
                  </w:r>
                  <w:r>
                    <w:rPr>
                      <w:rFonts w:hint="eastAsia" w:ascii="Times New Roman" w:hAnsi="Times New Roman" w:cs="Times New Roman"/>
                      <w:b w:val="0"/>
                      <w:bCs/>
                      <w:i w:val="0"/>
                      <w:iCs w:val="0"/>
                      <w:color w:val="auto"/>
                      <w:sz w:val="21"/>
                      <w:szCs w:val="21"/>
                      <w:highlight w:val="none"/>
                      <w:lang w:eastAsia="zh-CN"/>
                    </w:rPr>
                    <w:t>做</w:t>
                  </w:r>
                  <w:r>
                    <w:rPr>
                      <w:rFonts w:hint="default" w:ascii="Times New Roman" w:hAnsi="Times New Roman" w:eastAsia="宋体" w:cs="Times New Roman"/>
                      <w:b w:val="0"/>
                      <w:bCs/>
                      <w:i w:val="0"/>
                      <w:iCs w:val="0"/>
                      <w:color w:val="auto"/>
                      <w:sz w:val="21"/>
                      <w:szCs w:val="21"/>
                      <w:highlight w:val="none"/>
                    </w:rPr>
                    <w:t>适当的消声处理。</w:t>
                  </w:r>
                </w:p>
              </w:tc>
            </w:tr>
            <w:tr w14:paraId="55F3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pct"/>
                  <w:vMerge w:val="continue"/>
                  <w:shd w:val="clear" w:color="auto" w:fill="auto"/>
                  <w:noWrap w:val="0"/>
                  <w:vAlign w:val="center"/>
                </w:tcPr>
                <w:p w14:paraId="577355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i w:val="0"/>
                      <w:iCs w:val="0"/>
                      <w:color w:val="auto"/>
                      <w:sz w:val="21"/>
                      <w:szCs w:val="21"/>
                      <w:highlight w:val="none"/>
                    </w:rPr>
                  </w:pPr>
                </w:p>
              </w:tc>
              <w:tc>
                <w:tcPr>
                  <w:tcW w:w="1250" w:type="pct"/>
                  <w:shd w:val="clear" w:color="auto" w:fill="auto"/>
                  <w:noWrap w:val="0"/>
                  <w:vAlign w:val="center"/>
                </w:tcPr>
                <w:p w14:paraId="17513EFA">
                  <w:pPr>
                    <w:pStyle w:val="13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i w:val="0"/>
                      <w:iCs w:val="0"/>
                      <w:snapToGrid w:val="0"/>
                      <w:color w:val="auto"/>
                      <w:kern w:val="0"/>
                      <w:sz w:val="21"/>
                      <w:szCs w:val="21"/>
                      <w:highlight w:val="none"/>
                    </w:rPr>
                  </w:pPr>
                  <w:r>
                    <w:rPr>
                      <w:rFonts w:hint="default" w:ascii="Times New Roman" w:hAnsi="Times New Roman" w:eastAsia="宋体" w:cs="Times New Roman"/>
                      <w:b w:val="0"/>
                      <w:bCs/>
                      <w:i w:val="0"/>
                      <w:iCs w:val="0"/>
                      <w:snapToGrid w:val="0"/>
                      <w:color w:val="auto"/>
                      <w:kern w:val="0"/>
                      <w:sz w:val="21"/>
                      <w:szCs w:val="21"/>
                      <w:highlight w:val="none"/>
                    </w:rPr>
                    <w:t>绿化</w:t>
                  </w:r>
                </w:p>
              </w:tc>
              <w:tc>
                <w:tcPr>
                  <w:tcW w:w="2909" w:type="pct"/>
                  <w:gridSpan w:val="2"/>
                  <w:shd w:val="clear" w:color="auto" w:fill="auto"/>
                  <w:noWrap w:val="0"/>
                  <w:vAlign w:val="center"/>
                </w:tcPr>
                <w:p w14:paraId="7D11DB3C">
                  <w:pPr>
                    <w:pStyle w:val="13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b w:val="0"/>
                      <w:bCs/>
                      <w:i w:val="0"/>
                      <w:iCs w:val="0"/>
                      <w:snapToGrid w:val="0"/>
                      <w:color w:val="auto"/>
                      <w:kern w:val="0"/>
                      <w:sz w:val="21"/>
                      <w:szCs w:val="21"/>
                      <w:highlight w:val="none"/>
                    </w:rPr>
                  </w:pPr>
                  <w:r>
                    <w:rPr>
                      <w:rFonts w:hint="default" w:ascii="Times New Roman" w:hAnsi="Times New Roman" w:eastAsia="宋体" w:cs="Times New Roman"/>
                      <w:b w:val="0"/>
                      <w:bCs/>
                      <w:i w:val="0"/>
                      <w:iCs w:val="0"/>
                      <w:snapToGrid w:val="0"/>
                      <w:color w:val="auto"/>
                      <w:kern w:val="0"/>
                      <w:sz w:val="21"/>
                      <w:szCs w:val="21"/>
                      <w:highlight w:val="none"/>
                    </w:rPr>
                    <w:t>绿化面积：2906m</w:t>
                  </w:r>
                  <w:r>
                    <w:rPr>
                      <w:rFonts w:hint="default" w:ascii="Times New Roman" w:hAnsi="Times New Roman" w:eastAsia="宋体" w:cs="Times New Roman"/>
                      <w:b w:val="0"/>
                      <w:bCs/>
                      <w:i w:val="0"/>
                      <w:iCs w:val="0"/>
                      <w:snapToGrid w:val="0"/>
                      <w:color w:val="auto"/>
                      <w:kern w:val="0"/>
                      <w:sz w:val="21"/>
                      <w:szCs w:val="21"/>
                      <w:highlight w:val="none"/>
                      <w:vertAlign w:val="superscript"/>
                    </w:rPr>
                    <w:t>2</w:t>
                  </w:r>
                  <w:r>
                    <w:rPr>
                      <w:rFonts w:hint="default" w:ascii="Times New Roman" w:hAnsi="Times New Roman" w:eastAsia="宋体" w:cs="Times New Roman"/>
                      <w:b w:val="0"/>
                      <w:bCs/>
                      <w:i w:val="0"/>
                      <w:iCs w:val="0"/>
                      <w:snapToGrid w:val="0"/>
                      <w:color w:val="auto"/>
                      <w:kern w:val="0"/>
                      <w:sz w:val="21"/>
                      <w:szCs w:val="21"/>
                      <w:highlight w:val="none"/>
                    </w:rPr>
                    <w:t>，绿化率：15%。</w:t>
                  </w:r>
                </w:p>
              </w:tc>
            </w:tr>
          </w:tbl>
          <w:p w14:paraId="13F59CBD">
            <w:pPr>
              <w:spacing w:line="360" w:lineRule="auto"/>
              <w:ind w:left="0" w:leftChars="0" w:firstLine="0" w:firstLineChars="0"/>
              <w:jc w:val="left"/>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3.原项目产品方案和原辅材料用量</w:t>
            </w:r>
          </w:p>
          <w:p w14:paraId="404EF883">
            <w:pPr>
              <w:spacing w:line="50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《绿都集团股份有限公司日处理200吨米糠制油设施建设项目环境影响评价报告表》，本项目建设新建日处理200t米糠生产线1条、日处理200t浸油生产线1条、日处理35t毛油精炼生产线1条。</w:t>
            </w:r>
          </w:p>
          <w:p w14:paraId="7DC11950">
            <w:pPr>
              <w:spacing w:line="500" w:lineRule="exact"/>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原有项目</w:t>
            </w:r>
            <w:r>
              <w:rPr>
                <w:rFonts w:hint="default" w:ascii="Times New Roman" w:hAnsi="Times New Roman" w:eastAsia="宋体" w:cs="Times New Roman"/>
                <w:color w:val="auto"/>
                <w:highlight w:val="none"/>
                <w:lang w:val="en-US" w:eastAsia="zh-CN"/>
              </w:rPr>
              <w:t>主要</w:t>
            </w:r>
            <w:r>
              <w:rPr>
                <w:rFonts w:hint="default" w:ascii="Times New Roman" w:hAnsi="Times New Roman" w:eastAsia="宋体" w:cs="Times New Roman"/>
                <w:color w:val="auto"/>
                <w:highlight w:val="none"/>
              </w:rPr>
              <w:t>原辅材料消耗如下表</w:t>
            </w:r>
            <w:r>
              <w:rPr>
                <w:rFonts w:hint="default" w:ascii="Times New Roman" w:hAnsi="Times New Roman" w:eastAsia="宋体" w:cs="Times New Roman"/>
                <w:color w:val="auto"/>
                <w:highlight w:val="none"/>
                <w:lang w:val="en-US" w:eastAsia="zh-CN"/>
              </w:rPr>
              <w:t>2-6</w:t>
            </w:r>
            <w:r>
              <w:rPr>
                <w:rFonts w:hint="default" w:ascii="Times New Roman" w:hAnsi="Times New Roman" w:eastAsia="宋体" w:cs="Times New Roman"/>
                <w:color w:val="auto"/>
                <w:highlight w:val="none"/>
              </w:rPr>
              <w:t>所示：</w:t>
            </w:r>
          </w:p>
          <w:p w14:paraId="0CC0F4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bCs w:val="0"/>
                <w:color w:val="auto"/>
                <w:kern w:val="2"/>
                <w:sz w:val="21"/>
                <w:szCs w:val="21"/>
                <w:highlight w:val="none"/>
                <w:lang w:val="en-US" w:eastAsia="zh-CN" w:bidi="ar-SA"/>
              </w:rPr>
              <w:t>表2-6原辅材料消耗一览表</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797"/>
              <w:gridCol w:w="2255"/>
              <w:gridCol w:w="1440"/>
              <w:gridCol w:w="2142"/>
            </w:tblGrid>
            <w:tr w14:paraId="5AB9B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77" w:type="pct"/>
                  <w:vMerge w:val="restart"/>
                  <w:noWrap w:val="0"/>
                  <w:vAlign w:val="center"/>
                </w:tcPr>
                <w:p w14:paraId="274D26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477" w:type="pct"/>
                  <w:vMerge w:val="restart"/>
                  <w:noWrap w:val="0"/>
                  <w:vAlign w:val="center"/>
                </w:tcPr>
                <w:p w14:paraId="2DF830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2346" w:type="pct"/>
                  <w:gridSpan w:val="2"/>
                  <w:noWrap w:val="0"/>
                  <w:vAlign w:val="center"/>
                </w:tcPr>
                <w:p w14:paraId="62E26F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年需用量</w:t>
                  </w:r>
                </w:p>
              </w:tc>
            </w:tr>
            <w:tr w14:paraId="339DB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77" w:type="pct"/>
                  <w:vMerge w:val="continue"/>
                  <w:noWrap w:val="0"/>
                  <w:vAlign w:val="center"/>
                </w:tcPr>
                <w:p w14:paraId="67E74F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77" w:type="pct"/>
                  <w:vMerge w:val="continue"/>
                  <w:noWrap w:val="0"/>
                  <w:vAlign w:val="center"/>
                </w:tcPr>
                <w:p w14:paraId="12BEE0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943" w:type="pct"/>
                  <w:noWrap w:val="0"/>
                  <w:vAlign w:val="center"/>
                </w:tcPr>
                <w:p w14:paraId="659C38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1403" w:type="pct"/>
                  <w:noWrap w:val="0"/>
                  <w:vAlign w:val="center"/>
                </w:tcPr>
                <w:p w14:paraId="393BAB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w:t>
                  </w:r>
                </w:p>
              </w:tc>
            </w:tr>
            <w:tr w14:paraId="16C387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77" w:type="pct"/>
                  <w:noWrap w:val="0"/>
                  <w:vAlign w:val="center"/>
                </w:tcPr>
                <w:p w14:paraId="303FA2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77" w:type="pct"/>
                  <w:noWrap w:val="0"/>
                  <w:vAlign w:val="center"/>
                </w:tcPr>
                <w:p w14:paraId="1F687B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米糠（含包装）</w:t>
                  </w:r>
                </w:p>
              </w:tc>
              <w:tc>
                <w:tcPr>
                  <w:tcW w:w="943" w:type="pct"/>
                  <w:noWrap w:val="0"/>
                  <w:vAlign w:val="center"/>
                </w:tcPr>
                <w:p w14:paraId="3DA0E8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1403" w:type="pct"/>
                  <w:noWrap w:val="0"/>
                  <w:vAlign w:val="center"/>
                </w:tcPr>
                <w:p w14:paraId="4EB6FF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60000</w:t>
                  </w:r>
                </w:p>
              </w:tc>
            </w:tr>
            <w:tr w14:paraId="0BDA6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77" w:type="pct"/>
                  <w:noWrap w:val="0"/>
                  <w:vAlign w:val="center"/>
                </w:tcPr>
                <w:p w14:paraId="1E0D94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477" w:type="pct"/>
                  <w:noWrap w:val="0"/>
                  <w:vAlign w:val="center"/>
                </w:tcPr>
                <w:p w14:paraId="325E6C6B">
                  <w:pPr>
                    <w:pStyle w:val="16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0"/>
                      <w:sz w:val="21"/>
                      <w:szCs w:val="21"/>
                      <w:highlight w:val="none"/>
                    </w:rPr>
                    <w:t>溶剂</w:t>
                  </w:r>
                </w:p>
              </w:tc>
              <w:tc>
                <w:tcPr>
                  <w:tcW w:w="943" w:type="pct"/>
                  <w:noWrap w:val="0"/>
                  <w:vAlign w:val="center"/>
                </w:tcPr>
                <w:p w14:paraId="307531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1403" w:type="pct"/>
                  <w:noWrap w:val="0"/>
                  <w:vAlign w:val="center"/>
                </w:tcPr>
                <w:p w14:paraId="2FC0F4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115</w:t>
                  </w:r>
                </w:p>
              </w:tc>
            </w:tr>
            <w:tr w14:paraId="772F8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77" w:type="pct"/>
                  <w:noWrap w:val="0"/>
                  <w:vAlign w:val="center"/>
                </w:tcPr>
                <w:p w14:paraId="3B3DD7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477" w:type="pct"/>
                  <w:noWrap w:val="0"/>
                  <w:vAlign w:val="center"/>
                </w:tcPr>
                <w:p w14:paraId="2010E5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活性白土</w:t>
                  </w:r>
                </w:p>
              </w:tc>
              <w:tc>
                <w:tcPr>
                  <w:tcW w:w="943" w:type="pct"/>
                  <w:noWrap w:val="0"/>
                  <w:vAlign w:val="center"/>
                </w:tcPr>
                <w:p w14:paraId="666B51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1403" w:type="pct"/>
                  <w:noWrap w:val="0"/>
                  <w:vAlign w:val="center"/>
                </w:tcPr>
                <w:p w14:paraId="329F8C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380</w:t>
                  </w:r>
                </w:p>
              </w:tc>
            </w:tr>
            <w:tr w14:paraId="006BF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77" w:type="pct"/>
                  <w:noWrap w:val="0"/>
                  <w:vAlign w:val="center"/>
                </w:tcPr>
                <w:p w14:paraId="61C23B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477" w:type="pct"/>
                  <w:noWrap w:val="0"/>
                  <w:vAlign w:val="center"/>
                </w:tcPr>
                <w:p w14:paraId="4EBF7A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烧碱</w:t>
                  </w:r>
                </w:p>
              </w:tc>
              <w:tc>
                <w:tcPr>
                  <w:tcW w:w="943" w:type="pct"/>
                  <w:noWrap w:val="0"/>
                  <w:vAlign w:val="center"/>
                </w:tcPr>
                <w:p w14:paraId="1E8710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1403" w:type="pct"/>
                  <w:noWrap w:val="0"/>
                  <w:vAlign w:val="center"/>
                </w:tcPr>
                <w:p w14:paraId="103312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r>
            <w:tr w14:paraId="4D37E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77" w:type="pct"/>
                  <w:noWrap w:val="0"/>
                  <w:vAlign w:val="center"/>
                </w:tcPr>
                <w:p w14:paraId="1007DA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477" w:type="pct"/>
                  <w:noWrap w:val="0"/>
                  <w:vAlign w:val="center"/>
                </w:tcPr>
                <w:p w14:paraId="7F0710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磷酸</w:t>
                  </w:r>
                </w:p>
              </w:tc>
              <w:tc>
                <w:tcPr>
                  <w:tcW w:w="943" w:type="pct"/>
                  <w:noWrap w:val="0"/>
                  <w:vAlign w:val="center"/>
                </w:tcPr>
                <w:p w14:paraId="29E49E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1403" w:type="pct"/>
                  <w:noWrap w:val="0"/>
                  <w:vAlign w:val="center"/>
                </w:tcPr>
                <w:p w14:paraId="54484B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w:t>
                  </w:r>
                </w:p>
              </w:tc>
            </w:tr>
            <w:tr w14:paraId="5119B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77" w:type="pct"/>
                  <w:noWrap w:val="0"/>
                  <w:vAlign w:val="center"/>
                </w:tcPr>
                <w:p w14:paraId="7357C5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477" w:type="pct"/>
                  <w:noWrap w:val="0"/>
                  <w:vAlign w:val="center"/>
                </w:tcPr>
                <w:p w14:paraId="0BFB72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包装桶（180kg）</w:t>
                  </w:r>
                </w:p>
              </w:tc>
              <w:tc>
                <w:tcPr>
                  <w:tcW w:w="943" w:type="pct"/>
                  <w:noWrap w:val="0"/>
                  <w:vAlign w:val="center"/>
                </w:tcPr>
                <w:p w14:paraId="0D8E7D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个</w:t>
                  </w:r>
                </w:p>
              </w:tc>
              <w:tc>
                <w:tcPr>
                  <w:tcW w:w="1403" w:type="pct"/>
                  <w:noWrap w:val="0"/>
                  <w:vAlign w:val="center"/>
                </w:tcPr>
                <w:p w14:paraId="62BCC2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8520</w:t>
                  </w:r>
                </w:p>
              </w:tc>
            </w:tr>
            <w:tr w14:paraId="3C089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77" w:type="pct"/>
                  <w:noWrap w:val="0"/>
                  <w:vAlign w:val="center"/>
                </w:tcPr>
                <w:p w14:paraId="2E122D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477" w:type="pct"/>
                  <w:noWrap w:val="0"/>
                  <w:vAlign w:val="center"/>
                </w:tcPr>
                <w:p w14:paraId="16D9D9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粕袋</w:t>
                  </w:r>
                </w:p>
              </w:tc>
              <w:tc>
                <w:tcPr>
                  <w:tcW w:w="943" w:type="pct"/>
                  <w:noWrap w:val="0"/>
                  <w:vAlign w:val="center"/>
                </w:tcPr>
                <w:p w14:paraId="6A6676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个</w:t>
                  </w:r>
                </w:p>
              </w:tc>
              <w:tc>
                <w:tcPr>
                  <w:tcW w:w="1403" w:type="pct"/>
                  <w:noWrap w:val="0"/>
                  <w:vAlign w:val="center"/>
                </w:tcPr>
                <w:p w14:paraId="4E864A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735508</w:t>
                  </w:r>
                </w:p>
              </w:tc>
            </w:tr>
            <w:tr w14:paraId="13255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77" w:type="pct"/>
                  <w:noWrap w:val="0"/>
                  <w:vAlign w:val="center"/>
                </w:tcPr>
                <w:p w14:paraId="66DC9B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477" w:type="pct"/>
                  <w:noWrap w:val="0"/>
                  <w:vAlign w:val="center"/>
                </w:tcPr>
                <w:p w14:paraId="1D66E6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生物质燃料</w:t>
                  </w:r>
                </w:p>
              </w:tc>
              <w:tc>
                <w:tcPr>
                  <w:tcW w:w="943" w:type="pct"/>
                  <w:noWrap w:val="0"/>
                  <w:vAlign w:val="center"/>
                </w:tcPr>
                <w:p w14:paraId="373EFC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1403" w:type="pct"/>
                  <w:noWrap w:val="0"/>
                  <w:vAlign w:val="center"/>
                </w:tcPr>
                <w:p w14:paraId="2CFBE4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10200</w:t>
                  </w:r>
                </w:p>
              </w:tc>
            </w:tr>
          </w:tbl>
          <w:p w14:paraId="02D57B05">
            <w:pPr>
              <w:spacing w:line="360" w:lineRule="auto"/>
              <w:ind w:left="0" w:leftChars="0" w:firstLine="0" w:firstLineChars="0"/>
              <w:jc w:val="left"/>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4.原项目运行工艺</w:t>
            </w:r>
          </w:p>
          <w:p w14:paraId="411BD75E">
            <w:pPr>
              <w:pStyle w:val="7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华文中宋" w:cs="Times New Roman"/>
                <w:color w:val="auto"/>
                <w:sz w:val="28"/>
                <w:szCs w:val="28"/>
                <w:highlight w:val="none"/>
              </w:rPr>
              <w:drawing>
                <wp:inline distT="0" distB="0" distL="114300" distR="114300">
                  <wp:extent cx="4603115" cy="7844790"/>
                  <wp:effectExtent l="0" t="0" r="6985" b="3810"/>
                  <wp:docPr id="37" name="图片 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descr="05"/>
                          <pic:cNvPicPr>
                            <a:picLocks noChangeAspect="1"/>
                          </pic:cNvPicPr>
                        </pic:nvPicPr>
                        <pic:blipFill>
                          <a:blip r:embed="rId23"/>
                          <a:stretch>
                            <a:fillRect/>
                          </a:stretch>
                        </pic:blipFill>
                        <pic:spPr>
                          <a:xfrm>
                            <a:off x="0" y="0"/>
                            <a:ext cx="4603115" cy="7844790"/>
                          </a:xfrm>
                          <a:prstGeom prst="rect">
                            <a:avLst/>
                          </a:prstGeom>
                          <a:noFill/>
                          <a:ln>
                            <a:noFill/>
                          </a:ln>
                        </pic:spPr>
                      </pic:pic>
                    </a:graphicData>
                  </a:graphic>
                </wp:inline>
              </w:drawing>
            </w:r>
          </w:p>
          <w:p w14:paraId="572C6636">
            <w:pPr>
              <w:tabs>
                <w:tab w:val="left" w:pos="3687"/>
              </w:tabs>
              <w:spacing w:line="240" w:lineRule="auto"/>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图2-2原有项目工艺流程图</w:t>
            </w:r>
          </w:p>
          <w:p w14:paraId="14B17534">
            <w:pPr>
              <w:spacing w:line="360" w:lineRule="auto"/>
              <w:rPr>
                <w:rFonts w:hint="default" w:ascii="Times New Roman" w:hAnsi="Times New Roman" w:eastAsia="宋体" w:cs="Times New Roman"/>
                <w:color w:val="auto"/>
                <w:sz w:val="24"/>
                <w:szCs w:val="24"/>
                <w:highlight w:val="none"/>
              </w:rPr>
            </w:pPr>
          </w:p>
          <w:p w14:paraId="668E7535">
            <w:pPr>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工艺说明：</w:t>
            </w:r>
          </w:p>
          <w:p w14:paraId="52F647D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（1）</w:t>
            </w:r>
            <w:r>
              <w:rPr>
                <w:rFonts w:hint="default" w:ascii="Times New Roman" w:hAnsi="Times New Roman" w:eastAsia="宋体" w:cs="Times New Roman"/>
                <w:b w:val="0"/>
                <w:bCs/>
                <w:color w:val="auto"/>
                <w:highlight w:val="none"/>
                <w:lang w:val="en-US" w:eastAsia="zh-CN"/>
              </w:rPr>
              <w:t>原料的预处理</w:t>
            </w:r>
          </w:p>
          <w:p w14:paraId="4DAC531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米糠由输送机送入车间进行清理，清理后的米糠经提升机送入振动筛进行糠粞分离，然后落入比重去石机去除米粞，米粞装袋，米糠由刮板输送机送至调制锅进行调质，调质后的米糠经膨化喂料绞龙、磁选器除铁后落入膨化机，米糠膨化料落入逆流翻板烘干机进行烘干。烘干后的膨化料经输送设备送往浸出车间。</w:t>
            </w:r>
          </w:p>
          <w:p w14:paraId="2287C02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（2）</w:t>
            </w:r>
            <w:r>
              <w:rPr>
                <w:rFonts w:hint="default" w:ascii="Times New Roman" w:hAnsi="Times New Roman" w:eastAsia="宋体" w:cs="Times New Roman"/>
                <w:b w:val="0"/>
                <w:bCs/>
                <w:color w:val="auto"/>
                <w:highlight w:val="none"/>
                <w:lang w:val="en-US" w:eastAsia="zh-CN"/>
              </w:rPr>
              <w:t>油脂浸出</w:t>
            </w:r>
          </w:p>
          <w:p w14:paraId="2728EFB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米糠膨化料经进料刮板输送机，送入浸出器，浸出器出来的含溶湿粕由湿粕刮板经料封绞龙送入DTDC蒸脱机的预脱层，底部用间接蒸汽加热，脱去部分溶剂；经预脱后的湿粕进入蒸脱层，蒸脱层料位设自动控制保持一定的料层，底部通入直接蒸汽，脱去全部溶剂，同时部分蒸汽凝结在粕中，粕的水分会部分升高。脱溶粕由旋转阀定量下落到烘干层，烘干层保持一定的料位，进行去水干燥过程，接着进入冷却层冷却</w:t>
            </w:r>
            <w:r>
              <w:rPr>
                <w:rFonts w:hint="eastAsia" w:ascii="Times New Roman" w:hAnsi="Times New Roman" w:cs="Times New Roman"/>
                <w:b w:val="0"/>
                <w:bCs/>
                <w:color w:val="auto"/>
                <w:highlight w:val="none"/>
                <w:lang w:val="en-US" w:eastAsia="zh-CN"/>
              </w:rPr>
              <w:t>，</w:t>
            </w:r>
            <w:r>
              <w:rPr>
                <w:rFonts w:hint="default" w:ascii="Times New Roman" w:hAnsi="Times New Roman" w:eastAsia="宋体" w:cs="Times New Roman"/>
                <w:b w:val="0"/>
                <w:bCs/>
                <w:color w:val="auto"/>
                <w:highlight w:val="none"/>
                <w:lang w:val="en-US" w:eastAsia="zh-CN"/>
              </w:rPr>
              <w:t>最后由自动料门控制出料</w:t>
            </w:r>
            <w:r>
              <w:rPr>
                <w:rFonts w:hint="default" w:ascii="Times New Roman" w:hAnsi="Times New Roman" w:cs="Times New Roman"/>
                <w:b w:val="0"/>
                <w:bCs/>
                <w:color w:val="auto"/>
                <w:highlight w:val="none"/>
                <w:lang w:val="en-US" w:eastAsia="zh-CN"/>
              </w:rPr>
              <w:t>，</w:t>
            </w:r>
            <w:r>
              <w:rPr>
                <w:rFonts w:hint="default" w:ascii="Times New Roman" w:hAnsi="Times New Roman" w:eastAsia="宋体" w:cs="Times New Roman"/>
                <w:b w:val="0"/>
                <w:bCs/>
                <w:color w:val="auto"/>
                <w:highlight w:val="none"/>
                <w:lang w:val="en-US" w:eastAsia="zh-CN"/>
              </w:rPr>
              <w:t>再由粕刮板送入粕库。</w:t>
            </w:r>
          </w:p>
          <w:p w14:paraId="787FFA8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从脱溶机顶部出来的溶剂和水蒸汽的混合汽，通入蒸发冷凝装置。自汽提冷凝器、节能冷凝器、集液罐、综合容器出来的未凝汽体均进入空气平衡罐，再进入最后冷凝器回收溶剂，最后冷凝器不凝结</w:t>
            </w:r>
            <w:r>
              <w:rPr>
                <w:rFonts w:hint="eastAsia" w:ascii="Times New Roman" w:hAnsi="Times New Roman" w:cs="Times New Roman"/>
                <w:b w:val="0"/>
                <w:bCs/>
                <w:color w:val="auto"/>
                <w:highlight w:val="none"/>
                <w:lang w:val="en-US" w:eastAsia="zh-CN"/>
              </w:rPr>
              <w:t>气体</w:t>
            </w:r>
            <w:r>
              <w:rPr>
                <w:rFonts w:hint="default" w:ascii="Times New Roman" w:hAnsi="Times New Roman" w:eastAsia="宋体" w:cs="Times New Roman"/>
                <w:b w:val="0"/>
                <w:bCs/>
                <w:color w:val="auto"/>
                <w:highlight w:val="none"/>
                <w:lang w:val="en-US" w:eastAsia="zh-CN"/>
              </w:rPr>
              <w:t>进入矿物油回收装置回收残留溶剂，自由气体由尾气风机经阻火器排入大气。</w:t>
            </w:r>
          </w:p>
          <w:p w14:paraId="08A4AE2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（3）</w:t>
            </w:r>
            <w:r>
              <w:rPr>
                <w:rFonts w:hint="default" w:ascii="Times New Roman" w:hAnsi="Times New Roman" w:eastAsia="宋体" w:cs="Times New Roman"/>
                <w:b w:val="0"/>
                <w:bCs/>
                <w:color w:val="auto"/>
                <w:highlight w:val="none"/>
                <w:lang w:val="en-US" w:eastAsia="zh-CN"/>
              </w:rPr>
              <w:t>毛油精炼</w:t>
            </w:r>
          </w:p>
          <w:p w14:paraId="39C8B31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lang w:val="en-US" w:eastAsia="zh-CN"/>
              </w:rPr>
              <w:t>本车间采用半连续式生产工艺，毛米糠油经预脱色、水化脱胶、</w:t>
            </w:r>
            <w:r>
              <w:rPr>
                <w:rFonts w:hint="eastAsia" w:ascii="Times New Roman" w:hAnsi="Times New Roman" w:cs="Times New Roman"/>
                <w:b w:val="0"/>
                <w:bCs/>
                <w:color w:val="auto"/>
                <w:highlight w:val="none"/>
                <w:lang w:val="en-US" w:eastAsia="zh-CN"/>
              </w:rPr>
              <w:t>脱蜡</w:t>
            </w:r>
            <w:r>
              <w:rPr>
                <w:rFonts w:hint="default" w:ascii="Times New Roman" w:hAnsi="Times New Roman" w:eastAsia="宋体" w:cs="Times New Roman"/>
                <w:b w:val="0"/>
                <w:bCs/>
                <w:color w:val="auto"/>
                <w:highlight w:val="none"/>
                <w:lang w:val="en-US" w:eastAsia="zh-CN"/>
              </w:rPr>
              <w:t>、脱色、脱臭一系列处理，生产出米糠精炼油。</w:t>
            </w:r>
          </w:p>
          <w:p w14:paraId="0BA9D3D1">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现有污染物排放情况及治理措施</w:t>
            </w:r>
          </w:p>
          <w:p w14:paraId="03261CC1">
            <w:pPr>
              <w:pStyle w:val="24"/>
              <w:spacing w:line="360" w:lineRule="auto"/>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sz w:val="24"/>
                <w:szCs w:val="24"/>
                <w:highlight w:val="none"/>
                <w:lang w:val="en-US" w:eastAsia="zh-CN"/>
              </w:rPr>
              <w:t>根据虎林市绿都海狮油脂有限责任公司排污许可证副本内容，本项目现有污染物排放情况及治理措施具体如下：</w:t>
            </w:r>
          </w:p>
          <w:p w14:paraId="240D6F0F">
            <w:pPr>
              <w:numPr>
                <w:ilvl w:val="0"/>
                <w:numId w:val="7"/>
              </w:numPr>
              <w:spacing w:line="360" w:lineRule="auto"/>
              <w:ind w:firstLine="482" w:firstLineChars="200"/>
              <w:rPr>
                <w:rFonts w:hint="default" w:ascii="Times New Roman" w:hAnsi="Times New Roman" w:cs="Times New Roman"/>
                <w:b/>
                <w:bCs w:val="0"/>
                <w:color w:val="auto"/>
                <w:sz w:val="24"/>
                <w:highlight w:val="none"/>
                <w:lang w:val="en-US" w:eastAsia="zh-CN"/>
              </w:rPr>
            </w:pPr>
            <w:r>
              <w:rPr>
                <w:rFonts w:hint="default" w:ascii="Times New Roman" w:hAnsi="Times New Roman" w:cs="Times New Roman"/>
                <w:b/>
                <w:bCs w:val="0"/>
                <w:color w:val="auto"/>
                <w:sz w:val="24"/>
                <w:highlight w:val="none"/>
                <w:lang w:val="en-US" w:eastAsia="zh-CN"/>
              </w:rPr>
              <w:t>废气</w:t>
            </w:r>
          </w:p>
          <w:p w14:paraId="686852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1、精炼车间脱色废气、浸出废气工序、脱臭塔脱臭废气、产生非甲烷总烃和</w:t>
            </w:r>
            <w:r>
              <w:rPr>
                <w:rFonts w:hint="default" w:ascii="Times New Roman" w:hAnsi="Times New Roman" w:cs="Times New Roman"/>
                <w:color w:val="auto"/>
                <w:sz w:val="24"/>
                <w:highlight w:val="none"/>
              </w:rPr>
              <w:t>臭气浓度</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浸出废气经一套有机废气处理系统（石蜡油吸收法）+活性炭吸附装置处理后经</w:t>
            </w:r>
            <w:r>
              <w:rPr>
                <w:rFonts w:hint="default" w:ascii="Times New Roman" w:hAnsi="Times New Roman" w:cs="Times New Roman"/>
                <w:color w:val="auto"/>
                <w:sz w:val="24"/>
                <w:highlight w:val="none"/>
              </w:rPr>
              <w:t>15m高排气筒</w:t>
            </w:r>
            <w:r>
              <w:rPr>
                <w:rFonts w:hint="default" w:ascii="Times New Roman" w:hAnsi="Times New Roman" w:cs="Times New Roman"/>
                <w:color w:val="auto"/>
                <w:sz w:val="24"/>
                <w:highlight w:val="none"/>
                <w:lang w:val="en-US" w:eastAsia="zh-CN"/>
              </w:rPr>
              <w:t>排放（DA005）。</w:t>
            </w:r>
            <w:r>
              <w:rPr>
                <w:rFonts w:hint="default" w:ascii="Times New Roman" w:hAnsi="Times New Roman" w:cs="Times New Roman"/>
                <w:color w:val="auto"/>
                <w:sz w:val="24"/>
                <w:highlight w:val="none"/>
              </w:rPr>
              <w:t>其中臭气浓度执行《恶臭污染物排放标准》GB14554-1993中的15m高排气筒排放标准，排放浓度限值为2000（无量纲）；非甲烷总烃执行《大气污染物综合排放标准》GB16297-1996中的15m高排气筒排放标准，排放浓度限值为150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p>
          <w:p w14:paraId="59C16D5E">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原料处理车间</w:t>
            </w:r>
            <w:r>
              <w:rPr>
                <w:rFonts w:hint="default" w:ascii="Times New Roman" w:hAnsi="Times New Roman" w:cs="Times New Roman"/>
                <w:color w:val="auto"/>
                <w:sz w:val="24"/>
                <w:highlight w:val="none"/>
                <w:lang w:val="en-US" w:eastAsia="zh-CN"/>
              </w:rPr>
              <w:t>废气经布袋除尘器处理后经</w:t>
            </w:r>
            <w:r>
              <w:rPr>
                <w:rFonts w:hint="default" w:ascii="Times New Roman" w:hAnsi="Times New Roman" w:cs="Times New Roman"/>
                <w:color w:val="auto"/>
                <w:sz w:val="24"/>
                <w:highlight w:val="none"/>
              </w:rPr>
              <w:t>15米</w:t>
            </w:r>
            <w:r>
              <w:rPr>
                <w:rFonts w:hint="default" w:ascii="Times New Roman" w:hAnsi="Times New Roman" w:cs="Times New Roman"/>
                <w:color w:val="auto"/>
                <w:sz w:val="24"/>
                <w:highlight w:val="none"/>
                <w:lang w:val="en-US" w:eastAsia="zh-CN"/>
              </w:rPr>
              <w:t>高排气筒排放</w:t>
            </w:r>
            <w:r>
              <w:rPr>
                <w:rFonts w:hint="default" w:ascii="Times New Roman" w:hAnsi="Times New Roman" w:cs="Times New Roman"/>
                <w:color w:val="auto"/>
                <w:sz w:val="24"/>
                <w:highlight w:val="none"/>
              </w:rPr>
              <w:t>，产污设备为原料处理车间，主要污染物为颗粒物，执行《大气污染物综合排放标准》GB16297-1996中的15m高排气筒</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DA006</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排放标准，排放浓度限值为120mg/m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p>
          <w:p w14:paraId="04DF2004">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3、本项目原有</w:t>
            </w:r>
            <w:r>
              <w:rPr>
                <w:rFonts w:hint="default" w:ascii="Times New Roman" w:hAnsi="Times New Roman" w:cs="Times New Roman"/>
                <w:color w:val="auto"/>
                <w:sz w:val="24"/>
                <w:szCs w:val="24"/>
                <w:highlight w:val="none"/>
                <w:lang w:val="en-US" w:eastAsia="zh-CN"/>
              </w:rPr>
              <w:t>2t/h生物质锅炉</w:t>
            </w:r>
            <w:r>
              <w:rPr>
                <w:rFonts w:hint="eastAsia" w:ascii="Times New Roman" w:hAnsi="Times New Roman" w:cs="Times New Roman"/>
                <w:color w:val="auto"/>
                <w:sz w:val="24"/>
                <w:szCs w:val="24"/>
                <w:highlight w:val="none"/>
                <w:lang w:val="en-US" w:eastAsia="zh-CN"/>
              </w:rPr>
              <w:t>废气经布袋除尘器处理后经由40m高烟囱排放，</w:t>
            </w:r>
            <w:r>
              <w:rPr>
                <w:rFonts w:hint="default" w:ascii="Times New Roman" w:hAnsi="Times New Roman" w:eastAsia="宋体" w:cs="Times New Roman"/>
                <w:color w:val="auto"/>
                <w:sz w:val="24"/>
                <w:szCs w:val="24"/>
                <w:highlight w:val="none"/>
                <w:lang w:val="en-US" w:eastAsia="zh-CN"/>
              </w:rPr>
              <w:t>目前2t/h锅炉</w:t>
            </w:r>
            <w:r>
              <w:rPr>
                <w:rFonts w:hint="eastAsia" w:ascii="Times New Roman" w:hAnsi="Times New Roman" w:cs="Times New Roman"/>
                <w:color w:val="auto"/>
                <w:sz w:val="24"/>
                <w:szCs w:val="24"/>
                <w:highlight w:val="none"/>
                <w:lang w:val="en-US" w:eastAsia="zh-CN"/>
              </w:rPr>
              <w:t>烟道已经断开，无法使用。</w:t>
            </w:r>
          </w:p>
          <w:p w14:paraId="2C11E534">
            <w:pPr>
              <w:spacing w:line="360" w:lineRule="auto"/>
              <w:ind w:firstLine="482" w:firstLineChars="200"/>
              <w:rPr>
                <w:rFonts w:hint="default" w:ascii="Times New Roman" w:hAnsi="Times New Roman" w:cs="Times New Roman"/>
                <w:b/>
                <w:bCs w:val="0"/>
                <w:color w:val="auto"/>
                <w:sz w:val="24"/>
                <w:highlight w:val="none"/>
                <w:lang w:val="en-US" w:eastAsia="zh-CN"/>
              </w:rPr>
            </w:pPr>
            <w:r>
              <w:rPr>
                <w:rFonts w:hint="default" w:ascii="Times New Roman" w:hAnsi="Times New Roman" w:cs="Times New Roman"/>
                <w:b/>
                <w:bCs w:val="0"/>
                <w:color w:val="auto"/>
                <w:sz w:val="24"/>
                <w:highlight w:val="none"/>
                <w:lang w:val="en-US" w:eastAsia="zh-CN"/>
              </w:rPr>
              <w:t>二、废水</w:t>
            </w:r>
          </w:p>
          <w:p w14:paraId="6A044ED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rPr>
              <w:t>废水主要包括碱炼工序水洗废水、脱臭工序水环真空泵废水、冷凝器排水、生活污水及各种冲洗废水。项目实行清污分流制。其中，循环冷却系统排水属清净下水经雨水管网直接排放</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生产废水，包括各生产装置工艺废水、装置区设备及地面冲洗水等全部送厂内污水处理设施处理</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生活污水直接</w:t>
            </w:r>
            <w:r>
              <w:rPr>
                <w:rFonts w:hint="default" w:ascii="Times New Roman" w:hAnsi="Times New Roman" w:cs="Times New Roman"/>
                <w:color w:val="auto"/>
                <w:sz w:val="24"/>
                <w:highlight w:val="none"/>
                <w:lang w:val="en-US" w:eastAsia="zh-CN"/>
              </w:rPr>
              <w:t>进</w:t>
            </w:r>
            <w:r>
              <w:rPr>
                <w:rFonts w:hint="default" w:ascii="Times New Roman" w:hAnsi="Times New Roman" w:cs="Times New Roman"/>
                <w:color w:val="auto"/>
                <w:sz w:val="24"/>
                <w:highlight w:val="none"/>
              </w:rPr>
              <w:t>入污水处理设施中生化处理池。</w:t>
            </w:r>
            <w:r>
              <w:rPr>
                <w:rFonts w:hint="default" w:ascii="Times New Roman" w:hAnsi="Times New Roman" w:cs="Times New Roman"/>
                <w:color w:val="auto"/>
                <w:sz w:val="24"/>
                <w:highlight w:val="none"/>
                <w:lang w:val="en-US" w:eastAsia="zh-CN"/>
              </w:rPr>
              <w:t>厂区</w:t>
            </w:r>
            <w:r>
              <w:rPr>
                <w:rFonts w:hint="default" w:ascii="Times New Roman" w:hAnsi="Times New Roman" w:cs="Times New Roman"/>
                <w:color w:val="auto"/>
                <w:sz w:val="24"/>
                <w:highlight w:val="none"/>
              </w:rPr>
              <w:t>建设有一套处理能力为60t/d的污水处理生产线</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处理后的污水</w:t>
            </w:r>
            <w:r>
              <w:rPr>
                <w:rFonts w:hint="eastAsia" w:ascii="Times New Roman" w:hAnsi="Times New Roman" w:cs="Times New Roman"/>
                <w:color w:val="auto"/>
                <w:sz w:val="24"/>
                <w:highlight w:val="none"/>
                <w:lang w:val="en-US" w:eastAsia="zh-CN"/>
              </w:rPr>
              <w:t>可</w:t>
            </w:r>
            <w:r>
              <w:rPr>
                <w:rFonts w:hint="default" w:ascii="Times New Roman" w:hAnsi="Times New Roman" w:cs="Times New Roman"/>
                <w:color w:val="auto"/>
                <w:sz w:val="24"/>
                <w:highlight w:val="none"/>
              </w:rPr>
              <w:t>满足虎林污水处理厂的接管要求</w:t>
            </w:r>
            <w:r>
              <w:rPr>
                <w:rFonts w:hint="default" w:ascii="Times New Roman" w:hAnsi="Times New Roman" w:cs="Times New Roman"/>
                <w:color w:val="auto"/>
                <w:sz w:val="24"/>
                <w:highlight w:val="none"/>
                <w:lang w:val="en-US" w:eastAsia="zh-CN"/>
              </w:rPr>
              <w:t>和</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污水综合排放标准</w:t>
            </w: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GB8978-1996</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表4三级标准的要求。主要污染物分别为：COD</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浓度限值为200mg/L</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浓度限值为300mg/L</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SS</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浓度限值为200mg/L</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动植物油</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浓度限值为80mg/L</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磷酸盐</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mg/L</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氨氮</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30mg/L</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pH</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6-9。</w:t>
            </w:r>
            <w:r>
              <w:rPr>
                <w:rFonts w:hint="eastAsia" w:ascii="Times New Roman" w:hAnsi="Times New Roman" w:eastAsia="宋体" w:cs="Times New Roman"/>
                <w:color w:val="auto"/>
                <w:sz w:val="24"/>
                <w:highlight w:val="none"/>
                <w:lang w:val="en-US" w:eastAsia="zh-CN"/>
              </w:rPr>
              <w:t>根据现场调查，现有污水处理系统，设备完好，添加药剂后委托生产厂商进行调试后即可运行，</w:t>
            </w:r>
            <w:r>
              <w:rPr>
                <w:rFonts w:hint="eastAsia" w:ascii="Times New Roman" w:hAnsi="Times New Roman" w:cs="Times New Roman"/>
                <w:color w:val="auto"/>
                <w:sz w:val="24"/>
                <w:highlight w:val="none"/>
                <w:lang w:val="en-US" w:eastAsia="zh-CN"/>
              </w:rPr>
              <w:t>无需</w:t>
            </w:r>
            <w:r>
              <w:rPr>
                <w:rFonts w:hint="eastAsia" w:ascii="Times New Roman" w:hAnsi="Times New Roman" w:eastAsia="宋体" w:cs="Times New Roman"/>
                <w:color w:val="auto"/>
                <w:sz w:val="24"/>
                <w:highlight w:val="none"/>
                <w:lang w:val="en-US" w:eastAsia="zh-CN"/>
              </w:rPr>
              <w:t>改造。</w:t>
            </w:r>
          </w:p>
          <w:p w14:paraId="0CDFBF7F">
            <w:pPr>
              <w:numPr>
                <w:ilvl w:val="0"/>
                <w:numId w:val="8"/>
              </w:numPr>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噪声</w:t>
            </w:r>
          </w:p>
          <w:p w14:paraId="76CD10D0">
            <w:pPr>
              <w:pStyle w:val="24"/>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该项目建成后主要噪声源为设备运行噪声，</w:t>
            </w:r>
            <w:r>
              <w:rPr>
                <w:rFonts w:hint="default" w:ascii="Times New Roman" w:hAnsi="Times New Roman" w:cs="Times New Roman"/>
                <w:b w:val="0"/>
                <w:bCs/>
                <w:color w:val="auto"/>
                <w:kern w:val="2"/>
                <w:sz w:val="24"/>
                <w:szCs w:val="24"/>
                <w:highlight w:val="none"/>
                <w:lang w:val="en-US" w:eastAsia="zh-CN" w:bidi="ar-SA"/>
              </w:rPr>
              <w:t>项目</w:t>
            </w:r>
            <w:r>
              <w:rPr>
                <w:rFonts w:hint="default" w:ascii="Times New Roman" w:hAnsi="Times New Roman" w:eastAsia="宋体" w:cs="Times New Roman"/>
                <w:b w:val="0"/>
                <w:bCs/>
                <w:color w:val="auto"/>
                <w:kern w:val="2"/>
                <w:sz w:val="24"/>
                <w:szCs w:val="24"/>
                <w:highlight w:val="none"/>
                <w:lang w:val="en-US" w:eastAsia="zh-CN" w:bidi="ar-SA"/>
              </w:rPr>
              <w:t>选用性能好、低噪声的设备，对噪声大的设备进行局部隔离防止噪声扩散，车间内部加装吸音板，设备加装橡胶减振垫，封闭车间。在锅炉风机进出口加装消音器，并采用隔振、吸声处理方法，降低噪声扩散，满足</w:t>
            </w:r>
            <w:r>
              <w:rPr>
                <w:rFonts w:hint="default" w:ascii="Times New Roman" w:hAnsi="Times New Roman"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工业企业厂界环境噪声排放标准</w:t>
            </w:r>
            <w:r>
              <w:rPr>
                <w:rFonts w:hint="default" w:ascii="Times New Roman" w:hAnsi="Times New Roman" w:cs="Times New Roman"/>
                <w:b w:val="0"/>
                <w:bCs/>
                <w:color w:val="auto"/>
                <w:kern w:val="2"/>
                <w:sz w:val="24"/>
                <w:szCs w:val="24"/>
                <w:highlight w:val="none"/>
                <w:lang w:val="en-US" w:eastAsia="zh-CN" w:bidi="ar-SA"/>
              </w:rPr>
              <w:t>》</w:t>
            </w:r>
            <w:r>
              <w:rPr>
                <w:rFonts w:hint="eastAsia" w:ascii="Times New Roman" w:hAnsi="Times New Roman"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GB12348</w:t>
            </w:r>
            <w:r>
              <w:rPr>
                <w:rFonts w:hint="default" w:ascii="Times New Roman" w:hAnsi="Times New Roman"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2008)</w:t>
            </w:r>
            <w:r>
              <w:rPr>
                <w:rFonts w:hint="default" w:ascii="Times New Roman" w:hAnsi="Times New Roman" w:cs="Times New Roman"/>
                <w:b w:val="0"/>
                <w:bCs/>
                <w:color w:val="auto"/>
                <w:kern w:val="2"/>
                <w:sz w:val="24"/>
                <w:szCs w:val="24"/>
                <w:highlight w:val="none"/>
                <w:lang w:val="en-US" w:eastAsia="zh-CN" w:bidi="ar-SA"/>
              </w:rPr>
              <w:t>2</w:t>
            </w:r>
            <w:r>
              <w:rPr>
                <w:rFonts w:hint="default" w:ascii="Times New Roman" w:hAnsi="Times New Roman" w:eastAsia="宋体" w:cs="Times New Roman"/>
                <w:b w:val="0"/>
                <w:bCs/>
                <w:color w:val="auto"/>
                <w:kern w:val="2"/>
                <w:sz w:val="24"/>
                <w:szCs w:val="24"/>
                <w:highlight w:val="none"/>
                <w:lang w:val="en-US" w:eastAsia="zh-CN" w:bidi="ar-SA"/>
              </w:rPr>
              <w:t>类标准要求。</w:t>
            </w:r>
          </w:p>
          <w:p w14:paraId="2F603B03">
            <w:pPr>
              <w:pStyle w:val="24"/>
              <w:keepNext w:val="0"/>
              <w:keepLines w:val="0"/>
              <w:pageBreakBefore w:val="0"/>
              <w:widowControl/>
              <w:numPr>
                <w:ilvl w:val="0"/>
                <w:numId w:val="8"/>
              </w:numPr>
              <w:kinsoku/>
              <w:wordWrap/>
              <w:overflowPunct/>
              <w:topLinePunct w:val="0"/>
              <w:autoSpaceDE/>
              <w:autoSpaceDN/>
              <w:bidi w:val="0"/>
              <w:adjustRightInd w:val="0"/>
              <w:snapToGrid w:val="0"/>
              <w:spacing w:after="0" w:line="360" w:lineRule="auto"/>
              <w:ind w:left="0"/>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固体废物</w:t>
            </w:r>
          </w:p>
          <w:p w14:paraId="7E6B34B5">
            <w:pPr>
              <w:pStyle w:val="24"/>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生产过程中会产生一定量的稻壳灰、废白土、油脚、皂脚、污泥等。对生产过</w:t>
            </w:r>
            <w:r>
              <w:rPr>
                <w:rFonts w:hint="eastAsia" w:ascii="Times New Roman" w:hAnsi="Times New Roman" w:cs="Times New Roman"/>
                <w:b w:val="0"/>
                <w:bCs/>
                <w:color w:val="auto"/>
                <w:kern w:val="2"/>
                <w:sz w:val="24"/>
                <w:szCs w:val="24"/>
                <w:highlight w:val="none"/>
                <w:lang w:val="en-US" w:eastAsia="zh-CN" w:bidi="ar-SA"/>
              </w:rPr>
              <w:t>程中</w:t>
            </w:r>
            <w:r>
              <w:rPr>
                <w:rFonts w:hint="default" w:ascii="Times New Roman" w:hAnsi="Times New Roman" w:eastAsia="宋体" w:cs="Times New Roman"/>
                <w:b w:val="0"/>
                <w:bCs/>
                <w:color w:val="auto"/>
                <w:kern w:val="2"/>
                <w:sz w:val="24"/>
                <w:szCs w:val="24"/>
                <w:highlight w:val="none"/>
                <w:lang w:val="en-US" w:eastAsia="zh-CN" w:bidi="ar-SA"/>
              </w:rPr>
              <w:t>产生的废白土、油脚和皂脚固体废物，</w:t>
            </w:r>
            <w:r>
              <w:rPr>
                <w:rFonts w:hint="default" w:ascii="Times New Roman" w:hAnsi="Times New Roman" w:cs="Times New Roman"/>
                <w:b w:val="0"/>
                <w:bCs/>
                <w:color w:val="auto"/>
                <w:kern w:val="2"/>
                <w:sz w:val="24"/>
                <w:szCs w:val="24"/>
                <w:highlight w:val="none"/>
                <w:lang w:val="en-US" w:eastAsia="zh-CN" w:bidi="ar-SA"/>
              </w:rPr>
              <w:t>项目拟</w:t>
            </w:r>
            <w:r>
              <w:rPr>
                <w:rFonts w:hint="default" w:ascii="Times New Roman" w:hAnsi="Times New Roman" w:eastAsia="宋体" w:cs="Times New Roman"/>
                <w:b w:val="0"/>
                <w:bCs/>
                <w:color w:val="auto"/>
                <w:kern w:val="2"/>
                <w:sz w:val="24"/>
                <w:szCs w:val="24"/>
                <w:highlight w:val="none"/>
                <w:lang w:val="en-US" w:eastAsia="zh-CN" w:bidi="ar-SA"/>
              </w:rPr>
              <w:t>由项目单位与废工业油加工厂签订收购合同，由废工业油加工厂定期收购、加工利用</w:t>
            </w:r>
            <w:r>
              <w:rPr>
                <w:rFonts w:hint="default" w:ascii="Times New Roman" w:hAnsi="Times New Roman"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污泥由项目单位与垃圾处理厂签订卫生填埋合同，定期对生产过程中产生的污泥进行处理</w:t>
            </w:r>
            <w:r>
              <w:rPr>
                <w:rFonts w:hint="default" w:ascii="Times New Roman" w:hAnsi="Times New Roman" w:cs="Times New Roman"/>
                <w:b w:val="0"/>
                <w:bCs/>
                <w:color w:val="auto"/>
                <w:kern w:val="2"/>
                <w:sz w:val="24"/>
                <w:szCs w:val="24"/>
                <w:highlight w:val="none"/>
                <w:lang w:val="en-US" w:eastAsia="zh-CN" w:bidi="ar-SA"/>
              </w:rPr>
              <w:t>。</w:t>
            </w:r>
            <w:r>
              <w:rPr>
                <w:rFonts w:hint="default" w:ascii="Times New Roman" w:hAnsi="Times New Roman" w:eastAsia="宋体" w:cs="Times New Roman"/>
                <w:b w:val="0"/>
                <w:bCs/>
                <w:color w:val="auto"/>
                <w:kern w:val="2"/>
                <w:sz w:val="24"/>
                <w:szCs w:val="24"/>
                <w:highlight w:val="none"/>
                <w:lang w:val="en-US" w:eastAsia="zh-CN" w:bidi="ar-SA"/>
              </w:rPr>
              <w:t>生活垃圾委托环卫部门处理。锅炉产生的稻壳灰，外</w:t>
            </w:r>
            <w:r>
              <w:rPr>
                <w:rFonts w:hint="default" w:ascii="Times New Roman" w:hAnsi="Times New Roman" w:cs="Times New Roman"/>
                <w:b w:val="0"/>
                <w:bCs/>
                <w:color w:val="auto"/>
                <w:kern w:val="2"/>
                <w:sz w:val="24"/>
                <w:szCs w:val="24"/>
                <w:highlight w:val="none"/>
                <w:lang w:val="en-US" w:eastAsia="zh-CN" w:bidi="ar-SA"/>
              </w:rPr>
              <w:t>售做</w:t>
            </w:r>
            <w:r>
              <w:rPr>
                <w:rFonts w:hint="default" w:ascii="Times New Roman" w:hAnsi="Times New Roman" w:eastAsia="宋体" w:cs="Times New Roman"/>
                <w:b w:val="0"/>
                <w:bCs/>
                <w:color w:val="auto"/>
                <w:kern w:val="2"/>
                <w:sz w:val="24"/>
                <w:szCs w:val="24"/>
                <w:highlight w:val="none"/>
                <w:lang w:val="en-US" w:eastAsia="zh-CN" w:bidi="ar-SA"/>
              </w:rPr>
              <w:t>肥料，日常所产生的稻壳灰，设置全封闭的暂存仓，不外排。</w:t>
            </w:r>
            <w:r>
              <w:rPr>
                <w:rFonts w:hint="default" w:ascii="Times New Roman" w:hAnsi="Times New Roman" w:cs="Times New Roman"/>
                <w:b w:val="0"/>
                <w:bCs/>
                <w:color w:val="auto"/>
                <w:kern w:val="2"/>
                <w:sz w:val="24"/>
                <w:szCs w:val="24"/>
                <w:highlight w:val="none"/>
                <w:lang w:val="en-US" w:eastAsia="zh-CN" w:bidi="ar-SA"/>
              </w:rPr>
              <w:t>本项目未生产，故目前未产生固体废物。</w:t>
            </w:r>
          </w:p>
          <w:p w14:paraId="3B41922A">
            <w:pPr>
              <w:spacing w:line="360" w:lineRule="auto"/>
              <w:ind w:left="0" w:leftChars="0" w:firstLine="0" w:firstLineChars="0"/>
              <w:jc w:val="left"/>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5.现有工程污染物实际排放总量核算</w:t>
            </w:r>
          </w:p>
          <w:p w14:paraId="5EB359B1">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本项目由于市场需求一直未进行生产，故未进行</w:t>
            </w:r>
            <w:r>
              <w:rPr>
                <w:rFonts w:hint="default" w:ascii="Times New Roman" w:hAnsi="Times New Roman" w:eastAsia="宋体" w:cs="Times New Roman"/>
                <w:b w:val="0"/>
                <w:bCs/>
                <w:color w:val="auto"/>
                <w:sz w:val="24"/>
                <w:szCs w:val="24"/>
                <w:highlight w:val="none"/>
                <w:lang w:val="en-US" w:eastAsia="zh-CN"/>
              </w:rPr>
              <w:t>竣工环境保护验收和例行监测，本项目现有工程污染物排放量根据《</w:t>
            </w:r>
            <w:r>
              <w:rPr>
                <w:rFonts w:hint="default" w:ascii="Times New Roman" w:hAnsi="Times New Roman" w:eastAsia="宋体" w:cs="Times New Roman"/>
                <w:color w:val="auto"/>
                <w:sz w:val="24"/>
                <w:szCs w:val="24"/>
                <w:highlight w:val="none"/>
                <w:lang w:val="en-US" w:eastAsia="zh-CN"/>
              </w:rPr>
              <w:t>绿都集团股份有限公司日处理 200 吨米糠制油设施建设项目环境影响报告表</w:t>
            </w:r>
            <w:r>
              <w:rPr>
                <w:rFonts w:hint="default" w:ascii="Times New Roman" w:hAnsi="Times New Roman" w:eastAsia="宋体" w:cs="Times New Roman"/>
                <w:b w:val="0"/>
                <w:bCs/>
                <w:color w:val="auto"/>
                <w:sz w:val="24"/>
                <w:szCs w:val="24"/>
                <w:highlight w:val="none"/>
                <w:lang w:val="en-US" w:eastAsia="zh-CN"/>
              </w:rPr>
              <w:t>》填报</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color w:val="auto"/>
                <w:kern w:val="0"/>
                <w:sz w:val="24"/>
                <w:szCs w:val="24"/>
                <w:highlight w:val="none"/>
                <w:lang w:bidi="ar"/>
              </w:rPr>
              <w:t>本项目污染物排放总量统计结果见下表</w:t>
            </w:r>
            <w:r>
              <w:rPr>
                <w:rFonts w:hint="default" w:ascii="Times New Roman" w:hAnsi="Times New Roman" w:eastAsia="宋体" w:cs="Times New Roman"/>
                <w:b w:val="0"/>
                <w:bCs/>
                <w:color w:val="auto"/>
                <w:kern w:val="0"/>
                <w:sz w:val="24"/>
                <w:szCs w:val="24"/>
                <w:highlight w:val="none"/>
                <w:lang w:val="en-US" w:eastAsia="zh-CN" w:bidi="ar"/>
              </w:rPr>
              <w:t>2-7</w:t>
            </w:r>
            <w:r>
              <w:rPr>
                <w:rFonts w:hint="default" w:ascii="Times New Roman" w:hAnsi="Times New Roman" w:eastAsia="宋体" w:cs="Times New Roman"/>
                <w:b w:val="0"/>
                <w:bCs/>
                <w:color w:val="auto"/>
                <w:kern w:val="0"/>
                <w:sz w:val="24"/>
                <w:szCs w:val="24"/>
                <w:highlight w:val="none"/>
                <w:lang w:bidi="ar"/>
              </w:rPr>
              <w:t>。</w:t>
            </w:r>
          </w:p>
          <w:p w14:paraId="2B57448E">
            <w:pPr>
              <w:pStyle w:val="7"/>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表2-7总量核定</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328"/>
              <w:gridCol w:w="1963"/>
              <w:gridCol w:w="1884"/>
              <w:gridCol w:w="1885"/>
            </w:tblGrid>
            <w:tr w14:paraId="38C07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exact"/>
                <w:jc w:val="center"/>
              </w:trPr>
              <w:tc>
                <w:tcPr>
                  <w:tcW w:w="374" w:type="pct"/>
                  <w:tcBorders>
                    <w:top w:val="single" w:color="auto" w:sz="12" w:space="0"/>
                    <w:left w:val="nil"/>
                  </w:tcBorders>
                  <w:noWrap w:val="0"/>
                  <w:vAlign w:val="center"/>
                </w:tcPr>
                <w:p w14:paraId="4598077E">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类别</w:t>
                  </w:r>
                </w:p>
              </w:tc>
              <w:tc>
                <w:tcPr>
                  <w:tcW w:w="870" w:type="pct"/>
                  <w:tcBorders>
                    <w:top w:val="single" w:color="auto" w:sz="12" w:space="0"/>
                  </w:tcBorders>
                  <w:noWrap w:val="0"/>
                  <w:vAlign w:val="center"/>
                </w:tcPr>
                <w:p w14:paraId="1A47ACDD">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总量控制因子</w:t>
                  </w:r>
                </w:p>
              </w:tc>
              <w:tc>
                <w:tcPr>
                  <w:tcW w:w="1286" w:type="pct"/>
                  <w:tcBorders>
                    <w:top w:val="single" w:color="auto" w:sz="12" w:space="0"/>
                  </w:tcBorders>
                  <w:noWrap w:val="0"/>
                  <w:vAlign w:val="center"/>
                </w:tcPr>
                <w:p w14:paraId="528B044E">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环评</w:t>
                  </w:r>
                  <w:r>
                    <w:rPr>
                      <w:rFonts w:hint="default" w:ascii="Times New Roman" w:hAnsi="Times New Roman" w:cs="Times New Roman"/>
                      <w:bCs/>
                      <w:color w:val="auto"/>
                      <w:sz w:val="21"/>
                      <w:szCs w:val="21"/>
                      <w:highlight w:val="none"/>
                      <w:lang w:val="en-US" w:eastAsia="zh-CN"/>
                    </w:rPr>
                    <w:t>预测</w:t>
                  </w:r>
                  <w:r>
                    <w:rPr>
                      <w:rFonts w:hint="default" w:ascii="Times New Roman" w:hAnsi="Times New Roman" w:eastAsia="宋体" w:cs="Times New Roman"/>
                      <w:bCs/>
                      <w:color w:val="auto"/>
                      <w:sz w:val="21"/>
                      <w:szCs w:val="21"/>
                      <w:highlight w:val="none"/>
                    </w:rPr>
                    <w:t>排放量（t/a）</w:t>
                  </w:r>
                </w:p>
              </w:tc>
              <w:tc>
                <w:tcPr>
                  <w:tcW w:w="1234" w:type="pct"/>
                  <w:tcBorders>
                    <w:top w:val="single" w:color="auto" w:sz="12" w:space="0"/>
                    <w:right w:val="nil"/>
                  </w:tcBorders>
                  <w:noWrap w:val="0"/>
                  <w:vAlign w:val="center"/>
                </w:tcPr>
                <w:p w14:paraId="663138F2">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环评核定排放量（t/a）</w:t>
                  </w:r>
                </w:p>
              </w:tc>
              <w:tc>
                <w:tcPr>
                  <w:tcW w:w="1234" w:type="pct"/>
                  <w:tcBorders>
                    <w:top w:val="single" w:color="auto" w:sz="12" w:space="0"/>
                    <w:right w:val="nil"/>
                  </w:tcBorders>
                  <w:noWrap w:val="0"/>
                  <w:vAlign w:val="center"/>
                </w:tcPr>
                <w:p w14:paraId="2FB1BA23">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现有工程实际排放量</w:t>
                  </w:r>
                  <w:r>
                    <w:rPr>
                      <w:rFonts w:hint="default" w:ascii="Times New Roman" w:hAnsi="Times New Roman" w:cs="Times New Roman"/>
                      <w:bCs/>
                      <w:color w:val="auto"/>
                      <w:sz w:val="21"/>
                      <w:szCs w:val="21"/>
                      <w:highlight w:val="none"/>
                      <w:lang w:val="en-US" w:eastAsia="zh-CN"/>
                    </w:rPr>
                    <w:t>（t/a）</w:t>
                  </w:r>
                </w:p>
              </w:tc>
            </w:tr>
            <w:tr w14:paraId="6B3A19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74" w:type="pct"/>
                  <w:vMerge w:val="restart"/>
                  <w:tcBorders>
                    <w:left w:val="nil"/>
                  </w:tcBorders>
                  <w:noWrap w:val="0"/>
                  <w:vAlign w:val="center"/>
                </w:tcPr>
                <w:p w14:paraId="2B7FC13A">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废气</w:t>
                  </w:r>
                </w:p>
              </w:tc>
              <w:tc>
                <w:tcPr>
                  <w:tcW w:w="870" w:type="pct"/>
                  <w:noWrap w:val="0"/>
                  <w:vAlign w:val="center"/>
                </w:tcPr>
                <w:p w14:paraId="17720271">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286" w:type="pct"/>
                  <w:noWrap w:val="0"/>
                  <w:vAlign w:val="center"/>
                </w:tcPr>
                <w:p w14:paraId="1578724C">
                  <w:pPr>
                    <w:keepNext w:val="0"/>
                    <w:keepLines w:val="0"/>
                    <w:pageBreakBefore w:val="0"/>
                    <w:widowControl w:val="0"/>
                    <w:kinsoku/>
                    <w:wordWrap/>
                    <w:overflowPunct/>
                    <w:topLinePunct w:val="0"/>
                    <w:bidi w:val="0"/>
                    <w:adjustRightInd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5.58</w:t>
                  </w:r>
                </w:p>
              </w:tc>
              <w:tc>
                <w:tcPr>
                  <w:tcW w:w="1937" w:type="dxa"/>
                  <w:tcBorders>
                    <w:right w:val="nil"/>
                  </w:tcBorders>
                  <w:noWrap w:val="0"/>
                  <w:vAlign w:val="center"/>
                </w:tcPr>
                <w:p w14:paraId="79B46F12">
                  <w:pPr>
                    <w:keepNext w:val="0"/>
                    <w:keepLines w:val="0"/>
                    <w:pageBreakBefore w:val="0"/>
                    <w:widowControl w:val="0"/>
                    <w:kinsoku/>
                    <w:wordWrap/>
                    <w:overflowPunct/>
                    <w:topLinePunct w:val="0"/>
                    <w:bidi w:val="0"/>
                    <w:adjustRightIn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5.58</w:t>
                  </w:r>
                </w:p>
              </w:tc>
              <w:tc>
                <w:tcPr>
                  <w:tcW w:w="1938" w:type="dxa"/>
                  <w:tcBorders>
                    <w:right w:val="nil"/>
                  </w:tcBorders>
                  <w:noWrap w:val="0"/>
                  <w:vAlign w:val="center"/>
                </w:tcPr>
                <w:p w14:paraId="5735A399">
                  <w:pPr>
                    <w:keepNext w:val="0"/>
                    <w:keepLines w:val="0"/>
                    <w:pageBreakBefore w:val="0"/>
                    <w:widowControl w:val="0"/>
                    <w:kinsoku/>
                    <w:wordWrap/>
                    <w:overflowPunct/>
                    <w:topLinePunct w:val="0"/>
                    <w:bidi w:val="0"/>
                    <w:adjustRightInd w:val="0"/>
                    <w:spacing w:line="240" w:lineRule="auto"/>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5.58</w:t>
                  </w:r>
                </w:p>
              </w:tc>
            </w:tr>
            <w:tr w14:paraId="64472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74" w:type="pct"/>
                  <w:vMerge w:val="continue"/>
                  <w:tcBorders>
                    <w:left w:val="nil"/>
                  </w:tcBorders>
                  <w:noWrap w:val="0"/>
                  <w:vAlign w:val="center"/>
                </w:tcPr>
                <w:p w14:paraId="4A993297">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870" w:type="pct"/>
                  <w:noWrap w:val="0"/>
                  <w:vAlign w:val="center"/>
                </w:tcPr>
                <w:p w14:paraId="41CB38A4">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1286" w:type="pct"/>
                  <w:noWrap w:val="0"/>
                  <w:vAlign w:val="center"/>
                </w:tcPr>
                <w:p w14:paraId="4A4F7E79">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4.65</w:t>
                  </w:r>
                </w:p>
              </w:tc>
              <w:tc>
                <w:tcPr>
                  <w:tcW w:w="1937" w:type="dxa"/>
                  <w:tcBorders>
                    <w:right w:val="nil"/>
                  </w:tcBorders>
                  <w:noWrap w:val="0"/>
                  <w:vAlign w:val="center"/>
                </w:tcPr>
                <w:p w14:paraId="6FD31A60">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4.65</w:t>
                  </w:r>
                </w:p>
              </w:tc>
              <w:tc>
                <w:tcPr>
                  <w:tcW w:w="1938" w:type="dxa"/>
                  <w:tcBorders>
                    <w:right w:val="nil"/>
                  </w:tcBorders>
                  <w:noWrap w:val="0"/>
                  <w:vAlign w:val="center"/>
                </w:tcPr>
                <w:p w14:paraId="16593253">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4.65</w:t>
                  </w:r>
                </w:p>
              </w:tc>
            </w:tr>
            <w:tr w14:paraId="04A69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74" w:type="pct"/>
                  <w:vMerge w:val="continue"/>
                  <w:tcBorders>
                    <w:left w:val="nil"/>
                  </w:tcBorders>
                  <w:noWrap w:val="0"/>
                  <w:vAlign w:val="center"/>
                </w:tcPr>
                <w:p w14:paraId="14FAB1E4">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p>
              </w:tc>
              <w:tc>
                <w:tcPr>
                  <w:tcW w:w="870" w:type="pct"/>
                  <w:noWrap w:val="0"/>
                  <w:vAlign w:val="center"/>
                </w:tcPr>
                <w:p w14:paraId="4FDCFDFF">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1286" w:type="pct"/>
                  <w:noWrap w:val="0"/>
                  <w:vAlign w:val="center"/>
                </w:tcPr>
                <w:p w14:paraId="07B8F3C2">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15.3</w:t>
                  </w:r>
                </w:p>
              </w:tc>
              <w:tc>
                <w:tcPr>
                  <w:tcW w:w="1937" w:type="dxa"/>
                  <w:tcBorders>
                    <w:right w:val="nil"/>
                  </w:tcBorders>
                  <w:noWrap w:val="0"/>
                  <w:vAlign w:val="center"/>
                </w:tcPr>
                <w:p w14:paraId="5B1422FC">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15.3</w:t>
                  </w:r>
                </w:p>
              </w:tc>
              <w:tc>
                <w:tcPr>
                  <w:tcW w:w="1938" w:type="dxa"/>
                  <w:tcBorders>
                    <w:right w:val="nil"/>
                  </w:tcBorders>
                  <w:noWrap w:val="0"/>
                  <w:vAlign w:val="center"/>
                </w:tcPr>
                <w:p w14:paraId="1497C7C1">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15.3</w:t>
                  </w:r>
                </w:p>
              </w:tc>
            </w:tr>
            <w:tr w14:paraId="6879F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74" w:type="pct"/>
                  <w:vMerge w:val="restart"/>
                  <w:tcBorders>
                    <w:left w:val="nil"/>
                  </w:tcBorders>
                  <w:noWrap w:val="0"/>
                  <w:vAlign w:val="center"/>
                </w:tcPr>
                <w:p w14:paraId="0DB326A2">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废水</w:t>
                  </w:r>
                </w:p>
              </w:tc>
              <w:tc>
                <w:tcPr>
                  <w:tcW w:w="870" w:type="pct"/>
                  <w:noWrap w:val="0"/>
                  <w:vAlign w:val="center"/>
                </w:tcPr>
                <w:p w14:paraId="36F84C02">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COD</w:t>
                  </w:r>
                </w:p>
              </w:tc>
              <w:tc>
                <w:tcPr>
                  <w:tcW w:w="1286" w:type="pct"/>
                  <w:noWrap w:val="0"/>
                  <w:vAlign w:val="center"/>
                </w:tcPr>
                <w:p w14:paraId="5B7861D9">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c>
                <w:tcPr>
                  <w:tcW w:w="1937" w:type="dxa"/>
                  <w:tcBorders>
                    <w:right w:val="nil"/>
                  </w:tcBorders>
                  <w:noWrap w:val="0"/>
                  <w:vAlign w:val="center"/>
                </w:tcPr>
                <w:p w14:paraId="7FDB768D">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c>
                <w:tcPr>
                  <w:tcW w:w="1938" w:type="dxa"/>
                  <w:tcBorders>
                    <w:right w:val="nil"/>
                  </w:tcBorders>
                  <w:noWrap w:val="0"/>
                  <w:vAlign w:val="center"/>
                </w:tcPr>
                <w:p w14:paraId="7097D471">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r>
            <w:tr w14:paraId="61371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74" w:type="pct"/>
                  <w:vMerge w:val="continue"/>
                  <w:tcBorders>
                    <w:left w:val="nil"/>
                    <w:bottom w:val="single" w:color="auto" w:sz="12" w:space="0"/>
                  </w:tcBorders>
                  <w:noWrap w:val="0"/>
                  <w:vAlign w:val="center"/>
                </w:tcPr>
                <w:p w14:paraId="7B65592A">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p>
              </w:tc>
              <w:tc>
                <w:tcPr>
                  <w:tcW w:w="870" w:type="pct"/>
                  <w:tcBorders>
                    <w:bottom w:val="single" w:color="auto" w:sz="12" w:space="0"/>
                  </w:tcBorders>
                  <w:noWrap w:val="0"/>
                  <w:vAlign w:val="center"/>
                </w:tcPr>
                <w:p w14:paraId="1FE81612">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氨氮</w:t>
                  </w:r>
                </w:p>
              </w:tc>
              <w:tc>
                <w:tcPr>
                  <w:tcW w:w="1286" w:type="pct"/>
                  <w:tcBorders>
                    <w:bottom w:val="single" w:color="auto" w:sz="12" w:space="0"/>
                  </w:tcBorders>
                  <w:noWrap w:val="0"/>
                  <w:vAlign w:val="center"/>
                </w:tcPr>
                <w:p w14:paraId="76D41D4E">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0.9</w:t>
                  </w:r>
                </w:p>
              </w:tc>
              <w:tc>
                <w:tcPr>
                  <w:tcW w:w="1937" w:type="dxa"/>
                  <w:tcBorders>
                    <w:bottom w:val="single" w:color="auto" w:sz="12" w:space="0"/>
                    <w:right w:val="nil"/>
                  </w:tcBorders>
                  <w:noWrap w:val="0"/>
                  <w:vAlign w:val="center"/>
                </w:tcPr>
                <w:p w14:paraId="475A6DA1">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0.9</w:t>
                  </w:r>
                </w:p>
              </w:tc>
              <w:tc>
                <w:tcPr>
                  <w:tcW w:w="1938" w:type="dxa"/>
                  <w:tcBorders>
                    <w:bottom w:val="single" w:color="auto" w:sz="12" w:space="0"/>
                    <w:right w:val="nil"/>
                  </w:tcBorders>
                  <w:noWrap w:val="0"/>
                  <w:vAlign w:val="center"/>
                </w:tcPr>
                <w:p w14:paraId="6085DD8B">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t>0.9</w:t>
                  </w:r>
                </w:p>
              </w:tc>
            </w:tr>
          </w:tbl>
          <w:p w14:paraId="1EACA9B6">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firstLine="0" w:firstLineChars="0"/>
              <w:jc w:val="both"/>
              <w:textAlignment w:val="auto"/>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cs="Times New Roman"/>
                <w:b/>
                <w:bCs w:val="0"/>
                <w:color w:val="auto"/>
                <w:sz w:val="18"/>
                <w:szCs w:val="18"/>
                <w:highlight w:val="none"/>
                <w:lang w:val="en-US" w:eastAsia="zh-CN"/>
              </w:rPr>
              <w:t>注：</w:t>
            </w:r>
            <w:r>
              <w:rPr>
                <w:rFonts w:hint="default" w:ascii="Times New Roman" w:hAnsi="Times New Roman" w:eastAsia="宋体" w:cs="Times New Roman"/>
                <w:b/>
                <w:bCs w:val="0"/>
                <w:color w:val="auto"/>
                <w:sz w:val="18"/>
                <w:szCs w:val="18"/>
                <w:highlight w:val="none"/>
                <w:lang w:val="en-US" w:eastAsia="zh-CN"/>
              </w:rPr>
              <w:t>现有工程实际排放量《绿都集团股份有限公司日处理200吨米糠制油设施建设项目环境影响报告表》</w:t>
            </w:r>
            <w:r>
              <w:rPr>
                <w:rFonts w:hint="default" w:ascii="Times New Roman" w:hAnsi="Times New Roman" w:cs="Times New Roman"/>
                <w:b/>
                <w:bCs w:val="0"/>
                <w:color w:val="auto"/>
                <w:sz w:val="18"/>
                <w:szCs w:val="18"/>
                <w:highlight w:val="none"/>
                <w:lang w:val="en-US" w:eastAsia="zh-CN"/>
              </w:rPr>
              <w:t>和《关于绿都集团股份有限公司日处理 200 吨米糠制油设施建设项目环境影响报告表的批复》填报</w:t>
            </w:r>
            <w:r>
              <w:rPr>
                <w:rFonts w:hint="eastAsia" w:cs="Times New Roman"/>
                <w:b/>
                <w:bCs w:val="0"/>
                <w:color w:val="auto"/>
                <w:sz w:val="18"/>
                <w:szCs w:val="18"/>
                <w:highlight w:val="none"/>
                <w:lang w:val="en-US" w:eastAsia="zh-CN"/>
              </w:rPr>
              <w:t>。</w:t>
            </w:r>
          </w:p>
          <w:p w14:paraId="540A2D98">
            <w:pPr>
              <w:pStyle w:val="7"/>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7、排污许可执行情况</w:t>
            </w:r>
          </w:p>
          <w:p w14:paraId="0B9AC807">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baseline"/>
              <w:rPr>
                <w:rFonts w:hint="default" w:ascii="Times New Roman" w:hAnsi="Times New Roman" w:cs="Times New Roman"/>
                <w:bCs/>
                <w:color w:val="auto"/>
                <w:spacing w:val="0"/>
                <w:sz w:val="24"/>
                <w:szCs w:val="24"/>
                <w:highlight w:val="none"/>
                <w:shd w:val="clear"/>
                <w:lang w:val="en-US" w:eastAsia="zh-CN"/>
              </w:rPr>
            </w:pPr>
            <w:r>
              <w:rPr>
                <w:rFonts w:hint="default" w:ascii="Times New Roman" w:hAnsi="Times New Roman" w:eastAsia="宋体" w:cs="Times New Roman"/>
                <w:color w:val="auto"/>
                <w:sz w:val="24"/>
                <w:szCs w:val="24"/>
                <w:highlight w:val="none"/>
                <w:lang w:val="en-US" w:eastAsia="zh-CN"/>
              </w:rPr>
              <w:t>根据《固定污染源排污许可分类管理名录》</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2019年版</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，现有工程属于“</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八</w:t>
            </w:r>
            <w:r>
              <w:rPr>
                <w:rFonts w:hint="default" w:ascii="Times New Roman" w:hAnsi="Times New Roman" w:eastAsia="Helvetica" w:cs="Times New Roman"/>
                <w:i w:val="0"/>
                <w:iCs w:val="0"/>
                <w:caps w:val="0"/>
                <w:color w:val="auto"/>
                <w:spacing w:val="0"/>
                <w:sz w:val="24"/>
                <w:szCs w:val="24"/>
                <w:highlight w:val="none"/>
                <w:shd w:val="clear" w:fill="FFFFFF"/>
              </w:rPr>
              <w:t>、</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农副食品加工业-11</w:t>
            </w:r>
            <w:r>
              <w:rPr>
                <w:rFonts w:hint="default" w:ascii="Times New Roman" w:hAnsi="Times New Roman" w:eastAsia="Helvetica" w:cs="Times New Roman"/>
                <w:i w:val="0"/>
                <w:iCs w:val="0"/>
                <w:caps w:val="0"/>
                <w:color w:val="auto"/>
                <w:spacing w:val="0"/>
                <w:sz w:val="24"/>
                <w:szCs w:val="24"/>
                <w:highlight w:val="none"/>
                <w:shd w:val="clear" w:fill="FFFFFF"/>
              </w:rPr>
              <w:t>.</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植物油加工133除单纯混合或者分装以外的</w:t>
            </w:r>
            <w:r>
              <w:rPr>
                <w:rFonts w:hint="default" w:ascii="Times New Roman" w:hAnsi="Times New Roman" w:eastAsia="宋体" w:cs="Times New Roman"/>
                <w:color w:val="auto"/>
                <w:sz w:val="24"/>
                <w:szCs w:val="24"/>
                <w:highlight w:val="none"/>
                <w:lang w:val="en-US" w:eastAsia="zh-CN"/>
              </w:rPr>
              <w:t>类别，排污许可类别为简化管理，建设单位</w:t>
            </w:r>
            <w:r>
              <w:rPr>
                <w:rFonts w:hint="default" w:ascii="Times New Roman" w:hAnsi="Times New Roman" w:eastAsia="宋体" w:cs="Times New Roman"/>
                <w:bCs/>
                <w:color w:val="auto"/>
                <w:kern w:val="2"/>
                <w:sz w:val="24"/>
                <w:szCs w:val="24"/>
                <w:highlight w:val="none"/>
                <w:lang w:val="en-US" w:eastAsia="zh-CN" w:bidi="ar-SA"/>
              </w:rPr>
              <w:t>虎林市绿都海狮油脂有限责任公司已于2023年6月10日取得排污许可证，证书编号为912303815982191536001Q。由于企业未生产</w:t>
            </w:r>
            <w:r>
              <w:rPr>
                <w:rFonts w:hint="default" w:ascii="Times New Roman" w:hAnsi="Times New Roman" w:cs="Times New Roman"/>
                <w:bCs/>
                <w:color w:val="auto"/>
                <w:spacing w:val="0"/>
                <w:sz w:val="24"/>
                <w:szCs w:val="24"/>
                <w:highlight w:val="none"/>
                <w:shd w:val="clear"/>
                <w:lang w:val="en-US" w:eastAsia="zh-CN"/>
              </w:rPr>
              <w:t>，企业2023年、2024</w:t>
            </w:r>
            <w:r>
              <w:rPr>
                <w:rFonts w:hint="eastAsia" w:ascii="Times New Roman" w:hAnsi="Times New Roman" w:cs="Times New Roman"/>
                <w:bCs/>
                <w:color w:val="auto"/>
                <w:spacing w:val="0"/>
                <w:sz w:val="24"/>
                <w:szCs w:val="24"/>
                <w:highlight w:val="none"/>
                <w:shd w:val="clear"/>
                <w:lang w:val="en-US" w:eastAsia="zh-CN"/>
              </w:rPr>
              <w:t>、2025</w:t>
            </w:r>
            <w:r>
              <w:rPr>
                <w:rFonts w:hint="default" w:ascii="Times New Roman" w:hAnsi="Times New Roman" w:cs="Times New Roman"/>
                <w:bCs/>
                <w:color w:val="auto"/>
                <w:spacing w:val="0"/>
                <w:sz w:val="24"/>
                <w:szCs w:val="24"/>
                <w:highlight w:val="none"/>
                <w:shd w:val="clear"/>
                <w:lang w:val="en-US" w:eastAsia="zh-CN"/>
              </w:rPr>
              <w:t>年年度执行报告</w:t>
            </w:r>
            <w:r>
              <w:rPr>
                <w:rFonts w:hint="eastAsia" w:ascii="Times New Roman" w:hAnsi="Times New Roman" w:cs="Times New Roman"/>
                <w:bCs/>
                <w:color w:val="auto"/>
                <w:spacing w:val="0"/>
                <w:sz w:val="24"/>
                <w:szCs w:val="24"/>
                <w:highlight w:val="none"/>
                <w:shd w:val="clear"/>
                <w:lang w:val="en-US" w:eastAsia="zh-CN"/>
              </w:rPr>
              <w:t>均进行停产申请</w:t>
            </w:r>
            <w:r>
              <w:rPr>
                <w:rFonts w:hint="default" w:ascii="Times New Roman" w:hAnsi="Times New Roman" w:cs="Times New Roman"/>
                <w:bCs/>
                <w:color w:val="auto"/>
                <w:spacing w:val="0"/>
                <w:sz w:val="24"/>
                <w:szCs w:val="24"/>
                <w:highlight w:val="none"/>
                <w:shd w:val="clear"/>
                <w:lang w:val="en-US" w:eastAsia="zh-CN"/>
              </w:rPr>
              <w:t>。</w:t>
            </w:r>
          </w:p>
          <w:p w14:paraId="02C38754">
            <w:pPr>
              <w:pStyle w:val="7"/>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i w:val="0"/>
                <w:iCs w:val="0"/>
                <w:color w:val="auto"/>
                <w:sz w:val="24"/>
                <w:szCs w:val="24"/>
                <w:highlight w:val="none"/>
                <w:u w:val="none"/>
                <w:lang w:val="en-US" w:eastAsia="zh-CN"/>
              </w:rPr>
            </w:pPr>
            <w:r>
              <w:rPr>
                <w:rFonts w:hint="default" w:ascii="Times New Roman" w:hAnsi="Times New Roman" w:eastAsia="宋体" w:cs="Times New Roman"/>
                <w:i w:val="0"/>
                <w:iCs w:val="0"/>
                <w:color w:val="auto"/>
                <w:sz w:val="24"/>
                <w:szCs w:val="24"/>
                <w:highlight w:val="none"/>
                <w:u w:val="none"/>
                <w:lang w:val="en-US" w:eastAsia="zh-CN"/>
              </w:rPr>
              <w:t>8、现有环境问题及整改措施</w:t>
            </w:r>
          </w:p>
          <w:p w14:paraId="6C343758">
            <w:pPr>
              <w:keepNext w:val="0"/>
              <w:keepLines w:val="0"/>
              <w:pageBreakBefore w:val="0"/>
              <w:widowControl w:val="0"/>
              <w:kinsoku/>
              <w:wordWrap/>
              <w:overflowPunct/>
              <w:topLinePunct w:val="0"/>
              <w:autoSpaceDE/>
              <w:autoSpaceDN/>
              <w:bidi w:val="0"/>
              <w:adjustRightInd/>
              <w:snapToGrid/>
              <w:spacing w:line="360" w:lineRule="auto"/>
              <w:ind w:firstLine="47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pacing w:val="-2"/>
                <w:sz w:val="24"/>
                <w:szCs w:val="24"/>
                <w:highlight w:val="none"/>
                <w:lang w:eastAsia="zh-CN"/>
              </w:rPr>
              <w:t>（</w:t>
            </w:r>
            <w:r>
              <w:rPr>
                <w:rFonts w:hint="default" w:ascii="Times New Roman" w:hAnsi="Times New Roman" w:cs="Times New Roman"/>
                <w:color w:val="auto"/>
                <w:spacing w:val="-2"/>
                <w:sz w:val="24"/>
                <w:szCs w:val="24"/>
                <w:highlight w:val="none"/>
                <w:lang w:val="en-US" w:eastAsia="zh-CN"/>
              </w:rPr>
              <w:t>1</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根据《产业结构调整指导目录（2024年）》政</w:t>
            </w:r>
            <w:r>
              <w:rPr>
                <w:rFonts w:hint="default" w:ascii="Times New Roman" w:hAnsi="Times New Roman" w:eastAsia="宋体" w:cs="Times New Roman"/>
                <w:color w:val="auto"/>
                <w:spacing w:val="-3"/>
                <w:sz w:val="24"/>
                <w:szCs w:val="24"/>
                <w:highlight w:val="none"/>
              </w:rPr>
              <w:t>策要求</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目前2t/h锅炉已经停用，准备拆除，10t/h锅炉未编制环境影响评价报告。</w:t>
            </w:r>
          </w:p>
          <w:p w14:paraId="2289719B">
            <w:pPr>
              <w:pStyle w:val="7"/>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Cs/>
                <w:color w:val="auto"/>
                <w:kern w:val="2"/>
                <w:sz w:val="24"/>
                <w:szCs w:val="24"/>
                <w:highlight w:val="none"/>
                <w:lang w:val="en-US" w:eastAsia="zh-CN" w:bidi="ar-SA"/>
              </w:rPr>
              <w:t>（2）在项目运行过程中设备维修将会产生废润滑油、废含油抹布，废润滑油、废含油抹布属于危险废物，企业厂区未设置</w:t>
            </w:r>
            <w:r>
              <w:rPr>
                <w:rFonts w:hint="eastAsia" w:cs="Times New Roman"/>
                <w:bCs/>
                <w:color w:val="auto"/>
                <w:kern w:val="2"/>
                <w:sz w:val="24"/>
                <w:szCs w:val="24"/>
                <w:highlight w:val="none"/>
                <w:lang w:val="en-US" w:eastAsia="zh-CN" w:bidi="ar-SA"/>
              </w:rPr>
              <w:t>危险废物贮存点</w:t>
            </w:r>
            <w:r>
              <w:rPr>
                <w:rFonts w:hint="default" w:ascii="Times New Roman" w:hAnsi="Times New Roman" w:eastAsia="宋体" w:cs="Times New Roman"/>
                <w:bCs/>
                <w:color w:val="auto"/>
                <w:kern w:val="2"/>
                <w:sz w:val="24"/>
                <w:szCs w:val="24"/>
                <w:highlight w:val="none"/>
                <w:lang w:val="en-US" w:eastAsia="zh-CN" w:bidi="ar-SA"/>
              </w:rPr>
              <w:t>。</w:t>
            </w:r>
          </w:p>
        </w:tc>
        <w:tc>
          <w:tcPr>
            <w:tcW w:w="4143" w:type="dxa"/>
            <w:noWrap w:val="0"/>
            <w:vAlign w:val="center"/>
          </w:tcPr>
          <w:p w14:paraId="111ADC7D">
            <w:pPr>
              <w:pStyle w:val="7"/>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bCs w:val="0"/>
                <w:color w:val="auto"/>
                <w:kern w:val="0"/>
                <w:sz w:val="24"/>
                <w:szCs w:val="24"/>
                <w:highlight w:val="none"/>
                <w:lang w:val="en-US" w:eastAsia="zh-CN" w:bidi="ar-SA"/>
              </w:rPr>
            </w:pPr>
          </w:p>
        </w:tc>
      </w:tr>
    </w:tbl>
    <w:p w14:paraId="7EF0431F">
      <w:pPr>
        <w:pStyle w:val="29"/>
        <w:rPr>
          <w:rFonts w:hint="default" w:ascii="Times New Roman" w:hAnsi="Times New Roman" w:eastAsia="宋体" w:cs="Times New Roman"/>
          <w:snapToGrid w:val="0"/>
          <w:color w:val="auto"/>
          <w:spacing w:val="0"/>
          <w:highlight w:val="none"/>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386B238F">
      <w:pPr>
        <w:pStyle w:val="2"/>
        <w:spacing w:line="360" w:lineRule="auto"/>
        <w:jc w:val="center"/>
        <w:rPr>
          <w:rFonts w:hint="default" w:ascii="Times New Roman" w:hAnsi="Times New Roman" w:eastAsia="宋体" w:cs="Times New Roman"/>
          <w:bCs w:val="0"/>
          <w:color w:val="auto"/>
          <w:spacing w:val="0"/>
          <w:highlight w:val="none"/>
        </w:rPr>
      </w:pPr>
      <w:bookmarkStart w:id="3" w:name="_Toc71191477"/>
      <w:bookmarkStart w:id="4" w:name="_Toc71191479"/>
      <w:bookmarkStart w:id="5" w:name="_Toc71191478"/>
      <w:r>
        <w:rPr>
          <w:rFonts w:hint="default" w:ascii="Times New Roman" w:hAnsi="Times New Roman" w:eastAsia="宋体" w:cs="Times New Roman"/>
          <w:bCs w:val="0"/>
          <w:color w:val="auto"/>
          <w:spacing w:val="0"/>
          <w:highlight w:val="none"/>
        </w:rPr>
        <w:t>三、区域环境质量现状、环境保护目标及评价标准</w:t>
      </w:r>
      <w:bookmarkEnd w:id="3"/>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42"/>
        <w:gridCol w:w="7987"/>
      </w:tblGrid>
      <w:tr w14:paraId="28E124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542" w:type="dxa"/>
            <w:noWrap w:val="0"/>
            <w:vAlign w:val="center"/>
          </w:tcPr>
          <w:p w14:paraId="21D65333">
            <w:pPr>
              <w:spacing w:line="240" w:lineRule="auto"/>
              <w:ind w:firstLine="0" w:firstLineChars="0"/>
              <w:jc w:val="center"/>
              <w:rPr>
                <w:rFonts w:hint="default" w:ascii="Times New Roman" w:hAnsi="Times New Roman" w:eastAsia="宋体" w:cs="Times New Roman"/>
                <w:color w:val="auto"/>
                <w:spacing w:val="0"/>
                <w:kern w:val="0"/>
                <w:highlight w:val="none"/>
              </w:rPr>
            </w:pPr>
            <w:r>
              <w:rPr>
                <w:rFonts w:hint="default" w:ascii="Times New Roman" w:hAnsi="Times New Roman" w:eastAsia="宋体" w:cs="Times New Roman"/>
                <w:color w:val="auto"/>
                <w:spacing w:val="0"/>
                <w:kern w:val="0"/>
                <w:highlight w:val="none"/>
              </w:rPr>
              <w:t>区域</w:t>
            </w:r>
          </w:p>
          <w:p w14:paraId="4DD78144">
            <w:pPr>
              <w:spacing w:line="240" w:lineRule="auto"/>
              <w:ind w:firstLine="0" w:firstLineChars="0"/>
              <w:jc w:val="center"/>
              <w:rPr>
                <w:rFonts w:hint="default" w:ascii="Times New Roman" w:hAnsi="Times New Roman" w:eastAsia="宋体" w:cs="Times New Roman"/>
                <w:color w:val="auto"/>
                <w:spacing w:val="0"/>
                <w:kern w:val="0"/>
                <w:highlight w:val="none"/>
              </w:rPr>
            </w:pPr>
            <w:r>
              <w:rPr>
                <w:rFonts w:hint="default" w:ascii="Times New Roman" w:hAnsi="Times New Roman" w:eastAsia="宋体" w:cs="Times New Roman"/>
                <w:color w:val="auto"/>
                <w:spacing w:val="0"/>
                <w:kern w:val="0"/>
                <w:highlight w:val="none"/>
              </w:rPr>
              <w:t>环境</w:t>
            </w:r>
          </w:p>
          <w:p w14:paraId="1625EC96">
            <w:pPr>
              <w:spacing w:line="240" w:lineRule="auto"/>
              <w:ind w:firstLine="0" w:firstLineChars="0"/>
              <w:jc w:val="center"/>
              <w:rPr>
                <w:rFonts w:hint="default" w:ascii="Times New Roman" w:hAnsi="Times New Roman" w:eastAsia="宋体" w:cs="Times New Roman"/>
                <w:color w:val="auto"/>
                <w:spacing w:val="0"/>
                <w:kern w:val="0"/>
                <w:highlight w:val="none"/>
              </w:rPr>
            </w:pPr>
            <w:r>
              <w:rPr>
                <w:rFonts w:hint="default" w:ascii="Times New Roman" w:hAnsi="Times New Roman" w:eastAsia="宋体" w:cs="Times New Roman"/>
                <w:color w:val="auto"/>
                <w:spacing w:val="0"/>
                <w:kern w:val="0"/>
                <w:highlight w:val="none"/>
              </w:rPr>
              <w:t>质量</w:t>
            </w:r>
          </w:p>
          <w:p w14:paraId="6870232C">
            <w:pPr>
              <w:spacing w:line="240" w:lineRule="auto"/>
              <w:ind w:firstLine="0" w:firstLineChars="0"/>
              <w:jc w:val="center"/>
              <w:rPr>
                <w:rFonts w:hint="default" w:ascii="Times New Roman" w:hAnsi="Times New Roman" w:eastAsia="宋体" w:cs="Times New Roman"/>
                <w:color w:val="auto"/>
                <w:spacing w:val="0"/>
                <w:kern w:val="0"/>
                <w:highlight w:val="none"/>
              </w:rPr>
            </w:pPr>
            <w:r>
              <w:rPr>
                <w:rFonts w:hint="default" w:ascii="Times New Roman" w:hAnsi="Times New Roman" w:eastAsia="宋体" w:cs="Times New Roman"/>
                <w:color w:val="auto"/>
                <w:spacing w:val="0"/>
                <w:kern w:val="0"/>
                <w:highlight w:val="none"/>
              </w:rPr>
              <w:t>现状</w:t>
            </w:r>
          </w:p>
        </w:tc>
        <w:tc>
          <w:tcPr>
            <w:tcW w:w="7987" w:type="dxa"/>
            <w:noWrap w:val="0"/>
            <w:vAlign w:val="center"/>
          </w:tcPr>
          <w:p w14:paraId="3B607FF1">
            <w:pPr>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1、环境空气质量现状</w:t>
            </w:r>
          </w:p>
          <w:p w14:paraId="4BAAA98E">
            <w:pPr>
              <w:pStyle w:val="114"/>
              <w:keepNext w:val="0"/>
              <w:keepLines w:val="0"/>
              <w:pageBreakBefore w:val="0"/>
              <w:widowControl w:val="0"/>
              <w:kinsoku/>
              <w:wordWrap/>
              <w:overflowPunct/>
              <w:topLinePunct w:val="0"/>
              <w:autoSpaceDE/>
              <w:autoSpaceDN/>
              <w:bidi w:val="0"/>
              <w:spacing w:line="360" w:lineRule="auto"/>
              <w:ind w:left="0" w:right="0" w:firstLine="420"/>
              <w:textAlignment w:val="auto"/>
              <w:rPr>
                <w:rFonts w:hint="default" w:ascii="Times New Roman" w:hAnsi="Times New Roman" w:eastAsia="宋体" w:cs="Times New Roman"/>
                <w:color w:val="auto"/>
                <w:spacing w:val="0"/>
                <w:highlight w:val="none"/>
                <w:lang w:val="en-US"/>
              </w:rPr>
            </w:pPr>
            <w:r>
              <w:rPr>
                <w:rFonts w:hint="default" w:ascii="Times New Roman" w:hAnsi="Times New Roman" w:eastAsia="宋体" w:cs="Times New Roman"/>
                <w:color w:val="auto"/>
                <w:spacing w:val="0"/>
                <w:highlight w:val="none"/>
                <w:lang w:val="en-US" w:eastAsia="zh-CN"/>
              </w:rPr>
              <w:t>（1</w:t>
            </w:r>
            <w:r>
              <w:rPr>
                <w:rFonts w:hint="default" w:ascii="Times New Roman" w:hAnsi="Times New Roman" w:eastAsia="宋体" w:cs="Times New Roman"/>
                <w:color w:val="auto"/>
                <w:spacing w:val="0"/>
                <w:highlight w:val="none"/>
                <w:lang w:eastAsia="zh-CN"/>
              </w:rPr>
              <w:t>）</w:t>
            </w:r>
            <w:r>
              <w:rPr>
                <w:rFonts w:hint="default" w:ascii="Times New Roman" w:hAnsi="Times New Roman" w:eastAsia="宋体" w:cs="Times New Roman"/>
                <w:color w:val="auto"/>
                <w:spacing w:val="0"/>
                <w:highlight w:val="none"/>
                <w:lang w:val="en-US" w:eastAsia="zh-CN"/>
              </w:rPr>
              <w:t>基本污染物</w:t>
            </w:r>
          </w:p>
          <w:p w14:paraId="791808A7">
            <w:pPr>
              <w:pStyle w:val="147"/>
              <w:keepNext w:val="0"/>
              <w:keepLines w:val="0"/>
              <w:pageBreakBefore w:val="0"/>
              <w:widowControl w:val="0"/>
              <w:kinsoku/>
              <w:wordWrap/>
              <w:overflowPunct/>
              <w:topLinePunct w:val="0"/>
              <w:autoSpaceDE/>
              <w:autoSpaceDN/>
              <w:bidi w:val="0"/>
              <w:spacing w:line="360" w:lineRule="auto"/>
              <w:ind w:left="0" w:right="0" w:firstLine="485"/>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w:t>
            </w:r>
            <w:r>
              <w:rPr>
                <w:rFonts w:hint="default" w:ascii="Times New Roman" w:hAnsi="Times New Roman" w:eastAsia="Times New Roman" w:cs="Times New Roman"/>
                <w:color w:val="auto"/>
                <w:sz w:val="24"/>
                <w:szCs w:val="24"/>
                <w:highlight w:val="none"/>
              </w:rPr>
              <w:t>2024</w:t>
            </w:r>
            <w:r>
              <w:rPr>
                <w:rFonts w:hint="default" w:ascii="Times New Roman" w:hAnsi="Times New Roman" w:cs="Times New Roman"/>
                <w:color w:val="auto"/>
                <w:sz w:val="24"/>
                <w:szCs w:val="24"/>
                <w:highlight w:val="none"/>
              </w:rPr>
              <w:t>年黑龙江省生态环境质量状况》。</w:t>
            </w:r>
            <w:r>
              <w:rPr>
                <w:rFonts w:hint="default" w:ascii="Times New Roman" w:hAnsi="Times New Roman" w:eastAsia="Times New Roman" w:cs="Times New Roman"/>
                <w:color w:val="auto"/>
                <w:sz w:val="24"/>
                <w:szCs w:val="24"/>
                <w:highlight w:val="none"/>
              </w:rPr>
              <w:t>202</w:t>
            </w:r>
            <w:r>
              <w:rPr>
                <w:rFonts w:hint="default" w:ascii="Times New Roman" w:hAnsi="Times New Roman" w:eastAsia="Times New Roman" w:cs="Times New Roman"/>
                <w:color w:val="auto"/>
                <w:spacing w:val="-1"/>
                <w:sz w:val="24"/>
                <w:szCs w:val="24"/>
                <w:highlight w:val="none"/>
              </w:rPr>
              <w:t>4</w:t>
            </w:r>
            <w:r>
              <w:rPr>
                <w:rFonts w:hint="default" w:ascii="Times New Roman" w:hAnsi="Times New Roman" w:cs="Times New Roman"/>
                <w:color w:val="auto"/>
                <w:spacing w:val="-1"/>
                <w:sz w:val="24"/>
                <w:szCs w:val="24"/>
                <w:highlight w:val="none"/>
              </w:rPr>
              <w:t>年，全省各项污染物</w:t>
            </w:r>
            <w:r>
              <w:rPr>
                <w:rFonts w:hint="default" w:ascii="Times New Roman" w:hAnsi="Times New Roman" w:cs="Times New Roman"/>
                <w:color w:val="auto"/>
                <w:sz w:val="24"/>
                <w:szCs w:val="24"/>
                <w:highlight w:val="none"/>
              </w:rPr>
              <w:t>平均浓度均</w:t>
            </w:r>
            <w:r>
              <w:rPr>
                <w:rFonts w:hint="eastAsia" w:ascii="Times New Roman" w:hAnsi="Times New Roman" w:cs="Times New Roman"/>
                <w:color w:val="auto"/>
                <w:sz w:val="24"/>
                <w:szCs w:val="24"/>
                <w:highlight w:val="none"/>
                <w:lang w:eastAsia="zh-CN"/>
              </w:rPr>
              <w:t>达到</w:t>
            </w:r>
            <w:r>
              <w:rPr>
                <w:rFonts w:hint="default" w:ascii="Times New Roman" w:hAnsi="Times New Roman" w:cs="Times New Roman"/>
                <w:color w:val="auto"/>
                <w:sz w:val="24"/>
                <w:szCs w:val="24"/>
                <w:highlight w:val="none"/>
              </w:rPr>
              <w:t>《环境空气质量标准》（</w:t>
            </w:r>
            <w:r>
              <w:rPr>
                <w:rFonts w:hint="default" w:ascii="Times New Roman" w:hAnsi="Times New Roman" w:eastAsia="Times New Roman" w:cs="Times New Roman"/>
                <w:color w:val="auto"/>
                <w:sz w:val="24"/>
                <w:szCs w:val="24"/>
                <w:highlight w:val="none"/>
              </w:rPr>
              <w:t>GB3095-2012</w:t>
            </w:r>
            <w:r>
              <w:rPr>
                <w:rFonts w:hint="default" w:ascii="Times New Roman" w:hAnsi="Times New Roman" w:cs="Times New Roman"/>
                <w:color w:val="auto"/>
                <w:sz w:val="24"/>
                <w:szCs w:val="24"/>
                <w:highlight w:val="none"/>
              </w:rPr>
              <w:t>）中的二级标准</w:t>
            </w:r>
            <w:r>
              <w:rPr>
                <w:rFonts w:hint="default" w:ascii="Times New Roman" w:hAnsi="Times New Roman" w:cs="Times New Roman"/>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13</w:t>
            </w:r>
            <w:r>
              <w:rPr>
                <w:rFonts w:hint="default" w:ascii="Times New Roman" w:hAnsi="Times New Roman" w:cs="Times New Roman"/>
                <w:color w:val="auto"/>
                <w:spacing w:val="-1"/>
                <w:sz w:val="24"/>
                <w:szCs w:val="24"/>
                <w:highlight w:val="none"/>
              </w:rPr>
              <w:t>个城市中哈尔滨市和绥化市</w:t>
            </w:r>
            <w:r>
              <w:rPr>
                <w:rFonts w:hint="default" w:ascii="Times New Roman" w:hAnsi="Times New Roman" w:eastAsia="Times New Roman" w:cs="Times New Roman"/>
                <w:color w:val="auto"/>
                <w:spacing w:val="-1"/>
                <w:sz w:val="24"/>
                <w:szCs w:val="24"/>
                <w:highlight w:val="none"/>
              </w:rPr>
              <w:t>2</w:t>
            </w:r>
            <w:r>
              <w:rPr>
                <w:rFonts w:hint="default" w:ascii="Times New Roman" w:hAnsi="Times New Roman" w:cs="Times New Roman"/>
                <w:color w:val="auto"/>
                <w:spacing w:val="-1"/>
                <w:sz w:val="24"/>
                <w:szCs w:val="24"/>
                <w:highlight w:val="none"/>
              </w:rPr>
              <w:t>个城市未达标，超标污染物均为</w:t>
            </w:r>
            <w:r>
              <w:rPr>
                <w:rFonts w:hint="default" w:ascii="Times New Roman" w:hAnsi="Times New Roman" w:eastAsia="Times New Roman" w:cs="Times New Roman"/>
                <w:color w:val="auto"/>
                <w:spacing w:val="-1"/>
                <w:sz w:val="24"/>
                <w:szCs w:val="24"/>
                <w:highlight w:val="none"/>
              </w:rPr>
              <w:t>PM</w:t>
            </w:r>
            <w:r>
              <w:rPr>
                <w:rFonts w:hint="default" w:ascii="Times New Roman" w:hAnsi="Times New Roman" w:eastAsia="Times New Roman" w:cs="Times New Roman"/>
                <w:color w:val="auto"/>
                <w:spacing w:val="-1"/>
                <w:position w:val="-1"/>
                <w:sz w:val="15"/>
                <w:szCs w:val="15"/>
                <w:highlight w:val="none"/>
              </w:rPr>
              <w:t>2.5</w:t>
            </w:r>
            <w:r>
              <w:rPr>
                <w:rFonts w:hint="default" w:ascii="Times New Roman" w:hAnsi="Times New Roman" w:cs="Times New Roman"/>
                <w:color w:val="auto"/>
                <w:spacing w:val="-1"/>
                <w:sz w:val="24"/>
                <w:szCs w:val="24"/>
                <w:highlight w:val="none"/>
              </w:rPr>
              <w:t>。全省</w:t>
            </w:r>
            <w:r>
              <w:rPr>
                <w:rFonts w:hint="default" w:ascii="Times New Roman" w:hAnsi="Times New Roman" w:eastAsia="Times New Roman" w:cs="Times New Roman"/>
                <w:color w:val="auto"/>
                <w:spacing w:val="-1"/>
                <w:sz w:val="24"/>
                <w:szCs w:val="24"/>
                <w:highlight w:val="none"/>
              </w:rPr>
              <w:t>PM</w:t>
            </w:r>
            <w:r>
              <w:rPr>
                <w:rFonts w:hint="default" w:ascii="Times New Roman" w:hAnsi="Times New Roman" w:eastAsia="Times New Roman" w:cs="Times New Roman"/>
                <w:color w:val="auto"/>
                <w:spacing w:val="-1"/>
                <w:position w:val="-1"/>
                <w:sz w:val="15"/>
                <w:szCs w:val="15"/>
                <w:highlight w:val="none"/>
              </w:rPr>
              <w:t>2</w:t>
            </w:r>
            <w:r>
              <w:rPr>
                <w:rFonts w:hint="default" w:ascii="Times New Roman" w:hAnsi="Times New Roman" w:eastAsia="Times New Roman" w:cs="Times New Roman"/>
                <w:color w:val="auto"/>
                <w:spacing w:val="-2"/>
                <w:position w:val="-1"/>
                <w:sz w:val="15"/>
                <w:szCs w:val="15"/>
                <w:highlight w:val="none"/>
              </w:rPr>
              <w:t>.5</w:t>
            </w:r>
            <w:r>
              <w:rPr>
                <w:rFonts w:hint="default" w:ascii="Times New Roman" w:hAnsi="Times New Roman" w:cs="Times New Roman"/>
                <w:color w:val="auto"/>
                <w:spacing w:val="-2"/>
                <w:sz w:val="24"/>
                <w:szCs w:val="24"/>
                <w:highlight w:val="none"/>
              </w:rPr>
              <w:t>、</w:t>
            </w:r>
            <w:r>
              <w:rPr>
                <w:rFonts w:hint="default" w:ascii="Times New Roman" w:hAnsi="Times New Roman" w:eastAsia="Times New Roman" w:cs="Times New Roman"/>
                <w:color w:val="auto"/>
                <w:sz w:val="24"/>
                <w:szCs w:val="24"/>
                <w:highlight w:val="none"/>
              </w:rPr>
              <w:t>PM</w:t>
            </w:r>
            <w:r>
              <w:rPr>
                <w:rFonts w:hint="default" w:ascii="Times New Roman" w:hAnsi="Times New Roman" w:eastAsia="Times New Roman" w:cs="Times New Roman"/>
                <w:color w:val="auto"/>
                <w:position w:val="-1"/>
                <w:sz w:val="15"/>
                <w:szCs w:val="15"/>
                <w:highlight w:val="none"/>
              </w:rPr>
              <w:t>10</w:t>
            </w:r>
            <w:r>
              <w:rPr>
                <w:rFonts w:hint="default" w:ascii="Times New Roman" w:hAnsi="Times New Roman" w:cs="Times New Roman"/>
                <w:color w:val="auto"/>
                <w:spacing w:val="-25"/>
                <w:sz w:val="24"/>
                <w:szCs w:val="24"/>
                <w:highlight w:val="none"/>
              </w:rPr>
              <w:t>、</w:t>
            </w:r>
            <w:r>
              <w:rPr>
                <w:rFonts w:hint="default" w:ascii="Times New Roman" w:hAnsi="Times New Roman" w:eastAsia="Times New Roman" w:cs="Times New Roman"/>
                <w:color w:val="auto"/>
                <w:spacing w:val="-25"/>
                <w:sz w:val="24"/>
                <w:szCs w:val="24"/>
                <w:highlight w:val="none"/>
              </w:rPr>
              <w:t>SO</w:t>
            </w:r>
            <w:r>
              <w:rPr>
                <w:rFonts w:hint="default" w:ascii="Times New Roman" w:hAnsi="Times New Roman" w:eastAsia="Times New Roman" w:cs="Times New Roman"/>
                <w:color w:val="auto"/>
                <w:spacing w:val="1"/>
                <w:position w:val="-1"/>
                <w:sz w:val="15"/>
                <w:szCs w:val="15"/>
                <w:highlight w:val="none"/>
              </w:rPr>
              <w:t>2</w:t>
            </w:r>
            <w:r>
              <w:rPr>
                <w:rFonts w:hint="default" w:ascii="Times New Roman" w:hAnsi="Times New Roman" w:cs="Times New Roman"/>
                <w:color w:val="auto"/>
                <w:spacing w:val="-22"/>
                <w:w w:val="98"/>
                <w:position w:val="-1"/>
                <w:sz w:val="24"/>
                <w:szCs w:val="24"/>
                <w:highlight w:val="none"/>
              </w:rPr>
              <w:t>、</w:t>
            </w:r>
            <w:r>
              <w:rPr>
                <w:rFonts w:hint="default" w:ascii="Times New Roman" w:hAnsi="Times New Roman" w:eastAsia="Times New Roman" w:cs="Times New Roman"/>
                <w:color w:val="auto"/>
                <w:spacing w:val="-22"/>
                <w:w w:val="98"/>
                <w:sz w:val="24"/>
                <w:szCs w:val="24"/>
                <w:highlight w:val="none"/>
              </w:rPr>
              <w:t>NO</w:t>
            </w:r>
            <w:r>
              <w:rPr>
                <w:rFonts w:hint="default" w:ascii="Times New Roman" w:hAnsi="Times New Roman" w:eastAsia="Times New Roman" w:cs="Times New Roman"/>
                <w:color w:val="auto"/>
                <w:spacing w:val="6"/>
                <w:position w:val="-1"/>
                <w:sz w:val="15"/>
                <w:szCs w:val="15"/>
                <w:highlight w:val="none"/>
              </w:rPr>
              <w:t>2</w:t>
            </w:r>
            <w:r>
              <w:rPr>
                <w:rFonts w:hint="default" w:ascii="Times New Roman" w:hAnsi="Times New Roman" w:cs="Times New Roman"/>
                <w:color w:val="auto"/>
                <w:spacing w:val="-30"/>
                <w:position w:val="-1"/>
                <w:sz w:val="24"/>
                <w:szCs w:val="24"/>
                <w:highlight w:val="none"/>
              </w:rPr>
              <w:t>、</w:t>
            </w:r>
            <w:r>
              <w:rPr>
                <w:rFonts w:hint="default" w:ascii="Times New Roman" w:hAnsi="Times New Roman" w:eastAsia="Times New Roman" w:cs="Times New Roman"/>
                <w:color w:val="auto"/>
                <w:spacing w:val="-30"/>
                <w:sz w:val="24"/>
                <w:szCs w:val="24"/>
                <w:highlight w:val="none"/>
              </w:rPr>
              <w:t>CO</w:t>
            </w:r>
            <w:r>
              <w:rPr>
                <w:rFonts w:hint="default" w:ascii="Times New Roman" w:hAnsi="Times New Roman" w:cs="Times New Roman"/>
                <w:color w:val="auto"/>
                <w:spacing w:val="-30"/>
                <w:sz w:val="24"/>
                <w:szCs w:val="24"/>
                <w:highlight w:val="none"/>
              </w:rPr>
              <w:t>、</w:t>
            </w:r>
            <w:r>
              <w:rPr>
                <w:rFonts w:hint="default" w:ascii="Times New Roman" w:hAnsi="Times New Roman" w:eastAsia="Times New Roman" w:cs="Times New Roman"/>
                <w:color w:val="auto"/>
                <w:spacing w:val="-30"/>
                <w:sz w:val="24"/>
                <w:szCs w:val="24"/>
                <w:highlight w:val="none"/>
              </w:rPr>
              <w:t>O</w:t>
            </w:r>
            <w:r>
              <w:rPr>
                <w:rFonts w:hint="default" w:ascii="Times New Roman" w:hAnsi="Times New Roman" w:eastAsia="Times New Roman" w:cs="Times New Roman"/>
                <w:color w:val="auto"/>
                <w:spacing w:val="-7"/>
                <w:sz w:val="15"/>
                <w:szCs w:val="15"/>
                <w:highlight w:val="none"/>
              </w:rPr>
              <w:t>3</w:t>
            </w:r>
            <w:r>
              <w:rPr>
                <w:rFonts w:hint="default" w:ascii="Times New Roman" w:hAnsi="Times New Roman" w:eastAsia="Times New Roman" w:cs="Times New Roman"/>
                <w:color w:val="auto"/>
                <w:spacing w:val="-7"/>
                <w:sz w:val="24"/>
                <w:szCs w:val="24"/>
                <w:highlight w:val="none"/>
              </w:rPr>
              <w:t>-8</w:t>
            </w:r>
            <w:r>
              <w:rPr>
                <w:rFonts w:hint="default" w:ascii="Times New Roman" w:hAnsi="Times New Roman" w:cs="Times New Roman"/>
                <w:color w:val="auto"/>
                <w:spacing w:val="-7"/>
                <w:sz w:val="24"/>
                <w:szCs w:val="24"/>
                <w:highlight w:val="none"/>
              </w:rPr>
              <w:t>小时平均浓度分别为</w:t>
            </w:r>
            <w:r>
              <w:rPr>
                <w:rFonts w:hint="default" w:ascii="Times New Roman" w:hAnsi="Times New Roman" w:eastAsia="Times New Roman" w:cs="Times New Roman"/>
                <w:color w:val="auto"/>
                <w:spacing w:val="-7"/>
                <w:sz w:val="24"/>
                <w:szCs w:val="24"/>
                <w:highlight w:val="none"/>
              </w:rPr>
              <w:t>28</w:t>
            </w:r>
            <w:r>
              <w:rPr>
                <w:rFonts w:hint="default" w:ascii="Times New Roman" w:hAnsi="Times New Roman" w:cs="Times New Roman"/>
                <w:color w:val="auto"/>
                <w:spacing w:val="-7"/>
                <w:sz w:val="24"/>
                <w:szCs w:val="24"/>
                <w:highlight w:val="none"/>
              </w:rPr>
              <w:t>μ</w:t>
            </w:r>
            <w:r>
              <w:rPr>
                <w:rFonts w:hint="default" w:ascii="Times New Roman" w:hAnsi="Times New Roman" w:eastAsia="Times New Roman" w:cs="Times New Roman"/>
                <w:color w:val="auto"/>
                <w:spacing w:val="-7"/>
                <w:sz w:val="24"/>
                <w:szCs w:val="24"/>
                <w:highlight w:val="none"/>
              </w:rPr>
              <w:t>g/m</w:t>
            </w:r>
            <w:r>
              <w:rPr>
                <w:rFonts w:hint="default" w:ascii="Times New Roman" w:hAnsi="Times New Roman" w:eastAsia="Times New Roman" w:cs="Times New Roman"/>
                <w:color w:val="auto"/>
                <w:spacing w:val="-7"/>
                <w:position w:val="7"/>
                <w:sz w:val="15"/>
                <w:szCs w:val="15"/>
                <w:highlight w:val="none"/>
              </w:rPr>
              <w:t>3</w:t>
            </w:r>
            <w:r>
              <w:rPr>
                <w:rFonts w:hint="default" w:ascii="Times New Roman" w:hAnsi="Times New Roman" w:cs="Times New Roman"/>
                <w:color w:val="auto"/>
                <w:spacing w:val="-7"/>
                <w:sz w:val="24"/>
                <w:szCs w:val="24"/>
                <w:highlight w:val="none"/>
              </w:rPr>
              <w:t>、</w:t>
            </w:r>
            <w:r>
              <w:rPr>
                <w:rFonts w:hint="default" w:ascii="Times New Roman" w:hAnsi="Times New Roman" w:eastAsia="Times New Roman" w:cs="Times New Roman"/>
                <w:color w:val="auto"/>
                <w:spacing w:val="-7"/>
                <w:sz w:val="24"/>
                <w:szCs w:val="24"/>
                <w:highlight w:val="none"/>
              </w:rPr>
              <w:t>43</w:t>
            </w:r>
            <w:r>
              <w:rPr>
                <w:rFonts w:hint="default" w:ascii="Times New Roman" w:hAnsi="Times New Roman" w:cs="Times New Roman"/>
                <w:color w:val="auto"/>
                <w:spacing w:val="-7"/>
                <w:sz w:val="24"/>
                <w:szCs w:val="24"/>
                <w:highlight w:val="none"/>
              </w:rPr>
              <w:t>μ</w:t>
            </w:r>
            <w:r>
              <w:rPr>
                <w:rFonts w:hint="default" w:ascii="Times New Roman" w:hAnsi="Times New Roman" w:eastAsia="Times New Roman" w:cs="Times New Roman"/>
                <w:color w:val="auto"/>
                <w:spacing w:val="-7"/>
                <w:sz w:val="24"/>
                <w:szCs w:val="24"/>
                <w:highlight w:val="none"/>
              </w:rPr>
              <w:t>g</w:t>
            </w:r>
            <w:r>
              <w:rPr>
                <w:rFonts w:hint="default" w:ascii="Times New Roman" w:hAnsi="Times New Roman" w:eastAsia="Times New Roman" w:cs="Times New Roman"/>
                <w:color w:val="auto"/>
                <w:spacing w:val="-8"/>
                <w:sz w:val="24"/>
                <w:szCs w:val="24"/>
                <w:highlight w:val="none"/>
              </w:rPr>
              <w:t>/m</w:t>
            </w:r>
            <w:r>
              <w:rPr>
                <w:rFonts w:hint="default" w:ascii="Times New Roman" w:hAnsi="Times New Roman" w:eastAsia="Times New Roman" w:cs="Times New Roman"/>
                <w:color w:val="auto"/>
                <w:spacing w:val="-8"/>
                <w:position w:val="7"/>
                <w:sz w:val="15"/>
                <w:szCs w:val="15"/>
                <w:highlight w:val="none"/>
              </w:rPr>
              <w:t>3</w:t>
            </w:r>
            <w:r>
              <w:rPr>
                <w:rFonts w:hint="default" w:ascii="Times New Roman" w:hAnsi="Times New Roman" w:cs="Times New Roman"/>
                <w:color w:val="auto"/>
                <w:spacing w:val="-8"/>
                <w:sz w:val="24"/>
                <w:szCs w:val="24"/>
                <w:highlight w:val="none"/>
              </w:rPr>
              <w:t>、</w:t>
            </w:r>
            <w:r>
              <w:rPr>
                <w:rFonts w:hint="default" w:ascii="Times New Roman" w:hAnsi="Times New Roman" w:eastAsia="Times New Roman" w:cs="Times New Roman"/>
                <w:color w:val="auto"/>
                <w:spacing w:val="-8"/>
                <w:sz w:val="24"/>
                <w:szCs w:val="24"/>
                <w:highlight w:val="none"/>
              </w:rPr>
              <w:t>8</w:t>
            </w:r>
            <w:r>
              <w:rPr>
                <w:rFonts w:hint="default" w:ascii="Times New Roman" w:hAnsi="Times New Roman" w:cs="Times New Roman"/>
                <w:color w:val="auto"/>
                <w:spacing w:val="-8"/>
                <w:sz w:val="24"/>
                <w:szCs w:val="24"/>
                <w:highlight w:val="none"/>
              </w:rPr>
              <w:t>μ</w:t>
            </w:r>
            <w:r>
              <w:rPr>
                <w:rFonts w:hint="default" w:ascii="Times New Roman" w:hAnsi="Times New Roman" w:eastAsia="Times New Roman" w:cs="Times New Roman"/>
                <w:color w:val="auto"/>
                <w:spacing w:val="-8"/>
                <w:sz w:val="24"/>
                <w:szCs w:val="24"/>
                <w:highlight w:val="none"/>
              </w:rPr>
              <w:t>g/m</w:t>
            </w:r>
            <w:r>
              <w:rPr>
                <w:rFonts w:hint="default" w:ascii="Times New Roman" w:hAnsi="Times New Roman" w:eastAsia="Times New Roman" w:cs="Times New Roman"/>
                <w:color w:val="auto"/>
                <w:spacing w:val="-8"/>
                <w:position w:val="7"/>
                <w:sz w:val="15"/>
                <w:szCs w:val="15"/>
                <w:highlight w:val="none"/>
              </w:rPr>
              <w:t>3</w:t>
            </w:r>
            <w:r>
              <w:rPr>
                <w:rFonts w:hint="default" w:ascii="Times New Roman" w:hAnsi="Times New Roman" w:cs="Times New Roman"/>
                <w:color w:val="auto"/>
                <w:spacing w:val="-8"/>
                <w:sz w:val="24"/>
                <w:szCs w:val="24"/>
                <w:highlight w:val="none"/>
              </w:rPr>
              <w:t>、</w:t>
            </w:r>
            <w:r>
              <w:rPr>
                <w:rFonts w:hint="default" w:ascii="Times New Roman" w:hAnsi="Times New Roman" w:eastAsia="Times New Roman" w:cs="Times New Roman"/>
                <w:color w:val="auto"/>
                <w:spacing w:val="-2"/>
                <w:sz w:val="24"/>
                <w:szCs w:val="24"/>
                <w:highlight w:val="none"/>
              </w:rPr>
              <w:t>17</w:t>
            </w:r>
            <w:r>
              <w:rPr>
                <w:rFonts w:hint="default" w:ascii="Times New Roman" w:hAnsi="Times New Roman" w:cs="Times New Roman"/>
                <w:color w:val="auto"/>
                <w:spacing w:val="-2"/>
                <w:sz w:val="24"/>
                <w:szCs w:val="24"/>
                <w:highlight w:val="none"/>
              </w:rPr>
              <w:t>μ</w:t>
            </w:r>
            <w:r>
              <w:rPr>
                <w:rFonts w:hint="default" w:ascii="Times New Roman" w:hAnsi="Times New Roman" w:eastAsia="Times New Roman" w:cs="Times New Roman"/>
                <w:color w:val="auto"/>
                <w:spacing w:val="-2"/>
                <w:sz w:val="24"/>
                <w:szCs w:val="24"/>
                <w:highlight w:val="none"/>
              </w:rPr>
              <w:t>g/m</w:t>
            </w:r>
            <w:r>
              <w:rPr>
                <w:rFonts w:hint="default" w:ascii="Times New Roman" w:hAnsi="Times New Roman" w:eastAsia="Times New Roman" w:cs="Times New Roman"/>
                <w:color w:val="auto"/>
                <w:spacing w:val="-2"/>
                <w:position w:val="7"/>
                <w:sz w:val="15"/>
                <w:szCs w:val="15"/>
                <w:highlight w:val="none"/>
              </w:rPr>
              <w:t>3</w:t>
            </w:r>
            <w:r>
              <w:rPr>
                <w:rFonts w:hint="default" w:ascii="Times New Roman" w:hAnsi="Times New Roman"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0.9mg/m</w:t>
            </w:r>
            <w:r>
              <w:rPr>
                <w:rFonts w:hint="default" w:ascii="Times New Roman" w:hAnsi="Times New Roman" w:eastAsia="Times New Roman" w:cs="Times New Roman"/>
                <w:color w:val="auto"/>
                <w:spacing w:val="-2"/>
                <w:position w:val="7"/>
                <w:sz w:val="15"/>
                <w:szCs w:val="15"/>
                <w:highlight w:val="none"/>
              </w:rPr>
              <w:t>3</w:t>
            </w:r>
            <w:r>
              <w:rPr>
                <w:rFonts w:hint="default" w:ascii="Times New Roman" w:hAnsi="Times New Roman"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105</w:t>
            </w:r>
            <w:r>
              <w:rPr>
                <w:rFonts w:hint="default" w:ascii="Times New Roman" w:hAnsi="Times New Roman" w:cs="Times New Roman"/>
                <w:color w:val="auto"/>
                <w:spacing w:val="-2"/>
                <w:sz w:val="24"/>
                <w:szCs w:val="24"/>
                <w:highlight w:val="none"/>
              </w:rPr>
              <w:t>μ</w:t>
            </w:r>
            <w:r>
              <w:rPr>
                <w:rFonts w:hint="default" w:ascii="Times New Roman" w:hAnsi="Times New Roman" w:eastAsia="Times New Roman" w:cs="Times New Roman"/>
                <w:color w:val="auto"/>
                <w:spacing w:val="-2"/>
                <w:sz w:val="24"/>
                <w:szCs w:val="24"/>
                <w:highlight w:val="none"/>
              </w:rPr>
              <w:t>g/m</w:t>
            </w:r>
            <w:r>
              <w:rPr>
                <w:rFonts w:hint="default" w:ascii="Times New Roman" w:hAnsi="Times New Roman" w:eastAsia="Times New Roman" w:cs="Times New Roman"/>
                <w:color w:val="auto"/>
                <w:spacing w:val="-2"/>
                <w:position w:val="7"/>
                <w:sz w:val="15"/>
                <w:szCs w:val="15"/>
                <w:highlight w:val="none"/>
              </w:rPr>
              <w:t>3</w:t>
            </w:r>
            <w:r>
              <w:rPr>
                <w:rFonts w:hint="default" w:ascii="Times New Roman" w:hAnsi="Times New Roman" w:cs="Times New Roman"/>
                <w:color w:val="auto"/>
                <w:spacing w:val="-2"/>
                <w:sz w:val="24"/>
                <w:szCs w:val="24"/>
                <w:highlight w:val="none"/>
              </w:rPr>
              <w:t>。与去年同期相比</w:t>
            </w:r>
            <w:r>
              <w:rPr>
                <w:rFonts w:hint="default" w:ascii="Times New Roman" w:hAnsi="Times New Roman" w:cs="Times New Roman"/>
                <w:color w:val="auto"/>
                <w:spacing w:val="-3"/>
                <w:sz w:val="24"/>
                <w:szCs w:val="24"/>
                <w:highlight w:val="none"/>
              </w:rPr>
              <w:t>，除</w:t>
            </w:r>
            <w:r>
              <w:rPr>
                <w:rFonts w:hint="default" w:ascii="Times New Roman" w:hAnsi="Times New Roman" w:eastAsia="Times New Roman" w:cs="Times New Roman"/>
                <w:color w:val="auto"/>
                <w:spacing w:val="-3"/>
                <w:sz w:val="24"/>
                <w:szCs w:val="24"/>
                <w:highlight w:val="none"/>
              </w:rPr>
              <w:t>PM</w:t>
            </w:r>
            <w:r>
              <w:rPr>
                <w:rFonts w:hint="default" w:ascii="Times New Roman" w:hAnsi="Times New Roman" w:eastAsia="Times New Roman" w:cs="Times New Roman"/>
                <w:color w:val="auto"/>
                <w:spacing w:val="-3"/>
                <w:position w:val="-2"/>
                <w:sz w:val="15"/>
                <w:szCs w:val="15"/>
                <w:highlight w:val="none"/>
              </w:rPr>
              <w:t>2.5</w:t>
            </w:r>
            <w:r>
              <w:rPr>
                <w:rFonts w:hint="default" w:ascii="Times New Roman" w:hAnsi="Times New Roman" w:cs="Times New Roman"/>
                <w:color w:val="auto"/>
                <w:spacing w:val="-3"/>
                <w:sz w:val="24"/>
                <w:szCs w:val="24"/>
                <w:highlight w:val="none"/>
              </w:rPr>
              <w:t>浓度和</w:t>
            </w:r>
            <w:r>
              <w:rPr>
                <w:rFonts w:hint="default" w:ascii="Times New Roman" w:hAnsi="Times New Roman" w:eastAsia="Times New Roman" w:cs="Times New Roman"/>
                <w:color w:val="auto"/>
                <w:spacing w:val="-3"/>
                <w:sz w:val="24"/>
                <w:szCs w:val="24"/>
                <w:highlight w:val="none"/>
              </w:rPr>
              <w:t>PM</w:t>
            </w:r>
            <w:r>
              <w:rPr>
                <w:rFonts w:hint="default" w:ascii="Times New Roman" w:hAnsi="Times New Roman" w:eastAsia="Times New Roman" w:cs="Times New Roman"/>
                <w:color w:val="auto"/>
                <w:spacing w:val="-3"/>
                <w:position w:val="-2"/>
                <w:sz w:val="15"/>
                <w:szCs w:val="15"/>
                <w:highlight w:val="none"/>
              </w:rPr>
              <w:t>10</w:t>
            </w:r>
            <w:r>
              <w:rPr>
                <w:rFonts w:hint="default" w:ascii="Times New Roman" w:hAnsi="Times New Roman" w:cs="Times New Roman"/>
                <w:color w:val="auto"/>
                <w:sz w:val="24"/>
                <w:szCs w:val="24"/>
                <w:highlight w:val="none"/>
              </w:rPr>
              <w:t>浓度同比上升外，其余</w:t>
            </w:r>
            <w:r>
              <w:rPr>
                <w:rFonts w:hint="default" w:ascii="Times New Roman" w:hAnsi="Times New Roman" w:eastAsia="Times New Roman" w:cs="Times New Roman"/>
                <w:color w:val="auto"/>
                <w:sz w:val="24"/>
                <w:szCs w:val="24"/>
                <w:highlight w:val="none"/>
              </w:rPr>
              <w:t>4</w:t>
            </w:r>
            <w:r>
              <w:rPr>
                <w:rFonts w:hint="default" w:ascii="Times New Roman" w:hAnsi="Times New Roman" w:cs="Times New Roman"/>
                <w:color w:val="auto"/>
                <w:sz w:val="24"/>
                <w:szCs w:val="24"/>
                <w:highlight w:val="none"/>
              </w:rPr>
              <w:t>项污染物浓度同比均下降</w:t>
            </w:r>
            <w:r>
              <w:rPr>
                <w:rFonts w:hint="default" w:ascii="Times New Roman" w:hAnsi="Times New Roman" w:cs="Times New Roman"/>
                <w:color w:val="auto"/>
                <w:spacing w:val="-1"/>
                <w:sz w:val="24"/>
                <w:szCs w:val="24"/>
                <w:highlight w:val="none"/>
              </w:rPr>
              <w:t>或不变。因此，本项目所在区域属于空气质量达标区。</w:t>
            </w:r>
          </w:p>
          <w:p w14:paraId="39A89992">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2</w:t>
            </w:r>
            <w:r>
              <w:rPr>
                <w:rFonts w:hint="default" w:ascii="Times New Roman" w:hAnsi="Times New Roman" w:cs="Times New Roman"/>
                <w:color w:val="auto"/>
                <w:spacing w:val="-3"/>
                <w:sz w:val="24"/>
                <w:szCs w:val="24"/>
                <w:highlight w:val="none"/>
              </w:rPr>
              <w:t>）特征污染物</w:t>
            </w:r>
          </w:p>
          <w:p w14:paraId="0B274B04">
            <w:pPr>
              <w:pStyle w:val="147"/>
              <w:keepNext w:val="0"/>
              <w:keepLines w:val="0"/>
              <w:pageBreakBefore w:val="0"/>
              <w:widowControl w:val="0"/>
              <w:kinsoku/>
              <w:wordWrap/>
              <w:overflowPunct/>
              <w:topLinePunct w:val="0"/>
              <w:autoSpaceDE/>
              <w:autoSpaceDN/>
              <w:bidi w:val="0"/>
              <w:spacing w:line="360" w:lineRule="auto"/>
              <w:ind w:left="0" w:right="0" w:firstLine="485"/>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1"/>
                <w:sz w:val="24"/>
                <w:szCs w:val="24"/>
                <w:highlight w:val="none"/>
              </w:rPr>
              <w:t>本项目特征污染物为</w:t>
            </w:r>
            <w:r>
              <w:rPr>
                <w:rFonts w:hint="default" w:ascii="Times New Roman" w:hAnsi="Times New Roman" w:eastAsia="Times New Roman" w:cs="Times New Roman"/>
                <w:color w:val="auto"/>
                <w:spacing w:val="-1"/>
                <w:sz w:val="24"/>
                <w:szCs w:val="24"/>
                <w:highlight w:val="none"/>
              </w:rPr>
              <w:t>TSP</w:t>
            </w:r>
            <w:r>
              <w:rPr>
                <w:rFonts w:hint="default" w:ascii="Times New Roman" w:hAnsi="Times New Roman" w:cs="Times New Roman"/>
                <w:color w:val="auto"/>
                <w:spacing w:val="-1"/>
                <w:sz w:val="24"/>
                <w:szCs w:val="24"/>
                <w:highlight w:val="none"/>
              </w:rPr>
              <w:t>，现状引用《虎</w:t>
            </w:r>
            <w:r>
              <w:rPr>
                <w:rFonts w:hint="default" w:ascii="Times New Roman" w:hAnsi="Times New Roman" w:cs="Times New Roman"/>
                <w:color w:val="auto"/>
                <w:spacing w:val="-2"/>
                <w:sz w:val="24"/>
                <w:szCs w:val="24"/>
                <w:highlight w:val="none"/>
              </w:rPr>
              <w:t>林市国顺报废汽车回收有限公司</w:t>
            </w:r>
            <w:r>
              <w:rPr>
                <w:rFonts w:hint="default" w:ascii="Times New Roman" w:hAnsi="Times New Roman" w:cs="Times New Roman"/>
                <w:color w:val="auto"/>
                <w:sz w:val="24"/>
                <w:szCs w:val="24"/>
                <w:highlight w:val="none"/>
              </w:rPr>
              <w:t>项目》环境空气质量现状监测结果，虎林市国顺报废汽车</w:t>
            </w:r>
            <w:r>
              <w:rPr>
                <w:rFonts w:hint="default" w:ascii="Times New Roman" w:hAnsi="Times New Roman" w:cs="Times New Roman"/>
                <w:color w:val="auto"/>
                <w:spacing w:val="-1"/>
                <w:sz w:val="24"/>
                <w:szCs w:val="24"/>
                <w:highlight w:val="none"/>
              </w:rPr>
              <w:t>回收有限公司建设项目监测点位于虎林市国顺报废汽车回收有限公司下风向</w:t>
            </w:r>
            <w:r>
              <w:rPr>
                <w:rFonts w:hint="default" w:ascii="Times New Roman" w:hAnsi="Times New Roman" w:eastAsia="Times New Roman" w:cs="Times New Roman"/>
                <w:color w:val="auto"/>
                <w:spacing w:val="-1"/>
                <w:sz w:val="24"/>
                <w:szCs w:val="24"/>
                <w:highlight w:val="none"/>
              </w:rPr>
              <w:t>130m</w:t>
            </w:r>
            <w:r>
              <w:rPr>
                <w:rFonts w:hint="default" w:ascii="Times New Roman" w:hAnsi="Times New Roman" w:cs="Times New Roman"/>
                <w:color w:val="auto"/>
                <w:spacing w:val="-1"/>
                <w:sz w:val="24"/>
                <w:szCs w:val="24"/>
                <w:highlight w:val="none"/>
              </w:rPr>
              <w:t>处，距离本项目</w:t>
            </w:r>
            <w:r>
              <w:rPr>
                <w:rFonts w:hint="default" w:ascii="Times New Roman" w:hAnsi="Times New Roman" w:eastAsia="Times New Roman" w:cs="Times New Roman"/>
                <w:color w:val="auto"/>
                <w:spacing w:val="-5"/>
                <w:sz w:val="24"/>
                <w:szCs w:val="24"/>
                <w:highlight w:val="none"/>
              </w:rPr>
              <w:t>2.</w:t>
            </w:r>
            <w:r>
              <w:rPr>
                <w:rFonts w:hint="default" w:ascii="Times New Roman" w:hAnsi="Times New Roman" w:cs="Times New Roman"/>
                <w:color w:val="auto"/>
                <w:spacing w:val="-5"/>
                <w:sz w:val="24"/>
                <w:szCs w:val="24"/>
                <w:highlight w:val="none"/>
                <w:lang w:val="en-US" w:eastAsia="zh-CN"/>
              </w:rPr>
              <w:t>8</w:t>
            </w:r>
            <w:r>
              <w:rPr>
                <w:rFonts w:hint="default" w:ascii="Times New Roman" w:hAnsi="Times New Roman" w:eastAsia="Times New Roman" w:cs="Times New Roman"/>
                <w:color w:val="auto"/>
                <w:spacing w:val="-5"/>
                <w:sz w:val="24"/>
                <w:szCs w:val="24"/>
                <w:highlight w:val="none"/>
              </w:rPr>
              <w:t>km</w:t>
            </w:r>
            <w:r>
              <w:rPr>
                <w:rFonts w:hint="default" w:ascii="Times New Roman" w:hAnsi="Times New Roman" w:cs="Times New Roman"/>
                <w:color w:val="auto"/>
                <w:spacing w:val="-5"/>
                <w:sz w:val="24"/>
                <w:szCs w:val="24"/>
                <w:highlight w:val="none"/>
              </w:rPr>
              <w:t>，</w:t>
            </w:r>
            <w:r>
              <w:rPr>
                <w:rFonts w:hint="default" w:ascii="Times New Roman" w:hAnsi="Times New Roman" w:eastAsia="Times New Roman" w:cs="Times New Roman"/>
                <w:color w:val="auto"/>
                <w:spacing w:val="-5"/>
                <w:sz w:val="24"/>
                <w:szCs w:val="24"/>
                <w:highlight w:val="none"/>
              </w:rPr>
              <w:t>TSP</w:t>
            </w:r>
            <w:r>
              <w:rPr>
                <w:rFonts w:hint="default" w:ascii="Times New Roman" w:hAnsi="Times New Roman" w:cs="Times New Roman"/>
                <w:color w:val="auto"/>
                <w:spacing w:val="-5"/>
                <w:sz w:val="24"/>
                <w:szCs w:val="24"/>
                <w:highlight w:val="none"/>
              </w:rPr>
              <w:t>补充监测时段为</w:t>
            </w:r>
            <w:r>
              <w:rPr>
                <w:rFonts w:hint="default" w:ascii="Times New Roman" w:hAnsi="Times New Roman" w:eastAsia="Times New Roman" w:cs="Times New Roman"/>
                <w:color w:val="auto"/>
                <w:spacing w:val="-5"/>
                <w:sz w:val="24"/>
                <w:szCs w:val="24"/>
                <w:highlight w:val="none"/>
              </w:rPr>
              <w:t>2025</w:t>
            </w:r>
            <w:r>
              <w:rPr>
                <w:rFonts w:hint="default" w:ascii="Times New Roman" w:hAnsi="Times New Roman" w:cs="Times New Roman"/>
                <w:color w:val="auto"/>
                <w:spacing w:val="-5"/>
                <w:sz w:val="24"/>
                <w:szCs w:val="24"/>
                <w:highlight w:val="none"/>
              </w:rPr>
              <w:t>年</w:t>
            </w:r>
            <w:r>
              <w:rPr>
                <w:rFonts w:hint="default" w:ascii="Times New Roman" w:hAnsi="Times New Roman" w:eastAsia="Times New Roman" w:cs="Times New Roman"/>
                <w:color w:val="auto"/>
                <w:spacing w:val="-5"/>
                <w:sz w:val="24"/>
                <w:szCs w:val="24"/>
                <w:highlight w:val="none"/>
              </w:rPr>
              <w:t>4</w:t>
            </w:r>
            <w:r>
              <w:rPr>
                <w:rFonts w:hint="default" w:ascii="Times New Roman" w:hAnsi="Times New Roman" w:cs="Times New Roman"/>
                <w:color w:val="auto"/>
                <w:spacing w:val="-5"/>
                <w:sz w:val="24"/>
                <w:szCs w:val="24"/>
                <w:highlight w:val="none"/>
              </w:rPr>
              <w:t>月</w:t>
            </w:r>
            <w:r>
              <w:rPr>
                <w:rFonts w:hint="default" w:ascii="Times New Roman" w:hAnsi="Times New Roman" w:eastAsia="Times New Roman" w:cs="Times New Roman"/>
                <w:color w:val="auto"/>
                <w:spacing w:val="-5"/>
                <w:sz w:val="24"/>
                <w:szCs w:val="24"/>
                <w:highlight w:val="none"/>
              </w:rPr>
              <w:t>21</w:t>
            </w:r>
            <w:r>
              <w:rPr>
                <w:rFonts w:hint="default" w:ascii="Times New Roman" w:hAnsi="Times New Roman" w:cs="Times New Roman"/>
                <w:color w:val="auto"/>
                <w:spacing w:val="-5"/>
                <w:sz w:val="24"/>
                <w:szCs w:val="24"/>
                <w:highlight w:val="none"/>
              </w:rPr>
              <w:t>日—</w:t>
            </w:r>
            <w:r>
              <w:rPr>
                <w:rFonts w:hint="default" w:ascii="Times New Roman" w:hAnsi="Times New Roman" w:eastAsia="Times New Roman" w:cs="Times New Roman"/>
                <w:color w:val="auto"/>
                <w:spacing w:val="-5"/>
                <w:sz w:val="24"/>
                <w:szCs w:val="24"/>
                <w:highlight w:val="none"/>
              </w:rPr>
              <w:t>23</w:t>
            </w:r>
            <w:r>
              <w:rPr>
                <w:rFonts w:hint="default" w:ascii="Times New Roman" w:hAnsi="Times New Roman" w:cs="Times New Roman"/>
                <w:color w:val="auto"/>
                <w:spacing w:val="-5"/>
                <w:sz w:val="24"/>
                <w:szCs w:val="24"/>
                <w:highlight w:val="none"/>
              </w:rPr>
              <w:t>日，因此引用虎林市国顺</w:t>
            </w:r>
            <w:r>
              <w:rPr>
                <w:rFonts w:hint="default" w:ascii="Times New Roman" w:hAnsi="Times New Roman" w:cs="Times New Roman"/>
                <w:color w:val="auto"/>
                <w:spacing w:val="-1"/>
                <w:sz w:val="24"/>
                <w:szCs w:val="24"/>
                <w:highlight w:val="none"/>
              </w:rPr>
              <w:t>报废汽车回收有限公司建设项目现状监测数据可行。</w:t>
            </w:r>
          </w:p>
          <w:p w14:paraId="213D6332">
            <w:pPr>
              <w:pStyle w:val="147"/>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1"/>
                <w:sz w:val="24"/>
                <w:szCs w:val="24"/>
                <w:highlight w:val="none"/>
              </w:rPr>
              <w:t>①监测点位基本信息</w:t>
            </w:r>
          </w:p>
          <w:p w14:paraId="0C5966A4">
            <w:pPr>
              <w:pStyle w:val="147"/>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1"/>
                <w:sz w:val="24"/>
                <w:szCs w:val="24"/>
                <w:highlight w:val="none"/>
              </w:rPr>
              <w:t>本项目特征污染物监测点位基本信息见表</w:t>
            </w:r>
            <w:r>
              <w:rPr>
                <w:rFonts w:hint="default" w:ascii="Times New Roman" w:hAnsi="Times New Roman" w:eastAsia="Times New Roman" w:cs="Times New Roman"/>
                <w:color w:val="auto"/>
                <w:spacing w:val="-1"/>
                <w:sz w:val="24"/>
                <w:szCs w:val="24"/>
                <w:highlight w:val="none"/>
              </w:rPr>
              <w:t>3-1</w:t>
            </w:r>
            <w:r>
              <w:rPr>
                <w:rFonts w:hint="default" w:ascii="Times New Roman" w:hAnsi="Times New Roman" w:cs="Times New Roman"/>
                <w:color w:val="auto"/>
                <w:spacing w:val="-1"/>
                <w:sz w:val="24"/>
                <w:szCs w:val="24"/>
                <w:highlight w:val="none"/>
              </w:rPr>
              <w:t>。</w:t>
            </w:r>
          </w:p>
          <w:p w14:paraId="5C1238E5">
            <w:pPr>
              <w:pStyle w:val="147"/>
              <w:spacing w:before="177" w:line="223" w:lineRule="auto"/>
              <w:ind w:left="2358"/>
              <w:rPr>
                <w:rFonts w:hint="default" w:ascii="Times New Roman" w:hAnsi="Times New Roman" w:cs="Times New Roman"/>
                <w:color w:val="auto"/>
                <w:sz w:val="21"/>
                <w:szCs w:val="21"/>
                <w:highlight w:val="none"/>
              </w:rPr>
            </w:pPr>
            <w:r>
              <w:rPr>
                <w:rFonts w:hint="default" w:ascii="Times New Roman" w:hAnsi="Times New Roman" w:cs="Times New Roman"/>
                <w:b/>
                <w:bCs/>
                <w:color w:val="auto"/>
                <w:spacing w:val="6"/>
                <w:sz w:val="21"/>
                <w:szCs w:val="21"/>
                <w:highlight w:val="none"/>
              </w:rPr>
              <w:t>表</w:t>
            </w:r>
            <w:r>
              <w:rPr>
                <w:rFonts w:hint="default" w:ascii="Times New Roman" w:hAnsi="Times New Roman" w:eastAsia="Times New Roman" w:cs="Times New Roman"/>
                <w:b/>
                <w:bCs/>
                <w:color w:val="auto"/>
                <w:spacing w:val="6"/>
                <w:sz w:val="21"/>
                <w:szCs w:val="21"/>
                <w:highlight w:val="none"/>
              </w:rPr>
              <w:t>3-1</w:t>
            </w:r>
            <w:r>
              <w:rPr>
                <w:rFonts w:hint="default" w:ascii="Times New Roman" w:hAnsi="Times New Roman" w:cs="Times New Roman"/>
                <w:b/>
                <w:bCs/>
                <w:color w:val="auto"/>
                <w:spacing w:val="6"/>
                <w:sz w:val="21"/>
                <w:szCs w:val="21"/>
                <w:highlight w:val="none"/>
              </w:rPr>
              <w:t>特征污染物监测点位基本信息表</w:t>
            </w:r>
          </w:p>
          <w:tbl>
            <w:tblPr>
              <w:tblStyle w:val="148"/>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04"/>
              <w:gridCol w:w="892"/>
              <w:gridCol w:w="1395"/>
              <w:gridCol w:w="1302"/>
              <w:gridCol w:w="656"/>
              <w:gridCol w:w="1870"/>
              <w:gridCol w:w="638"/>
              <w:gridCol w:w="604"/>
            </w:tblGrid>
            <w:tr w14:paraId="7B3B1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60" w:type="pct"/>
                  <w:vMerge w:val="restart"/>
                  <w:tcBorders>
                    <w:top w:val="single" w:color="000000" w:sz="10" w:space="0"/>
                    <w:left w:val="nil"/>
                    <w:bottom w:val="nil"/>
                  </w:tcBorders>
                  <w:textDirection w:val="tbRlV"/>
                  <w:vAlign w:val="center"/>
                </w:tcPr>
                <w:p w14:paraId="5F646082">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序号</w:t>
                  </w:r>
                </w:p>
              </w:tc>
              <w:tc>
                <w:tcPr>
                  <w:tcW w:w="574" w:type="pct"/>
                  <w:vMerge w:val="restart"/>
                  <w:tcBorders>
                    <w:top w:val="single" w:color="000000" w:sz="10" w:space="0"/>
                    <w:bottom w:val="nil"/>
                  </w:tcBorders>
                  <w:vAlign w:val="center"/>
                </w:tcPr>
                <w:p w14:paraId="77C3ACD0">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监测点</w:t>
                  </w:r>
                  <w:r>
                    <w:rPr>
                      <w:rFonts w:hint="default" w:ascii="Times New Roman" w:hAnsi="Times New Roman" w:cs="Times New Roman"/>
                      <w:color w:val="auto"/>
                      <w:spacing w:val="3"/>
                      <w:sz w:val="21"/>
                      <w:szCs w:val="21"/>
                      <w:highlight w:val="none"/>
                    </w:rPr>
                    <w:t>名称</w:t>
                  </w:r>
                </w:p>
              </w:tc>
              <w:tc>
                <w:tcPr>
                  <w:tcW w:w="1736" w:type="pct"/>
                  <w:gridSpan w:val="2"/>
                  <w:tcBorders>
                    <w:top w:val="single" w:color="000000" w:sz="10" w:space="0"/>
                  </w:tcBorders>
                  <w:vAlign w:val="center"/>
                </w:tcPr>
                <w:p w14:paraId="4819FA99">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监测点位坐标°</w:t>
                  </w:r>
                </w:p>
              </w:tc>
              <w:tc>
                <w:tcPr>
                  <w:tcW w:w="422" w:type="pct"/>
                  <w:vMerge w:val="restart"/>
                  <w:tcBorders>
                    <w:top w:val="single" w:color="000000" w:sz="10" w:space="0"/>
                    <w:bottom w:val="nil"/>
                  </w:tcBorders>
                  <w:vAlign w:val="center"/>
                </w:tcPr>
                <w:p w14:paraId="2952F48C">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监测</w:t>
                  </w:r>
                  <w:r>
                    <w:rPr>
                      <w:rFonts w:hint="default" w:ascii="Times New Roman" w:hAnsi="Times New Roman" w:cs="Times New Roman"/>
                      <w:color w:val="auto"/>
                      <w:spacing w:val="-4"/>
                      <w:sz w:val="21"/>
                      <w:szCs w:val="21"/>
                      <w:highlight w:val="none"/>
                    </w:rPr>
                    <w:t>因子</w:t>
                  </w:r>
                </w:p>
              </w:tc>
              <w:tc>
                <w:tcPr>
                  <w:tcW w:w="1204" w:type="pct"/>
                  <w:vMerge w:val="restart"/>
                  <w:tcBorders>
                    <w:top w:val="single" w:color="000000" w:sz="10" w:space="0"/>
                    <w:bottom w:val="nil"/>
                  </w:tcBorders>
                  <w:vAlign w:val="center"/>
                </w:tcPr>
                <w:p w14:paraId="1A14DFCE">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监测时段</w:t>
                  </w:r>
                </w:p>
              </w:tc>
              <w:tc>
                <w:tcPr>
                  <w:tcW w:w="411" w:type="pct"/>
                  <w:vMerge w:val="restart"/>
                  <w:tcBorders>
                    <w:top w:val="single" w:color="000000" w:sz="10" w:space="0"/>
                    <w:bottom w:val="nil"/>
                  </w:tcBorders>
                  <w:vAlign w:val="center"/>
                </w:tcPr>
                <w:p w14:paraId="5A9B5392">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相对</w:t>
                  </w:r>
                  <w:r>
                    <w:rPr>
                      <w:rFonts w:hint="default" w:ascii="Times New Roman" w:hAnsi="Times New Roman" w:cs="Times New Roman"/>
                      <w:color w:val="auto"/>
                      <w:spacing w:val="3"/>
                      <w:sz w:val="21"/>
                      <w:szCs w:val="21"/>
                      <w:highlight w:val="none"/>
                    </w:rPr>
                    <w:t>厂址</w:t>
                  </w:r>
                  <w:r>
                    <w:rPr>
                      <w:rFonts w:hint="default" w:ascii="Times New Roman" w:hAnsi="Times New Roman" w:cs="Times New Roman"/>
                      <w:color w:val="auto"/>
                      <w:spacing w:val="4"/>
                      <w:sz w:val="21"/>
                      <w:szCs w:val="21"/>
                      <w:highlight w:val="none"/>
                    </w:rPr>
                    <w:t>方位</w:t>
                  </w:r>
                </w:p>
              </w:tc>
              <w:tc>
                <w:tcPr>
                  <w:tcW w:w="389" w:type="pct"/>
                  <w:vMerge w:val="restart"/>
                  <w:tcBorders>
                    <w:top w:val="single" w:color="000000" w:sz="10" w:space="0"/>
                    <w:bottom w:val="nil"/>
                    <w:right w:val="nil"/>
                  </w:tcBorders>
                  <w:vAlign w:val="center"/>
                </w:tcPr>
                <w:p w14:paraId="4AC88EEA">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pacing w:val="4"/>
                      <w:sz w:val="21"/>
                      <w:szCs w:val="21"/>
                      <w:highlight w:val="none"/>
                    </w:rPr>
                    <w:t>相对</w:t>
                  </w:r>
                  <w:r>
                    <w:rPr>
                      <w:rFonts w:hint="default" w:ascii="Times New Roman" w:hAnsi="Times New Roman" w:cs="Times New Roman"/>
                      <w:color w:val="auto"/>
                      <w:spacing w:val="3"/>
                      <w:sz w:val="21"/>
                      <w:szCs w:val="21"/>
                      <w:highlight w:val="none"/>
                    </w:rPr>
                    <w:t>厂界</w:t>
                  </w:r>
                  <w:r>
                    <w:rPr>
                      <w:rFonts w:hint="default" w:ascii="Times New Roman" w:hAnsi="Times New Roman" w:cs="Times New Roman"/>
                      <w:color w:val="auto"/>
                      <w:spacing w:val="5"/>
                      <w:sz w:val="21"/>
                      <w:szCs w:val="21"/>
                      <w:highlight w:val="none"/>
                    </w:rPr>
                    <w:t>距离</w:t>
                  </w:r>
                  <w:r>
                    <w:rPr>
                      <w:rFonts w:hint="default" w:ascii="Times New Roman" w:hAnsi="Times New Roman" w:eastAsia="Times New Roman" w:cs="Times New Roman"/>
                      <w:color w:val="auto"/>
                      <w:spacing w:val="4"/>
                      <w:sz w:val="21"/>
                      <w:szCs w:val="21"/>
                      <w:highlight w:val="none"/>
                    </w:rPr>
                    <w:t>/m</w:t>
                  </w:r>
                </w:p>
              </w:tc>
            </w:tr>
            <w:tr w14:paraId="288A1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260" w:type="pct"/>
                  <w:vMerge w:val="continue"/>
                  <w:tcBorders>
                    <w:top w:val="nil"/>
                    <w:left w:val="nil"/>
                  </w:tcBorders>
                  <w:textDirection w:val="tbRlV"/>
                  <w:vAlign w:val="center"/>
                </w:tcPr>
                <w:p w14:paraId="52E2C04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c>
                <w:tcPr>
                  <w:tcW w:w="574" w:type="pct"/>
                  <w:vMerge w:val="continue"/>
                  <w:tcBorders>
                    <w:top w:val="nil"/>
                  </w:tcBorders>
                  <w:vAlign w:val="center"/>
                </w:tcPr>
                <w:p w14:paraId="473BEB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c>
                <w:tcPr>
                  <w:tcW w:w="898" w:type="pct"/>
                  <w:vAlign w:val="center"/>
                </w:tcPr>
                <w:p w14:paraId="59F97451">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3"/>
                      <w:sz w:val="21"/>
                      <w:szCs w:val="21"/>
                      <w:highlight w:val="none"/>
                    </w:rPr>
                    <w:t>经度</w:t>
                  </w:r>
                </w:p>
              </w:tc>
              <w:tc>
                <w:tcPr>
                  <w:tcW w:w="837" w:type="pct"/>
                  <w:vAlign w:val="center"/>
                </w:tcPr>
                <w:p w14:paraId="24F03C39">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纬度</w:t>
                  </w:r>
                </w:p>
              </w:tc>
              <w:tc>
                <w:tcPr>
                  <w:tcW w:w="422" w:type="pct"/>
                  <w:vMerge w:val="continue"/>
                  <w:tcBorders>
                    <w:top w:val="nil"/>
                  </w:tcBorders>
                  <w:vAlign w:val="center"/>
                </w:tcPr>
                <w:p w14:paraId="24C833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c>
                <w:tcPr>
                  <w:tcW w:w="1204" w:type="pct"/>
                  <w:vMerge w:val="continue"/>
                  <w:tcBorders>
                    <w:top w:val="nil"/>
                  </w:tcBorders>
                  <w:vAlign w:val="center"/>
                </w:tcPr>
                <w:p w14:paraId="5565EC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c>
                <w:tcPr>
                  <w:tcW w:w="411" w:type="pct"/>
                  <w:vMerge w:val="continue"/>
                  <w:tcBorders>
                    <w:top w:val="nil"/>
                  </w:tcBorders>
                  <w:vAlign w:val="center"/>
                </w:tcPr>
                <w:p w14:paraId="183993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c>
                <w:tcPr>
                  <w:tcW w:w="389" w:type="pct"/>
                  <w:vMerge w:val="continue"/>
                  <w:tcBorders>
                    <w:top w:val="nil"/>
                    <w:right w:val="nil"/>
                  </w:tcBorders>
                  <w:vAlign w:val="center"/>
                </w:tcPr>
                <w:p w14:paraId="018D1E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r>
            <w:tr w14:paraId="3D9DF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260" w:type="pct"/>
                  <w:tcBorders>
                    <w:left w:val="nil"/>
                    <w:bottom w:val="nil"/>
                  </w:tcBorders>
                  <w:vAlign w:val="center"/>
                </w:tcPr>
                <w:p w14:paraId="4C3A25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8"/>
                      <w:sz w:val="21"/>
                      <w:szCs w:val="21"/>
                      <w:highlight w:val="none"/>
                    </w:rPr>
                    <w:t>1#</w:t>
                  </w:r>
                </w:p>
              </w:tc>
              <w:tc>
                <w:tcPr>
                  <w:tcW w:w="574" w:type="pct"/>
                  <w:tcBorders>
                    <w:bottom w:val="nil"/>
                  </w:tcBorders>
                  <w:vAlign w:val="center"/>
                </w:tcPr>
                <w:p w14:paraId="246A7718">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厂址西</w:t>
                  </w:r>
                  <w:r>
                    <w:rPr>
                      <w:rFonts w:hint="default" w:ascii="Times New Roman" w:hAnsi="Times New Roman" w:cs="Times New Roman"/>
                      <w:color w:val="auto"/>
                      <w:spacing w:val="3"/>
                      <w:sz w:val="21"/>
                      <w:szCs w:val="21"/>
                      <w:highlight w:val="none"/>
                    </w:rPr>
                    <w:t>南侧</w:t>
                  </w:r>
                  <w:r>
                    <w:rPr>
                      <w:rFonts w:hint="default" w:ascii="Times New Roman" w:hAnsi="Times New Roman" w:eastAsia="Times New Roman" w:cs="Times New Roman"/>
                      <w:color w:val="auto"/>
                      <w:spacing w:val="5"/>
                      <w:sz w:val="21"/>
                      <w:szCs w:val="21"/>
                      <w:highlight w:val="none"/>
                    </w:rPr>
                    <w:t>2.</w:t>
                  </w:r>
                  <w:r>
                    <w:rPr>
                      <w:rFonts w:hint="default" w:ascii="Times New Roman" w:hAnsi="Times New Roman" w:eastAsia="宋体" w:cs="Times New Roman"/>
                      <w:color w:val="auto"/>
                      <w:spacing w:val="5"/>
                      <w:sz w:val="21"/>
                      <w:szCs w:val="21"/>
                      <w:highlight w:val="none"/>
                      <w:lang w:val="en-US" w:eastAsia="zh-CN"/>
                    </w:rPr>
                    <w:t>8</w:t>
                  </w:r>
                  <w:r>
                    <w:rPr>
                      <w:rFonts w:hint="default" w:ascii="Times New Roman" w:hAnsi="Times New Roman" w:eastAsia="Times New Roman" w:cs="Times New Roman"/>
                      <w:color w:val="auto"/>
                      <w:sz w:val="21"/>
                      <w:szCs w:val="21"/>
                      <w:highlight w:val="none"/>
                    </w:rPr>
                    <w:t>km</w:t>
                  </w:r>
                  <w:r>
                    <w:rPr>
                      <w:rFonts w:hint="default" w:ascii="Times New Roman" w:hAnsi="Times New Roman" w:cs="Times New Roman"/>
                      <w:color w:val="auto"/>
                      <w:sz w:val="21"/>
                      <w:szCs w:val="21"/>
                      <w:highlight w:val="none"/>
                    </w:rPr>
                    <w:t>处</w:t>
                  </w:r>
                </w:p>
              </w:tc>
              <w:tc>
                <w:tcPr>
                  <w:tcW w:w="898" w:type="pct"/>
                  <w:tcBorders>
                    <w:bottom w:val="nil"/>
                  </w:tcBorders>
                  <w:vAlign w:val="center"/>
                </w:tcPr>
                <w:p w14:paraId="758494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132.580204045</w:t>
                  </w:r>
                </w:p>
              </w:tc>
              <w:tc>
                <w:tcPr>
                  <w:tcW w:w="837" w:type="pct"/>
                  <w:tcBorders>
                    <w:bottom w:val="nil"/>
                  </w:tcBorders>
                  <w:vAlign w:val="center"/>
                </w:tcPr>
                <w:p w14:paraId="728AA3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4"/>
                      <w:sz w:val="21"/>
                      <w:szCs w:val="21"/>
                      <w:highlight w:val="none"/>
                    </w:rPr>
                    <w:t>45.445719701</w:t>
                  </w:r>
                </w:p>
              </w:tc>
              <w:tc>
                <w:tcPr>
                  <w:tcW w:w="422" w:type="pct"/>
                  <w:tcBorders>
                    <w:bottom w:val="nil"/>
                  </w:tcBorders>
                  <w:vAlign w:val="center"/>
                </w:tcPr>
                <w:p w14:paraId="38D18A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TSP</w:t>
                  </w:r>
                </w:p>
              </w:tc>
              <w:tc>
                <w:tcPr>
                  <w:tcW w:w="1204" w:type="pct"/>
                  <w:tcBorders>
                    <w:bottom w:val="nil"/>
                  </w:tcBorders>
                  <w:vAlign w:val="center"/>
                </w:tcPr>
                <w:p w14:paraId="1F6325F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4"/>
                      <w:sz w:val="21"/>
                      <w:szCs w:val="21"/>
                      <w:highlight w:val="none"/>
                    </w:rPr>
                    <w:t>2025.4.21-2025.4.23</w:t>
                  </w:r>
                </w:p>
              </w:tc>
              <w:tc>
                <w:tcPr>
                  <w:tcW w:w="411" w:type="pct"/>
                  <w:tcBorders>
                    <w:bottom w:val="nil"/>
                  </w:tcBorders>
                  <w:vAlign w:val="center"/>
                </w:tcPr>
                <w:p w14:paraId="6EDE4ADC">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20"/>
                      <w:sz w:val="21"/>
                      <w:szCs w:val="21"/>
                      <w:highlight w:val="none"/>
                    </w:rPr>
                    <w:t>西南</w:t>
                  </w:r>
                  <w:r>
                    <w:rPr>
                      <w:rFonts w:hint="default" w:ascii="Times New Roman" w:hAnsi="Times New Roman" w:cs="Times New Roman"/>
                      <w:color w:val="auto"/>
                      <w:spacing w:val="2"/>
                      <w:sz w:val="21"/>
                      <w:szCs w:val="21"/>
                      <w:highlight w:val="none"/>
                    </w:rPr>
                    <w:t>侧</w:t>
                  </w:r>
                </w:p>
              </w:tc>
              <w:tc>
                <w:tcPr>
                  <w:tcW w:w="389" w:type="pct"/>
                  <w:tcBorders>
                    <w:bottom w:val="nil"/>
                    <w:right w:val="nil"/>
                  </w:tcBorders>
                  <w:vAlign w:val="center"/>
                </w:tcPr>
                <w:p w14:paraId="613D4B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2800</w:t>
                  </w:r>
                </w:p>
              </w:tc>
            </w:tr>
          </w:tbl>
          <w:p w14:paraId="437E1891">
            <w:pPr>
              <w:spacing w:line="360" w:lineRule="auto"/>
              <w:ind w:left="0" w:leftChars="0" w:firstLine="0" w:firstLineChars="0"/>
              <w:jc w:val="center"/>
              <w:rPr>
                <w:rFonts w:hint="default" w:ascii="Times New Roman" w:hAnsi="Times New Roman" w:eastAsia="宋体" w:cs="Times New Roman"/>
                <w:b/>
                <w:bCs w:val="0"/>
                <w:snapToGrid w:val="0"/>
                <w:color w:val="auto"/>
                <w:sz w:val="24"/>
                <w:highlight w:val="none"/>
              </w:rPr>
            </w:pPr>
          </w:p>
          <w:p w14:paraId="3F16A614">
            <w:pPr>
              <w:spacing w:line="360" w:lineRule="auto"/>
              <w:ind w:left="0" w:leftChars="0" w:firstLine="0" w:firstLineChars="0"/>
              <w:jc w:val="center"/>
              <w:rPr>
                <w:rFonts w:hint="default" w:ascii="Times New Roman" w:hAnsi="Times New Roman" w:eastAsia="宋体" w:cs="Times New Roman"/>
                <w:b/>
                <w:bCs w:val="0"/>
                <w:snapToGrid w:val="0"/>
                <w:color w:val="auto"/>
                <w:sz w:val="24"/>
                <w:highlight w:val="none"/>
              </w:rPr>
            </w:pPr>
            <w:r>
              <w:rPr>
                <w:rFonts w:hint="default" w:ascii="Times New Roman" w:hAnsi="Times New Roman" w:cs="Times New Roman"/>
                <w:color w:val="auto"/>
                <w:sz w:val="24"/>
                <w:highlight w:val="none"/>
              </w:rPr>
              <mc:AlternateContent>
                <mc:Choice Requires="wps">
                  <w:drawing>
                    <wp:anchor distT="0" distB="0" distL="114300" distR="114300" simplePos="0" relativeHeight="251674624" behindDoc="0" locked="0" layoutInCell="1" allowOverlap="1">
                      <wp:simplePos x="0" y="0"/>
                      <wp:positionH relativeFrom="column">
                        <wp:posOffset>356870</wp:posOffset>
                      </wp:positionH>
                      <wp:positionV relativeFrom="paragraph">
                        <wp:posOffset>296545</wp:posOffset>
                      </wp:positionV>
                      <wp:extent cx="239395" cy="161925"/>
                      <wp:effectExtent l="12700" t="12700" r="14605" b="15875"/>
                      <wp:wrapNone/>
                      <wp:docPr id="27" name="矩形 27"/>
                      <wp:cNvGraphicFramePr/>
                      <a:graphic xmlns:a="http://schemas.openxmlformats.org/drawingml/2006/main">
                        <a:graphicData uri="http://schemas.microsoft.com/office/word/2010/wordprocessingShape">
                          <wps:wsp>
                            <wps:cNvSpPr/>
                            <wps:spPr>
                              <a:xfrm>
                                <a:off x="1896745" y="1252220"/>
                                <a:ext cx="239395" cy="16192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pt;margin-top:23.35pt;height:12.75pt;width:18.85pt;z-index:251674624;v-text-anchor:middle;mso-width-relative:page;mso-height-relative:page;" filled="f" stroked="t" coordsize="21600,21600" o:gfxdata="UEsDBAoAAAAAAIdO4kAAAAAAAAAAAAAAAAAEAAAAZHJzL1BLAwQUAAAACACHTuJA0bwws9cAAAAH&#10;AQAADwAAAGRycy9kb3ducmV2LnhtbE2OwU7DMBBE70j8g7VIXBB1mkLahmwqUYkeOFSi9NKbEy9J&#10;1Hgd2U5T/h5zguNoRm9esbmaXlzI+c4ywnyWgCCure64QTh+vj2uQPigWKveMiF8k4dNeXtTqFzb&#10;iT/ocgiNiBD2uUJoQxhyKX3dklF+Zgfi2H1ZZ1SI0TVSOzVFuOllmiSZNKrj+NCqgbYt1efDaBCq&#10;3cltV6+LXRgfsog+N++0nxDv7+bJC4hA1/A3hl/9qA5ldKrsyNqLHuE5S+MS4Slbgoj9erEGUSEs&#10;0xRkWcj//uUPUEsDBBQAAAAIAIdO4kDRl+rgagIAAMEEAAAOAAAAZHJzL2Uyb0RvYy54bWytVM1u&#10;EzEQviPxDpbvdJNt0jZRN1XUKAipopUK4ux4vVlL/sN2sikvg8SNh+BxEK/BZ+/2h8KhB3Jwxp7P&#10;M55vvtnzi4NWZC98kNZUdHw0okQYbmtpthX9+GH95oySEJmpmbJGVPROBHqxeP3qvHNzUdrWqlp4&#10;giAmzDtX0TZGNy+KwFuhWTiyThg4G+s1i9j6bVF71iG6VkU5Gp0UnfW185aLEHC66p10iOhfEtA2&#10;jeRiZflOCxP7qF4oFlFSaKULdJFf2zSCx+umCSISVVFUGvOKJLA3aS0W52y+9cy1kg9PYC95wrOa&#10;NJMGSR9CrVhkZOflX6G05N4G28QjbnXRF5IZQRXj0TNublvmRK4FVAf3QHr4f2H5+/2NJ7KuaHlK&#10;iWEaHf/19fvPH98IDsBO58IcoFt344ddgJlKPTRep38UQQ5Q0tns5HQypeQOdjkty3JgVxwi4QCU&#10;x7PjGfw8AU7Gs3Ka4hePgZwP8a2wmiSjoh7Ny5yy/VWIPfQekvIau5ZK4ZzNlSEdEkwnI/SVM6iy&#10;gRpgaofKgtlSwtQWcufR55DBKlmn6+l28NvNpfJkzyCS9XqE3/CyP2Ap94qFtsdl1wBTBnUkonpq&#10;krWx9R2I9bZXXHB8LXH/ioV4wzwkhodiCOM1lkZZvN4OFiWt9V/+dZ7w6Dy8lHSQLCr7vGNeUKLe&#10;GWhiNp5MksbzZjI9RQOIf+rZPPWYnb60KHiMcXc8mwkf1b3ZeKs/YVaXKStczHDk7jkcNpexHyVM&#10;OxfLZYZB147FK3PreAred2q5i7aRuYmP7AykQdlZBsMUptF5us+oxy/P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RvDCz1wAAAAcBAAAPAAAAAAAAAAEAIAAAACIAAABkcnMvZG93bnJldi54bWxQ&#10;SwECFAAUAAAACACHTuJA0Zfq4GoCAADBBAAADgAAAAAAAAABACAAAAAmAQAAZHJzL2Uyb0RvYy54&#10;bWxQSwUGAAAAAAYABgBZAQAAAgYAAAAA&#10;">
                      <v:fill on="f" focussize="0,0"/>
                      <v:stroke weight="2pt" color="#FF0000 [2404]" joinstyle="round"/>
                      <v:imagedata o:title=""/>
                      <o:lock v:ext="edit" aspectratio="f"/>
                    </v:rect>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51669504" behindDoc="0" locked="0" layoutInCell="1" allowOverlap="1">
                      <wp:simplePos x="0" y="0"/>
                      <wp:positionH relativeFrom="column">
                        <wp:posOffset>112395</wp:posOffset>
                      </wp:positionH>
                      <wp:positionV relativeFrom="paragraph">
                        <wp:posOffset>-17145</wp:posOffset>
                      </wp:positionV>
                      <wp:extent cx="1983105" cy="1076960"/>
                      <wp:effectExtent l="12700" t="12700" r="23495" b="15240"/>
                      <wp:wrapNone/>
                      <wp:docPr id="94" name="矩形 94"/>
                      <wp:cNvGraphicFramePr/>
                      <a:graphic xmlns:a="http://schemas.openxmlformats.org/drawingml/2006/main">
                        <a:graphicData uri="http://schemas.microsoft.com/office/word/2010/wordprocessingShape">
                          <wps:wsp>
                            <wps:cNvSpPr/>
                            <wps:spPr>
                              <a:xfrm>
                                <a:off x="4465955" y="3630295"/>
                                <a:ext cx="1983105" cy="1076960"/>
                              </a:xfrm>
                              <a:prstGeom prst="rect">
                                <a:avLst/>
                              </a:prstGeom>
                              <a:solidFill>
                                <a:srgbClr val="FFFFFF"/>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99995FF">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图例</w:t>
                                  </w:r>
                                </w:p>
                                <w:p w14:paraId="2B340CB9">
                                  <w:pPr>
                                    <w:ind w:firstLine="960" w:firstLineChars="4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本项目厂界</w:t>
                                  </w:r>
                                </w:p>
                                <w:p w14:paraId="4D3630BE">
                                  <w:pPr>
                                    <w:ind w:left="0" w:leftChars="0" w:firstLine="240" w:firstLineChars="100"/>
                                    <w:jc w:val="both"/>
                                    <w:rPr>
                                      <w:rFonts w:hint="default"/>
                                      <w:color w:val="000000" w:themeColor="text1"/>
                                      <w:lang w:val="en-US" w:eastAsia="zh-CN"/>
                                      <w14:textFill>
                                        <w14:solidFill>
                                          <w14:schemeClr w14:val="tx1"/>
                                        </w14:solidFill>
                                      </w14:textFill>
                                    </w:rPr>
                                  </w:pPr>
                                  <w:r>
                                    <w:drawing>
                                      <wp:inline distT="0" distB="0" distL="114300" distR="114300">
                                        <wp:extent cx="231775" cy="273050"/>
                                        <wp:effectExtent l="0" t="0" r="15875" b="1270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4"/>
                                                <a:stretch>
                                                  <a:fillRect/>
                                                </a:stretch>
                                              </pic:blipFill>
                                              <pic:spPr>
                                                <a:xfrm>
                                                  <a:off x="0" y="0"/>
                                                  <a:ext cx="231775" cy="273050"/>
                                                </a:xfrm>
                                                <a:prstGeom prst="rect">
                                                  <a:avLst/>
                                                </a:prstGeom>
                                                <a:noFill/>
                                                <a:ln>
                                                  <a:noFill/>
                                                </a:ln>
                                              </pic:spPr>
                                            </pic:pic>
                                          </a:graphicData>
                                        </a:graphic>
                                      </wp:inline>
                                    </w:drawing>
                                  </w:r>
                                  <w:r>
                                    <w:rPr>
                                      <w:rFonts w:hint="eastAsia"/>
                                      <w:lang w:val="en-US" w:eastAsia="zh-CN"/>
                                    </w:rPr>
                                    <w:t xml:space="preserve">  </w:t>
                                  </w:r>
                                  <w:r>
                                    <w:rPr>
                                      <w:rFonts w:hint="eastAsia"/>
                                      <w:color w:val="000000" w:themeColor="text1"/>
                                      <w:lang w:val="en-US" w:eastAsia="zh-CN"/>
                                      <w14:textFill>
                                        <w14:solidFill>
                                          <w14:schemeClr w14:val="tx1"/>
                                        </w14:solidFill>
                                      </w14:textFill>
                                    </w:rPr>
                                    <w:t>引用检测点位</w:t>
                                  </w:r>
                                </w:p>
                                <w:p w14:paraId="3016032F">
                                  <w:pPr>
                                    <w:jc w:val="center"/>
                                    <w:rPr>
                                      <w:rFonts w:hint="default"/>
                                      <w:color w:val="000000" w:themeColor="text1"/>
                                      <w:lang w:val="en-US" w:eastAsia="zh-CN"/>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5pt;margin-top:-1.35pt;height:84.8pt;width:156.15pt;z-index:251669504;v-text-anchor:middle;mso-width-relative:page;mso-height-relative:page;" fillcolor="#FFFFFF" filled="t" stroked="t" coordsize="21600,21600" o:gfxdata="UEsDBAoAAAAAAIdO4kAAAAAAAAAAAAAAAAAEAAAAZHJzL1BLAwQUAAAACACHTuJAIrMm2NcAAAAJ&#10;AQAADwAAAGRycy9kb3ducmV2LnhtbE2PzU7DMBCE70i8g7VI3Fq7qZTSEKcHEOKAQErDhZsbL0mE&#10;vY5s94e3ZznBaTX6RrMz9e7inThhTFMgDaulAoHUBzvRoOG9e1rcgUjZkDUuEGr4xgS75vqqNpUN&#10;Z2rxtM+D4BBKldEw5jxXUqZ+RG/SMsxIzD5D9CazjIO00Zw53DtZKFVKbybiD6OZ8WHE/mt/9BpC&#10;0T/HtpPFa/c4bduPoNzbi9L69mal7kFkvOQ/M/zW5+rQcKdDOJJNwrHebNipYVHwZb5eK952YFCW&#10;W5BNLf8vaH4AUEsDBBQAAAAIAIdO4kA2RK27fQIAAPcEAAAOAAAAZHJzL2Uyb0RvYy54bWytVEtu&#10;2zAQ3RfoHQjuG0mO7MRG5MCI4aJA0ARwi65pirIEUCRL0pbTyxTorofocYpeo4+UkjhpFllUC2pG&#10;8zSfNzO8uDy0kuyFdY1WBc1OUkqE4rps1Lagnz+t3p1T4jxTJZNaiYLeCUcv52/fXHRmJka61rIU&#10;lsCJcrPOFLT23sySxPFatMydaCMUjJW2LfNQ7TYpLevgvZXJKE0nSadtaazmwjl8XfZGOni0r3Go&#10;q6rhYqn5rhXK916tkMyjJFc3xtF5zLaqBPc3VeWEJ7KgqNTHE0Egb8KZzC/YbGuZqRs+pMBek8Kz&#10;mlrWKAR9cLVknpGdbf5x1Tbcaqcrf8J1m/SFREZQRZY+42ZdMyNiLaDamQfS3f9zyz/uby1pyoJO&#10;c0oUa9HxP99//v71g+AD2OmMmwG0Nrd20BzEUOqhsm14owhyKGieT8bT8ZiSu4KeTk7T0XTcsysO&#10;nnAAsun5aZYCwIHI0rPJdBL5Tx5dGev8e6FbEoSCWrQvssr2184jPKD3kBDZadmUq0bKqNjt5kpa&#10;smdo9So+IT5+eQKTinQFHY3zFCPAGQa4wuBAbA1IcGpLCZNbbAb3NsZ+8rc7DpLG56UgIcklc3Wf&#10;TPQwwKRCSoHTnsUg+cPmMFC70eUd2mF1P6fO8FUDV9fM+VtmMZjIGavrb3BUUqMQPUiU1Np+e+l7&#10;wGNeYKWkw6CjyK87ZgUl8oPCJE2zPA+bEZV8fDaCYo8tm2OL2rVXGgRnuCQMj2LAe3kvVla3X7Dh&#10;ixAVJqY4Yvd0DsqV7xcQdwQXi0WEYRsM89dqbXhwHhqq9GLnddXExgeienYG/rAPsbnD7oaFO9Yj&#10;6vG+mv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rMm2NcAAAAJAQAADwAAAAAAAAABACAAAAAi&#10;AAAAZHJzL2Rvd25yZXYueG1sUEsBAhQAFAAAAAgAh07iQDZErbt9AgAA9wQAAA4AAAAAAAAAAQAg&#10;AAAAJgEAAGRycy9lMm9Eb2MueG1sUEsFBgAAAAAGAAYAWQEAABUGAAAAAA==&#10;">
                      <v:fill on="t" focussize="0,0"/>
                      <v:stroke weight="2pt" color="#000000 [3213]" joinstyle="round"/>
                      <v:imagedata o:title=""/>
                      <o:lock v:ext="edit" aspectratio="f"/>
                      <v:textbox>
                        <w:txbxContent>
                          <w:p w14:paraId="299995FF">
                            <w:pPr>
                              <w:jc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图例</w:t>
                            </w:r>
                          </w:p>
                          <w:p w14:paraId="2B340CB9">
                            <w:pPr>
                              <w:ind w:firstLine="960" w:firstLineChars="40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本项目厂界</w:t>
                            </w:r>
                          </w:p>
                          <w:p w14:paraId="4D3630BE">
                            <w:pPr>
                              <w:ind w:left="0" w:leftChars="0" w:firstLine="240" w:firstLineChars="100"/>
                              <w:jc w:val="both"/>
                              <w:rPr>
                                <w:rFonts w:hint="default"/>
                                <w:color w:val="000000" w:themeColor="text1"/>
                                <w:lang w:val="en-US" w:eastAsia="zh-CN"/>
                                <w14:textFill>
                                  <w14:solidFill>
                                    <w14:schemeClr w14:val="tx1"/>
                                  </w14:solidFill>
                                </w14:textFill>
                              </w:rPr>
                            </w:pPr>
                            <w:r>
                              <w:drawing>
                                <wp:inline distT="0" distB="0" distL="114300" distR="114300">
                                  <wp:extent cx="231775" cy="273050"/>
                                  <wp:effectExtent l="0" t="0" r="15875" b="1270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4"/>
                                          <a:stretch>
                                            <a:fillRect/>
                                          </a:stretch>
                                        </pic:blipFill>
                                        <pic:spPr>
                                          <a:xfrm>
                                            <a:off x="0" y="0"/>
                                            <a:ext cx="231775" cy="273050"/>
                                          </a:xfrm>
                                          <a:prstGeom prst="rect">
                                            <a:avLst/>
                                          </a:prstGeom>
                                          <a:noFill/>
                                          <a:ln>
                                            <a:noFill/>
                                          </a:ln>
                                        </pic:spPr>
                                      </pic:pic>
                                    </a:graphicData>
                                  </a:graphic>
                                </wp:inline>
                              </w:drawing>
                            </w:r>
                            <w:r>
                              <w:rPr>
                                <w:rFonts w:hint="eastAsia"/>
                                <w:lang w:val="en-US" w:eastAsia="zh-CN"/>
                              </w:rPr>
                              <w:t xml:space="preserve">  </w:t>
                            </w:r>
                            <w:r>
                              <w:rPr>
                                <w:rFonts w:hint="eastAsia"/>
                                <w:color w:val="000000" w:themeColor="text1"/>
                                <w:lang w:val="en-US" w:eastAsia="zh-CN"/>
                                <w14:textFill>
                                  <w14:solidFill>
                                    <w14:schemeClr w14:val="tx1"/>
                                  </w14:solidFill>
                                </w14:textFill>
                              </w:rPr>
                              <w:t>引用检测点位</w:t>
                            </w:r>
                          </w:p>
                          <w:p w14:paraId="3016032F">
                            <w:pPr>
                              <w:jc w:val="center"/>
                              <w:rPr>
                                <w:rFonts w:hint="default"/>
                                <w:color w:val="000000" w:themeColor="text1"/>
                                <w:lang w:val="en-US" w:eastAsia="zh-CN"/>
                                <w14:textFill>
                                  <w14:solidFill>
                                    <w14:schemeClr w14:val="tx1"/>
                                  </w14:solidFill>
                                </w14:textFill>
                              </w:rPr>
                            </w:pPr>
                          </w:p>
                        </w:txbxContent>
                      </v:textbox>
                    </v:rect>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1255395</wp:posOffset>
                      </wp:positionH>
                      <wp:positionV relativeFrom="paragraph">
                        <wp:posOffset>935355</wp:posOffset>
                      </wp:positionV>
                      <wp:extent cx="914400" cy="914400"/>
                      <wp:effectExtent l="0" t="0" r="0" b="0"/>
                      <wp:wrapNone/>
                      <wp:docPr id="93" name="矩形 93"/>
                      <wp:cNvGraphicFramePr/>
                      <a:graphic xmlns:a="http://schemas.openxmlformats.org/drawingml/2006/main">
                        <a:graphicData uri="http://schemas.microsoft.com/office/word/2010/wordprocessingShape">
                          <wps:wsp>
                            <wps:cNvSpPr/>
                            <wps:spPr>
                              <a:xfrm>
                                <a:off x="3016250" y="1968500"/>
                                <a:ext cx="914400" cy="9144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48294EF">
                                  <w:pPr>
                                    <w:jc w:val="center"/>
                                    <w:rPr>
                                      <w:rFonts w:hint="default" w:ascii="Times New Roman" w:hAnsi="Times New Roman" w:eastAsia="宋体" w:cs="Times New Roman"/>
                                      <w:color w:val="FF0000"/>
                                      <w:highlight w:val="none"/>
                                      <w:lang w:val="en-US" w:eastAsia="zh-CN"/>
                                    </w:rPr>
                                  </w:pPr>
                                  <w:r>
                                    <w:rPr>
                                      <w:rFonts w:hint="default" w:ascii="Times New Roman" w:hAnsi="Times New Roman" w:cs="Times New Roman"/>
                                      <w:color w:val="FF0000"/>
                                      <w:highlight w:val="none"/>
                                      <w:lang w:val="en-US" w:eastAsia="zh-CN"/>
                                    </w:rPr>
                                    <w:t>2.8km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85pt;margin-top:73.65pt;height:72pt;width:72pt;z-index:251668480;v-text-anchor:middle;mso-width-relative:page;mso-height-relative:page;" filled="f" stroked="f" coordsize="21600,21600" o:gfxdata="UEsDBAoAAAAAAIdO4kAAAAAAAAAAAAAAAAAEAAAAZHJzL1BLAwQUAAAACACHTuJAV2OnG9kAAAAL&#10;AQAADwAAAGRycy9kb3ducmV2LnhtbE2PQU+DQBCF7yb+h82YeLMLhYilLE1j1KRHi4npbWFHQNlZ&#10;wm5p++8dT/U2b+blzfeKzdkOYsbJ944UxIsIBFLjTE+tgo/q9eEJhA+ajB4coYILetiUtzeFzo07&#10;0TvO+9AKDiGfawVdCGMupW86tNov3IjEty83WR1YTq00kz5xuB3kMooepdU98YdOj/jcYfOzP1oF&#10;vp531WXcfn4ffFNvX8hW6e5Nqfu7OFqDCHgOVzP84TM6lMxUuyMZLwbWqyxjKw9ploBgR5LGvKkV&#10;LFdxArIs5P8O5S9QSwMEFAAAAAgAh07iQLqbTMFYAgAAowQAAA4AAABkcnMvZTJvRG9jLnhtbK1U&#10;zW4TMRC+I/EOlu90k7QpbdRNFTUqQqpopYA4O147a8l/2E425WWQuPEQPA7iNfjs3bZR4dADF+/Y&#10;M/lmvm9mcnG5N5rsRIjK2ZqOj0aUCMtdo+ympp8+Xr85oyQmZhumnRU1vReRXs5fv7ro/ExMXOt0&#10;IwIBiI2zzte0TcnPqiryVhgWj5wXFk7pgmEJ17CpmsA6oBtdTUaj06pzofHBcREjXpe9kw6I4SWA&#10;TkrFxdLxrRE29ahBaJZAKbbKRzov1UopeLqVMopEdE3BNJUTSWCv81nNL9hsE5hvFR9KYC8p4Rkn&#10;w5RF0keoJUuMbIP6C8ooHlx0Mh1xZ6qeSFEELMajZ9qsWuZF4QKpo38UPf4/WP5hdxeIamp6fkyJ&#10;ZQYd//3tx6+f3wkeoE7n4wxBK38XhluEmanuZTD5CxJkX9Pj0fh0MoWu95iq89Oz6WhQV+wT4Qg4&#10;H5+c4I1wBAw2EKsnIB9ieiecIdmoaUDziqZsdxNTH/oQkvNad620xjubaUu6mk6mPT7DVEpMA1IZ&#10;D2bRbihheoNx5ykUyIPfZsgliy3ZMcxIdFo1mTfq0hafzL9nnK20X+/hzObaNfeQLrh+pqLn1wpQ&#10;NyymOxYwRKCKNUu3OKR2qM8NFiWtC1//9Z7j0Vt4KekwlKjny5YFQYl+b9H1IhumuFxOpm8nyBEO&#10;PetDj92aKwdOYyy058XM8Uk/mDI48xnbuMhZ4WKWI3ev0nC5Sv2yYJ+5WCxKGCbXs3RjV55n8L4X&#10;i21yUpU2Pakz6IfZLYIOe5aX4/Beop7+W+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djpxvZ&#10;AAAACwEAAA8AAAAAAAAAAQAgAAAAIgAAAGRycy9kb3ducmV2LnhtbFBLAQIUABQAAAAIAIdO4kC6&#10;m0zBWAIAAKMEAAAOAAAAAAAAAAEAIAAAACgBAABkcnMvZTJvRG9jLnhtbFBLBQYAAAAABgAGAFkB&#10;AADyBQAAAAA=&#10;">
                      <v:fill on="f" focussize="0,0"/>
                      <v:stroke on="f" weight="2pt"/>
                      <v:imagedata o:title=""/>
                      <o:lock v:ext="edit" aspectratio="f"/>
                      <v:textbox>
                        <w:txbxContent>
                          <w:p w14:paraId="048294EF">
                            <w:pPr>
                              <w:jc w:val="center"/>
                              <w:rPr>
                                <w:rFonts w:hint="default" w:ascii="Times New Roman" w:hAnsi="Times New Roman" w:eastAsia="宋体" w:cs="Times New Roman"/>
                                <w:color w:val="FF0000"/>
                                <w:highlight w:val="none"/>
                                <w:lang w:val="en-US" w:eastAsia="zh-CN"/>
                              </w:rPr>
                            </w:pPr>
                            <w:r>
                              <w:rPr>
                                <w:rFonts w:hint="default" w:ascii="Times New Roman" w:hAnsi="Times New Roman" w:cs="Times New Roman"/>
                                <w:color w:val="FF0000"/>
                                <w:highlight w:val="none"/>
                                <w:lang w:val="en-US" w:eastAsia="zh-CN"/>
                              </w:rPr>
                              <w:t>2.8km</w:t>
                            </w:r>
                          </w:p>
                        </w:txbxContent>
                      </v:textbox>
                    </v:rect>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641350</wp:posOffset>
                      </wp:positionH>
                      <wp:positionV relativeFrom="paragraph">
                        <wp:posOffset>660400</wp:posOffset>
                      </wp:positionV>
                      <wp:extent cx="2171700" cy="1979295"/>
                      <wp:effectExtent l="0" t="9525" r="19050" b="11430"/>
                      <wp:wrapNone/>
                      <wp:docPr id="92" name="直接箭头连接符 92"/>
                      <wp:cNvGraphicFramePr/>
                      <a:graphic xmlns:a="http://schemas.openxmlformats.org/drawingml/2006/main">
                        <a:graphicData uri="http://schemas.microsoft.com/office/word/2010/wordprocessingShape">
                          <wps:wsp>
                            <wps:cNvCnPr/>
                            <wps:spPr>
                              <a:xfrm flipH="1">
                                <a:off x="1957705" y="1619250"/>
                                <a:ext cx="2171700" cy="197929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50.5pt;margin-top:52pt;height:155.85pt;width:171pt;z-index:251667456;mso-width-relative:page;mso-height-relative:page;" filled="f" stroked="t" coordsize="21600,21600" o:gfxdata="UEsDBAoAAAAAAIdO4kAAAAAAAAAAAAAAAAAEAAAAZHJzL1BLAwQUAAAACACHTuJALeTtm9cAAAAL&#10;AQAADwAAAGRycy9kb3ducmV2LnhtbE2PzU7DMBCE70i8g7VIXFBrB8KPQpwKVeKCUKW2lLMTL4kh&#10;Xkex27Rvz/YEt2+0o9mZcnH0vTjgGF0gDdlcgUBqgnXUavjYvs6eQMRkyJo+EGo4YYRFdXlRmsKG&#10;idZ42KRWcAjFwmjoUhoKKWPToTdxHgYkvn2F0ZvEcmylHc3E4b6Xt0o9SG8c8YfODLjssPnZ7L0G&#10;fPl8f5O4St/uxoV61yxX2+mk9fVVpp5BJDymPzOc63N1qLhTHfZko+hZq4y3pDPkDOzI8zuGmiG7&#10;fwRZlfL/huoXUEsDBBQAAAAIAIdO4kDqbU/dEwIAAOYDAAAOAAAAZHJzL2Uyb0RvYy54bWytU82O&#10;0zAQviPxDpbvNGlEtyRquoeWwgHBSsADTB0nseQ/2d6mfQleAIkTcAJOe+dpYHkMxk5YYLnsgRyi&#10;Gc/MN/N9Hq/Oj0qSA3deGF3T+SynhGtmGqG7mr5+tXvwiBIfQDcgjeY1PXFPz9f3760GW/HC9EY2&#10;3BEE0b4abE37EGyVZZ71XIGfGcs1BlvjFAR0XZc1DgZEVzIr8vwsG4xrrDOMe4+n2zFIJ0R3F0DT&#10;toLxrWGXiuswojouISAl3wvr6TpN27achRdt63kgsqbINKQ/NkF7H//ZegVV58D2gk0jwF1GuMVJ&#10;gdDY9AZqCwHIpRP/QCnBnPGmDTNmVDYSSYogi3l+S5uXPVieuKDU3t6I7v8fLHt+uHBENDUtC0o0&#10;KLzx67dX3998uP7y+dv7qx9f30X700eCcRRrsL7Cmo2+cJPn7YWLzI+tU6SVwj7FrUpaIDtyRKdc&#10;LJf5gpIT2mfzslhMsvNjIAwTivlyvszxRljMKJdlUS5ir2wEjeDW+fCEG0WiUVMfHIiuDxujNV6x&#10;cWNDODzzYSz8VRCLtdkJKfEcKqnJgA0XD1M7wPVtcW2ws7IogdcdJSA7fBcsuMTBGymaWB6rvev2&#10;G+nIAXCbdrscv2nOv9Ji7y34fsxLoZgGVQAhH+uGhJNFmcE5M0z1UiPdqO2oZrT2pjklkdM5Xn8S&#10;ZFrVuF9/+qn69/Nc/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5O2b1wAAAAsBAAAPAAAAAAAA&#10;AAEAIAAAACIAAABkcnMvZG93bnJldi54bWxQSwECFAAUAAAACACHTuJA6m1P3RMCAADmAwAADgAA&#10;AAAAAAABACAAAAAmAQAAZHJzL2Uyb0RvYy54bWxQSwUGAAAAAAYABgBZAQAAqwUAAAAA&#10;">
                      <v:fill on="f" focussize="0,0"/>
                      <v:stroke weight="2pt" color="#FF0000 [3204]" joinstyle="round" endarrow="open"/>
                      <v:imagedata o:title=""/>
                      <o:lock v:ext="edit" aspectratio="f"/>
                    </v:shape>
                  </w:pict>
                </mc:Fallback>
              </mc:AlternateContent>
            </w:r>
            <w:r>
              <w:rPr>
                <w:rFonts w:hint="default" w:ascii="Times New Roman" w:hAnsi="Times New Roman" w:cs="Times New Roman"/>
                <w:color w:val="auto"/>
                <w:highlight w:val="none"/>
              </w:rPr>
              <w:drawing>
                <wp:inline distT="0" distB="0" distL="114300" distR="114300">
                  <wp:extent cx="4743450" cy="33470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4743450" cy="3347085"/>
                          </a:xfrm>
                          <a:prstGeom prst="rect">
                            <a:avLst/>
                          </a:prstGeom>
                          <a:noFill/>
                          <a:ln>
                            <a:noFill/>
                          </a:ln>
                        </pic:spPr>
                      </pic:pic>
                    </a:graphicData>
                  </a:graphic>
                </wp:inline>
              </w:drawing>
            </w:r>
          </w:p>
          <w:p w14:paraId="5A233C9C">
            <w:pPr>
              <w:spacing w:line="360" w:lineRule="auto"/>
              <w:ind w:left="0" w:leftChars="0" w:firstLine="0" w:firstLineChars="0"/>
              <w:jc w:val="center"/>
              <w:rPr>
                <w:rFonts w:hint="default" w:ascii="Times New Roman" w:hAnsi="Times New Roman" w:eastAsia="宋体" w:cs="Times New Roman"/>
                <w:snapToGrid w:val="0"/>
                <w:color w:val="auto"/>
                <w:sz w:val="24"/>
                <w:highlight w:val="none"/>
                <w:lang w:val="en-US" w:eastAsia="zh-CN"/>
              </w:rPr>
            </w:pPr>
            <w:r>
              <w:rPr>
                <w:rFonts w:hint="default" w:ascii="Times New Roman" w:hAnsi="Times New Roman" w:eastAsia="宋体" w:cs="Times New Roman"/>
                <w:b/>
                <w:bCs w:val="0"/>
                <w:snapToGrid w:val="0"/>
                <w:color w:val="auto"/>
                <w:sz w:val="24"/>
                <w:highlight w:val="none"/>
              </w:rPr>
              <w:t>图</w:t>
            </w:r>
            <w:r>
              <w:rPr>
                <w:rFonts w:hint="default" w:ascii="Times New Roman" w:hAnsi="Times New Roman" w:eastAsia="宋体" w:cs="Times New Roman"/>
                <w:b/>
                <w:bCs w:val="0"/>
                <w:snapToGrid w:val="0"/>
                <w:color w:val="auto"/>
                <w:sz w:val="24"/>
                <w:highlight w:val="none"/>
                <w:lang w:val="en-US" w:eastAsia="zh-CN"/>
              </w:rPr>
              <w:t>3-1监测点位图</w:t>
            </w:r>
          </w:p>
          <w:p w14:paraId="6320DF74">
            <w:pPr>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（3）监测结果</w:t>
            </w:r>
          </w:p>
          <w:p w14:paraId="63DB6E66">
            <w:pPr>
              <w:adjustRightIn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表3-3  其他污染物环境质量现状（监测结果）</w:t>
            </w:r>
          </w:p>
          <w:tbl>
            <w:tblPr>
              <w:tblStyle w:val="148"/>
              <w:tblW w:w="499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92"/>
              <w:gridCol w:w="909"/>
              <w:gridCol w:w="859"/>
              <w:gridCol w:w="971"/>
              <w:gridCol w:w="1323"/>
              <w:gridCol w:w="1050"/>
              <w:gridCol w:w="716"/>
              <w:gridCol w:w="640"/>
            </w:tblGrid>
            <w:tr w14:paraId="2EB88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832" w:type="pct"/>
                  <w:tcBorders>
                    <w:top w:val="single" w:color="000000" w:sz="10" w:space="0"/>
                    <w:left w:val="nil"/>
                  </w:tcBorders>
                  <w:vAlign w:val="center"/>
                </w:tcPr>
                <w:p w14:paraId="1AF73767">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监测点位</w:t>
                  </w:r>
                </w:p>
              </w:tc>
              <w:tc>
                <w:tcPr>
                  <w:tcW w:w="585" w:type="pct"/>
                  <w:tcBorders>
                    <w:top w:val="single" w:color="000000" w:sz="10" w:space="0"/>
                  </w:tcBorders>
                  <w:vAlign w:val="center"/>
                </w:tcPr>
                <w:p w14:paraId="356BFD72">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污染物</w:t>
                  </w:r>
                </w:p>
              </w:tc>
              <w:tc>
                <w:tcPr>
                  <w:tcW w:w="553" w:type="pct"/>
                  <w:tcBorders>
                    <w:top w:val="single" w:color="000000" w:sz="10" w:space="0"/>
                  </w:tcBorders>
                  <w:vAlign w:val="center"/>
                </w:tcPr>
                <w:p w14:paraId="244F097A">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平均时</w:t>
                  </w:r>
                  <w:r>
                    <w:rPr>
                      <w:rFonts w:hint="default" w:ascii="Times New Roman" w:hAnsi="Times New Roman" w:cs="Times New Roman"/>
                      <w:color w:val="auto"/>
                      <w:sz w:val="21"/>
                      <w:szCs w:val="21"/>
                      <w:highlight w:val="none"/>
                    </w:rPr>
                    <w:t>间</w:t>
                  </w:r>
                </w:p>
              </w:tc>
              <w:tc>
                <w:tcPr>
                  <w:tcW w:w="625" w:type="pct"/>
                  <w:tcBorders>
                    <w:top w:val="single" w:color="000000" w:sz="10" w:space="0"/>
                  </w:tcBorders>
                  <w:vAlign w:val="center"/>
                </w:tcPr>
                <w:p w14:paraId="201B5BC1">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评价标</w:t>
                  </w:r>
                  <w:r>
                    <w:rPr>
                      <w:rFonts w:hint="default" w:ascii="Times New Roman" w:hAnsi="Times New Roman" w:cs="Times New Roman"/>
                      <w:color w:val="auto"/>
                      <w:sz w:val="21"/>
                      <w:szCs w:val="21"/>
                      <w:highlight w:val="none"/>
                    </w:rPr>
                    <w:t>准</w:t>
                  </w:r>
                </w:p>
                <w:p w14:paraId="285D52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4"/>
                      <w:sz w:val="21"/>
                      <w:szCs w:val="21"/>
                      <w:highlight w:val="none"/>
                    </w:rPr>
                    <w:t>(</w:t>
                  </w:r>
                  <w:r>
                    <w:rPr>
                      <w:rFonts w:hint="default" w:ascii="Times New Roman" w:hAnsi="Times New Roman" w:eastAsia="Times New Roman" w:cs="Times New Roman"/>
                      <w:color w:val="auto"/>
                      <w:sz w:val="21"/>
                      <w:szCs w:val="21"/>
                      <w:highlight w:val="none"/>
                    </w:rPr>
                    <w:t>mg</w:t>
                  </w:r>
                  <w:r>
                    <w:rPr>
                      <w:rFonts w:hint="default" w:ascii="Times New Roman" w:hAnsi="Times New Roman" w:eastAsia="Times New Roman" w:cs="Times New Roman"/>
                      <w:color w:val="auto"/>
                      <w:spacing w:val="4"/>
                      <w:sz w:val="21"/>
                      <w:szCs w:val="21"/>
                      <w:highlight w:val="none"/>
                    </w:rPr>
                    <w:t>/m</w:t>
                  </w:r>
                  <w:r>
                    <w:rPr>
                      <w:rFonts w:hint="default" w:ascii="Times New Roman" w:hAnsi="Times New Roman" w:eastAsia="宋体" w:cs="Times New Roman"/>
                      <w:color w:val="auto"/>
                      <w:spacing w:val="4"/>
                      <w:sz w:val="21"/>
                      <w:szCs w:val="21"/>
                      <w:highlight w:val="none"/>
                      <w:vertAlign w:val="superscript"/>
                      <w:lang w:val="en-US" w:eastAsia="zh-CN"/>
                    </w:rPr>
                    <w:t>3</w:t>
                  </w:r>
                  <w:r>
                    <w:rPr>
                      <w:rFonts w:hint="default" w:ascii="Times New Roman" w:hAnsi="Times New Roman" w:eastAsia="Times New Roman" w:cs="Times New Roman"/>
                      <w:color w:val="auto"/>
                      <w:spacing w:val="4"/>
                      <w:sz w:val="21"/>
                      <w:szCs w:val="21"/>
                      <w:highlight w:val="none"/>
                    </w:rPr>
                    <w:t>)</w:t>
                  </w:r>
                </w:p>
              </w:tc>
              <w:tc>
                <w:tcPr>
                  <w:tcW w:w="852" w:type="pct"/>
                  <w:tcBorders>
                    <w:top w:val="single" w:color="000000" w:sz="10" w:space="0"/>
                  </w:tcBorders>
                  <w:vAlign w:val="center"/>
                </w:tcPr>
                <w:p w14:paraId="1692EF61">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监测浓度范</w:t>
                  </w:r>
                  <w:r>
                    <w:rPr>
                      <w:rFonts w:hint="default" w:ascii="Times New Roman" w:hAnsi="Times New Roman" w:cs="Times New Roman"/>
                      <w:color w:val="auto"/>
                      <w:spacing w:val="1"/>
                      <w:position w:val="-1"/>
                      <w:sz w:val="21"/>
                      <w:szCs w:val="21"/>
                      <w:highlight w:val="none"/>
                    </w:rPr>
                    <w:t>围</w:t>
                  </w:r>
                  <w:r>
                    <w:rPr>
                      <w:rFonts w:hint="eastAsia" w:ascii="Times New Roman" w:hAnsi="Times New Roman" w:cs="Times New Roman"/>
                      <w:color w:val="auto"/>
                      <w:spacing w:val="1"/>
                      <w:position w:val="-1"/>
                      <w:sz w:val="21"/>
                      <w:szCs w:val="21"/>
                      <w:highlight w:val="none"/>
                      <w:lang w:eastAsia="zh-CN"/>
                    </w:rPr>
                    <w:t>（</w:t>
                  </w:r>
                  <w:r>
                    <w:rPr>
                      <w:rFonts w:hint="default" w:ascii="Times New Roman" w:hAnsi="Times New Roman" w:eastAsia="Times New Roman" w:cs="Times New Roman"/>
                      <w:color w:val="auto"/>
                      <w:position w:val="-1"/>
                      <w:sz w:val="21"/>
                      <w:szCs w:val="21"/>
                      <w:highlight w:val="none"/>
                    </w:rPr>
                    <w:t>mg</w:t>
                  </w:r>
                  <w:r>
                    <w:rPr>
                      <w:rFonts w:hint="default" w:ascii="Times New Roman" w:hAnsi="Times New Roman" w:eastAsia="Times New Roman" w:cs="Times New Roman"/>
                      <w:color w:val="auto"/>
                      <w:spacing w:val="1"/>
                      <w:position w:val="-1"/>
                      <w:sz w:val="21"/>
                      <w:szCs w:val="21"/>
                      <w:highlight w:val="none"/>
                    </w:rPr>
                    <w:t>/m</w:t>
                  </w:r>
                  <w:r>
                    <w:rPr>
                      <w:rFonts w:hint="default" w:ascii="Times New Roman" w:hAnsi="Times New Roman" w:eastAsia="宋体" w:cs="Times New Roman"/>
                      <w:color w:val="auto"/>
                      <w:spacing w:val="4"/>
                      <w:sz w:val="21"/>
                      <w:szCs w:val="21"/>
                      <w:highlight w:val="none"/>
                      <w:vertAlign w:val="superscript"/>
                      <w:lang w:val="en-US" w:eastAsia="zh-CN"/>
                    </w:rPr>
                    <w:t>3</w:t>
                  </w:r>
                  <w:r>
                    <w:rPr>
                      <w:rFonts w:hint="default" w:ascii="Times New Roman" w:hAnsi="Times New Roman" w:cs="Times New Roman"/>
                      <w:color w:val="auto"/>
                      <w:spacing w:val="1"/>
                      <w:position w:val="7"/>
                      <w:sz w:val="21"/>
                      <w:szCs w:val="21"/>
                      <w:highlight w:val="none"/>
                    </w:rPr>
                    <w:t>）</w:t>
                  </w:r>
                </w:p>
              </w:tc>
              <w:tc>
                <w:tcPr>
                  <w:tcW w:w="676" w:type="pct"/>
                  <w:tcBorders>
                    <w:top w:val="single" w:color="000000" w:sz="10" w:space="0"/>
                  </w:tcBorders>
                  <w:vAlign w:val="center"/>
                </w:tcPr>
                <w:p w14:paraId="14E35F9F">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pacing w:val="6"/>
                      <w:sz w:val="21"/>
                      <w:szCs w:val="21"/>
                      <w:highlight w:val="none"/>
                    </w:rPr>
                    <w:t>最大浓度</w:t>
                  </w:r>
                  <w:r>
                    <w:rPr>
                      <w:rFonts w:hint="default" w:ascii="Times New Roman" w:hAnsi="Times New Roman" w:cs="Times New Roman"/>
                      <w:color w:val="auto"/>
                      <w:spacing w:val="-2"/>
                      <w:sz w:val="21"/>
                      <w:szCs w:val="21"/>
                      <w:highlight w:val="none"/>
                    </w:rPr>
                    <w:t>占标率</w:t>
                  </w:r>
                  <w:r>
                    <w:rPr>
                      <w:rFonts w:hint="default" w:ascii="Times New Roman" w:hAnsi="Times New Roman" w:eastAsia="Times New Roman" w:cs="Times New Roman"/>
                      <w:color w:val="auto"/>
                      <w:spacing w:val="-2"/>
                      <w:sz w:val="21"/>
                      <w:szCs w:val="21"/>
                      <w:highlight w:val="none"/>
                    </w:rPr>
                    <w:t>%</w:t>
                  </w:r>
                </w:p>
              </w:tc>
              <w:tc>
                <w:tcPr>
                  <w:tcW w:w="461" w:type="pct"/>
                  <w:tcBorders>
                    <w:top w:val="single" w:color="000000" w:sz="10" w:space="0"/>
                  </w:tcBorders>
                  <w:vAlign w:val="center"/>
                </w:tcPr>
                <w:p w14:paraId="1EF4882C">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cs="Times New Roman"/>
                      <w:color w:val="auto"/>
                      <w:spacing w:val="5"/>
                      <w:sz w:val="21"/>
                      <w:szCs w:val="21"/>
                      <w:highlight w:val="none"/>
                    </w:rPr>
                    <w:t>超标</w:t>
                  </w:r>
                  <w:r>
                    <w:rPr>
                      <w:rFonts w:hint="default" w:ascii="Times New Roman" w:hAnsi="Times New Roman" w:cs="Times New Roman"/>
                      <w:color w:val="auto"/>
                      <w:spacing w:val="3"/>
                      <w:sz w:val="21"/>
                      <w:szCs w:val="21"/>
                      <w:highlight w:val="none"/>
                    </w:rPr>
                    <w:t>率</w:t>
                  </w:r>
                  <w:r>
                    <w:rPr>
                      <w:rFonts w:hint="default" w:ascii="Times New Roman" w:hAnsi="Times New Roman" w:eastAsia="Times New Roman" w:cs="Times New Roman"/>
                      <w:color w:val="auto"/>
                      <w:spacing w:val="3"/>
                      <w:sz w:val="21"/>
                      <w:szCs w:val="21"/>
                      <w:highlight w:val="none"/>
                    </w:rPr>
                    <w:t>%</w:t>
                  </w:r>
                </w:p>
              </w:tc>
              <w:tc>
                <w:tcPr>
                  <w:tcW w:w="412" w:type="pct"/>
                  <w:tcBorders>
                    <w:top w:val="single" w:color="000000" w:sz="10" w:space="0"/>
                    <w:right w:val="nil"/>
                  </w:tcBorders>
                  <w:vAlign w:val="center"/>
                </w:tcPr>
                <w:p w14:paraId="06EE584D">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达标</w:t>
                  </w:r>
                  <w:r>
                    <w:rPr>
                      <w:rFonts w:hint="default" w:ascii="Times New Roman" w:hAnsi="Times New Roman" w:cs="Times New Roman"/>
                      <w:color w:val="auto"/>
                      <w:spacing w:val="4"/>
                      <w:sz w:val="21"/>
                      <w:szCs w:val="21"/>
                      <w:highlight w:val="none"/>
                    </w:rPr>
                    <w:t>情况</w:t>
                  </w:r>
                </w:p>
              </w:tc>
            </w:tr>
            <w:tr w14:paraId="72F2F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832" w:type="pct"/>
                  <w:tcBorders>
                    <w:left w:val="nil"/>
                    <w:bottom w:val="single" w:color="000000" w:sz="10" w:space="0"/>
                  </w:tcBorders>
                  <w:vAlign w:val="center"/>
                </w:tcPr>
                <w:p w14:paraId="421BCE2F">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厂址西南侧</w:t>
                  </w:r>
                  <w:r>
                    <w:rPr>
                      <w:rFonts w:hint="default" w:ascii="Times New Roman" w:hAnsi="Times New Roman" w:eastAsia="Times New Roman" w:cs="Times New Roman"/>
                      <w:color w:val="auto"/>
                      <w:spacing w:val="5"/>
                      <w:sz w:val="21"/>
                      <w:szCs w:val="21"/>
                      <w:highlight w:val="none"/>
                    </w:rPr>
                    <w:t>2</w:t>
                  </w:r>
                  <w:r>
                    <w:rPr>
                      <w:rFonts w:hint="default" w:ascii="Times New Roman" w:hAnsi="Times New Roman" w:eastAsia="宋体" w:cs="Times New Roman"/>
                      <w:color w:val="auto"/>
                      <w:spacing w:val="5"/>
                      <w:sz w:val="21"/>
                      <w:szCs w:val="21"/>
                      <w:highlight w:val="none"/>
                      <w:lang w:val="en-US" w:eastAsia="zh-CN"/>
                    </w:rPr>
                    <w:t>80</w:t>
                  </w:r>
                  <w:r>
                    <w:rPr>
                      <w:rFonts w:hint="default" w:ascii="Times New Roman" w:hAnsi="Times New Roman" w:eastAsia="Times New Roman" w:cs="Times New Roman"/>
                      <w:color w:val="auto"/>
                      <w:spacing w:val="5"/>
                      <w:sz w:val="21"/>
                      <w:szCs w:val="21"/>
                      <w:highlight w:val="none"/>
                    </w:rPr>
                    <w:t>0</w:t>
                  </w:r>
                  <w:r>
                    <w:rPr>
                      <w:rFonts w:hint="default" w:ascii="Times New Roman" w:hAnsi="Times New Roman" w:eastAsia="Times New Roman" w:cs="Times New Roman"/>
                      <w:color w:val="auto"/>
                      <w:sz w:val="21"/>
                      <w:szCs w:val="21"/>
                      <w:highlight w:val="none"/>
                    </w:rPr>
                    <w:t>m</w:t>
                  </w:r>
                  <w:r>
                    <w:rPr>
                      <w:rFonts w:hint="default" w:ascii="Times New Roman" w:hAnsi="Times New Roman" w:cs="Times New Roman"/>
                      <w:color w:val="auto"/>
                      <w:spacing w:val="5"/>
                      <w:sz w:val="21"/>
                      <w:szCs w:val="21"/>
                      <w:highlight w:val="none"/>
                    </w:rPr>
                    <w:t>处</w:t>
                  </w:r>
                </w:p>
              </w:tc>
              <w:tc>
                <w:tcPr>
                  <w:tcW w:w="585" w:type="pct"/>
                  <w:tcBorders>
                    <w:bottom w:val="single" w:color="000000" w:sz="10" w:space="0"/>
                  </w:tcBorders>
                  <w:vAlign w:val="center"/>
                </w:tcPr>
                <w:p w14:paraId="577186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TSP</w:t>
                  </w:r>
                </w:p>
              </w:tc>
              <w:tc>
                <w:tcPr>
                  <w:tcW w:w="553" w:type="pct"/>
                  <w:tcBorders>
                    <w:bottom w:val="single" w:color="000000" w:sz="10" w:space="0"/>
                  </w:tcBorders>
                  <w:vAlign w:val="center"/>
                </w:tcPr>
                <w:p w14:paraId="08F80327">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24</w:t>
                  </w:r>
                  <w:r>
                    <w:rPr>
                      <w:rFonts w:hint="default" w:ascii="Times New Roman" w:hAnsi="Times New Roman" w:cs="Times New Roman"/>
                      <w:color w:val="auto"/>
                      <w:spacing w:val="2"/>
                      <w:sz w:val="21"/>
                      <w:szCs w:val="21"/>
                      <w:highlight w:val="none"/>
                    </w:rPr>
                    <w:t>小时</w:t>
                  </w:r>
                </w:p>
              </w:tc>
              <w:tc>
                <w:tcPr>
                  <w:tcW w:w="625" w:type="pct"/>
                  <w:tcBorders>
                    <w:bottom w:val="single" w:color="000000" w:sz="10" w:space="0"/>
                  </w:tcBorders>
                  <w:vAlign w:val="center"/>
                </w:tcPr>
                <w:p w14:paraId="64F807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0.3</w:t>
                  </w:r>
                </w:p>
              </w:tc>
              <w:tc>
                <w:tcPr>
                  <w:tcW w:w="852" w:type="pct"/>
                  <w:tcBorders>
                    <w:bottom w:val="single" w:color="000000" w:sz="10" w:space="0"/>
                  </w:tcBorders>
                  <w:vAlign w:val="center"/>
                </w:tcPr>
                <w:p w14:paraId="6B8FD3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sz w:val="21"/>
                      <w:szCs w:val="21"/>
                      <w:highlight w:val="none"/>
                    </w:rPr>
                    <w:t>0.086-0.0.092</w:t>
                  </w:r>
                </w:p>
              </w:tc>
              <w:tc>
                <w:tcPr>
                  <w:tcW w:w="676" w:type="pct"/>
                  <w:tcBorders>
                    <w:bottom w:val="single" w:color="000000" w:sz="10" w:space="0"/>
                  </w:tcBorders>
                  <w:vAlign w:val="center"/>
                </w:tcPr>
                <w:p w14:paraId="2B22DC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30.67</w:t>
                  </w:r>
                </w:p>
              </w:tc>
              <w:tc>
                <w:tcPr>
                  <w:tcW w:w="461" w:type="pct"/>
                  <w:tcBorders>
                    <w:bottom w:val="single" w:color="000000" w:sz="10" w:space="0"/>
                  </w:tcBorders>
                  <w:vAlign w:val="center"/>
                </w:tcPr>
                <w:p w14:paraId="7FF4AC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0</w:t>
                  </w:r>
                </w:p>
              </w:tc>
              <w:tc>
                <w:tcPr>
                  <w:tcW w:w="412" w:type="pct"/>
                  <w:tcBorders>
                    <w:bottom w:val="single" w:color="000000" w:sz="10" w:space="0"/>
                    <w:right w:val="nil"/>
                  </w:tcBorders>
                  <w:vAlign w:val="center"/>
                </w:tcPr>
                <w:p w14:paraId="32145223">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达标</w:t>
                  </w:r>
                </w:p>
              </w:tc>
            </w:tr>
          </w:tbl>
          <w:p w14:paraId="1BC7C474">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snapToGrid w:val="0"/>
                <w:color w:val="auto"/>
                <w:sz w:val="24"/>
                <w:highlight w:val="none"/>
              </w:rPr>
              <w:t>根据项目监测结果可知：项目环境空气质量现状监测点处颗粒物浓度满足《环境空气质量标准》（GB3095-2012）中二级标准限值</w:t>
            </w:r>
            <w:r>
              <w:rPr>
                <w:rFonts w:hint="default" w:ascii="Times New Roman" w:hAnsi="Times New Roman" w:eastAsia="宋体" w:cs="Times New Roman"/>
                <w:snapToGrid w:val="0"/>
                <w:color w:val="auto"/>
                <w:sz w:val="24"/>
                <w:highlight w:val="none"/>
                <w:lang w:eastAsia="zh-CN"/>
              </w:rPr>
              <w:t>。</w:t>
            </w:r>
          </w:p>
          <w:p w14:paraId="70949648">
            <w:pPr>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2、地表水质量现状</w:t>
            </w:r>
          </w:p>
          <w:p w14:paraId="09C83C02">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2"/>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7"/>
                <w:sz w:val="24"/>
                <w:szCs w:val="24"/>
                <w:highlight w:val="none"/>
              </w:rPr>
              <w:t>本项目选址地表水体为穆棱河，根据《全国重要江河湖泊水</w:t>
            </w:r>
            <w:r>
              <w:rPr>
                <w:rFonts w:hint="default" w:ascii="Times New Roman" w:hAnsi="Times New Roman" w:cs="Times New Roman"/>
                <w:color w:val="auto"/>
                <w:spacing w:val="-8"/>
                <w:sz w:val="24"/>
                <w:szCs w:val="24"/>
                <w:highlight w:val="none"/>
              </w:rPr>
              <w:t>功能区划（</w:t>
            </w:r>
            <w:r>
              <w:rPr>
                <w:rFonts w:hint="default" w:ascii="Times New Roman" w:hAnsi="Times New Roman" w:eastAsia="Times New Roman" w:cs="Times New Roman"/>
                <w:color w:val="auto"/>
                <w:spacing w:val="-8"/>
                <w:sz w:val="24"/>
                <w:szCs w:val="24"/>
                <w:highlight w:val="none"/>
              </w:rPr>
              <w:t>2011</w:t>
            </w:r>
            <w:r>
              <w:rPr>
                <w:rFonts w:hint="default" w:ascii="Times New Roman" w:hAnsi="Times New Roman"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2030</w:t>
            </w:r>
            <w:r>
              <w:rPr>
                <w:rFonts w:hint="default" w:ascii="Times New Roman" w:hAnsi="Times New Roman" w:cs="Times New Roman"/>
                <w:color w:val="auto"/>
                <w:spacing w:val="-2"/>
                <w:sz w:val="24"/>
                <w:szCs w:val="24"/>
                <w:highlight w:val="none"/>
              </w:rPr>
              <w:t>年）》本项目纳污断面属穆棱河口内，水质目标为Ⅲ类，根据鸡西市生态环境局网站公布的</w:t>
            </w:r>
            <w:r>
              <w:rPr>
                <w:rFonts w:hint="default" w:ascii="Times New Roman" w:hAnsi="Times New Roman" w:eastAsia="Times New Roman" w:cs="Times New Roman"/>
                <w:color w:val="auto"/>
                <w:spacing w:val="-2"/>
                <w:sz w:val="24"/>
                <w:szCs w:val="24"/>
                <w:highlight w:val="none"/>
              </w:rPr>
              <w:t>2024</w:t>
            </w:r>
            <w:r>
              <w:rPr>
                <w:rFonts w:hint="default" w:ascii="Times New Roman" w:hAnsi="Times New Roman" w:cs="Times New Roman"/>
                <w:color w:val="auto"/>
                <w:spacing w:val="-2"/>
                <w:sz w:val="24"/>
                <w:szCs w:val="24"/>
                <w:highlight w:val="none"/>
              </w:rPr>
              <w:t>年</w:t>
            </w:r>
            <w:r>
              <w:rPr>
                <w:rFonts w:hint="default" w:ascii="Times New Roman" w:hAnsi="Times New Roman" w:eastAsia="Times New Roman" w:cs="Times New Roman"/>
                <w:color w:val="auto"/>
                <w:spacing w:val="-2"/>
                <w:sz w:val="24"/>
                <w:szCs w:val="24"/>
                <w:highlight w:val="none"/>
              </w:rPr>
              <w:t>1</w:t>
            </w:r>
            <w:r>
              <w:rPr>
                <w:rFonts w:hint="default" w:ascii="Times New Roman" w:hAnsi="Times New Roman" w:cs="Times New Roman"/>
                <w:color w:val="auto"/>
                <w:spacing w:val="-2"/>
                <w:sz w:val="24"/>
                <w:szCs w:val="24"/>
                <w:highlight w:val="none"/>
              </w:rPr>
              <w:t>月—</w:t>
            </w:r>
            <w:r>
              <w:rPr>
                <w:rFonts w:hint="default" w:ascii="Times New Roman" w:hAnsi="Times New Roman" w:eastAsia="Times New Roman" w:cs="Times New Roman"/>
                <w:color w:val="auto"/>
                <w:spacing w:val="-2"/>
                <w:sz w:val="24"/>
                <w:szCs w:val="24"/>
                <w:highlight w:val="none"/>
              </w:rPr>
              <w:t>12</w:t>
            </w:r>
            <w:r>
              <w:rPr>
                <w:rFonts w:hint="default" w:ascii="Times New Roman" w:hAnsi="Times New Roman" w:cs="Times New Roman"/>
                <w:color w:val="auto"/>
                <w:spacing w:val="-2"/>
                <w:sz w:val="24"/>
                <w:szCs w:val="24"/>
                <w:highlight w:val="none"/>
              </w:rPr>
              <w:t>月《鸡西市地表水国控考核断面水质信</w:t>
            </w:r>
            <w:r>
              <w:rPr>
                <w:rFonts w:hint="default" w:ascii="Times New Roman" w:hAnsi="Times New Roman" w:cs="Times New Roman"/>
                <w:color w:val="auto"/>
                <w:sz w:val="24"/>
                <w:szCs w:val="24"/>
                <w:highlight w:val="none"/>
              </w:rPr>
              <w:t>息公开》，穆棱河水质现状能够满足</w:t>
            </w:r>
            <w:r>
              <w:rPr>
                <w:rFonts w:hint="default" w:ascii="Times New Roman" w:hAnsi="Times New Roman" w:cs="Times New Roman"/>
                <w:color w:val="auto"/>
                <w:sz w:val="24"/>
                <w:szCs w:val="24"/>
                <w:highlight w:val="none"/>
                <w:lang w:eastAsia="zh-CN"/>
              </w:rPr>
              <w:t>《地表水环境质量标准》（GB3838-2002）</w:t>
            </w:r>
            <w:r>
              <w:rPr>
                <w:rFonts w:hint="default" w:ascii="Times New Roman" w:hAnsi="Times New Roman" w:cs="Times New Roman"/>
                <w:color w:val="auto"/>
                <w:spacing w:val="-1"/>
                <w:sz w:val="24"/>
                <w:szCs w:val="24"/>
                <w:highlight w:val="none"/>
              </w:rPr>
              <w:t>中</w:t>
            </w:r>
            <w:r>
              <w:rPr>
                <w:rFonts w:hint="default" w:ascii="Times New Roman" w:hAnsi="Times New Roman" w:cs="Times New Roman"/>
                <w:color w:val="auto"/>
                <w:spacing w:val="-2"/>
                <w:sz w:val="24"/>
                <w:szCs w:val="24"/>
                <w:highlight w:val="none"/>
              </w:rPr>
              <w:t>的Ⅲ类标准。</w:t>
            </w:r>
          </w:p>
          <w:p w14:paraId="649CA47E">
            <w:pPr>
              <w:spacing w:line="360" w:lineRule="auto"/>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3、声环境质量现状</w:t>
            </w:r>
          </w:p>
          <w:p w14:paraId="4F516033">
            <w:pPr>
              <w:adjustRightInd w:val="0"/>
              <w:snapToGrid w:val="0"/>
              <w:spacing w:line="360" w:lineRule="auto"/>
              <w:ind w:firstLine="480" w:firstLineChars="20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本项目位于</w:t>
            </w:r>
            <w:r>
              <w:rPr>
                <w:rFonts w:hint="default" w:ascii="Times New Roman" w:hAnsi="Times New Roman" w:cs="Times New Roman"/>
                <w:color w:val="auto"/>
                <w:spacing w:val="0"/>
                <w:sz w:val="24"/>
                <w:szCs w:val="24"/>
                <w:highlight w:val="none"/>
                <w:lang w:eastAsia="zh-CN"/>
              </w:rPr>
              <w:t>黑龙江省鸡西市虎林市虎林镇东方红街道东升委（粮库院内）</w:t>
            </w:r>
            <w:r>
              <w:rPr>
                <w:rFonts w:hint="default" w:ascii="Times New Roman" w:hAnsi="Times New Roman" w:eastAsia="宋体" w:cs="Times New Roman"/>
                <w:color w:val="auto"/>
                <w:spacing w:val="0"/>
                <w:sz w:val="24"/>
                <w:szCs w:val="24"/>
                <w:highlight w:val="none"/>
                <w:lang w:val="en-US" w:eastAsia="zh-CN"/>
              </w:rPr>
              <w:t>，</w:t>
            </w:r>
            <w:r>
              <w:rPr>
                <w:rFonts w:hint="default" w:ascii="Times New Roman" w:hAnsi="Times New Roman" w:cs="Times New Roman"/>
                <w:color w:val="auto"/>
                <w:spacing w:val="0"/>
                <w:sz w:val="24"/>
                <w:szCs w:val="24"/>
                <w:highlight w:val="none"/>
                <w:lang w:val="en-US" w:eastAsia="zh-CN"/>
              </w:rPr>
              <w:t>虎林市绿都海狮油脂有限责任公司</w:t>
            </w:r>
            <w:r>
              <w:rPr>
                <w:rFonts w:hint="default" w:ascii="Times New Roman" w:hAnsi="Times New Roman" w:eastAsia="宋体" w:cs="Times New Roman"/>
                <w:color w:val="auto"/>
                <w:spacing w:val="0"/>
                <w:sz w:val="24"/>
                <w:szCs w:val="24"/>
                <w:highlight w:val="none"/>
                <w:lang w:val="en-US" w:eastAsia="zh-CN"/>
              </w:rPr>
              <w:t>院内。</w:t>
            </w:r>
          </w:p>
          <w:p w14:paraId="59E08292">
            <w:pPr>
              <w:adjustRightInd w:val="0"/>
              <w:snapToGrid w:val="0"/>
              <w:spacing w:line="360" w:lineRule="auto"/>
              <w:ind w:firstLine="480" w:firstLineChars="200"/>
              <w:rPr>
                <w:rFonts w:hint="default" w:ascii="Times New Roman" w:hAnsi="Times New Roman"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rPr>
              <w:t>根据</w:t>
            </w:r>
            <w:r>
              <w:rPr>
                <w:rFonts w:hint="default" w:ascii="Times New Roman" w:hAnsi="Times New Roman" w:cs="Times New Roman"/>
                <w:color w:val="auto"/>
                <w:sz w:val="24"/>
                <w:szCs w:val="24"/>
                <w:highlight w:val="none"/>
              </w:rPr>
              <w:t>《</w:t>
            </w:r>
            <w:r>
              <w:rPr>
                <w:rFonts w:hint="default" w:ascii="Times New Roman" w:hAnsi="Times New Roman" w:eastAsia="Times New Roman" w:cs="Times New Roman"/>
                <w:color w:val="auto"/>
                <w:sz w:val="24"/>
                <w:szCs w:val="24"/>
                <w:highlight w:val="none"/>
              </w:rPr>
              <w:t>2024</w:t>
            </w:r>
            <w:r>
              <w:rPr>
                <w:rFonts w:hint="default" w:ascii="Times New Roman" w:hAnsi="Times New Roman" w:cs="Times New Roman"/>
                <w:color w:val="auto"/>
                <w:sz w:val="24"/>
                <w:szCs w:val="24"/>
                <w:highlight w:val="none"/>
              </w:rPr>
              <w:t>年黑龙江省生态环境质量状况》</w:t>
            </w:r>
            <w:r>
              <w:rPr>
                <w:rFonts w:hint="default" w:ascii="Times New Roman" w:hAnsi="Times New Roman" w:eastAsia="宋体" w:cs="Times New Roman"/>
                <w:color w:val="auto"/>
                <w:spacing w:val="0"/>
                <w:sz w:val="24"/>
                <w:szCs w:val="24"/>
                <w:highlight w:val="none"/>
              </w:rPr>
              <w:t>，2024年，全省13个城市区域昼间平均等效声级为53.6dB(A</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，同比上升0.1dB(A</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。城市区域昼间噪声总体水平等级划分为二级，评价为“较好”</w:t>
            </w:r>
            <w:r>
              <w:rPr>
                <w:rFonts w:hint="default"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13个城市区域昼间平均等效声级范围为50.1~58.2dB(A</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，其中最高值在牡丹江市，最低值在伊春市。区域昼间平均等效声级同比上升的城市为哈尔滨市、齐齐哈尔市、大庆市、七台河市黑河市</w:t>
            </w:r>
            <w:r>
              <w:rPr>
                <w:rFonts w:hint="default"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下降的城市为牡丹江市、佳木斯市、鸡西市、绥化市、大兴安岭地区</w:t>
            </w:r>
            <w:r>
              <w:rPr>
                <w:rFonts w:hint="default"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双鸭山市伊春市、鹤岗市无变化。其中七台河市上升1.4B(A</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，升幅最大</w:t>
            </w:r>
            <w:r>
              <w:rPr>
                <w:rFonts w:hint="default"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鸡西市下降1.3dB(A</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，降幅最大。</w:t>
            </w:r>
            <w:r>
              <w:rPr>
                <w:rFonts w:hint="default" w:ascii="Times New Roman" w:hAnsi="Times New Roman" w:cs="Times New Roman"/>
                <w:color w:val="auto"/>
                <w:spacing w:val="0"/>
                <w:sz w:val="24"/>
                <w:szCs w:val="24"/>
                <w:highlight w:val="none"/>
                <w:lang w:val="en-US" w:eastAsia="zh-CN"/>
              </w:rPr>
              <w:t>鸡西市</w:t>
            </w:r>
            <w:r>
              <w:rPr>
                <w:rFonts w:hint="default" w:ascii="Times New Roman" w:hAnsi="Times New Roman" w:eastAsia="宋体" w:cs="Times New Roman"/>
                <w:color w:val="auto"/>
                <w:spacing w:val="0"/>
                <w:sz w:val="24"/>
                <w:szCs w:val="24"/>
                <w:highlight w:val="none"/>
              </w:rPr>
              <w:t>区域昼间等效声级</w:t>
            </w:r>
            <w:r>
              <w:rPr>
                <w:rFonts w:hint="default" w:ascii="Times New Roman" w:hAnsi="Times New Roman" w:cs="Times New Roman"/>
                <w:color w:val="auto"/>
                <w:spacing w:val="0"/>
                <w:sz w:val="24"/>
                <w:szCs w:val="24"/>
                <w:highlight w:val="none"/>
                <w:lang w:val="en-US" w:eastAsia="zh-CN"/>
              </w:rPr>
              <w:t>为53.6</w:t>
            </w:r>
            <w:r>
              <w:rPr>
                <w:rFonts w:hint="default" w:ascii="Times New Roman" w:hAnsi="Times New Roman" w:eastAsia="宋体" w:cs="Times New Roman"/>
                <w:color w:val="auto"/>
                <w:spacing w:val="0"/>
                <w:sz w:val="24"/>
                <w:szCs w:val="24"/>
                <w:highlight w:val="none"/>
              </w:rPr>
              <w:t>dB(A</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cs="Times New Roman"/>
                <w:color w:val="auto"/>
                <w:spacing w:val="0"/>
                <w:sz w:val="24"/>
                <w:szCs w:val="24"/>
                <w:highlight w:val="none"/>
                <w:lang w:eastAsia="zh-CN"/>
              </w:rPr>
              <w:t>。</w:t>
            </w:r>
          </w:p>
          <w:p w14:paraId="3FC177F2">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根据《建设项目环境影响报告表编制技术指南（污染影响类）（试行）》中关于区域声环境质量</w:t>
            </w:r>
            <w:r>
              <w:rPr>
                <w:rFonts w:hint="default" w:ascii="Times New Roman" w:hAnsi="Times New Roman" w:cs="Times New Roman"/>
                <w:color w:val="auto"/>
                <w:sz w:val="24"/>
                <w:highlight w:val="none"/>
                <w:lang w:eastAsia="zh-CN"/>
              </w:rPr>
              <w:t>现状</w:t>
            </w:r>
            <w:r>
              <w:rPr>
                <w:rFonts w:hint="default" w:ascii="Times New Roman" w:hAnsi="Times New Roman" w:eastAsia="宋体" w:cs="Times New Roman"/>
                <w:color w:val="auto"/>
                <w:sz w:val="24"/>
                <w:highlight w:val="none"/>
              </w:rPr>
              <w:t>的要求，厂界外周边50米范围内</w:t>
            </w:r>
            <w:r>
              <w:rPr>
                <w:rFonts w:hint="default" w:ascii="Times New Roman" w:hAnsi="Times New Roman" w:eastAsia="宋体" w:cs="Times New Roman"/>
                <w:color w:val="auto"/>
                <w:sz w:val="24"/>
                <w:highlight w:val="none"/>
                <w:lang w:val="en-US" w:eastAsia="zh-CN"/>
              </w:rPr>
              <w:t>不</w:t>
            </w:r>
            <w:r>
              <w:rPr>
                <w:rFonts w:hint="default" w:ascii="Times New Roman" w:hAnsi="Times New Roman" w:eastAsia="宋体" w:cs="Times New Roman"/>
                <w:color w:val="auto"/>
                <w:sz w:val="24"/>
                <w:highlight w:val="none"/>
              </w:rPr>
              <w:t>存在声环境保护目标的建设项目，应监测保护目标声环境质量现状并评价达标情况，各点位应监测昼夜间噪声，监测时间不少于1天。本项目厂界外周边50米范围内无声环境保护目标，因此未进行声环境质量监测</w:t>
            </w:r>
            <w:r>
              <w:rPr>
                <w:rFonts w:hint="default" w:ascii="Times New Roman" w:hAnsi="Times New Roman" w:cs="Times New Roman"/>
                <w:color w:val="auto"/>
                <w:sz w:val="24"/>
                <w:highlight w:val="none"/>
                <w:lang w:eastAsia="zh-CN"/>
              </w:rPr>
              <w:t>。</w:t>
            </w:r>
          </w:p>
          <w:p w14:paraId="77888605">
            <w:pPr>
              <w:adjustRightInd w:val="0"/>
              <w:snapToGrid w:val="0"/>
              <w:spacing w:line="360" w:lineRule="auto"/>
              <w:ind w:left="0" w:leftChars="0" w:firstLine="0" w:firstLineChars="0"/>
              <w:rPr>
                <w:rFonts w:hint="default" w:ascii="Times New Roman" w:hAnsi="Times New Roman" w:eastAsia="宋体" w:cs="Times New Roman"/>
                <w:b/>
                <w:bCs w:val="0"/>
                <w:color w:val="auto"/>
                <w:kern w:val="0"/>
                <w:highlight w:val="none"/>
                <w:lang w:val="en-US" w:eastAsia="zh-CN"/>
              </w:rPr>
            </w:pPr>
            <w:r>
              <w:rPr>
                <w:rFonts w:hint="default" w:ascii="Times New Roman" w:hAnsi="Times New Roman" w:eastAsia="宋体" w:cs="Times New Roman"/>
                <w:b/>
                <w:bCs w:val="0"/>
                <w:color w:val="auto"/>
                <w:kern w:val="0"/>
                <w:highlight w:val="none"/>
                <w:lang w:val="en-US" w:eastAsia="zh-CN"/>
              </w:rPr>
              <w:t>4、土壤、地下水环境质量现状</w:t>
            </w:r>
          </w:p>
          <w:p w14:paraId="25BD340E">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根据《建设项目环境影响报告表编制技术指南（污染影响类）</w:t>
            </w:r>
            <w:r>
              <w:rPr>
                <w:rFonts w:hint="default" w:ascii="Times New Roman" w:hAnsi="Times New Roman" w:cs="Times New Roman"/>
                <w:color w:val="auto"/>
                <w:kern w:val="0"/>
                <w:highlight w:val="none"/>
                <w:lang w:val="en-US" w:eastAsia="zh-CN"/>
              </w:rPr>
              <w:t>（试行）》</w:t>
            </w:r>
            <w:r>
              <w:rPr>
                <w:rFonts w:hint="default" w:ascii="Times New Roman" w:hAnsi="Times New Roman" w:eastAsia="宋体" w:cs="Times New Roman"/>
                <w:color w:val="auto"/>
                <w:kern w:val="0"/>
                <w:highlight w:val="none"/>
                <w:lang w:val="en-US" w:eastAsia="zh-CN"/>
              </w:rPr>
              <w:t>，地下水、土壤环境原则上不开展环境质量现状调查。建设项目存在土壤、地下水污染途径的，应结合污染源、保护目标分布情况开展现状调查以留作背景值。</w:t>
            </w:r>
          </w:p>
          <w:p w14:paraId="6A40E28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kern w:val="0"/>
                <w:highlight w:val="none"/>
                <w:lang w:val="en-US" w:eastAsia="zh-CN"/>
              </w:rPr>
              <w:t>本项目为热力生产和供应项目，工艺过程不存在地下水、土壤环境污染途径，不存在污染地下水的特征因子，不存在污染地下水的途径。不会对地下水、土壤环境造成影响。因此，本次评价不进行地下水、土壤环境质量现状监测。</w:t>
            </w:r>
          </w:p>
          <w:p w14:paraId="6D5B778D">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default" w:ascii="Times New Roman" w:hAnsi="Times New Roman" w:eastAsia="宋体" w:cs="Times New Roman"/>
                <w:b/>
                <w:bCs w:val="0"/>
                <w:color w:val="auto"/>
                <w:kern w:val="0"/>
                <w:sz w:val="24"/>
                <w:szCs w:val="24"/>
                <w:highlight w:val="none"/>
                <w:lang w:val="en-US" w:eastAsia="zh-CN" w:bidi="ar-SA"/>
              </w:rPr>
            </w:pPr>
            <w:r>
              <w:rPr>
                <w:rFonts w:hint="default" w:ascii="Times New Roman" w:hAnsi="Times New Roman" w:eastAsia="宋体" w:cs="Times New Roman"/>
                <w:b/>
                <w:bCs w:val="0"/>
                <w:color w:val="auto"/>
                <w:kern w:val="0"/>
                <w:sz w:val="24"/>
                <w:szCs w:val="24"/>
                <w:highlight w:val="none"/>
                <w:lang w:val="en-US" w:eastAsia="zh-CN" w:bidi="ar-SA"/>
              </w:rPr>
              <w:t>5、生态环境质量现状</w:t>
            </w:r>
          </w:p>
          <w:p w14:paraId="2AF48679">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
                <w:bCs w:val="0"/>
                <w:color w:val="auto"/>
                <w:kern w:val="0"/>
                <w:sz w:val="24"/>
                <w:szCs w:val="24"/>
                <w:highlight w:val="none"/>
                <w:lang w:val="en-US" w:eastAsia="zh-CN" w:bidi="ar-SA"/>
              </w:rPr>
            </w:pPr>
            <w:r>
              <w:rPr>
                <w:rFonts w:hint="default" w:ascii="Times New Roman" w:hAnsi="Times New Roman" w:eastAsia="宋体" w:cs="Times New Roman"/>
                <w:bCs/>
                <w:color w:val="auto"/>
                <w:kern w:val="0"/>
                <w:sz w:val="24"/>
                <w:szCs w:val="24"/>
                <w:highlight w:val="none"/>
                <w:lang w:val="en-US" w:eastAsia="zh-CN" w:bidi="ar-SA"/>
              </w:rPr>
              <w:t>本项目利用现有场地进行锅炉改扩建，不新增用地且用地范围内不含有生态环境保护目标，因此不进行生态环境质量现状调查。</w:t>
            </w:r>
          </w:p>
        </w:tc>
      </w:tr>
      <w:tr w14:paraId="6C68A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67" w:hRule="atLeast"/>
          <w:jc w:val="center"/>
        </w:trPr>
        <w:tc>
          <w:tcPr>
            <w:tcW w:w="542" w:type="dxa"/>
            <w:noWrap w:val="0"/>
            <w:vAlign w:val="center"/>
          </w:tcPr>
          <w:p w14:paraId="2CAA36F5">
            <w:pPr>
              <w:spacing w:line="240" w:lineRule="auto"/>
              <w:ind w:firstLine="0" w:firstLineChars="0"/>
              <w:jc w:val="center"/>
              <w:rPr>
                <w:rFonts w:hint="default" w:ascii="Times New Roman" w:hAnsi="Times New Roman" w:eastAsia="宋体" w:cs="Times New Roman"/>
                <w:color w:val="auto"/>
                <w:spacing w:val="0"/>
                <w:kern w:val="0"/>
                <w:highlight w:val="none"/>
              </w:rPr>
            </w:pPr>
            <w:r>
              <w:rPr>
                <w:rFonts w:hint="default" w:ascii="Times New Roman" w:hAnsi="Times New Roman" w:eastAsia="宋体" w:cs="Times New Roman"/>
                <w:color w:val="auto"/>
                <w:spacing w:val="0"/>
                <w:kern w:val="0"/>
                <w:highlight w:val="none"/>
              </w:rPr>
              <w:t>环境</w:t>
            </w:r>
          </w:p>
          <w:p w14:paraId="6DBB1D0D">
            <w:pPr>
              <w:spacing w:line="240" w:lineRule="auto"/>
              <w:ind w:firstLine="0" w:firstLineChars="0"/>
              <w:jc w:val="center"/>
              <w:rPr>
                <w:rFonts w:hint="default" w:ascii="Times New Roman" w:hAnsi="Times New Roman" w:eastAsia="宋体" w:cs="Times New Roman"/>
                <w:color w:val="auto"/>
                <w:spacing w:val="0"/>
                <w:kern w:val="0"/>
                <w:highlight w:val="none"/>
              </w:rPr>
            </w:pPr>
            <w:r>
              <w:rPr>
                <w:rFonts w:hint="default" w:ascii="Times New Roman" w:hAnsi="Times New Roman" w:eastAsia="宋体" w:cs="Times New Roman"/>
                <w:color w:val="auto"/>
                <w:spacing w:val="0"/>
                <w:kern w:val="0"/>
                <w:highlight w:val="none"/>
              </w:rPr>
              <w:t>保护</w:t>
            </w:r>
          </w:p>
          <w:p w14:paraId="60C37E04">
            <w:pPr>
              <w:spacing w:line="240" w:lineRule="auto"/>
              <w:ind w:firstLine="0" w:firstLineChars="0"/>
              <w:jc w:val="center"/>
              <w:rPr>
                <w:rFonts w:hint="default" w:ascii="Times New Roman" w:hAnsi="Times New Roman" w:eastAsia="宋体" w:cs="Times New Roman"/>
                <w:color w:val="auto"/>
                <w:spacing w:val="0"/>
                <w:kern w:val="0"/>
                <w:highlight w:val="none"/>
              </w:rPr>
            </w:pPr>
            <w:r>
              <w:rPr>
                <w:rFonts w:hint="default" w:ascii="Times New Roman" w:hAnsi="Times New Roman" w:eastAsia="宋体" w:cs="Times New Roman"/>
                <w:color w:val="auto"/>
                <w:spacing w:val="0"/>
                <w:kern w:val="0"/>
                <w:highlight w:val="none"/>
              </w:rPr>
              <w:t>目标</w:t>
            </w:r>
          </w:p>
        </w:tc>
        <w:tc>
          <w:tcPr>
            <w:tcW w:w="7987" w:type="dxa"/>
            <w:noWrap w:val="0"/>
            <w:vAlign w:val="center"/>
          </w:tcPr>
          <w:p w14:paraId="20E8DA36">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项目位于</w:t>
            </w:r>
            <w:r>
              <w:rPr>
                <w:rFonts w:hint="default" w:ascii="Times New Roman" w:hAnsi="Times New Roman" w:cs="Times New Roman"/>
                <w:color w:val="auto"/>
                <w:szCs w:val="24"/>
                <w:highlight w:val="none"/>
                <w:lang w:eastAsia="zh-CN"/>
              </w:rPr>
              <w:t>黑龙江省鸡西市虎林市虎林镇东方红街道东升委（粮库院内）</w:t>
            </w:r>
            <w:r>
              <w:rPr>
                <w:rFonts w:hint="default"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rPr>
              <w:t>项目选址不属于生活饮用水源保护区、风景名胜区、温泉疗养区、水产养殖区、基本农田保护区、自然保护区等需要特殊保护区域。根据《建设项目环境影响报告表编制技术指南（污染影响类）（试行）》中环境空气敏感保护目标为厂界外500m范围内，</w:t>
            </w:r>
            <w:r>
              <w:rPr>
                <w:rFonts w:hint="default" w:ascii="Times New Roman" w:hAnsi="Times New Roman"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500m范围内存在居民，声环境敏感保护目标为厂界外50m范围内声环境保护目标，</w:t>
            </w:r>
            <w:r>
              <w:rPr>
                <w:rFonts w:hint="default" w:ascii="Times New Roman" w:hAnsi="Times New Roman"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50m范围内无声环境保护目标。</w:t>
            </w:r>
          </w:p>
          <w:p w14:paraId="14CA193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根据《建设项目环境影响评价报告表编制技术指南》（污染影响类）及现状调查结果，厂界外500m范围内无地下水集中式饮用水水源和热水、矿泉水、温泉等特殊地下水资源，无地下水环境保护目标。</w:t>
            </w:r>
          </w:p>
          <w:p w14:paraId="33655430">
            <w:pPr>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1.大气环境保护目标</w:t>
            </w:r>
          </w:p>
          <w:p w14:paraId="3BF08478">
            <w:pPr>
              <w:pStyle w:val="112"/>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厂界外500m范围内大气环境保护目标</w:t>
            </w:r>
            <w:r>
              <w:rPr>
                <w:rFonts w:hint="default" w:ascii="Times New Roman" w:hAnsi="Times New Roman" w:cs="Times New Roman"/>
                <w:color w:val="auto"/>
                <w:highlight w:val="none"/>
                <w:lang w:val="en-US" w:eastAsia="zh-CN"/>
              </w:rPr>
              <w:t>见下表</w:t>
            </w:r>
            <w:r>
              <w:rPr>
                <w:rFonts w:hint="default" w:ascii="Times New Roman" w:hAnsi="Times New Roman" w:cs="Times New Roman"/>
                <w:color w:val="auto"/>
                <w:highlight w:val="none"/>
                <w:lang w:eastAsia="zh-CN"/>
              </w:rPr>
              <w:t>。</w:t>
            </w:r>
          </w:p>
          <w:p w14:paraId="0E674719">
            <w:pPr>
              <w:pStyle w:val="1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aps w:val="0"/>
                <w:color w:val="auto"/>
                <w:spacing w:val="0"/>
                <w:sz w:val="21"/>
                <w:szCs w:val="21"/>
                <w:highlight w:val="none"/>
                <w:lang w:val="en-US" w:eastAsia="zh-CN"/>
              </w:rPr>
            </w:pPr>
            <w:r>
              <w:rPr>
                <w:rFonts w:hint="default" w:ascii="Times New Roman" w:hAnsi="Times New Roman" w:eastAsia="宋体" w:cs="Times New Roman"/>
                <w:b/>
                <w:caps w:val="0"/>
                <w:color w:val="auto"/>
                <w:spacing w:val="0"/>
                <w:kern w:val="0"/>
                <w:sz w:val="21"/>
                <w:szCs w:val="21"/>
                <w:highlight w:val="none"/>
                <w:lang w:val="en-US" w:eastAsia="zh-CN"/>
              </w:rPr>
              <w:t>表3-2大气环境保护目标</w:t>
            </w:r>
          </w:p>
          <w:tbl>
            <w:tblPr>
              <w:tblStyle w:val="35"/>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40"/>
              <w:gridCol w:w="1827"/>
              <w:gridCol w:w="1734"/>
              <w:gridCol w:w="499"/>
              <w:gridCol w:w="427"/>
              <w:gridCol w:w="651"/>
              <w:gridCol w:w="597"/>
              <w:gridCol w:w="714"/>
            </w:tblGrid>
            <w:tr w14:paraId="354669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9" w:type="pct"/>
                  <w:vMerge w:val="restart"/>
                  <w:noWrap w:val="0"/>
                  <w:vAlign w:val="center"/>
                </w:tcPr>
                <w:p w14:paraId="6B9528D9">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auto"/>
                      <w:spacing w:val="0"/>
                      <w:sz w:val="21"/>
                      <w:szCs w:val="21"/>
                      <w:highlight w:val="none"/>
                      <w:lang w:val="en-US" w:eastAsia="zh-CN" w:bidi="ar-SA"/>
                    </w:rPr>
                  </w:pPr>
                  <w:r>
                    <w:rPr>
                      <w:rFonts w:hint="default" w:ascii="Times New Roman" w:hAnsi="Times New Roman" w:eastAsia="宋体" w:cs="Times New Roman"/>
                      <w:b/>
                      <w:bCs/>
                      <w:caps w:val="0"/>
                      <w:color w:val="auto"/>
                      <w:spacing w:val="0"/>
                      <w:sz w:val="21"/>
                      <w:szCs w:val="21"/>
                      <w:highlight w:val="none"/>
                      <w:lang w:eastAsia="zh-CN"/>
                    </w:rPr>
                    <w:t>项目</w:t>
                  </w:r>
                </w:p>
              </w:tc>
              <w:tc>
                <w:tcPr>
                  <w:tcW w:w="489" w:type="pct"/>
                  <w:vMerge w:val="restart"/>
                  <w:noWrap w:val="0"/>
                  <w:vAlign w:val="center"/>
                </w:tcPr>
                <w:p w14:paraId="2FAB4187">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auto"/>
                      <w:spacing w:val="0"/>
                      <w:sz w:val="21"/>
                      <w:szCs w:val="21"/>
                      <w:highlight w:val="none"/>
                      <w:lang w:val="en-US" w:eastAsia="zh-CN" w:bidi="ar-SA"/>
                    </w:rPr>
                  </w:pPr>
                  <w:r>
                    <w:rPr>
                      <w:rFonts w:hint="default" w:ascii="Times New Roman" w:hAnsi="Times New Roman" w:eastAsia="宋体" w:cs="Times New Roman"/>
                      <w:b/>
                      <w:bCs/>
                      <w:caps w:val="0"/>
                      <w:color w:val="auto"/>
                      <w:spacing w:val="0"/>
                      <w:sz w:val="21"/>
                      <w:szCs w:val="21"/>
                      <w:highlight w:val="none"/>
                    </w:rPr>
                    <w:t>名称</w:t>
                  </w:r>
                </w:p>
              </w:tc>
              <w:tc>
                <w:tcPr>
                  <w:tcW w:w="2342" w:type="pct"/>
                  <w:gridSpan w:val="2"/>
                  <w:noWrap w:val="0"/>
                  <w:vAlign w:val="center"/>
                </w:tcPr>
                <w:p w14:paraId="4C61A006">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aps w:val="0"/>
                      <w:color w:val="auto"/>
                      <w:spacing w:val="0"/>
                      <w:sz w:val="21"/>
                      <w:szCs w:val="21"/>
                      <w:highlight w:val="none"/>
                    </w:rPr>
                  </w:pPr>
                  <w:r>
                    <w:rPr>
                      <w:rFonts w:hint="default" w:ascii="Times New Roman" w:hAnsi="Times New Roman" w:eastAsia="宋体" w:cs="Times New Roman"/>
                      <w:b/>
                      <w:bCs/>
                      <w:caps w:val="0"/>
                      <w:color w:val="auto"/>
                      <w:spacing w:val="0"/>
                      <w:sz w:val="21"/>
                      <w:szCs w:val="21"/>
                      <w:highlight w:val="none"/>
                      <w:lang w:eastAsia="zh-CN"/>
                    </w:rPr>
                    <w:t>坐标</w:t>
                  </w:r>
                  <w:r>
                    <w:rPr>
                      <w:rFonts w:hint="default" w:ascii="Times New Roman" w:hAnsi="Times New Roman" w:eastAsia="宋体" w:cs="Times New Roman"/>
                      <w:b/>
                      <w:bCs/>
                      <w:caps w:val="0"/>
                      <w:color w:val="auto"/>
                      <w:spacing w:val="0"/>
                      <w:sz w:val="21"/>
                      <w:szCs w:val="21"/>
                      <w:highlight w:val="none"/>
                    </w:rPr>
                    <w:t>/</w:t>
                  </w:r>
                  <w:r>
                    <w:rPr>
                      <w:rFonts w:hint="default" w:ascii="Times New Roman" w:hAnsi="Times New Roman" w:eastAsia="宋体" w:cs="Times New Roman"/>
                      <w:b/>
                      <w:bCs/>
                      <w:caps w:val="0"/>
                      <w:color w:val="auto"/>
                      <w:spacing w:val="0"/>
                      <w:sz w:val="21"/>
                      <w:szCs w:val="21"/>
                      <w:highlight w:val="none"/>
                      <w:lang w:val="en-US" w:eastAsia="zh-CN"/>
                    </w:rPr>
                    <w:t>°</w:t>
                  </w:r>
                </w:p>
              </w:tc>
              <w:tc>
                <w:tcPr>
                  <w:tcW w:w="330" w:type="pct"/>
                  <w:vMerge w:val="restart"/>
                  <w:noWrap w:val="0"/>
                  <w:vAlign w:val="center"/>
                </w:tcPr>
                <w:p w14:paraId="27171BB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auto"/>
                      <w:spacing w:val="0"/>
                      <w:kern w:val="2"/>
                      <w:sz w:val="21"/>
                      <w:szCs w:val="21"/>
                      <w:highlight w:val="none"/>
                      <w:lang w:val="en-US" w:eastAsia="zh-CN" w:bidi="ar-SA"/>
                    </w:rPr>
                  </w:pPr>
                  <w:r>
                    <w:rPr>
                      <w:rFonts w:hint="default" w:ascii="Times New Roman" w:hAnsi="Times New Roman" w:eastAsia="宋体" w:cs="Times New Roman"/>
                      <w:b/>
                      <w:bCs/>
                      <w:caps w:val="0"/>
                      <w:color w:val="auto"/>
                      <w:spacing w:val="0"/>
                      <w:sz w:val="21"/>
                      <w:szCs w:val="21"/>
                      <w:highlight w:val="none"/>
                    </w:rPr>
                    <w:t>保护对象</w:t>
                  </w:r>
                </w:p>
              </w:tc>
              <w:tc>
                <w:tcPr>
                  <w:tcW w:w="262" w:type="pct"/>
                  <w:vMerge w:val="restart"/>
                  <w:noWrap w:val="0"/>
                  <w:vAlign w:val="center"/>
                </w:tcPr>
                <w:p w14:paraId="34E786D8">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auto"/>
                      <w:spacing w:val="0"/>
                      <w:sz w:val="21"/>
                      <w:szCs w:val="21"/>
                      <w:highlight w:val="none"/>
                      <w:lang w:val="en-US" w:eastAsia="zh-CN" w:bidi="ar-SA"/>
                    </w:rPr>
                  </w:pPr>
                  <w:r>
                    <w:rPr>
                      <w:rFonts w:hint="default" w:ascii="Times New Roman" w:hAnsi="Times New Roman" w:eastAsia="宋体" w:cs="Times New Roman"/>
                      <w:b/>
                      <w:bCs/>
                      <w:caps w:val="0"/>
                      <w:color w:val="auto"/>
                      <w:spacing w:val="0"/>
                      <w:sz w:val="21"/>
                      <w:szCs w:val="21"/>
                      <w:highlight w:val="none"/>
                    </w:rPr>
                    <w:t>保护内容</w:t>
                  </w:r>
                </w:p>
              </w:tc>
              <w:tc>
                <w:tcPr>
                  <w:tcW w:w="430" w:type="pct"/>
                  <w:vMerge w:val="restart"/>
                  <w:noWrap w:val="0"/>
                  <w:vAlign w:val="center"/>
                </w:tcPr>
                <w:p w14:paraId="3323B288">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auto"/>
                      <w:spacing w:val="0"/>
                      <w:sz w:val="21"/>
                      <w:szCs w:val="21"/>
                      <w:highlight w:val="none"/>
                      <w:lang w:val="en-US" w:eastAsia="zh-CN" w:bidi="ar-SA"/>
                    </w:rPr>
                  </w:pPr>
                  <w:r>
                    <w:rPr>
                      <w:rFonts w:hint="default" w:ascii="Times New Roman" w:hAnsi="Times New Roman" w:eastAsia="宋体" w:cs="Times New Roman"/>
                      <w:b/>
                      <w:bCs/>
                      <w:caps w:val="0"/>
                      <w:color w:val="auto"/>
                      <w:spacing w:val="0"/>
                      <w:sz w:val="21"/>
                      <w:szCs w:val="21"/>
                      <w:highlight w:val="none"/>
                    </w:rPr>
                    <w:t>环境功能区</w:t>
                  </w:r>
                </w:p>
              </w:tc>
              <w:tc>
                <w:tcPr>
                  <w:tcW w:w="394" w:type="pct"/>
                  <w:vMerge w:val="restart"/>
                  <w:noWrap w:val="0"/>
                  <w:vAlign w:val="center"/>
                </w:tcPr>
                <w:p w14:paraId="0584D4ED">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auto"/>
                      <w:spacing w:val="0"/>
                      <w:sz w:val="21"/>
                      <w:szCs w:val="21"/>
                      <w:highlight w:val="none"/>
                      <w:lang w:val="en-US" w:eastAsia="zh-CN" w:bidi="ar-SA"/>
                    </w:rPr>
                  </w:pPr>
                  <w:r>
                    <w:rPr>
                      <w:rFonts w:hint="default" w:ascii="Times New Roman" w:hAnsi="Times New Roman" w:eastAsia="宋体" w:cs="Times New Roman"/>
                      <w:b/>
                      <w:bCs/>
                      <w:caps w:val="0"/>
                      <w:color w:val="auto"/>
                      <w:spacing w:val="0"/>
                      <w:sz w:val="21"/>
                      <w:szCs w:val="21"/>
                      <w:highlight w:val="none"/>
                    </w:rPr>
                    <w:t>相对厂址方位</w:t>
                  </w:r>
                </w:p>
              </w:tc>
              <w:tc>
                <w:tcPr>
                  <w:tcW w:w="471" w:type="pct"/>
                  <w:vMerge w:val="restart"/>
                  <w:noWrap w:val="0"/>
                  <w:vAlign w:val="center"/>
                </w:tcPr>
                <w:p w14:paraId="7CAA9A19">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auto"/>
                      <w:spacing w:val="0"/>
                      <w:sz w:val="21"/>
                      <w:szCs w:val="21"/>
                      <w:highlight w:val="none"/>
                      <w:lang w:val="en-US" w:eastAsia="zh-CN" w:bidi="ar-SA"/>
                    </w:rPr>
                  </w:pPr>
                  <w:r>
                    <w:rPr>
                      <w:rFonts w:hint="default" w:ascii="Times New Roman" w:hAnsi="Times New Roman" w:eastAsia="宋体" w:cs="Times New Roman"/>
                      <w:b/>
                      <w:bCs/>
                      <w:caps w:val="0"/>
                      <w:color w:val="auto"/>
                      <w:spacing w:val="0"/>
                      <w:sz w:val="21"/>
                      <w:szCs w:val="21"/>
                      <w:highlight w:val="none"/>
                    </w:rPr>
                    <w:t>相对厂界距离/m</w:t>
                  </w:r>
                </w:p>
              </w:tc>
            </w:tr>
            <w:tr w14:paraId="227D71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9" w:type="pct"/>
                  <w:vMerge w:val="continue"/>
                  <w:noWrap w:val="0"/>
                  <w:vAlign w:val="center"/>
                </w:tcPr>
                <w:p w14:paraId="12BEFE90">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auto"/>
                      <w:spacing w:val="0"/>
                      <w:sz w:val="21"/>
                      <w:szCs w:val="21"/>
                      <w:highlight w:val="none"/>
                      <w:lang w:val="en-US" w:eastAsia="zh-CN" w:bidi="ar-SA"/>
                    </w:rPr>
                  </w:pPr>
                </w:p>
              </w:tc>
              <w:tc>
                <w:tcPr>
                  <w:tcW w:w="489" w:type="pct"/>
                  <w:vMerge w:val="continue"/>
                  <w:noWrap w:val="0"/>
                  <w:vAlign w:val="center"/>
                </w:tcPr>
                <w:p w14:paraId="133DEE82">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auto"/>
                      <w:spacing w:val="0"/>
                      <w:sz w:val="21"/>
                      <w:szCs w:val="21"/>
                      <w:highlight w:val="none"/>
                      <w:lang w:val="en-US" w:eastAsia="zh-CN" w:bidi="ar-SA"/>
                    </w:rPr>
                  </w:pPr>
                </w:p>
              </w:tc>
              <w:tc>
                <w:tcPr>
                  <w:tcW w:w="1202" w:type="pct"/>
                  <w:noWrap w:val="0"/>
                  <w:vAlign w:val="center"/>
                </w:tcPr>
                <w:p w14:paraId="249FA77A">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iCs/>
                      <w:caps w:val="0"/>
                      <w:color w:val="auto"/>
                      <w:spacing w:val="0"/>
                      <w:sz w:val="21"/>
                      <w:szCs w:val="21"/>
                      <w:highlight w:val="none"/>
                      <w:lang w:val="en-US" w:eastAsia="zh-CN" w:bidi="ar-SA"/>
                    </w:rPr>
                  </w:pPr>
                  <w:r>
                    <w:rPr>
                      <w:rFonts w:hint="default" w:ascii="Times New Roman" w:hAnsi="Times New Roman" w:eastAsia="宋体" w:cs="Times New Roman"/>
                      <w:iCs/>
                      <w:caps w:val="0"/>
                      <w:color w:val="auto"/>
                      <w:spacing w:val="0"/>
                      <w:sz w:val="21"/>
                      <w:szCs w:val="21"/>
                      <w:highlight w:val="none"/>
                    </w:rPr>
                    <w:t>经度</w:t>
                  </w:r>
                </w:p>
              </w:tc>
              <w:tc>
                <w:tcPr>
                  <w:tcW w:w="1140" w:type="pct"/>
                  <w:noWrap w:val="0"/>
                  <w:vAlign w:val="center"/>
                </w:tcPr>
                <w:p w14:paraId="362011A6">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iCs/>
                      <w:caps w:val="0"/>
                      <w:color w:val="auto"/>
                      <w:spacing w:val="0"/>
                      <w:sz w:val="21"/>
                      <w:szCs w:val="21"/>
                      <w:highlight w:val="none"/>
                      <w:lang w:val="en-US" w:eastAsia="zh-CN" w:bidi="ar-SA"/>
                    </w:rPr>
                  </w:pPr>
                  <w:r>
                    <w:rPr>
                      <w:rFonts w:hint="default" w:ascii="Times New Roman" w:hAnsi="Times New Roman" w:eastAsia="宋体" w:cs="Times New Roman"/>
                      <w:iCs/>
                      <w:caps w:val="0"/>
                      <w:color w:val="auto"/>
                      <w:spacing w:val="0"/>
                      <w:sz w:val="21"/>
                      <w:szCs w:val="21"/>
                      <w:highlight w:val="none"/>
                    </w:rPr>
                    <w:t>纬度</w:t>
                  </w:r>
                </w:p>
              </w:tc>
              <w:tc>
                <w:tcPr>
                  <w:tcW w:w="330" w:type="pct"/>
                  <w:vMerge w:val="continue"/>
                  <w:noWrap w:val="0"/>
                  <w:vAlign w:val="center"/>
                </w:tcPr>
                <w:p w14:paraId="1A369AB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auto"/>
                      <w:spacing w:val="0"/>
                      <w:kern w:val="2"/>
                      <w:sz w:val="21"/>
                      <w:szCs w:val="21"/>
                      <w:highlight w:val="none"/>
                      <w:lang w:val="en-US" w:eastAsia="zh-CN" w:bidi="ar-SA"/>
                    </w:rPr>
                  </w:pPr>
                </w:p>
              </w:tc>
              <w:tc>
                <w:tcPr>
                  <w:tcW w:w="262" w:type="pct"/>
                  <w:vMerge w:val="continue"/>
                  <w:noWrap w:val="0"/>
                  <w:vAlign w:val="center"/>
                </w:tcPr>
                <w:p w14:paraId="3D296A97">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auto"/>
                      <w:spacing w:val="0"/>
                      <w:sz w:val="21"/>
                      <w:szCs w:val="21"/>
                      <w:highlight w:val="none"/>
                      <w:lang w:val="en-US" w:eastAsia="zh-CN" w:bidi="ar-SA"/>
                    </w:rPr>
                  </w:pPr>
                </w:p>
              </w:tc>
              <w:tc>
                <w:tcPr>
                  <w:tcW w:w="430" w:type="pct"/>
                  <w:vMerge w:val="continue"/>
                  <w:noWrap w:val="0"/>
                  <w:vAlign w:val="center"/>
                </w:tcPr>
                <w:p w14:paraId="5426E655">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auto"/>
                      <w:spacing w:val="0"/>
                      <w:sz w:val="21"/>
                      <w:szCs w:val="21"/>
                      <w:highlight w:val="none"/>
                      <w:lang w:val="en-US" w:eastAsia="zh-CN" w:bidi="ar-SA"/>
                    </w:rPr>
                  </w:pPr>
                </w:p>
              </w:tc>
              <w:tc>
                <w:tcPr>
                  <w:tcW w:w="394" w:type="pct"/>
                  <w:vMerge w:val="continue"/>
                  <w:noWrap w:val="0"/>
                  <w:vAlign w:val="center"/>
                </w:tcPr>
                <w:p w14:paraId="4AD09DFD">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auto"/>
                      <w:spacing w:val="0"/>
                      <w:sz w:val="21"/>
                      <w:szCs w:val="21"/>
                      <w:highlight w:val="none"/>
                      <w:lang w:val="en-US" w:eastAsia="zh-CN" w:bidi="ar-SA"/>
                    </w:rPr>
                  </w:pPr>
                </w:p>
              </w:tc>
              <w:tc>
                <w:tcPr>
                  <w:tcW w:w="471" w:type="pct"/>
                  <w:vMerge w:val="continue"/>
                  <w:noWrap w:val="0"/>
                  <w:vAlign w:val="center"/>
                </w:tcPr>
                <w:p w14:paraId="743AB942">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aps w:val="0"/>
                      <w:color w:val="auto"/>
                      <w:spacing w:val="0"/>
                      <w:sz w:val="21"/>
                      <w:szCs w:val="21"/>
                      <w:highlight w:val="none"/>
                      <w:lang w:val="en-US" w:eastAsia="zh-CN" w:bidi="ar-SA"/>
                    </w:rPr>
                  </w:pPr>
                </w:p>
              </w:tc>
            </w:tr>
            <w:tr w14:paraId="70AB48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9" w:type="pct"/>
                  <w:vMerge w:val="restart"/>
                  <w:noWrap w:val="0"/>
                  <w:vAlign w:val="center"/>
                </w:tcPr>
                <w:p w14:paraId="1F6FBFD1">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color w:val="auto"/>
                      <w:spacing w:val="0"/>
                      <w:sz w:val="21"/>
                      <w:szCs w:val="21"/>
                      <w:highlight w:val="none"/>
                      <w:lang w:val="en-US" w:eastAsia="zh-CN"/>
                    </w:rPr>
                  </w:pPr>
                  <w:r>
                    <w:rPr>
                      <w:rFonts w:hint="default" w:ascii="Times New Roman" w:hAnsi="Times New Roman" w:eastAsia="宋体" w:cs="Times New Roman"/>
                      <w:caps w:val="0"/>
                      <w:color w:val="auto"/>
                      <w:spacing w:val="0"/>
                      <w:sz w:val="21"/>
                      <w:szCs w:val="21"/>
                      <w:highlight w:val="none"/>
                      <w:lang w:val="en-US" w:eastAsia="zh-CN"/>
                    </w:rPr>
                    <w:t>大气环境</w:t>
                  </w:r>
                </w:p>
              </w:tc>
              <w:tc>
                <w:tcPr>
                  <w:tcW w:w="489" w:type="pct"/>
                  <w:noWrap w:val="0"/>
                  <w:vAlign w:val="center"/>
                </w:tcPr>
                <w:p w14:paraId="17D5B20F">
                  <w:pPr>
                    <w:keepNext w:val="0"/>
                    <w:keepLines w:val="0"/>
                    <w:pageBreakBefore w:val="0"/>
                    <w:widowControl/>
                    <w:suppressLineNumbers w:val="0"/>
                    <w:kinsoku/>
                    <w:wordWrap/>
                    <w:overflowPunct/>
                    <w:topLinePunct w:val="0"/>
                    <w:bidi w:val="0"/>
                    <w:adjustRightInd w:val="0"/>
                    <w:spacing w:line="240" w:lineRule="auto"/>
                    <w:ind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耕农村</w:t>
                  </w:r>
                </w:p>
              </w:tc>
              <w:tc>
                <w:tcPr>
                  <w:tcW w:w="1202" w:type="pct"/>
                  <w:noWrap w:val="0"/>
                  <w:vAlign w:val="center"/>
                </w:tcPr>
                <w:p w14:paraId="2C2314E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aps w:val="0"/>
                      <w:color w:val="auto"/>
                      <w:spacing w:val="0"/>
                      <w:sz w:val="21"/>
                      <w:szCs w:val="21"/>
                      <w:highlight w:val="none"/>
                      <w:lang w:val="en-US" w:eastAsia="zh-CN"/>
                    </w:rPr>
                  </w:pPr>
                  <w:r>
                    <w:rPr>
                      <w:rFonts w:hint="default" w:ascii="Times New Roman" w:hAnsi="Times New Roman" w:cs="Times New Roman"/>
                      <w:color w:val="auto"/>
                      <w:sz w:val="21"/>
                      <w:szCs w:val="21"/>
                      <w:highlight w:val="none"/>
                    </w:rPr>
                    <w:t>132°59′12.62587″</w:t>
                  </w:r>
                </w:p>
              </w:tc>
              <w:tc>
                <w:tcPr>
                  <w:tcW w:w="1140" w:type="pct"/>
                  <w:noWrap w:val="0"/>
                  <w:vAlign w:val="center"/>
                </w:tcPr>
                <w:p w14:paraId="7062783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aps w:val="0"/>
                      <w:color w:val="auto"/>
                      <w:spacing w:val="0"/>
                      <w:sz w:val="21"/>
                      <w:szCs w:val="21"/>
                      <w:highlight w:val="none"/>
                      <w:lang w:val="en-US" w:eastAsia="zh-CN"/>
                    </w:rPr>
                  </w:pPr>
                  <w:r>
                    <w:rPr>
                      <w:rFonts w:hint="default" w:ascii="Times New Roman" w:hAnsi="Times New Roman" w:cs="Times New Roman"/>
                      <w:color w:val="auto"/>
                      <w:sz w:val="21"/>
                      <w:szCs w:val="21"/>
                      <w:highlight w:val="none"/>
                    </w:rPr>
                    <w:t>45°46′11.64647″</w:t>
                  </w:r>
                </w:p>
              </w:tc>
              <w:tc>
                <w:tcPr>
                  <w:tcW w:w="330" w:type="pct"/>
                  <w:vMerge w:val="restart"/>
                  <w:noWrap w:val="0"/>
                  <w:vAlign w:val="center"/>
                </w:tcPr>
                <w:p w14:paraId="031B174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color w:val="auto"/>
                      <w:spacing w:val="0"/>
                      <w:sz w:val="21"/>
                      <w:szCs w:val="21"/>
                      <w:highlight w:val="none"/>
                      <w:lang w:eastAsia="zh-CN"/>
                    </w:rPr>
                  </w:pPr>
                  <w:r>
                    <w:rPr>
                      <w:rFonts w:hint="default" w:ascii="Times New Roman" w:hAnsi="Times New Roman" w:cs="Times New Roman"/>
                      <w:caps w:val="0"/>
                      <w:color w:val="auto"/>
                      <w:spacing w:val="0"/>
                      <w:sz w:val="21"/>
                      <w:szCs w:val="21"/>
                      <w:highlight w:val="none"/>
                      <w:lang w:val="en-US" w:eastAsia="zh-CN"/>
                    </w:rPr>
                    <w:t>居住</w:t>
                  </w:r>
                </w:p>
              </w:tc>
              <w:tc>
                <w:tcPr>
                  <w:tcW w:w="262" w:type="pct"/>
                  <w:vMerge w:val="restart"/>
                  <w:noWrap w:val="0"/>
                  <w:vAlign w:val="center"/>
                </w:tcPr>
                <w:p w14:paraId="04F6246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color w:val="auto"/>
                      <w:spacing w:val="0"/>
                      <w:sz w:val="21"/>
                      <w:szCs w:val="21"/>
                      <w:highlight w:val="none"/>
                      <w:lang w:eastAsia="zh-CN"/>
                    </w:rPr>
                  </w:pPr>
                  <w:r>
                    <w:rPr>
                      <w:rFonts w:hint="default" w:ascii="Times New Roman" w:hAnsi="Times New Roman" w:eastAsia="宋体" w:cs="Times New Roman"/>
                      <w:caps w:val="0"/>
                      <w:color w:val="auto"/>
                      <w:spacing w:val="0"/>
                      <w:sz w:val="21"/>
                      <w:szCs w:val="21"/>
                      <w:highlight w:val="none"/>
                      <w:lang w:eastAsia="zh-CN"/>
                    </w:rPr>
                    <w:t>人群</w:t>
                  </w:r>
                </w:p>
              </w:tc>
              <w:tc>
                <w:tcPr>
                  <w:tcW w:w="430" w:type="pct"/>
                  <w:vMerge w:val="restart"/>
                  <w:noWrap w:val="0"/>
                  <w:vAlign w:val="center"/>
                </w:tcPr>
                <w:p w14:paraId="54DBFD64">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color w:val="auto"/>
                      <w:spacing w:val="0"/>
                      <w:sz w:val="21"/>
                      <w:szCs w:val="21"/>
                      <w:highlight w:val="none"/>
                    </w:rPr>
                  </w:pPr>
                  <w:r>
                    <w:rPr>
                      <w:rFonts w:hint="default" w:ascii="Times New Roman" w:hAnsi="Times New Roman" w:eastAsia="宋体" w:cs="Times New Roman"/>
                      <w:caps w:val="0"/>
                      <w:color w:val="auto"/>
                      <w:spacing w:val="0"/>
                      <w:sz w:val="21"/>
                      <w:szCs w:val="21"/>
                      <w:highlight w:val="none"/>
                    </w:rPr>
                    <w:t>环境空气功能区二类区</w:t>
                  </w:r>
                </w:p>
              </w:tc>
              <w:tc>
                <w:tcPr>
                  <w:tcW w:w="394" w:type="pct"/>
                  <w:noWrap w:val="0"/>
                  <w:vAlign w:val="center"/>
                </w:tcPr>
                <w:p w14:paraId="5F903E4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color w:val="auto"/>
                      <w:spacing w:val="0"/>
                      <w:sz w:val="21"/>
                      <w:szCs w:val="21"/>
                      <w:highlight w:val="none"/>
                      <w:lang w:val="en-US" w:eastAsia="zh-CN"/>
                    </w:rPr>
                  </w:pPr>
                  <w:r>
                    <w:rPr>
                      <w:rFonts w:hint="default" w:ascii="Times New Roman" w:hAnsi="Times New Roman" w:cs="Times New Roman"/>
                      <w:caps w:val="0"/>
                      <w:color w:val="auto"/>
                      <w:spacing w:val="0"/>
                      <w:sz w:val="21"/>
                      <w:szCs w:val="21"/>
                      <w:highlight w:val="none"/>
                      <w:lang w:val="en-US" w:eastAsia="zh-CN"/>
                    </w:rPr>
                    <w:t>W</w:t>
                  </w:r>
                </w:p>
              </w:tc>
              <w:tc>
                <w:tcPr>
                  <w:tcW w:w="471" w:type="pct"/>
                  <w:noWrap w:val="0"/>
                  <w:vAlign w:val="center"/>
                </w:tcPr>
                <w:p w14:paraId="399ADAE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color w:val="auto"/>
                      <w:spacing w:val="0"/>
                      <w:sz w:val="21"/>
                      <w:szCs w:val="21"/>
                      <w:highlight w:val="none"/>
                      <w:lang w:val="en-US" w:eastAsia="zh-CN"/>
                    </w:rPr>
                  </w:pPr>
                  <w:r>
                    <w:rPr>
                      <w:rFonts w:hint="default" w:ascii="Times New Roman" w:hAnsi="Times New Roman" w:cs="Times New Roman"/>
                      <w:caps w:val="0"/>
                      <w:color w:val="auto"/>
                      <w:spacing w:val="0"/>
                      <w:sz w:val="21"/>
                      <w:szCs w:val="21"/>
                      <w:highlight w:val="none"/>
                      <w:lang w:val="en-US" w:eastAsia="zh-CN"/>
                    </w:rPr>
                    <w:t>130</w:t>
                  </w:r>
                </w:p>
              </w:tc>
            </w:tr>
            <w:tr w14:paraId="04E520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9" w:type="pct"/>
                  <w:vMerge w:val="continue"/>
                  <w:noWrap w:val="0"/>
                  <w:vAlign w:val="center"/>
                </w:tcPr>
                <w:p w14:paraId="3F1E1510">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color w:val="auto"/>
                      <w:spacing w:val="0"/>
                      <w:sz w:val="21"/>
                      <w:szCs w:val="21"/>
                      <w:highlight w:val="none"/>
                      <w:lang w:val="en-US" w:eastAsia="zh-CN"/>
                    </w:rPr>
                  </w:pPr>
                </w:p>
              </w:tc>
              <w:tc>
                <w:tcPr>
                  <w:tcW w:w="489" w:type="pct"/>
                  <w:noWrap w:val="0"/>
                  <w:vAlign w:val="center"/>
                </w:tcPr>
                <w:p w14:paraId="7266F710">
                  <w:pPr>
                    <w:keepNext w:val="0"/>
                    <w:keepLines w:val="0"/>
                    <w:pageBreakBefore w:val="0"/>
                    <w:widowControl/>
                    <w:suppressLineNumbers w:val="0"/>
                    <w:kinsoku/>
                    <w:wordWrap/>
                    <w:overflowPunct/>
                    <w:topLinePunct w:val="0"/>
                    <w:bidi w:val="0"/>
                    <w:adjustRightInd w:val="0"/>
                    <w:spacing w:line="240" w:lineRule="auto"/>
                    <w:ind w:firstLine="0" w:firstLineChars="0"/>
                    <w:jc w:val="center"/>
                    <w:textAlignment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桦树村</w:t>
                  </w:r>
                </w:p>
              </w:tc>
              <w:tc>
                <w:tcPr>
                  <w:tcW w:w="1202" w:type="pct"/>
                  <w:noWrap w:val="0"/>
                  <w:vAlign w:val="center"/>
                </w:tcPr>
                <w:p w14:paraId="5FF89A6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aps w:val="0"/>
                      <w:color w:val="auto"/>
                      <w:spacing w:val="0"/>
                      <w:sz w:val="21"/>
                      <w:szCs w:val="21"/>
                      <w:highlight w:val="none"/>
                      <w:lang w:val="en-US" w:eastAsia="zh-CN"/>
                    </w:rPr>
                  </w:pPr>
                  <w:r>
                    <w:rPr>
                      <w:rFonts w:hint="default" w:ascii="Times New Roman" w:hAnsi="Times New Roman" w:cs="Times New Roman"/>
                      <w:color w:val="auto"/>
                      <w:sz w:val="21"/>
                      <w:szCs w:val="21"/>
                      <w:highlight w:val="none"/>
                    </w:rPr>
                    <w:t>132°59′39.93291″</w:t>
                  </w:r>
                </w:p>
              </w:tc>
              <w:tc>
                <w:tcPr>
                  <w:tcW w:w="1140" w:type="pct"/>
                  <w:noWrap w:val="0"/>
                  <w:vAlign w:val="center"/>
                </w:tcPr>
                <w:p w14:paraId="6498713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aps w:val="0"/>
                      <w:color w:val="auto"/>
                      <w:spacing w:val="0"/>
                      <w:sz w:val="21"/>
                      <w:szCs w:val="21"/>
                      <w:highlight w:val="none"/>
                      <w:lang w:val="en-US" w:eastAsia="zh-CN"/>
                    </w:rPr>
                  </w:pPr>
                  <w:r>
                    <w:rPr>
                      <w:rFonts w:hint="default" w:ascii="Times New Roman" w:hAnsi="Times New Roman" w:cs="Times New Roman"/>
                      <w:color w:val="auto"/>
                      <w:sz w:val="21"/>
                      <w:szCs w:val="21"/>
                      <w:highlight w:val="none"/>
                    </w:rPr>
                    <w:t>45°45′55.88796″</w:t>
                  </w:r>
                </w:p>
              </w:tc>
              <w:tc>
                <w:tcPr>
                  <w:tcW w:w="330" w:type="pct"/>
                  <w:vMerge w:val="continue"/>
                  <w:noWrap w:val="0"/>
                  <w:vAlign w:val="center"/>
                </w:tcPr>
                <w:p w14:paraId="625C7CC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aps w:val="0"/>
                      <w:color w:val="auto"/>
                      <w:spacing w:val="0"/>
                      <w:sz w:val="21"/>
                      <w:szCs w:val="21"/>
                      <w:highlight w:val="none"/>
                      <w:lang w:val="en-US" w:eastAsia="zh-CN"/>
                    </w:rPr>
                  </w:pPr>
                </w:p>
              </w:tc>
              <w:tc>
                <w:tcPr>
                  <w:tcW w:w="262" w:type="pct"/>
                  <w:vMerge w:val="continue"/>
                  <w:noWrap w:val="0"/>
                  <w:vAlign w:val="center"/>
                </w:tcPr>
                <w:p w14:paraId="0CE8D93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color w:val="auto"/>
                      <w:spacing w:val="0"/>
                      <w:sz w:val="21"/>
                      <w:szCs w:val="21"/>
                      <w:highlight w:val="none"/>
                      <w:lang w:eastAsia="zh-CN"/>
                    </w:rPr>
                  </w:pPr>
                </w:p>
              </w:tc>
              <w:tc>
                <w:tcPr>
                  <w:tcW w:w="430" w:type="pct"/>
                  <w:vMerge w:val="continue"/>
                  <w:noWrap w:val="0"/>
                  <w:vAlign w:val="center"/>
                </w:tcPr>
                <w:p w14:paraId="3BD1A6AD">
                  <w:pPr>
                    <w:pStyle w:val="43"/>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color w:val="auto"/>
                      <w:spacing w:val="0"/>
                      <w:sz w:val="21"/>
                      <w:szCs w:val="21"/>
                      <w:highlight w:val="none"/>
                    </w:rPr>
                  </w:pPr>
                </w:p>
              </w:tc>
              <w:tc>
                <w:tcPr>
                  <w:tcW w:w="394" w:type="pct"/>
                  <w:noWrap w:val="0"/>
                  <w:vAlign w:val="center"/>
                </w:tcPr>
                <w:p w14:paraId="79A60E7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aps w:val="0"/>
                      <w:color w:val="auto"/>
                      <w:spacing w:val="0"/>
                      <w:sz w:val="21"/>
                      <w:szCs w:val="21"/>
                      <w:highlight w:val="none"/>
                      <w:lang w:val="en-US" w:eastAsia="zh-CN"/>
                    </w:rPr>
                  </w:pPr>
                  <w:r>
                    <w:rPr>
                      <w:rFonts w:hint="default" w:ascii="Times New Roman" w:hAnsi="Times New Roman" w:cs="Times New Roman"/>
                      <w:caps w:val="0"/>
                      <w:color w:val="auto"/>
                      <w:spacing w:val="0"/>
                      <w:sz w:val="21"/>
                      <w:szCs w:val="21"/>
                      <w:highlight w:val="none"/>
                      <w:lang w:val="en-US" w:eastAsia="zh-CN"/>
                    </w:rPr>
                    <w:t>SE</w:t>
                  </w:r>
                </w:p>
              </w:tc>
              <w:tc>
                <w:tcPr>
                  <w:tcW w:w="471" w:type="pct"/>
                  <w:noWrap w:val="0"/>
                  <w:vAlign w:val="center"/>
                </w:tcPr>
                <w:p w14:paraId="62D1185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color w:val="auto"/>
                      <w:spacing w:val="0"/>
                      <w:sz w:val="21"/>
                      <w:szCs w:val="21"/>
                      <w:highlight w:val="none"/>
                      <w:lang w:val="en-US" w:eastAsia="zh-CN"/>
                    </w:rPr>
                  </w:pPr>
                  <w:r>
                    <w:rPr>
                      <w:rFonts w:hint="default" w:ascii="Times New Roman" w:hAnsi="Times New Roman" w:cs="Times New Roman"/>
                      <w:caps w:val="0"/>
                      <w:color w:val="auto"/>
                      <w:spacing w:val="0"/>
                      <w:sz w:val="21"/>
                      <w:szCs w:val="21"/>
                      <w:highlight w:val="none"/>
                      <w:lang w:val="en-US" w:eastAsia="zh-CN"/>
                    </w:rPr>
                    <w:t>225</w:t>
                  </w:r>
                </w:p>
              </w:tc>
            </w:tr>
          </w:tbl>
          <w:p w14:paraId="0A69AAA1">
            <w:pPr>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2.声环境保护目标</w:t>
            </w:r>
          </w:p>
          <w:p w14:paraId="02B65B55">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厂界外50m范围内</w:t>
            </w:r>
            <w:r>
              <w:rPr>
                <w:rFonts w:hint="default" w:ascii="Times New Roman" w:hAnsi="Times New Roman" w:cs="Times New Roman"/>
                <w:color w:val="auto"/>
                <w:highlight w:val="none"/>
                <w:lang w:val="en-US" w:eastAsia="zh-CN"/>
              </w:rPr>
              <w:t>无</w:t>
            </w:r>
            <w:r>
              <w:rPr>
                <w:rFonts w:hint="default" w:ascii="Times New Roman" w:hAnsi="Times New Roman" w:cs="Times New Roman"/>
                <w:color w:val="auto"/>
                <w:highlight w:val="none"/>
              </w:rPr>
              <w:t>声环境保护目标。</w:t>
            </w:r>
          </w:p>
          <w:p w14:paraId="5505478A">
            <w:pPr>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3.地</w:t>
            </w:r>
            <w:r>
              <w:rPr>
                <w:rFonts w:hint="default" w:ascii="Times New Roman" w:hAnsi="Times New Roman" w:cs="Times New Roman"/>
                <w:b/>
                <w:bCs/>
                <w:color w:val="auto"/>
                <w:highlight w:val="none"/>
                <w:lang w:val="en-US" w:eastAsia="zh-CN"/>
              </w:rPr>
              <w:t>表</w:t>
            </w:r>
            <w:r>
              <w:rPr>
                <w:rFonts w:hint="default" w:ascii="Times New Roman" w:hAnsi="Times New Roman" w:cs="Times New Roman"/>
                <w:b/>
                <w:bCs/>
                <w:color w:val="auto"/>
                <w:highlight w:val="none"/>
              </w:rPr>
              <w:t>水环境保护目标</w:t>
            </w:r>
          </w:p>
          <w:p w14:paraId="10C4ED32">
            <w:pPr>
              <w:ind w:firstLine="480" w:firstLineChars="200"/>
              <w:rPr>
                <w:rFonts w:hint="default" w:ascii="Times New Roman" w:hAnsi="Times New Roman" w:cs="Times New Roman"/>
                <w:b/>
                <w:bCs/>
                <w:color w:val="auto"/>
                <w:szCs w:val="24"/>
                <w:highlight w:val="none"/>
              </w:rPr>
            </w:pPr>
            <w:r>
              <w:rPr>
                <w:rFonts w:hint="default" w:ascii="Times New Roman" w:hAnsi="Times New Roman" w:cs="Times New Roman"/>
                <w:color w:val="auto"/>
                <w:szCs w:val="24"/>
                <w:highlight w:val="none"/>
                <w:lang w:val="zh-CN"/>
              </w:rPr>
              <w:t>厂界外</w:t>
            </w:r>
            <w:r>
              <w:rPr>
                <w:rFonts w:hint="default" w:ascii="Times New Roman" w:hAnsi="Times New Roman" w:eastAsia="Times New Roman" w:cs="Times New Roman"/>
                <w:color w:val="auto"/>
                <w:szCs w:val="24"/>
                <w:highlight w:val="none"/>
                <w:lang w:val="zh-CN"/>
              </w:rPr>
              <w:t>500m</w:t>
            </w:r>
            <w:r>
              <w:rPr>
                <w:rFonts w:hint="default" w:ascii="Times New Roman" w:hAnsi="Times New Roman" w:cs="Times New Roman"/>
                <w:color w:val="auto"/>
                <w:szCs w:val="24"/>
                <w:highlight w:val="none"/>
                <w:lang w:val="zh-CN"/>
              </w:rPr>
              <w:t>范围内无地表水水体，无地表水环境保护目标。</w:t>
            </w:r>
          </w:p>
          <w:p w14:paraId="4993F54E">
            <w:pPr>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4.地下水环境保护目标</w:t>
            </w:r>
          </w:p>
          <w:p w14:paraId="05B55E28">
            <w:pPr>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厂界外500m范围内无地下水集中式</w:t>
            </w:r>
            <w:r>
              <w:rPr>
                <w:rFonts w:hint="default" w:ascii="Times New Roman" w:hAnsi="Times New Roman" w:cs="Times New Roman"/>
                <w:color w:val="auto"/>
                <w:highlight w:val="none"/>
                <w:lang w:eastAsia="zh-CN"/>
              </w:rPr>
              <w:t>饮用水</w:t>
            </w:r>
            <w:r>
              <w:rPr>
                <w:rFonts w:hint="default" w:ascii="Times New Roman" w:hAnsi="Times New Roman" w:cs="Times New Roman"/>
                <w:color w:val="auto"/>
                <w:highlight w:val="none"/>
              </w:rPr>
              <w:t>水源和热水、矿泉水、温泉等特殊地下水资源。</w:t>
            </w:r>
          </w:p>
          <w:p w14:paraId="7BC166E7">
            <w:pPr>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5.生态环境保护目标</w:t>
            </w:r>
          </w:p>
          <w:p w14:paraId="383865BA">
            <w:pPr>
              <w:ind w:left="0" w:leftChars="0" w:firstLine="480" w:firstLineChars="20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cs="Times New Roman"/>
                <w:color w:val="auto"/>
                <w:highlight w:val="none"/>
              </w:rPr>
              <w:t>本项目用地为建设用地，用地范围内无生态环境保护目标。</w:t>
            </w:r>
          </w:p>
          <w:p w14:paraId="59740927">
            <w:pPr>
              <w:numPr>
                <w:ilvl w:val="0"/>
                <w:numId w:val="0"/>
              </w:numPr>
              <w:bidi w:val="0"/>
              <w:ind w:firstLine="480" w:firstLineChars="200"/>
              <w:rPr>
                <w:rFonts w:hint="default" w:ascii="Times New Roman" w:hAnsi="Times New Roman" w:eastAsia="宋体" w:cs="Times New Roman"/>
                <w:color w:val="auto"/>
                <w:spacing w:val="0"/>
                <w:sz w:val="24"/>
                <w:szCs w:val="24"/>
                <w:highlight w:val="none"/>
                <w:lang w:val="en-US" w:eastAsia="zh-CN"/>
              </w:rPr>
            </w:pPr>
          </w:p>
        </w:tc>
      </w:tr>
      <w:tr w14:paraId="6C8910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42" w:type="dxa"/>
            <w:noWrap w:val="0"/>
            <w:tcMar>
              <w:left w:w="28" w:type="dxa"/>
              <w:right w:w="28" w:type="dxa"/>
            </w:tcMar>
            <w:vAlign w:val="center"/>
          </w:tcPr>
          <w:p w14:paraId="318FF413">
            <w:pPr>
              <w:spacing w:line="240" w:lineRule="auto"/>
              <w:ind w:firstLine="0" w:firstLineChars="0"/>
              <w:jc w:val="center"/>
              <w:rPr>
                <w:rFonts w:hint="default" w:ascii="Times New Roman" w:hAnsi="Times New Roman" w:eastAsia="宋体" w:cs="Times New Roman"/>
                <w:color w:val="auto"/>
                <w:spacing w:val="0"/>
                <w:kern w:val="0"/>
                <w:highlight w:val="none"/>
              </w:rPr>
            </w:pPr>
            <w:r>
              <w:rPr>
                <w:rFonts w:hint="default" w:ascii="Times New Roman" w:hAnsi="Times New Roman" w:eastAsia="宋体" w:cs="Times New Roman"/>
                <w:color w:val="auto"/>
                <w:spacing w:val="0"/>
                <w:kern w:val="0"/>
                <w:highlight w:val="none"/>
              </w:rPr>
              <w:t>污染物排</w:t>
            </w:r>
          </w:p>
          <w:p w14:paraId="26B03406">
            <w:pPr>
              <w:spacing w:line="240" w:lineRule="auto"/>
              <w:ind w:firstLine="0" w:firstLineChars="0"/>
              <w:jc w:val="center"/>
              <w:rPr>
                <w:rFonts w:hint="default" w:ascii="Times New Roman" w:hAnsi="Times New Roman" w:eastAsia="宋体" w:cs="Times New Roman"/>
                <w:color w:val="auto"/>
                <w:spacing w:val="0"/>
                <w:kern w:val="0"/>
                <w:highlight w:val="none"/>
              </w:rPr>
            </w:pPr>
            <w:r>
              <w:rPr>
                <w:rFonts w:hint="default" w:ascii="Times New Roman" w:hAnsi="Times New Roman" w:eastAsia="宋体" w:cs="Times New Roman"/>
                <w:color w:val="auto"/>
                <w:spacing w:val="0"/>
                <w:kern w:val="0"/>
                <w:highlight w:val="none"/>
              </w:rPr>
              <w:t>放控制标准</w:t>
            </w:r>
          </w:p>
        </w:tc>
        <w:tc>
          <w:tcPr>
            <w:tcW w:w="7987" w:type="dxa"/>
            <w:noWrap w:val="0"/>
            <w:vAlign w:val="center"/>
          </w:tcPr>
          <w:p w14:paraId="00194696">
            <w:pPr>
              <w:spacing w:line="360" w:lineRule="auto"/>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1、废气</w:t>
            </w:r>
          </w:p>
          <w:p w14:paraId="7E869B56">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color w:val="auto"/>
                <w:kern w:val="0"/>
                <w:sz w:val="24"/>
                <w:szCs w:val="24"/>
                <w:highlight w:val="none"/>
                <w:vertAlign w:val="baseline"/>
                <w:lang w:val="en-US" w:eastAsia="zh-CN"/>
              </w:rPr>
            </w:pPr>
            <w:r>
              <w:rPr>
                <w:rFonts w:hint="default" w:ascii="Times New Roman" w:hAnsi="Times New Roman" w:eastAsia="宋体" w:cs="Times New Roman"/>
                <w:color w:val="auto"/>
                <w:spacing w:val="0"/>
                <w:sz w:val="24"/>
                <w:highlight w:val="none"/>
                <w:lang w:val="en-US" w:eastAsia="zh-CN"/>
              </w:rPr>
              <w:t>本</w:t>
            </w:r>
            <w:r>
              <w:rPr>
                <w:rFonts w:hint="default" w:ascii="Times New Roman" w:hAnsi="Times New Roman" w:eastAsia="宋体" w:cs="Times New Roman"/>
                <w:color w:val="auto"/>
                <w:spacing w:val="0"/>
                <w:sz w:val="24"/>
                <w:highlight w:val="none"/>
              </w:rPr>
              <w:t>项目运营期排放的</w:t>
            </w:r>
            <w:r>
              <w:rPr>
                <w:rFonts w:hint="default" w:ascii="Times New Roman" w:hAnsi="Times New Roman" w:eastAsia="宋体" w:cs="Times New Roman"/>
                <w:color w:val="auto"/>
                <w:spacing w:val="0"/>
                <w:sz w:val="24"/>
                <w:highlight w:val="none"/>
                <w:lang w:val="en-US" w:eastAsia="zh-CN"/>
              </w:rPr>
              <w:t>锅炉废气执行《锅炉大气污染物排放标准》（GB13271-2014）</w:t>
            </w:r>
            <w:r>
              <w:rPr>
                <w:rFonts w:hint="default" w:ascii="Times New Roman" w:hAnsi="Times New Roman" w:cs="Times New Roman"/>
                <w:color w:val="auto"/>
                <w:spacing w:val="0"/>
                <w:sz w:val="24"/>
                <w:highlight w:val="none"/>
                <w:lang w:val="en-US" w:eastAsia="zh-CN"/>
              </w:rPr>
              <w:t>表2燃煤锅炉标准</w:t>
            </w:r>
            <w:r>
              <w:rPr>
                <w:rFonts w:hint="default" w:ascii="Times New Roman" w:hAnsi="Times New Roman" w:eastAsia="宋体" w:cs="Times New Roman"/>
                <w:color w:val="auto"/>
                <w:spacing w:val="0"/>
                <w:sz w:val="24"/>
                <w:highlight w:val="none"/>
              </w:rPr>
              <w:t>；</w:t>
            </w:r>
            <w:r>
              <w:rPr>
                <w:rFonts w:hint="default" w:ascii="Times New Roman" w:hAnsi="Times New Roman" w:eastAsia="宋体" w:cs="Times New Roman"/>
                <w:bCs/>
                <w:color w:val="auto"/>
                <w:kern w:val="2"/>
                <w:sz w:val="24"/>
                <w:szCs w:val="24"/>
                <w:highlight w:val="none"/>
                <w:lang w:val="en-US" w:eastAsia="zh-CN" w:bidi="ar-SA"/>
              </w:rPr>
              <w:t>无组织废气执行</w:t>
            </w:r>
            <w:r>
              <w:rPr>
                <w:rFonts w:hint="default" w:ascii="Times New Roman" w:hAnsi="Times New Roman" w:cs="Times New Roman"/>
                <w:color w:val="auto"/>
                <w:sz w:val="24"/>
                <w:szCs w:val="24"/>
                <w:highlight w:val="none"/>
              </w:rPr>
              <w:t>《大气污染物综合排放标准》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GB16297-1996</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kern w:val="0"/>
                <w:sz w:val="24"/>
                <w:szCs w:val="24"/>
                <w:highlight w:val="none"/>
              </w:rPr>
              <w:t xml:space="preserve"> 表2新污染源大气污染物排放标准中无组织排放监控浓度限值1.0mg/m</w:t>
            </w:r>
            <w:r>
              <w:rPr>
                <w:rFonts w:hint="default" w:ascii="Times New Roman" w:hAnsi="Times New Roman" w:cs="Times New Roman"/>
                <w:color w:val="auto"/>
                <w:kern w:val="0"/>
                <w:sz w:val="24"/>
                <w:szCs w:val="24"/>
                <w:highlight w:val="none"/>
                <w:vertAlign w:val="superscript"/>
              </w:rPr>
              <w:t>3</w:t>
            </w:r>
            <w:r>
              <w:rPr>
                <w:rFonts w:hint="default" w:ascii="Times New Roman" w:hAnsi="Times New Roman" w:cs="Times New Roman"/>
                <w:color w:val="auto"/>
                <w:kern w:val="0"/>
                <w:sz w:val="24"/>
                <w:szCs w:val="24"/>
                <w:highlight w:val="none"/>
                <w:vertAlign w:val="baseline"/>
                <w:lang w:eastAsia="zh-CN"/>
              </w:rPr>
              <w:t>。</w:t>
            </w:r>
            <w:r>
              <w:rPr>
                <w:rFonts w:hint="default" w:ascii="Times New Roman" w:hAnsi="Times New Roman" w:eastAsia="宋体" w:cs="Times New Roman"/>
                <w:snapToGrid w:val="0"/>
                <w:color w:val="auto"/>
                <w:highlight w:val="none"/>
              </w:rPr>
              <w:t>具体标准浓度限值见下表</w:t>
            </w:r>
            <w:r>
              <w:rPr>
                <w:rFonts w:hint="default" w:ascii="Times New Roman" w:hAnsi="Times New Roman" w:cs="Times New Roman"/>
                <w:snapToGrid w:val="0"/>
                <w:color w:val="auto"/>
                <w:highlight w:val="none"/>
                <w:lang w:eastAsia="zh-CN"/>
              </w:rPr>
              <w:t>。</w:t>
            </w:r>
          </w:p>
          <w:p w14:paraId="4842A630">
            <w:pPr>
              <w:pStyle w:val="151"/>
              <w:spacing w:line="400" w:lineRule="exac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表3-</w:t>
            </w:r>
            <w:r>
              <w:rPr>
                <w:rFonts w:hint="default" w:ascii="Times New Roman" w:hAnsi="Times New Roman" w:eastAsia="宋体"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《锅炉大气污染物排放标准》（GB13271-2014）</w:t>
            </w:r>
          </w:p>
          <w:tbl>
            <w:tblPr>
              <w:tblStyle w:val="3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2950"/>
              <w:gridCol w:w="1346"/>
              <w:gridCol w:w="2299"/>
              <w:gridCol w:w="734"/>
            </w:tblGrid>
            <w:tr w14:paraId="716A4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Merge w:val="restart"/>
                  <w:tcBorders>
                    <w:tl2br w:val="nil"/>
                    <w:tr2bl w:val="nil"/>
                  </w:tcBorders>
                  <w:noWrap w:val="0"/>
                  <w:vAlign w:val="center"/>
                </w:tcPr>
                <w:p w14:paraId="52E92BEB">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类别</w:t>
                  </w:r>
                </w:p>
              </w:tc>
              <w:tc>
                <w:tcPr>
                  <w:tcW w:w="1898" w:type="pct"/>
                  <w:vMerge w:val="restart"/>
                  <w:tcBorders>
                    <w:tl2br w:val="nil"/>
                    <w:tr2bl w:val="nil"/>
                  </w:tcBorders>
                  <w:noWrap w:val="0"/>
                  <w:vAlign w:val="center"/>
                </w:tcPr>
                <w:p w14:paraId="01C4321D">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jc w:val="center"/>
                    <w:textAlignment w:val="bottom"/>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标准名称及级（类）别</w:t>
                  </w:r>
                </w:p>
              </w:tc>
              <w:tc>
                <w:tcPr>
                  <w:tcW w:w="866" w:type="pct"/>
                  <w:vMerge w:val="restart"/>
                  <w:tcBorders>
                    <w:tl2br w:val="nil"/>
                    <w:tr2bl w:val="nil"/>
                  </w:tcBorders>
                  <w:noWrap w:val="0"/>
                  <w:vAlign w:val="center"/>
                </w:tcPr>
                <w:p w14:paraId="030000F4">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污染</w:t>
                  </w:r>
                </w:p>
                <w:p w14:paraId="4DF5C411">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因子</w:t>
                  </w:r>
                </w:p>
              </w:tc>
              <w:tc>
                <w:tcPr>
                  <w:tcW w:w="1951" w:type="pct"/>
                  <w:gridSpan w:val="2"/>
                  <w:tcBorders>
                    <w:tl2br w:val="nil"/>
                    <w:tr2bl w:val="nil"/>
                  </w:tcBorders>
                  <w:noWrap w:val="0"/>
                  <w:vAlign w:val="center"/>
                </w:tcPr>
                <w:p w14:paraId="0AF1CA8E">
                  <w:pPr>
                    <w:keepNext w:val="0"/>
                    <w:keepLines w:val="0"/>
                    <w:pageBreakBefore w:val="0"/>
                    <w:widowControl w:val="0"/>
                    <w:suppressLineNumbers w:val="0"/>
                    <w:kinsoku/>
                    <w:wordWrap/>
                    <w:overflowPunct/>
                    <w:topLinePunct w:val="0"/>
                    <w:bidi w:val="0"/>
                    <w:snapToGrid w:val="0"/>
                    <w:spacing w:before="0" w:beforeAutospacing="0" w:after="0" w:afterAutospacing="0" w:line="240" w:lineRule="auto"/>
                    <w:ind w:left="0" w:right="0"/>
                    <w:jc w:val="center"/>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标准值</w:t>
                  </w:r>
                </w:p>
              </w:tc>
            </w:tr>
            <w:tr w14:paraId="7EDB3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Merge w:val="continue"/>
                  <w:tcBorders>
                    <w:tl2br w:val="nil"/>
                    <w:tr2bl w:val="nil"/>
                  </w:tcBorders>
                  <w:noWrap w:val="0"/>
                  <w:vAlign w:val="center"/>
                </w:tcPr>
                <w:p w14:paraId="536C64E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outlineLvl w:val="9"/>
                    <w:rPr>
                      <w:rFonts w:hint="default" w:ascii="Times New Roman" w:hAnsi="Times New Roman" w:cs="Times New Roman"/>
                      <w:color w:val="auto"/>
                      <w:sz w:val="21"/>
                      <w:szCs w:val="21"/>
                      <w:highlight w:val="none"/>
                    </w:rPr>
                  </w:pPr>
                </w:p>
              </w:tc>
              <w:tc>
                <w:tcPr>
                  <w:tcW w:w="1898" w:type="pct"/>
                  <w:vMerge w:val="continue"/>
                  <w:tcBorders>
                    <w:tl2br w:val="nil"/>
                    <w:tr2bl w:val="nil"/>
                  </w:tcBorders>
                  <w:noWrap w:val="0"/>
                  <w:vAlign w:val="center"/>
                </w:tcPr>
                <w:p w14:paraId="1F40911A">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outlineLvl w:val="9"/>
                    <w:rPr>
                      <w:rFonts w:hint="default" w:ascii="Times New Roman" w:hAnsi="Times New Roman" w:cs="Times New Roman"/>
                      <w:color w:val="auto"/>
                      <w:sz w:val="21"/>
                      <w:szCs w:val="21"/>
                      <w:highlight w:val="none"/>
                    </w:rPr>
                  </w:pPr>
                </w:p>
              </w:tc>
              <w:tc>
                <w:tcPr>
                  <w:tcW w:w="866" w:type="pct"/>
                  <w:vMerge w:val="continue"/>
                  <w:tcBorders>
                    <w:tl2br w:val="nil"/>
                    <w:tr2bl w:val="nil"/>
                  </w:tcBorders>
                  <w:noWrap w:val="0"/>
                  <w:vAlign w:val="center"/>
                </w:tcPr>
                <w:p w14:paraId="18B6E67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outlineLvl w:val="9"/>
                    <w:rPr>
                      <w:rFonts w:hint="default" w:ascii="Times New Roman" w:hAnsi="Times New Roman" w:cs="Times New Roman"/>
                      <w:color w:val="auto"/>
                      <w:sz w:val="21"/>
                      <w:szCs w:val="21"/>
                      <w:highlight w:val="none"/>
                    </w:rPr>
                  </w:pPr>
                </w:p>
              </w:tc>
              <w:tc>
                <w:tcPr>
                  <w:tcW w:w="1479" w:type="pct"/>
                  <w:tcBorders>
                    <w:tl2br w:val="nil"/>
                    <w:tr2bl w:val="nil"/>
                  </w:tcBorders>
                  <w:noWrap w:val="0"/>
                  <w:vAlign w:val="center"/>
                </w:tcPr>
                <w:p w14:paraId="39A94288">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单位</w:t>
                  </w:r>
                </w:p>
              </w:tc>
              <w:tc>
                <w:tcPr>
                  <w:tcW w:w="472" w:type="pct"/>
                  <w:tcBorders>
                    <w:tl2br w:val="nil"/>
                    <w:tr2bl w:val="nil"/>
                  </w:tcBorders>
                  <w:noWrap w:val="0"/>
                  <w:vAlign w:val="center"/>
                </w:tcPr>
                <w:p w14:paraId="6110152F">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firstLine="0" w:firstLineChars="0"/>
                    <w:jc w:val="center"/>
                    <w:textAlignment w:val="bottom"/>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数值</w:t>
                  </w:r>
                </w:p>
              </w:tc>
            </w:tr>
            <w:tr w14:paraId="7DEEA7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 w:type="pct"/>
                  <w:vMerge w:val="restart"/>
                  <w:tcBorders>
                    <w:tl2br w:val="nil"/>
                    <w:tr2bl w:val="nil"/>
                  </w:tcBorders>
                  <w:noWrap w:val="0"/>
                  <w:vAlign w:val="center"/>
                </w:tcPr>
                <w:p w14:paraId="17C5942F">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firstLine="0" w:firstLineChars="0"/>
                    <w:jc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废气</w:t>
                  </w:r>
                </w:p>
              </w:tc>
              <w:tc>
                <w:tcPr>
                  <w:tcW w:w="1898" w:type="pct"/>
                  <w:vMerge w:val="restart"/>
                  <w:tcBorders>
                    <w:tl2br w:val="nil"/>
                    <w:tr2bl w:val="nil"/>
                  </w:tcBorders>
                  <w:noWrap w:val="0"/>
                  <w:vAlign w:val="center"/>
                </w:tcPr>
                <w:p w14:paraId="3F773B9A">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firstLine="0" w:firstLineChars="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大气污染物综合排放标准》（GB16297-1996）</w:t>
                  </w:r>
                </w:p>
                <w:p w14:paraId="14FC2F22">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表2</w:t>
                  </w:r>
                  <w:r>
                    <w:rPr>
                      <w:rFonts w:hint="default" w:ascii="Times New Roman" w:hAnsi="Times New Roman" w:cs="Times New Roman"/>
                      <w:color w:val="auto"/>
                      <w:sz w:val="21"/>
                      <w:szCs w:val="21"/>
                      <w:highlight w:val="none"/>
                      <w:lang w:val="en-US" w:eastAsia="zh-CN"/>
                    </w:rPr>
                    <w:t>新污染源大气污染物排放限值</w:t>
                  </w:r>
                  <w:r>
                    <w:rPr>
                      <w:rFonts w:hint="default" w:ascii="Times New Roman" w:hAnsi="Times New Roman" w:cs="Times New Roman"/>
                      <w:color w:val="auto"/>
                      <w:sz w:val="21"/>
                      <w:szCs w:val="21"/>
                      <w:highlight w:val="none"/>
                    </w:rPr>
                    <w:t>中无组织排放监控浓度限</w:t>
                  </w:r>
                  <w:r>
                    <w:rPr>
                      <w:rFonts w:hint="default" w:ascii="Times New Roman" w:hAnsi="Times New Roman" w:cs="Times New Roman"/>
                      <w:color w:val="auto"/>
                      <w:sz w:val="21"/>
                      <w:szCs w:val="21"/>
                      <w:highlight w:val="none"/>
                      <w:lang w:eastAsia="zh-CN"/>
                    </w:rPr>
                    <w:t>值</w:t>
                  </w:r>
                </w:p>
              </w:tc>
              <w:tc>
                <w:tcPr>
                  <w:tcW w:w="866" w:type="pct"/>
                  <w:vMerge w:val="restart"/>
                  <w:tcBorders>
                    <w:tl2br w:val="nil"/>
                    <w:tr2bl w:val="nil"/>
                  </w:tcBorders>
                  <w:noWrap w:val="0"/>
                  <w:vAlign w:val="center"/>
                </w:tcPr>
                <w:p w14:paraId="2C245EE6">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bottom"/>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颗粒物</w:t>
                  </w:r>
                </w:p>
              </w:tc>
              <w:tc>
                <w:tcPr>
                  <w:tcW w:w="1479" w:type="pct"/>
                  <w:tcBorders>
                    <w:tl2br w:val="nil"/>
                    <w:tr2bl w:val="nil"/>
                  </w:tcBorders>
                  <w:noWrap w:val="0"/>
                  <w:vAlign w:val="center"/>
                </w:tcPr>
                <w:p w14:paraId="6ECCC057">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最高允许排放浓度</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472" w:type="pct"/>
                  <w:tcBorders>
                    <w:tl2br w:val="nil"/>
                    <w:tr2bl w:val="nil"/>
                  </w:tcBorders>
                  <w:noWrap w:val="0"/>
                  <w:vAlign w:val="center"/>
                </w:tcPr>
                <w:p w14:paraId="73B9C202">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120</w:t>
                  </w:r>
                </w:p>
              </w:tc>
            </w:tr>
            <w:tr w14:paraId="3749E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Merge w:val="continue"/>
                  <w:tcBorders>
                    <w:tl2br w:val="nil"/>
                    <w:tr2bl w:val="nil"/>
                  </w:tcBorders>
                  <w:noWrap w:val="0"/>
                  <w:vAlign w:val="center"/>
                </w:tcPr>
                <w:p w14:paraId="3ADA6B8F">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outlineLvl w:val="9"/>
                    <w:rPr>
                      <w:rFonts w:hint="default" w:ascii="Times New Roman" w:hAnsi="Times New Roman" w:cs="Times New Roman"/>
                      <w:color w:val="auto"/>
                      <w:sz w:val="21"/>
                      <w:szCs w:val="21"/>
                      <w:highlight w:val="none"/>
                      <w:lang w:eastAsia="zh-CN"/>
                    </w:rPr>
                  </w:pPr>
                </w:p>
              </w:tc>
              <w:tc>
                <w:tcPr>
                  <w:tcW w:w="1898" w:type="pct"/>
                  <w:vMerge w:val="continue"/>
                  <w:tcBorders>
                    <w:tl2br w:val="nil"/>
                    <w:tr2bl w:val="nil"/>
                  </w:tcBorders>
                  <w:noWrap w:val="0"/>
                  <w:vAlign w:val="center"/>
                </w:tcPr>
                <w:p w14:paraId="1180399E">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jc w:val="center"/>
                    <w:outlineLvl w:val="9"/>
                    <w:rPr>
                      <w:rFonts w:hint="default" w:ascii="Times New Roman" w:hAnsi="Times New Roman" w:cs="Times New Roman"/>
                      <w:color w:val="auto"/>
                      <w:sz w:val="21"/>
                      <w:szCs w:val="21"/>
                      <w:highlight w:val="none"/>
                    </w:rPr>
                  </w:pPr>
                </w:p>
              </w:tc>
              <w:tc>
                <w:tcPr>
                  <w:tcW w:w="866" w:type="pct"/>
                  <w:vMerge w:val="continue"/>
                  <w:tcBorders>
                    <w:tl2br w:val="nil"/>
                    <w:tr2bl w:val="nil"/>
                  </w:tcBorders>
                  <w:noWrap w:val="0"/>
                  <w:vAlign w:val="center"/>
                </w:tcPr>
                <w:p w14:paraId="795B625F">
                  <w:pPr>
                    <w:pStyle w:val="29"/>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firstLine="0" w:firstLineChars="0"/>
                    <w:jc w:val="center"/>
                    <w:textAlignment w:val="bottom"/>
                    <w:outlineLvl w:val="9"/>
                    <w:rPr>
                      <w:rFonts w:hint="default" w:ascii="Times New Roman" w:hAnsi="Times New Roman" w:cs="Times New Roman"/>
                      <w:color w:val="auto"/>
                      <w:sz w:val="21"/>
                      <w:szCs w:val="21"/>
                      <w:highlight w:val="none"/>
                    </w:rPr>
                  </w:pPr>
                </w:p>
              </w:tc>
              <w:tc>
                <w:tcPr>
                  <w:tcW w:w="1479" w:type="pct"/>
                  <w:tcBorders>
                    <w:tl2br w:val="nil"/>
                    <w:tr2bl w:val="nil"/>
                  </w:tcBorders>
                  <w:noWrap w:val="0"/>
                  <w:vAlign w:val="center"/>
                </w:tcPr>
                <w:p w14:paraId="5970608B">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无组织排放监控浓度限值</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472" w:type="pct"/>
                  <w:tcBorders>
                    <w:tl2br w:val="nil"/>
                    <w:tr2bl w:val="nil"/>
                  </w:tcBorders>
                  <w:noWrap w:val="0"/>
                  <w:vAlign w:val="center"/>
                </w:tcPr>
                <w:p w14:paraId="07F08728">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14:paraId="71F66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Merge w:val="continue"/>
                  <w:tcBorders>
                    <w:tl2br w:val="nil"/>
                    <w:tr2bl w:val="nil"/>
                  </w:tcBorders>
                  <w:noWrap w:val="0"/>
                  <w:vAlign w:val="center"/>
                </w:tcPr>
                <w:p w14:paraId="446CD472">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firstLine="0" w:firstLineChars="0"/>
                    <w:jc w:val="center"/>
                    <w:outlineLvl w:val="9"/>
                    <w:rPr>
                      <w:rFonts w:hint="default" w:ascii="Times New Roman" w:hAnsi="Times New Roman" w:cs="Times New Roman"/>
                      <w:color w:val="auto"/>
                      <w:sz w:val="21"/>
                      <w:szCs w:val="21"/>
                      <w:highlight w:val="none"/>
                      <w:lang w:eastAsia="zh-CN"/>
                    </w:rPr>
                  </w:pPr>
                </w:p>
              </w:tc>
              <w:tc>
                <w:tcPr>
                  <w:tcW w:w="1898" w:type="pct"/>
                  <w:vMerge w:val="restart"/>
                  <w:tcBorders>
                    <w:tl2br w:val="nil"/>
                    <w:tr2bl w:val="nil"/>
                  </w:tcBorders>
                  <w:noWrap w:val="0"/>
                  <w:vAlign w:val="center"/>
                </w:tcPr>
                <w:p w14:paraId="5E4279B4">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锅炉大气污染物排放标准》</w:t>
                  </w:r>
                  <w:r>
                    <w:rPr>
                      <w:rFonts w:hint="default" w:ascii="Times New Roman" w:hAnsi="Times New Roman" w:cs="Times New Roman"/>
                      <w:color w:val="auto"/>
                      <w:sz w:val="21"/>
                      <w:szCs w:val="21"/>
                      <w:highlight w:val="none"/>
                      <w:lang w:val="en-US" w:eastAsia="zh-CN"/>
                    </w:rPr>
                    <w:t>（GB13271-2014）表2燃煤锅炉大气污染物排放限值要求中燃煤锅炉要求</w:t>
                  </w:r>
                </w:p>
              </w:tc>
              <w:tc>
                <w:tcPr>
                  <w:tcW w:w="866" w:type="pct"/>
                  <w:tcBorders>
                    <w:tl2br w:val="nil"/>
                    <w:tr2bl w:val="nil"/>
                  </w:tcBorders>
                  <w:noWrap w:val="0"/>
                  <w:vAlign w:val="center"/>
                </w:tcPr>
                <w:p w14:paraId="5EF1F197">
                  <w:pPr>
                    <w:pStyle w:val="96"/>
                    <w:keepNext w:val="0"/>
                    <w:keepLines w:val="0"/>
                    <w:pageBreakBefore w:val="0"/>
                    <w:widowControl w:val="0"/>
                    <w:kinsoku/>
                    <w:wordWrap/>
                    <w:overflowPunct/>
                    <w:topLinePunct w:val="0"/>
                    <w:bidi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颗粒物</w:t>
                  </w:r>
                </w:p>
              </w:tc>
              <w:tc>
                <w:tcPr>
                  <w:tcW w:w="1479" w:type="pct"/>
                  <w:tcBorders>
                    <w:tl2br w:val="nil"/>
                    <w:tr2bl w:val="nil"/>
                  </w:tcBorders>
                  <w:noWrap w:val="0"/>
                  <w:vAlign w:val="center"/>
                </w:tcPr>
                <w:p w14:paraId="0E128D82">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472" w:type="pct"/>
                  <w:tcBorders>
                    <w:tl2br w:val="nil"/>
                    <w:tr2bl w:val="nil"/>
                  </w:tcBorders>
                  <w:noWrap w:val="0"/>
                  <w:vAlign w:val="center"/>
                </w:tcPr>
                <w:p w14:paraId="1B00D1FF">
                  <w:pPr>
                    <w:pStyle w:val="96"/>
                    <w:keepNext w:val="0"/>
                    <w:keepLines w:val="0"/>
                    <w:pageBreakBefore w:val="0"/>
                    <w:widowControl w:val="0"/>
                    <w:kinsoku/>
                    <w:wordWrap/>
                    <w:overflowPunct/>
                    <w:topLinePunct w:val="0"/>
                    <w:bidi w:val="0"/>
                    <w:spacing w:line="240" w:lineRule="auto"/>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r>
            <w:tr w14:paraId="0802B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Merge w:val="continue"/>
                  <w:tcBorders>
                    <w:tl2br w:val="nil"/>
                    <w:tr2bl w:val="nil"/>
                  </w:tcBorders>
                  <w:noWrap w:val="0"/>
                  <w:vAlign w:val="center"/>
                </w:tcPr>
                <w:p w14:paraId="0A3D65BC">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outlineLvl w:val="9"/>
                    <w:rPr>
                      <w:rFonts w:hint="default" w:ascii="Times New Roman" w:hAnsi="Times New Roman" w:cs="Times New Roman"/>
                      <w:color w:val="auto"/>
                      <w:sz w:val="21"/>
                      <w:szCs w:val="21"/>
                      <w:highlight w:val="none"/>
                      <w:lang w:eastAsia="zh-CN"/>
                    </w:rPr>
                  </w:pPr>
                </w:p>
              </w:tc>
              <w:tc>
                <w:tcPr>
                  <w:tcW w:w="1898" w:type="pct"/>
                  <w:vMerge w:val="continue"/>
                  <w:tcBorders>
                    <w:tl2br w:val="nil"/>
                    <w:tr2bl w:val="nil"/>
                  </w:tcBorders>
                  <w:noWrap w:val="0"/>
                  <w:vAlign w:val="center"/>
                </w:tcPr>
                <w:p w14:paraId="1875BD4B">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jc w:val="center"/>
                    <w:outlineLvl w:val="9"/>
                    <w:rPr>
                      <w:rFonts w:hint="default" w:ascii="Times New Roman" w:hAnsi="Times New Roman" w:cs="Times New Roman"/>
                      <w:color w:val="auto"/>
                      <w:sz w:val="21"/>
                      <w:szCs w:val="21"/>
                      <w:highlight w:val="none"/>
                    </w:rPr>
                  </w:pPr>
                </w:p>
              </w:tc>
              <w:tc>
                <w:tcPr>
                  <w:tcW w:w="866" w:type="pct"/>
                  <w:tcBorders>
                    <w:tl2br w:val="nil"/>
                    <w:tr2bl w:val="nil"/>
                  </w:tcBorders>
                  <w:noWrap w:val="0"/>
                  <w:vAlign w:val="center"/>
                </w:tcPr>
                <w:p w14:paraId="683F35F7">
                  <w:pPr>
                    <w:pStyle w:val="96"/>
                    <w:keepNext w:val="0"/>
                    <w:keepLines w:val="0"/>
                    <w:pageBreakBefore w:val="0"/>
                    <w:widowControl w:val="0"/>
                    <w:kinsoku/>
                    <w:wordWrap/>
                    <w:overflowPunct/>
                    <w:topLinePunct w:val="0"/>
                    <w:bidi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1479" w:type="pct"/>
                  <w:tcBorders>
                    <w:tl2br w:val="nil"/>
                    <w:tr2bl w:val="nil"/>
                  </w:tcBorders>
                  <w:noWrap w:val="0"/>
                  <w:vAlign w:val="center"/>
                </w:tcPr>
                <w:p w14:paraId="46CAB661">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472" w:type="pct"/>
                  <w:tcBorders>
                    <w:tl2br w:val="nil"/>
                    <w:tr2bl w:val="nil"/>
                  </w:tcBorders>
                  <w:noWrap w:val="0"/>
                  <w:vAlign w:val="center"/>
                </w:tcPr>
                <w:p w14:paraId="0BDBA873">
                  <w:pPr>
                    <w:pStyle w:val="96"/>
                    <w:keepNext w:val="0"/>
                    <w:keepLines w:val="0"/>
                    <w:pageBreakBefore w:val="0"/>
                    <w:widowControl w:val="0"/>
                    <w:kinsoku/>
                    <w:wordWrap/>
                    <w:overflowPunct/>
                    <w:topLinePunct w:val="0"/>
                    <w:bidi w:val="0"/>
                    <w:spacing w:line="240" w:lineRule="auto"/>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300</w:t>
                  </w:r>
                </w:p>
              </w:tc>
            </w:tr>
            <w:tr w14:paraId="1E1E3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Merge w:val="continue"/>
                  <w:tcBorders>
                    <w:tl2br w:val="nil"/>
                    <w:tr2bl w:val="nil"/>
                  </w:tcBorders>
                  <w:noWrap w:val="0"/>
                  <w:vAlign w:val="center"/>
                </w:tcPr>
                <w:p w14:paraId="40FE2C30">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outlineLvl w:val="9"/>
                    <w:rPr>
                      <w:rFonts w:hint="default" w:ascii="Times New Roman" w:hAnsi="Times New Roman" w:cs="Times New Roman"/>
                      <w:color w:val="auto"/>
                      <w:sz w:val="21"/>
                      <w:szCs w:val="21"/>
                      <w:highlight w:val="none"/>
                      <w:lang w:eastAsia="zh-CN"/>
                    </w:rPr>
                  </w:pPr>
                </w:p>
              </w:tc>
              <w:tc>
                <w:tcPr>
                  <w:tcW w:w="1898" w:type="pct"/>
                  <w:vMerge w:val="continue"/>
                  <w:tcBorders>
                    <w:tl2br w:val="nil"/>
                    <w:tr2bl w:val="nil"/>
                  </w:tcBorders>
                  <w:noWrap w:val="0"/>
                  <w:vAlign w:val="center"/>
                </w:tcPr>
                <w:p w14:paraId="41B5CCEF">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jc w:val="center"/>
                    <w:outlineLvl w:val="9"/>
                    <w:rPr>
                      <w:rFonts w:hint="default" w:ascii="Times New Roman" w:hAnsi="Times New Roman" w:cs="Times New Roman"/>
                      <w:color w:val="auto"/>
                      <w:sz w:val="21"/>
                      <w:szCs w:val="21"/>
                      <w:highlight w:val="none"/>
                    </w:rPr>
                  </w:pPr>
                </w:p>
              </w:tc>
              <w:tc>
                <w:tcPr>
                  <w:tcW w:w="866" w:type="pct"/>
                  <w:tcBorders>
                    <w:tl2br w:val="nil"/>
                    <w:tr2bl w:val="nil"/>
                  </w:tcBorders>
                  <w:noWrap w:val="0"/>
                  <w:vAlign w:val="center"/>
                </w:tcPr>
                <w:p w14:paraId="64018EA7">
                  <w:pPr>
                    <w:pStyle w:val="96"/>
                    <w:keepNext w:val="0"/>
                    <w:keepLines w:val="0"/>
                    <w:pageBreakBefore w:val="0"/>
                    <w:widowControl w:val="0"/>
                    <w:kinsoku/>
                    <w:wordWrap/>
                    <w:overflowPunct/>
                    <w:topLinePunct w:val="0"/>
                    <w:bidi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X</w:t>
                  </w:r>
                </w:p>
              </w:tc>
              <w:tc>
                <w:tcPr>
                  <w:tcW w:w="1479" w:type="pct"/>
                  <w:tcBorders>
                    <w:tl2br w:val="nil"/>
                    <w:tr2bl w:val="nil"/>
                  </w:tcBorders>
                  <w:noWrap w:val="0"/>
                  <w:vAlign w:val="center"/>
                </w:tcPr>
                <w:p w14:paraId="62699038">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472" w:type="pct"/>
                  <w:tcBorders>
                    <w:tl2br w:val="nil"/>
                    <w:tr2bl w:val="nil"/>
                  </w:tcBorders>
                  <w:noWrap w:val="0"/>
                  <w:vAlign w:val="center"/>
                </w:tcPr>
                <w:p w14:paraId="1038052E">
                  <w:pPr>
                    <w:pStyle w:val="96"/>
                    <w:keepNext w:val="0"/>
                    <w:keepLines w:val="0"/>
                    <w:pageBreakBefore w:val="0"/>
                    <w:widowControl w:val="0"/>
                    <w:kinsoku/>
                    <w:wordWrap/>
                    <w:overflowPunct/>
                    <w:topLinePunct w:val="0"/>
                    <w:bidi w:val="0"/>
                    <w:spacing w:line="240" w:lineRule="auto"/>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300</w:t>
                  </w:r>
                </w:p>
              </w:tc>
            </w:tr>
            <w:tr w14:paraId="3ED74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Merge w:val="continue"/>
                  <w:tcBorders>
                    <w:tl2br w:val="nil"/>
                    <w:tr2bl w:val="nil"/>
                  </w:tcBorders>
                  <w:noWrap w:val="0"/>
                  <w:vAlign w:val="center"/>
                </w:tcPr>
                <w:p w14:paraId="5C4BE371">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outlineLvl w:val="9"/>
                    <w:rPr>
                      <w:rFonts w:hint="default" w:ascii="Times New Roman" w:hAnsi="Times New Roman" w:cs="Times New Roman"/>
                      <w:color w:val="auto"/>
                      <w:sz w:val="21"/>
                      <w:szCs w:val="21"/>
                      <w:highlight w:val="none"/>
                      <w:lang w:eastAsia="zh-CN"/>
                    </w:rPr>
                  </w:pPr>
                </w:p>
              </w:tc>
              <w:tc>
                <w:tcPr>
                  <w:tcW w:w="1898" w:type="pct"/>
                  <w:vMerge w:val="continue"/>
                  <w:tcBorders>
                    <w:tl2br w:val="nil"/>
                    <w:tr2bl w:val="nil"/>
                  </w:tcBorders>
                  <w:noWrap w:val="0"/>
                  <w:vAlign w:val="center"/>
                </w:tcPr>
                <w:p w14:paraId="2E459FC0">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jc w:val="center"/>
                    <w:outlineLvl w:val="9"/>
                    <w:rPr>
                      <w:rFonts w:hint="default" w:ascii="Times New Roman" w:hAnsi="Times New Roman" w:cs="Times New Roman"/>
                      <w:color w:val="auto"/>
                      <w:sz w:val="21"/>
                      <w:szCs w:val="21"/>
                      <w:highlight w:val="none"/>
                    </w:rPr>
                  </w:pPr>
                </w:p>
              </w:tc>
              <w:tc>
                <w:tcPr>
                  <w:tcW w:w="866" w:type="pct"/>
                  <w:tcBorders>
                    <w:tl2br w:val="nil"/>
                    <w:tr2bl w:val="nil"/>
                  </w:tcBorders>
                  <w:noWrap w:val="0"/>
                  <w:vAlign w:val="center"/>
                </w:tcPr>
                <w:p w14:paraId="18D2101D">
                  <w:pPr>
                    <w:pStyle w:val="96"/>
                    <w:keepNext w:val="0"/>
                    <w:keepLines w:val="0"/>
                    <w:pageBreakBefore w:val="0"/>
                    <w:widowControl w:val="0"/>
                    <w:kinsoku/>
                    <w:wordWrap/>
                    <w:overflowPunct/>
                    <w:topLinePunct w:val="0"/>
                    <w:bidi w:val="0"/>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汞及其化合物</w:t>
                  </w:r>
                </w:p>
              </w:tc>
              <w:tc>
                <w:tcPr>
                  <w:tcW w:w="1479" w:type="pct"/>
                  <w:tcBorders>
                    <w:tl2br w:val="nil"/>
                    <w:tr2bl w:val="nil"/>
                  </w:tcBorders>
                  <w:noWrap w:val="0"/>
                  <w:vAlign w:val="center"/>
                </w:tcPr>
                <w:p w14:paraId="7C5ED224">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p>
              </w:tc>
              <w:tc>
                <w:tcPr>
                  <w:tcW w:w="472" w:type="pct"/>
                  <w:tcBorders>
                    <w:tl2br w:val="nil"/>
                    <w:tr2bl w:val="nil"/>
                  </w:tcBorders>
                  <w:noWrap w:val="0"/>
                  <w:vAlign w:val="center"/>
                </w:tcPr>
                <w:p w14:paraId="742B80C7">
                  <w:pPr>
                    <w:pStyle w:val="96"/>
                    <w:keepNext w:val="0"/>
                    <w:keepLines w:val="0"/>
                    <w:pageBreakBefore w:val="0"/>
                    <w:widowControl w:val="0"/>
                    <w:kinsoku/>
                    <w:wordWrap/>
                    <w:overflowPunct/>
                    <w:topLinePunct w:val="0"/>
                    <w:bidi w:val="0"/>
                    <w:spacing w:line="240" w:lineRule="auto"/>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w:t>
                  </w:r>
                </w:p>
              </w:tc>
            </w:tr>
            <w:tr w14:paraId="12738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3" w:type="pct"/>
                  <w:vMerge w:val="continue"/>
                  <w:tcBorders>
                    <w:tl2br w:val="nil"/>
                    <w:tr2bl w:val="nil"/>
                  </w:tcBorders>
                  <w:noWrap w:val="0"/>
                  <w:vAlign w:val="center"/>
                </w:tcPr>
                <w:p w14:paraId="599E1DAE">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outlineLvl w:val="9"/>
                    <w:rPr>
                      <w:rFonts w:hint="default" w:ascii="Times New Roman" w:hAnsi="Times New Roman" w:cs="Times New Roman"/>
                      <w:color w:val="auto"/>
                      <w:sz w:val="21"/>
                      <w:szCs w:val="21"/>
                      <w:highlight w:val="none"/>
                      <w:lang w:eastAsia="zh-CN"/>
                    </w:rPr>
                  </w:pPr>
                </w:p>
              </w:tc>
              <w:tc>
                <w:tcPr>
                  <w:tcW w:w="1898" w:type="pct"/>
                  <w:vMerge w:val="continue"/>
                  <w:tcBorders>
                    <w:tl2br w:val="nil"/>
                    <w:tr2bl w:val="nil"/>
                  </w:tcBorders>
                  <w:noWrap w:val="0"/>
                  <w:vAlign w:val="center"/>
                </w:tcPr>
                <w:p w14:paraId="41E676D6">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jc w:val="center"/>
                    <w:outlineLvl w:val="9"/>
                    <w:rPr>
                      <w:rFonts w:hint="default" w:ascii="Times New Roman" w:hAnsi="Times New Roman" w:cs="Times New Roman"/>
                      <w:color w:val="auto"/>
                      <w:sz w:val="21"/>
                      <w:szCs w:val="21"/>
                      <w:highlight w:val="none"/>
                    </w:rPr>
                  </w:pPr>
                </w:p>
              </w:tc>
              <w:tc>
                <w:tcPr>
                  <w:tcW w:w="866" w:type="pct"/>
                  <w:tcBorders>
                    <w:tl2br w:val="nil"/>
                    <w:tr2bl w:val="nil"/>
                  </w:tcBorders>
                  <w:noWrap w:val="0"/>
                  <w:vAlign w:val="center"/>
                </w:tcPr>
                <w:p w14:paraId="727416B8">
                  <w:pPr>
                    <w:pStyle w:val="96"/>
                    <w:keepNext w:val="0"/>
                    <w:keepLines w:val="0"/>
                    <w:pageBreakBefore w:val="0"/>
                    <w:widowControl w:val="0"/>
                    <w:kinsoku/>
                    <w:wordWrap/>
                    <w:overflowPunct/>
                    <w:topLinePunct w:val="0"/>
                    <w:bidi w:val="0"/>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烟气黑度（林格曼黑度）</w:t>
                  </w:r>
                </w:p>
              </w:tc>
              <w:tc>
                <w:tcPr>
                  <w:tcW w:w="1479" w:type="pct"/>
                  <w:tcBorders>
                    <w:tl2br w:val="nil"/>
                    <w:tr2bl w:val="nil"/>
                  </w:tcBorders>
                  <w:noWrap w:val="0"/>
                  <w:vAlign w:val="center"/>
                </w:tcPr>
                <w:p w14:paraId="76090E89">
                  <w:pPr>
                    <w:keepNext w:val="0"/>
                    <w:keepLines w:val="0"/>
                    <w:pageBreakBefore w:val="0"/>
                    <w:widowControl w:val="0"/>
                    <w:suppressLineNumbers w:val="0"/>
                    <w:kinsoku/>
                    <w:wordWrap/>
                    <w:overflowPunct/>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无量纲</w:t>
                  </w:r>
                </w:p>
              </w:tc>
              <w:tc>
                <w:tcPr>
                  <w:tcW w:w="472" w:type="pct"/>
                  <w:tcBorders>
                    <w:tl2br w:val="nil"/>
                    <w:tr2bl w:val="nil"/>
                  </w:tcBorders>
                  <w:noWrap w:val="0"/>
                  <w:vAlign w:val="center"/>
                </w:tcPr>
                <w:p w14:paraId="599019A0">
                  <w:pPr>
                    <w:pStyle w:val="96"/>
                    <w:keepNext w:val="0"/>
                    <w:keepLines w:val="0"/>
                    <w:pageBreakBefore w:val="0"/>
                    <w:widowControl w:val="0"/>
                    <w:kinsoku/>
                    <w:wordWrap/>
                    <w:overflowPunct/>
                    <w:topLinePunct w:val="0"/>
                    <w:bidi w:val="0"/>
                    <w:spacing w:line="240" w:lineRule="auto"/>
                    <w:ind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r>
          </w:tbl>
          <w:p w14:paraId="32CE1815">
            <w:pPr>
              <w:spacing w:line="360" w:lineRule="auto"/>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2、噪声</w:t>
            </w:r>
          </w:p>
          <w:p w14:paraId="41CB3F5D">
            <w:pPr>
              <w:adjustRightInd w:val="0"/>
              <w:snapToGrid w:val="0"/>
              <w:spacing w:line="360" w:lineRule="auto"/>
              <w:ind w:firstLine="480" w:firstLineChars="200"/>
              <w:rPr>
                <w:rFonts w:hint="default" w:ascii="Times New Roman" w:hAnsi="Times New Roman" w:eastAsia="宋体" w:cs="Times New Roman"/>
                <w:color w:val="auto"/>
                <w:spacing w:val="0"/>
                <w:kern w:val="0"/>
                <w:sz w:val="24"/>
                <w:highlight w:val="none"/>
              </w:rPr>
            </w:pPr>
            <w:r>
              <w:rPr>
                <w:rFonts w:hint="default" w:ascii="Times New Roman" w:hAnsi="Times New Roman" w:eastAsia="宋体" w:cs="Times New Roman"/>
                <w:color w:val="auto"/>
                <w:spacing w:val="0"/>
                <w:kern w:val="0"/>
                <w:sz w:val="24"/>
                <w:highlight w:val="none"/>
              </w:rPr>
              <w:t>施工期噪声执行《</w:t>
            </w:r>
            <w:r>
              <w:rPr>
                <w:rFonts w:hint="default" w:ascii="Times New Roman" w:hAnsi="Times New Roman" w:cs="Times New Roman"/>
                <w:color w:val="auto"/>
                <w:spacing w:val="0"/>
                <w:kern w:val="0"/>
                <w:sz w:val="24"/>
                <w:highlight w:val="none"/>
                <w:lang w:eastAsia="zh-CN"/>
              </w:rPr>
              <w:t>建筑施工噪声排放标准</w:t>
            </w:r>
            <w:r>
              <w:rPr>
                <w:rFonts w:hint="default" w:ascii="Times New Roman" w:hAnsi="Times New Roman" w:eastAsia="宋体" w:cs="Times New Roman"/>
                <w:color w:val="auto"/>
                <w:spacing w:val="0"/>
                <w:kern w:val="0"/>
                <w:sz w:val="24"/>
                <w:highlight w:val="none"/>
              </w:rPr>
              <w:t>》（</w:t>
            </w:r>
            <w:r>
              <w:rPr>
                <w:rFonts w:hint="default" w:ascii="Times New Roman" w:hAnsi="Times New Roman" w:cs="Times New Roman"/>
                <w:color w:val="auto"/>
                <w:spacing w:val="0"/>
                <w:kern w:val="0"/>
                <w:sz w:val="24"/>
                <w:highlight w:val="none"/>
                <w:lang w:eastAsia="zh-CN"/>
              </w:rPr>
              <w:t>GB 12523-2025</w:t>
            </w:r>
            <w:r>
              <w:rPr>
                <w:rFonts w:hint="default" w:ascii="Times New Roman" w:hAnsi="Times New Roman" w:eastAsia="宋体" w:cs="Times New Roman"/>
                <w:color w:val="auto"/>
                <w:spacing w:val="0"/>
                <w:kern w:val="0"/>
                <w:sz w:val="24"/>
                <w:highlight w:val="none"/>
              </w:rPr>
              <w:t>）。</w:t>
            </w:r>
          </w:p>
          <w:p w14:paraId="750565EF">
            <w:pPr>
              <w:adjustRightInd w:val="0"/>
              <w:snapToGrid w:val="0"/>
              <w:spacing w:line="240" w:lineRule="auto"/>
              <w:ind w:firstLine="0" w:firstLineChars="0"/>
              <w:jc w:val="center"/>
              <w:rPr>
                <w:rFonts w:hint="default" w:ascii="Times New Roman" w:hAnsi="Times New Roman" w:eastAsia="宋体" w:cs="Times New Roman"/>
                <w:b/>
                <w:color w:val="auto"/>
                <w:spacing w:val="0"/>
                <w:kern w:val="0"/>
                <w:sz w:val="21"/>
                <w:szCs w:val="21"/>
                <w:highlight w:val="none"/>
              </w:rPr>
            </w:pPr>
            <w:r>
              <w:rPr>
                <w:rFonts w:hint="default" w:ascii="Times New Roman" w:hAnsi="Times New Roman" w:eastAsia="宋体" w:cs="Times New Roman"/>
                <w:b/>
                <w:color w:val="auto"/>
                <w:spacing w:val="0"/>
                <w:kern w:val="0"/>
                <w:sz w:val="21"/>
                <w:szCs w:val="21"/>
                <w:highlight w:val="none"/>
              </w:rPr>
              <w:t>表3-</w:t>
            </w:r>
            <w:r>
              <w:rPr>
                <w:rFonts w:hint="default" w:ascii="Times New Roman" w:hAnsi="Times New Roman" w:eastAsia="宋体" w:cs="Times New Roman"/>
                <w:b/>
                <w:color w:val="auto"/>
                <w:spacing w:val="0"/>
                <w:kern w:val="0"/>
                <w:sz w:val="21"/>
                <w:szCs w:val="21"/>
                <w:highlight w:val="none"/>
                <w:lang w:val="en-US" w:eastAsia="zh-CN"/>
              </w:rPr>
              <w:t>4</w:t>
            </w:r>
            <w:r>
              <w:rPr>
                <w:rFonts w:hint="default" w:ascii="Times New Roman" w:hAnsi="Times New Roman" w:eastAsia="宋体" w:cs="Times New Roman"/>
                <w:b/>
                <w:color w:val="auto"/>
                <w:spacing w:val="0"/>
                <w:kern w:val="0"/>
                <w:sz w:val="21"/>
                <w:szCs w:val="21"/>
                <w:highlight w:val="none"/>
              </w:rPr>
              <w:t>《</w:t>
            </w:r>
            <w:r>
              <w:rPr>
                <w:rFonts w:hint="default" w:ascii="Times New Roman" w:hAnsi="Times New Roman" w:cs="Times New Roman"/>
                <w:b/>
                <w:color w:val="auto"/>
                <w:spacing w:val="0"/>
                <w:kern w:val="0"/>
                <w:sz w:val="21"/>
                <w:szCs w:val="21"/>
                <w:highlight w:val="none"/>
                <w:lang w:eastAsia="zh-CN"/>
              </w:rPr>
              <w:t>建筑施工噪声排放标准</w:t>
            </w:r>
            <w:r>
              <w:rPr>
                <w:rFonts w:hint="default" w:ascii="Times New Roman" w:hAnsi="Times New Roman" w:eastAsia="宋体" w:cs="Times New Roman"/>
                <w:b/>
                <w:color w:val="auto"/>
                <w:spacing w:val="0"/>
                <w:kern w:val="0"/>
                <w:sz w:val="21"/>
                <w:szCs w:val="21"/>
                <w:highlight w:val="none"/>
              </w:rPr>
              <w:t>》（GB12523-20</w:t>
            </w:r>
            <w:r>
              <w:rPr>
                <w:rFonts w:hint="default" w:ascii="Times New Roman" w:hAnsi="Times New Roman" w:cs="Times New Roman"/>
                <w:b/>
                <w:color w:val="auto"/>
                <w:spacing w:val="0"/>
                <w:kern w:val="0"/>
                <w:sz w:val="21"/>
                <w:szCs w:val="21"/>
                <w:highlight w:val="none"/>
                <w:lang w:val="en-US" w:eastAsia="zh-CN"/>
              </w:rPr>
              <w:t>25</w:t>
            </w:r>
            <w:r>
              <w:rPr>
                <w:rFonts w:hint="default" w:ascii="Times New Roman" w:hAnsi="Times New Roman" w:eastAsia="宋体" w:cs="Times New Roman"/>
                <w:b/>
                <w:color w:val="auto"/>
                <w:spacing w:val="0"/>
                <w:kern w:val="0"/>
                <w:sz w:val="21"/>
                <w:szCs w:val="21"/>
                <w:highlight w:val="none"/>
              </w:rPr>
              <w:t>）</w:t>
            </w:r>
          </w:p>
          <w:tbl>
            <w:tblPr>
              <w:tblStyle w:val="3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29"/>
              <w:gridCol w:w="3842"/>
            </w:tblGrid>
            <w:tr w14:paraId="1356C8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28" w:type="pct"/>
                  <w:noWrap w:val="0"/>
                  <w:vAlign w:val="center"/>
                </w:tcPr>
                <w:p w14:paraId="7789D3A1">
                  <w:pPr>
                    <w:pStyle w:val="13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18"/>
                      <w:highlight w:val="none"/>
                    </w:rPr>
                  </w:pPr>
                  <w:r>
                    <w:rPr>
                      <w:rFonts w:hint="default" w:ascii="Times New Roman" w:hAnsi="Times New Roman" w:eastAsia="宋体" w:cs="Times New Roman"/>
                      <w:color w:val="auto"/>
                      <w:spacing w:val="0"/>
                      <w:sz w:val="21"/>
                      <w:szCs w:val="18"/>
                      <w:highlight w:val="none"/>
                    </w:rPr>
                    <w:t>昼间</w:t>
                  </w:r>
                </w:p>
              </w:tc>
              <w:tc>
                <w:tcPr>
                  <w:tcW w:w="2472" w:type="pct"/>
                  <w:noWrap w:val="0"/>
                  <w:vAlign w:val="center"/>
                </w:tcPr>
                <w:p w14:paraId="11E70CE9">
                  <w:pPr>
                    <w:pStyle w:val="13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18"/>
                      <w:highlight w:val="none"/>
                    </w:rPr>
                  </w:pPr>
                  <w:r>
                    <w:rPr>
                      <w:rFonts w:hint="default" w:ascii="Times New Roman" w:hAnsi="Times New Roman" w:eastAsia="宋体" w:cs="Times New Roman"/>
                      <w:color w:val="auto"/>
                      <w:spacing w:val="0"/>
                      <w:sz w:val="21"/>
                      <w:szCs w:val="18"/>
                      <w:highlight w:val="none"/>
                    </w:rPr>
                    <w:t>夜间</w:t>
                  </w:r>
                </w:p>
              </w:tc>
            </w:tr>
            <w:tr w14:paraId="41528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528" w:type="pct"/>
                  <w:noWrap w:val="0"/>
                  <w:vAlign w:val="center"/>
                </w:tcPr>
                <w:p w14:paraId="222C82FB">
                  <w:pPr>
                    <w:pStyle w:val="13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18"/>
                      <w:highlight w:val="none"/>
                    </w:rPr>
                  </w:pPr>
                  <w:r>
                    <w:rPr>
                      <w:rFonts w:hint="default" w:ascii="Times New Roman" w:hAnsi="Times New Roman" w:eastAsia="宋体" w:cs="Times New Roman"/>
                      <w:color w:val="auto"/>
                      <w:spacing w:val="0"/>
                      <w:sz w:val="21"/>
                      <w:szCs w:val="18"/>
                      <w:highlight w:val="none"/>
                    </w:rPr>
                    <w:t>70</w:t>
                  </w:r>
                  <w:r>
                    <w:rPr>
                      <w:rFonts w:hint="default" w:ascii="Times New Roman" w:hAnsi="Times New Roman" w:eastAsia="宋体" w:cs="Times New Roman"/>
                      <w:bCs/>
                      <w:color w:val="auto"/>
                      <w:spacing w:val="0"/>
                      <w:sz w:val="21"/>
                      <w:szCs w:val="18"/>
                      <w:highlight w:val="none"/>
                    </w:rPr>
                    <w:t>dB</w:t>
                  </w:r>
                  <w:r>
                    <w:rPr>
                      <w:rFonts w:hint="default" w:ascii="Times New Roman" w:hAnsi="Times New Roman" w:cs="Times New Roman"/>
                      <w:bCs/>
                      <w:color w:val="auto"/>
                      <w:spacing w:val="0"/>
                      <w:sz w:val="21"/>
                      <w:szCs w:val="18"/>
                      <w:highlight w:val="none"/>
                      <w:lang w:eastAsia="zh-CN"/>
                    </w:rPr>
                    <w:t>(</w:t>
                  </w:r>
                  <w:r>
                    <w:rPr>
                      <w:rFonts w:hint="default" w:ascii="Times New Roman" w:hAnsi="Times New Roman" w:eastAsia="宋体" w:cs="Times New Roman"/>
                      <w:bCs/>
                      <w:color w:val="auto"/>
                      <w:spacing w:val="0"/>
                      <w:sz w:val="21"/>
                      <w:szCs w:val="18"/>
                      <w:highlight w:val="none"/>
                    </w:rPr>
                    <w:t>A</w:t>
                  </w:r>
                  <w:r>
                    <w:rPr>
                      <w:rFonts w:hint="default" w:ascii="Times New Roman" w:hAnsi="Times New Roman" w:cs="Times New Roman"/>
                      <w:bCs/>
                      <w:color w:val="auto"/>
                      <w:spacing w:val="0"/>
                      <w:sz w:val="21"/>
                      <w:szCs w:val="18"/>
                      <w:highlight w:val="none"/>
                      <w:lang w:eastAsia="zh-CN"/>
                    </w:rPr>
                    <w:t>)</w:t>
                  </w:r>
                </w:p>
              </w:tc>
              <w:tc>
                <w:tcPr>
                  <w:tcW w:w="2472" w:type="pct"/>
                  <w:noWrap w:val="0"/>
                  <w:vAlign w:val="center"/>
                </w:tcPr>
                <w:p w14:paraId="04A5E2FF">
                  <w:pPr>
                    <w:pStyle w:val="13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18"/>
                      <w:highlight w:val="none"/>
                    </w:rPr>
                  </w:pPr>
                  <w:r>
                    <w:rPr>
                      <w:rFonts w:hint="default" w:ascii="Times New Roman" w:hAnsi="Times New Roman" w:eastAsia="宋体" w:cs="Times New Roman"/>
                      <w:color w:val="auto"/>
                      <w:spacing w:val="0"/>
                      <w:sz w:val="21"/>
                      <w:szCs w:val="18"/>
                      <w:highlight w:val="none"/>
                    </w:rPr>
                    <w:t>55</w:t>
                  </w:r>
                  <w:r>
                    <w:rPr>
                      <w:rFonts w:hint="default" w:ascii="Times New Roman" w:hAnsi="Times New Roman" w:eastAsia="宋体" w:cs="Times New Roman"/>
                      <w:bCs/>
                      <w:color w:val="auto"/>
                      <w:spacing w:val="0"/>
                      <w:sz w:val="21"/>
                      <w:szCs w:val="18"/>
                      <w:highlight w:val="none"/>
                    </w:rPr>
                    <w:t>dB</w:t>
                  </w:r>
                  <w:r>
                    <w:rPr>
                      <w:rFonts w:hint="default" w:ascii="Times New Roman" w:hAnsi="Times New Roman" w:cs="Times New Roman"/>
                      <w:bCs/>
                      <w:color w:val="auto"/>
                      <w:spacing w:val="0"/>
                      <w:sz w:val="21"/>
                      <w:szCs w:val="18"/>
                      <w:highlight w:val="none"/>
                      <w:lang w:eastAsia="zh-CN"/>
                    </w:rPr>
                    <w:t>(</w:t>
                  </w:r>
                  <w:r>
                    <w:rPr>
                      <w:rFonts w:hint="default" w:ascii="Times New Roman" w:hAnsi="Times New Roman" w:eastAsia="宋体" w:cs="Times New Roman"/>
                      <w:bCs/>
                      <w:color w:val="auto"/>
                      <w:spacing w:val="0"/>
                      <w:sz w:val="21"/>
                      <w:szCs w:val="18"/>
                      <w:highlight w:val="none"/>
                    </w:rPr>
                    <w:t>A</w:t>
                  </w:r>
                  <w:r>
                    <w:rPr>
                      <w:rFonts w:hint="default" w:ascii="Times New Roman" w:hAnsi="Times New Roman" w:cs="Times New Roman"/>
                      <w:bCs/>
                      <w:color w:val="auto"/>
                      <w:spacing w:val="0"/>
                      <w:sz w:val="21"/>
                      <w:szCs w:val="18"/>
                      <w:highlight w:val="none"/>
                      <w:lang w:eastAsia="zh-CN"/>
                    </w:rPr>
                    <w:t>)</w:t>
                  </w:r>
                </w:p>
              </w:tc>
            </w:tr>
          </w:tbl>
          <w:p w14:paraId="20D74C0D">
            <w:pPr>
              <w:pStyle w:val="114"/>
              <w:spacing w:line="360" w:lineRule="auto"/>
              <w:ind w:firstLine="480" w:firstLineChars="200"/>
              <w:rPr>
                <w:rFonts w:hint="default" w:ascii="Times New Roman" w:hAnsi="Times New Roman" w:eastAsia="宋体" w:cs="Times New Roman"/>
                <w:b/>
                <w:color w:val="auto"/>
                <w:spacing w:val="0"/>
                <w:kern w:val="2"/>
                <w:sz w:val="24"/>
                <w:szCs w:val="24"/>
                <w:highlight w:val="none"/>
              </w:rPr>
            </w:pPr>
            <w:r>
              <w:rPr>
                <w:rFonts w:hint="default" w:ascii="Times New Roman" w:hAnsi="Times New Roman" w:cs="Times New Roman"/>
                <w:color w:val="auto"/>
                <w:spacing w:val="0"/>
                <w:highlight w:val="none"/>
                <w:lang w:val="en-US" w:eastAsia="zh-CN"/>
              </w:rPr>
              <w:t>根据</w:t>
            </w:r>
            <w:r>
              <w:rPr>
                <w:rFonts w:hint="default" w:ascii="Times New Roman" w:hAnsi="Times New Roman" w:cs="Times New Roman"/>
                <w:bCs/>
                <w:color w:val="auto"/>
                <w:spacing w:val="0"/>
                <w:sz w:val="24"/>
                <w:szCs w:val="24"/>
                <w:highlight w:val="none"/>
                <w:lang w:val="en-US" w:eastAsia="zh-CN"/>
              </w:rPr>
              <w:t>虎林市绿都海狮油脂有限责任公司</w:t>
            </w:r>
            <w:r>
              <w:rPr>
                <w:rFonts w:hint="default" w:ascii="Times New Roman" w:hAnsi="Times New Roman" w:cs="Times New Roman"/>
                <w:color w:val="auto"/>
                <w:spacing w:val="0"/>
                <w:highlight w:val="none"/>
                <w:lang w:val="en-US" w:eastAsia="zh-CN"/>
              </w:rPr>
              <w:t>排污许可证要求，</w:t>
            </w:r>
            <w:r>
              <w:rPr>
                <w:rFonts w:hint="default" w:ascii="Times New Roman" w:hAnsi="Times New Roman" w:eastAsia="宋体" w:cs="Times New Roman"/>
                <w:color w:val="auto"/>
                <w:spacing w:val="0"/>
                <w:highlight w:val="none"/>
                <w:lang w:val="en-US" w:eastAsia="zh-CN"/>
              </w:rPr>
              <w:t>本项目</w:t>
            </w:r>
            <w:r>
              <w:rPr>
                <w:rFonts w:hint="default" w:ascii="Times New Roman" w:hAnsi="Times New Roman" w:eastAsia="宋体" w:cs="Times New Roman"/>
                <w:color w:val="auto"/>
                <w:spacing w:val="0"/>
                <w:sz w:val="24"/>
                <w:szCs w:val="24"/>
                <w:highlight w:val="none"/>
              </w:rPr>
              <w:t>厂</w:t>
            </w:r>
            <w:r>
              <w:rPr>
                <w:rFonts w:hint="default" w:ascii="Times New Roman" w:hAnsi="Times New Roman" w:eastAsia="宋体" w:cs="Times New Roman"/>
                <w:color w:val="auto"/>
                <w:spacing w:val="0"/>
                <w:sz w:val="24"/>
                <w:szCs w:val="24"/>
                <w:highlight w:val="none"/>
                <w:lang w:val="en-US" w:eastAsia="zh-CN"/>
              </w:rPr>
              <w:t>界</w:t>
            </w:r>
            <w:r>
              <w:rPr>
                <w:rFonts w:hint="default" w:ascii="Times New Roman" w:hAnsi="Times New Roman" w:eastAsia="宋体" w:cs="Times New Roman"/>
                <w:color w:val="auto"/>
                <w:spacing w:val="0"/>
                <w:sz w:val="24"/>
                <w:szCs w:val="24"/>
                <w:highlight w:val="none"/>
              </w:rPr>
              <w:t>噪声执行《工业企业厂界环境噪声排放标准》（GB12348-2008）表1中</w:t>
            </w:r>
            <w:r>
              <w:rPr>
                <w:rFonts w:hint="default" w:ascii="Times New Roman" w:hAnsi="Times New Roman" w:cs="Times New Roman"/>
                <w:color w:val="auto"/>
                <w:spacing w:val="0"/>
                <w:sz w:val="24"/>
                <w:szCs w:val="24"/>
                <w:highlight w:val="none"/>
                <w:lang w:val="en-US" w:eastAsia="zh-CN"/>
              </w:rPr>
              <w:t>2类</w:t>
            </w:r>
            <w:r>
              <w:rPr>
                <w:rFonts w:hint="default" w:ascii="Times New Roman" w:hAnsi="Times New Roman" w:eastAsia="宋体" w:cs="Times New Roman"/>
                <w:color w:val="auto"/>
                <w:spacing w:val="0"/>
                <w:sz w:val="24"/>
                <w:szCs w:val="24"/>
                <w:highlight w:val="none"/>
              </w:rPr>
              <w:t>排放标准。</w:t>
            </w:r>
          </w:p>
          <w:p w14:paraId="66FB0A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sz w:val="21"/>
                <w:szCs w:val="21"/>
                <w:highlight w:val="none"/>
              </w:rPr>
            </w:pPr>
            <w:r>
              <w:rPr>
                <w:rFonts w:hint="default" w:ascii="Times New Roman" w:hAnsi="Times New Roman" w:eastAsia="宋体" w:cs="Times New Roman"/>
                <w:b/>
                <w:bCs w:val="0"/>
                <w:color w:val="auto"/>
                <w:spacing w:val="0"/>
                <w:sz w:val="21"/>
                <w:szCs w:val="21"/>
                <w:highlight w:val="none"/>
              </w:rPr>
              <w:t>表3-</w:t>
            </w:r>
            <w:r>
              <w:rPr>
                <w:rFonts w:hint="default" w:ascii="Times New Roman" w:hAnsi="Times New Roman" w:eastAsia="宋体" w:cs="Times New Roman"/>
                <w:b/>
                <w:bCs w:val="0"/>
                <w:color w:val="auto"/>
                <w:spacing w:val="0"/>
                <w:sz w:val="21"/>
                <w:szCs w:val="21"/>
                <w:highlight w:val="none"/>
                <w:lang w:val="en-US" w:eastAsia="zh-CN"/>
              </w:rPr>
              <w:t>5</w:t>
            </w:r>
            <w:r>
              <w:rPr>
                <w:rFonts w:hint="default" w:ascii="Times New Roman" w:hAnsi="Times New Roman" w:eastAsia="宋体" w:cs="Times New Roman"/>
                <w:b/>
                <w:bCs w:val="0"/>
                <w:color w:val="auto"/>
                <w:spacing w:val="0"/>
                <w:sz w:val="21"/>
                <w:szCs w:val="21"/>
                <w:highlight w:val="none"/>
              </w:rPr>
              <w:t>工业企业厂界环境噪声排放标准（GB12348-2008）</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5"/>
              <w:gridCol w:w="1234"/>
              <w:gridCol w:w="1489"/>
              <w:gridCol w:w="1426"/>
              <w:gridCol w:w="1824"/>
            </w:tblGrid>
            <w:tr w14:paraId="084D0A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55" w:type="pct"/>
                  <w:noWrap w:val="0"/>
                  <w:vAlign w:val="center"/>
                </w:tcPr>
                <w:p w14:paraId="5BED8A79">
                  <w:pPr>
                    <w:spacing w:line="240" w:lineRule="auto"/>
                    <w:ind w:firstLine="0" w:firstLineChars="0"/>
                    <w:jc w:val="center"/>
                    <w:rPr>
                      <w:rFonts w:hint="default" w:ascii="Times New Roman" w:hAnsi="Times New Roman" w:eastAsia="宋体" w:cs="Times New Roman"/>
                      <w:color w:val="auto"/>
                      <w:spacing w:val="0"/>
                      <w:sz w:val="21"/>
                      <w:szCs w:val="18"/>
                      <w:highlight w:val="none"/>
                    </w:rPr>
                  </w:pPr>
                  <w:r>
                    <w:rPr>
                      <w:rFonts w:hint="default" w:ascii="Times New Roman" w:hAnsi="Times New Roman" w:eastAsia="宋体" w:cs="Times New Roman"/>
                      <w:color w:val="auto"/>
                      <w:spacing w:val="0"/>
                      <w:sz w:val="21"/>
                      <w:szCs w:val="18"/>
                      <w:highlight w:val="none"/>
                    </w:rPr>
                    <w:t>时段</w:t>
                  </w:r>
                </w:p>
              </w:tc>
              <w:tc>
                <w:tcPr>
                  <w:tcW w:w="794" w:type="pct"/>
                  <w:noWrap w:val="0"/>
                  <w:vAlign w:val="center"/>
                </w:tcPr>
                <w:p w14:paraId="050A0445">
                  <w:pPr>
                    <w:spacing w:line="240" w:lineRule="auto"/>
                    <w:ind w:firstLine="0" w:firstLineChars="0"/>
                    <w:jc w:val="center"/>
                    <w:rPr>
                      <w:rFonts w:hint="default" w:ascii="Times New Roman" w:hAnsi="Times New Roman" w:eastAsia="宋体" w:cs="Times New Roman"/>
                      <w:color w:val="auto"/>
                      <w:spacing w:val="0"/>
                      <w:sz w:val="21"/>
                      <w:szCs w:val="18"/>
                      <w:highlight w:val="none"/>
                    </w:rPr>
                  </w:pPr>
                  <w:r>
                    <w:rPr>
                      <w:rFonts w:hint="default" w:ascii="Times New Roman" w:hAnsi="Times New Roman" w:eastAsia="宋体" w:cs="Times New Roman"/>
                      <w:color w:val="auto"/>
                      <w:spacing w:val="0"/>
                      <w:sz w:val="21"/>
                      <w:szCs w:val="18"/>
                      <w:highlight w:val="none"/>
                    </w:rPr>
                    <w:t>单位</w:t>
                  </w:r>
                </w:p>
              </w:tc>
              <w:tc>
                <w:tcPr>
                  <w:tcW w:w="958" w:type="pct"/>
                  <w:noWrap w:val="0"/>
                  <w:vAlign w:val="center"/>
                </w:tcPr>
                <w:p w14:paraId="17728DEF">
                  <w:pPr>
                    <w:spacing w:line="240" w:lineRule="auto"/>
                    <w:ind w:firstLine="0" w:firstLineChars="0"/>
                    <w:jc w:val="center"/>
                    <w:rPr>
                      <w:rFonts w:hint="default" w:ascii="Times New Roman" w:hAnsi="Times New Roman" w:eastAsia="宋体" w:cs="Times New Roman"/>
                      <w:color w:val="auto"/>
                      <w:spacing w:val="0"/>
                      <w:sz w:val="21"/>
                      <w:szCs w:val="18"/>
                      <w:highlight w:val="none"/>
                    </w:rPr>
                  </w:pPr>
                  <w:r>
                    <w:rPr>
                      <w:rFonts w:hint="default" w:ascii="Times New Roman" w:hAnsi="Times New Roman" w:eastAsia="宋体" w:cs="Times New Roman"/>
                      <w:color w:val="auto"/>
                      <w:spacing w:val="0"/>
                      <w:sz w:val="21"/>
                      <w:szCs w:val="18"/>
                      <w:highlight w:val="none"/>
                    </w:rPr>
                    <w:t>昼间</w:t>
                  </w:r>
                </w:p>
              </w:tc>
              <w:tc>
                <w:tcPr>
                  <w:tcW w:w="917" w:type="pct"/>
                  <w:noWrap w:val="0"/>
                  <w:vAlign w:val="center"/>
                </w:tcPr>
                <w:p w14:paraId="6A2D58E7">
                  <w:pPr>
                    <w:spacing w:line="240" w:lineRule="auto"/>
                    <w:ind w:firstLine="0" w:firstLineChars="0"/>
                    <w:jc w:val="center"/>
                    <w:rPr>
                      <w:rFonts w:hint="default" w:ascii="Times New Roman" w:hAnsi="Times New Roman" w:eastAsia="宋体" w:cs="Times New Roman"/>
                      <w:color w:val="auto"/>
                      <w:spacing w:val="0"/>
                      <w:sz w:val="21"/>
                      <w:szCs w:val="18"/>
                      <w:highlight w:val="none"/>
                    </w:rPr>
                  </w:pPr>
                  <w:r>
                    <w:rPr>
                      <w:rFonts w:hint="default" w:ascii="Times New Roman" w:hAnsi="Times New Roman" w:eastAsia="宋体" w:cs="Times New Roman"/>
                      <w:color w:val="auto"/>
                      <w:spacing w:val="0"/>
                      <w:sz w:val="21"/>
                      <w:szCs w:val="18"/>
                      <w:highlight w:val="none"/>
                    </w:rPr>
                    <w:t>夜间</w:t>
                  </w:r>
                </w:p>
              </w:tc>
              <w:tc>
                <w:tcPr>
                  <w:tcW w:w="1173" w:type="pct"/>
                  <w:noWrap w:val="0"/>
                  <w:vAlign w:val="center"/>
                </w:tcPr>
                <w:p w14:paraId="48E49C37">
                  <w:pPr>
                    <w:spacing w:line="240" w:lineRule="auto"/>
                    <w:ind w:firstLine="0" w:firstLineChars="0"/>
                    <w:jc w:val="center"/>
                    <w:rPr>
                      <w:rFonts w:hint="default" w:ascii="Times New Roman" w:hAnsi="Times New Roman" w:eastAsia="宋体" w:cs="Times New Roman"/>
                      <w:color w:val="auto"/>
                      <w:spacing w:val="0"/>
                      <w:sz w:val="21"/>
                      <w:szCs w:val="18"/>
                      <w:highlight w:val="none"/>
                    </w:rPr>
                  </w:pPr>
                  <w:r>
                    <w:rPr>
                      <w:rFonts w:hint="default" w:ascii="Times New Roman" w:hAnsi="Times New Roman" w:eastAsia="宋体" w:cs="Times New Roman"/>
                      <w:color w:val="auto"/>
                      <w:spacing w:val="0"/>
                      <w:sz w:val="21"/>
                      <w:szCs w:val="18"/>
                      <w:highlight w:val="none"/>
                    </w:rPr>
                    <w:t>类别</w:t>
                  </w:r>
                </w:p>
              </w:tc>
            </w:tr>
            <w:tr w14:paraId="038EF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155" w:type="pct"/>
                  <w:noWrap w:val="0"/>
                  <w:vAlign w:val="center"/>
                </w:tcPr>
                <w:p w14:paraId="007FD4F5">
                  <w:pPr>
                    <w:spacing w:line="240" w:lineRule="auto"/>
                    <w:ind w:firstLine="0" w:firstLineChars="0"/>
                    <w:jc w:val="center"/>
                    <w:rPr>
                      <w:rFonts w:hint="default" w:ascii="Times New Roman" w:hAnsi="Times New Roman" w:eastAsia="宋体" w:cs="Times New Roman"/>
                      <w:bCs/>
                      <w:color w:val="auto"/>
                      <w:spacing w:val="0"/>
                      <w:kern w:val="2"/>
                      <w:sz w:val="21"/>
                      <w:szCs w:val="18"/>
                      <w:highlight w:val="none"/>
                      <w:lang w:val="en-US" w:eastAsia="zh-CN" w:bidi="ar-SA"/>
                    </w:rPr>
                  </w:pPr>
                  <w:r>
                    <w:rPr>
                      <w:rFonts w:hint="default" w:ascii="Times New Roman" w:hAnsi="Times New Roman" w:eastAsia="宋体" w:cs="Times New Roman"/>
                      <w:color w:val="auto"/>
                      <w:spacing w:val="0"/>
                      <w:sz w:val="21"/>
                      <w:szCs w:val="18"/>
                      <w:highlight w:val="none"/>
                    </w:rPr>
                    <w:t>营运期</w:t>
                  </w:r>
                </w:p>
              </w:tc>
              <w:tc>
                <w:tcPr>
                  <w:tcW w:w="794" w:type="pct"/>
                  <w:noWrap w:val="0"/>
                  <w:vAlign w:val="center"/>
                </w:tcPr>
                <w:p w14:paraId="3FE48FF7">
                  <w:pPr>
                    <w:spacing w:line="240" w:lineRule="auto"/>
                    <w:ind w:firstLine="0" w:firstLineChars="0"/>
                    <w:jc w:val="center"/>
                    <w:rPr>
                      <w:rFonts w:hint="default" w:ascii="Times New Roman" w:hAnsi="Times New Roman" w:eastAsia="宋体" w:cs="Times New Roman"/>
                      <w:bCs/>
                      <w:color w:val="auto"/>
                      <w:spacing w:val="0"/>
                      <w:kern w:val="2"/>
                      <w:sz w:val="21"/>
                      <w:szCs w:val="18"/>
                      <w:highlight w:val="none"/>
                      <w:lang w:val="en-US" w:eastAsia="zh-CN" w:bidi="ar-SA"/>
                    </w:rPr>
                  </w:pPr>
                  <w:r>
                    <w:rPr>
                      <w:rFonts w:hint="default" w:ascii="Times New Roman" w:hAnsi="Times New Roman" w:eastAsia="宋体" w:cs="Times New Roman"/>
                      <w:color w:val="auto"/>
                      <w:spacing w:val="0"/>
                      <w:sz w:val="21"/>
                      <w:szCs w:val="18"/>
                      <w:highlight w:val="none"/>
                    </w:rPr>
                    <w:t>dB(A)</w:t>
                  </w:r>
                </w:p>
              </w:tc>
              <w:tc>
                <w:tcPr>
                  <w:tcW w:w="958" w:type="pct"/>
                  <w:noWrap w:val="0"/>
                  <w:vAlign w:val="center"/>
                </w:tcPr>
                <w:p w14:paraId="6E6891F4">
                  <w:pPr>
                    <w:spacing w:line="240" w:lineRule="auto"/>
                    <w:ind w:firstLine="0" w:firstLineChars="0"/>
                    <w:jc w:val="center"/>
                    <w:rPr>
                      <w:rFonts w:hint="default" w:ascii="Times New Roman" w:hAnsi="Times New Roman" w:eastAsia="宋体" w:cs="Times New Roman"/>
                      <w:color w:val="auto"/>
                      <w:spacing w:val="0"/>
                      <w:sz w:val="21"/>
                      <w:szCs w:val="18"/>
                      <w:highlight w:val="none"/>
                      <w:lang w:val="en-US" w:eastAsia="zh-CN"/>
                    </w:rPr>
                  </w:pPr>
                  <w:r>
                    <w:rPr>
                      <w:rFonts w:hint="default" w:ascii="Times New Roman" w:hAnsi="Times New Roman" w:eastAsia="宋体" w:cs="Times New Roman"/>
                      <w:color w:val="auto"/>
                      <w:spacing w:val="0"/>
                      <w:sz w:val="21"/>
                      <w:szCs w:val="18"/>
                      <w:highlight w:val="none"/>
                      <w:lang w:val="en-US" w:eastAsia="zh-CN"/>
                    </w:rPr>
                    <w:t>6</w:t>
                  </w:r>
                  <w:r>
                    <w:rPr>
                      <w:rFonts w:hint="default" w:ascii="Times New Roman" w:hAnsi="Times New Roman" w:cs="Times New Roman"/>
                      <w:color w:val="auto"/>
                      <w:spacing w:val="0"/>
                      <w:sz w:val="21"/>
                      <w:szCs w:val="18"/>
                      <w:highlight w:val="none"/>
                      <w:lang w:val="en-US" w:eastAsia="zh-CN"/>
                    </w:rPr>
                    <w:t>0</w:t>
                  </w:r>
                </w:p>
              </w:tc>
              <w:tc>
                <w:tcPr>
                  <w:tcW w:w="917" w:type="pct"/>
                  <w:noWrap w:val="0"/>
                  <w:vAlign w:val="center"/>
                </w:tcPr>
                <w:p w14:paraId="20B0DDBB">
                  <w:pPr>
                    <w:spacing w:line="240" w:lineRule="auto"/>
                    <w:ind w:firstLine="0" w:firstLineChars="0"/>
                    <w:jc w:val="center"/>
                    <w:rPr>
                      <w:rFonts w:hint="default" w:ascii="Times New Roman" w:hAnsi="Times New Roman" w:eastAsia="宋体" w:cs="Times New Roman"/>
                      <w:color w:val="auto"/>
                      <w:spacing w:val="0"/>
                      <w:sz w:val="21"/>
                      <w:szCs w:val="18"/>
                      <w:highlight w:val="none"/>
                      <w:lang w:val="en-US" w:eastAsia="zh-CN"/>
                    </w:rPr>
                  </w:pPr>
                  <w:r>
                    <w:rPr>
                      <w:rFonts w:hint="default" w:ascii="Times New Roman" w:hAnsi="Times New Roman" w:eastAsia="宋体" w:cs="Times New Roman"/>
                      <w:color w:val="auto"/>
                      <w:spacing w:val="0"/>
                      <w:sz w:val="21"/>
                      <w:szCs w:val="18"/>
                      <w:highlight w:val="none"/>
                      <w:lang w:val="en-US" w:eastAsia="zh-CN"/>
                    </w:rPr>
                    <w:t>5</w:t>
                  </w:r>
                  <w:r>
                    <w:rPr>
                      <w:rFonts w:hint="default" w:ascii="Times New Roman" w:hAnsi="Times New Roman" w:cs="Times New Roman"/>
                      <w:color w:val="auto"/>
                      <w:spacing w:val="0"/>
                      <w:sz w:val="21"/>
                      <w:szCs w:val="18"/>
                      <w:highlight w:val="none"/>
                      <w:lang w:val="en-US" w:eastAsia="zh-CN"/>
                    </w:rPr>
                    <w:t>0</w:t>
                  </w:r>
                </w:p>
              </w:tc>
              <w:tc>
                <w:tcPr>
                  <w:tcW w:w="1173" w:type="pct"/>
                  <w:noWrap w:val="0"/>
                  <w:vAlign w:val="center"/>
                </w:tcPr>
                <w:p w14:paraId="070A35D1">
                  <w:pPr>
                    <w:spacing w:line="240" w:lineRule="auto"/>
                    <w:ind w:firstLine="0" w:firstLineChars="0"/>
                    <w:jc w:val="center"/>
                    <w:rPr>
                      <w:rFonts w:hint="default" w:ascii="Times New Roman" w:hAnsi="Times New Roman" w:eastAsia="宋体" w:cs="Times New Roman"/>
                      <w:color w:val="auto"/>
                      <w:spacing w:val="0"/>
                      <w:sz w:val="21"/>
                      <w:szCs w:val="18"/>
                      <w:highlight w:val="none"/>
                    </w:rPr>
                  </w:pPr>
                  <w:r>
                    <w:rPr>
                      <w:rFonts w:hint="default" w:ascii="Times New Roman" w:hAnsi="Times New Roman" w:cs="Times New Roman"/>
                      <w:color w:val="auto"/>
                      <w:spacing w:val="0"/>
                      <w:sz w:val="21"/>
                      <w:szCs w:val="18"/>
                      <w:highlight w:val="none"/>
                      <w:lang w:val="en-US" w:eastAsia="zh-CN"/>
                    </w:rPr>
                    <w:t>2</w:t>
                  </w:r>
                  <w:r>
                    <w:rPr>
                      <w:rFonts w:hint="default" w:ascii="Times New Roman" w:hAnsi="Times New Roman" w:eastAsia="宋体" w:cs="Times New Roman"/>
                      <w:color w:val="auto"/>
                      <w:spacing w:val="0"/>
                      <w:sz w:val="21"/>
                      <w:szCs w:val="18"/>
                      <w:highlight w:val="none"/>
                    </w:rPr>
                    <w:t>类</w:t>
                  </w:r>
                </w:p>
              </w:tc>
            </w:tr>
          </w:tbl>
          <w:p w14:paraId="00232A05">
            <w:pPr>
              <w:spacing w:line="360" w:lineRule="auto"/>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3、废水</w:t>
            </w:r>
          </w:p>
          <w:p w14:paraId="6F4CE264">
            <w:pPr>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本项目员工无新增，厂区无新增生活污水，无生活废水产生，本项目锅炉排污水及软化处理废水用于锅炉除渣加湿和锅炉间地面洒水降尘，不外排。</w:t>
            </w:r>
          </w:p>
          <w:p w14:paraId="22DE1180">
            <w:pPr>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本项目所在厂区生产米糠油，属于植物油加工</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应执行《食品加工制造业水污染物排放标准》（GB46817-2025）</w:t>
            </w:r>
            <w:r>
              <w:rPr>
                <w:rFonts w:hint="default" w:ascii="Times New Roman" w:hAnsi="Times New Roman"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《食品加工制造业水污染物排放标准》（GB46817-2025）</w:t>
            </w:r>
            <w:r>
              <w:rPr>
                <w:rFonts w:hint="default" w:ascii="Times New Roman" w:hAnsi="Times New Roman" w:cs="Times New Roman"/>
                <w:color w:val="auto"/>
                <w:sz w:val="24"/>
                <w:szCs w:val="24"/>
                <w:highlight w:val="none"/>
                <w:lang w:val="en-US" w:eastAsia="zh-CN"/>
              </w:rPr>
              <w:t>标准要求：</w:t>
            </w:r>
            <w:r>
              <w:rPr>
                <w:rFonts w:hint="default" w:ascii="Times New Roman" w:hAnsi="Times New Roman" w:eastAsia="Helvetica" w:cs="Times New Roman"/>
                <w:i w:val="0"/>
                <w:iCs w:val="0"/>
                <w:caps w:val="0"/>
                <w:color w:val="auto"/>
                <w:spacing w:val="0"/>
                <w:sz w:val="24"/>
                <w:szCs w:val="24"/>
                <w:shd w:val="clear" w:fill="FFFFFF"/>
              </w:rPr>
              <w:t>新建排污单位自2026年1月1日起，现有排污单位自2028年1月1日起，其水污染物排放按本标准的规定执行，不再执行《污水综合排放标准》（GB8978）中的相关规定</w:t>
            </w:r>
            <w:r>
              <w:rPr>
                <w:rFonts w:hint="default" w:ascii="Times New Roman" w:hAnsi="Times New Roman" w:eastAsia="宋体" w:cs="Times New Roman"/>
                <w:i w:val="0"/>
                <w:iCs w:val="0"/>
                <w:caps w:val="0"/>
                <w:color w:val="auto"/>
                <w:spacing w:val="0"/>
                <w:sz w:val="24"/>
                <w:szCs w:val="24"/>
                <w:shd w:val="clear" w:fill="FFFFFF"/>
                <w:lang w:eastAsia="zh-CN"/>
              </w:rPr>
              <w:t>。</w:t>
            </w:r>
          </w:p>
          <w:p w14:paraId="01E2F54E">
            <w:pPr>
              <w:ind w:left="0" w:leftChars="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本项目企业于</w:t>
            </w:r>
            <w:r>
              <w:rPr>
                <w:rFonts w:hint="default" w:ascii="Times New Roman" w:hAnsi="Times New Roman" w:eastAsia="宋体" w:cs="Times New Roman"/>
                <w:color w:val="auto"/>
                <w:sz w:val="24"/>
                <w:szCs w:val="24"/>
                <w:highlight w:val="none"/>
                <w:lang w:val="en-US" w:eastAsia="zh-CN"/>
              </w:rPr>
              <w:t>2012年8月17日取得《关于绿都集团股份有限公司日处理200吨米糠制油设施建设项目环境影响报告表的批复》</w:t>
            </w:r>
            <w:r>
              <w:rPr>
                <w:rFonts w:hint="default" w:ascii="Times New Roman" w:hAnsi="Times New Roman" w:cs="Times New Roman"/>
                <w:color w:val="auto"/>
                <w:sz w:val="24"/>
                <w:szCs w:val="24"/>
                <w:highlight w:val="none"/>
                <w:lang w:val="en-US" w:eastAsia="zh-CN"/>
              </w:rPr>
              <w:t>，故</w:t>
            </w:r>
            <w:r>
              <w:rPr>
                <w:rFonts w:hint="default" w:ascii="Times New Roman" w:hAnsi="Times New Roman" w:eastAsia="宋体" w:cs="Times New Roman"/>
                <w:color w:val="auto"/>
                <w:sz w:val="24"/>
                <w:szCs w:val="24"/>
                <w:highlight w:val="none"/>
                <w:lang w:val="en-US" w:eastAsia="zh-CN"/>
              </w:rPr>
              <w:t>本项目企业属于现有排污单位，现有排污单位自2028年1月1日起，执行表1规定的水污染物排放限值及其他污染控制要求。</w:t>
            </w:r>
          </w:p>
          <w:p w14:paraId="23BF33BC">
            <w:pPr>
              <w:ind w:left="0" w:leftChars="0" w:firstLine="480" w:firstLineChars="200"/>
              <w:jc w:val="left"/>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故本项目</w:t>
            </w:r>
            <w:r>
              <w:rPr>
                <w:rFonts w:hint="eastAsia" w:ascii="Times New Roman" w:hAnsi="Times New Roman" w:cs="Times New Roman"/>
                <w:color w:val="auto"/>
                <w:sz w:val="24"/>
                <w:szCs w:val="24"/>
                <w:highlight w:val="none"/>
                <w:lang w:val="en-US" w:eastAsia="zh-CN"/>
              </w:rPr>
              <w:t>厂区</w:t>
            </w:r>
            <w:r>
              <w:rPr>
                <w:rFonts w:hint="default" w:ascii="Times New Roman" w:hAnsi="Times New Roman" w:cs="Times New Roman"/>
                <w:color w:val="auto"/>
                <w:sz w:val="24"/>
                <w:szCs w:val="24"/>
                <w:highlight w:val="none"/>
                <w:lang w:val="en-US" w:eastAsia="zh-CN"/>
              </w:rPr>
              <w:t>2028年1月1日前执行《污水综合排放标准》（GB8978）</w:t>
            </w:r>
            <w:r>
              <w:rPr>
                <w:rFonts w:hint="default" w:ascii="Times New Roman" w:hAnsi="Times New Roman" w:cs="Times New Roman"/>
                <w:color w:val="auto"/>
                <w:sz w:val="24"/>
                <w:highlight w:val="none"/>
              </w:rPr>
              <w:t>表4三级标准的要求</w:t>
            </w:r>
            <w:r>
              <w:rPr>
                <w:rFonts w:hint="default" w:ascii="Times New Roman" w:hAnsi="Times New Roman" w:cs="Times New Roman"/>
                <w:color w:val="auto"/>
                <w:sz w:val="24"/>
                <w:szCs w:val="24"/>
                <w:highlight w:val="none"/>
                <w:lang w:val="en-US" w:eastAsia="zh-CN"/>
              </w:rPr>
              <w:t>。2028年1月1日起执行《</w:t>
            </w:r>
            <w:r>
              <w:rPr>
                <w:rFonts w:hint="default" w:ascii="Times New Roman" w:hAnsi="Times New Roman" w:eastAsia="宋体" w:cs="Times New Roman"/>
                <w:color w:val="auto"/>
                <w:sz w:val="24"/>
                <w:szCs w:val="24"/>
                <w:highlight w:val="none"/>
                <w:lang w:val="en-US" w:eastAsia="zh-CN"/>
              </w:rPr>
              <w:t>食品加工制造业水污染物排放标准》（GB46817-2025）</w:t>
            </w:r>
            <w:r>
              <w:rPr>
                <w:rFonts w:hint="default" w:ascii="Times New Roman" w:hAnsi="Times New Roman" w:cs="Times New Roman"/>
                <w:color w:val="auto"/>
                <w:sz w:val="24"/>
                <w:szCs w:val="24"/>
                <w:highlight w:val="none"/>
                <w:lang w:val="en-US" w:eastAsia="zh-CN"/>
              </w:rPr>
              <w:t>表1间接排放标准要求。</w:t>
            </w:r>
          </w:p>
          <w:p w14:paraId="24E702CE">
            <w:pPr>
              <w:ind w:left="0" w:leftChars="0" w:firstLine="0" w:firstLineChars="0"/>
              <w:jc w:val="center"/>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表3-6废水排放标准要求</w:t>
            </w:r>
          </w:p>
          <w:tbl>
            <w:tblPr>
              <w:tblStyle w:val="35"/>
              <w:tblpPr w:leftFromText="180" w:rightFromText="180" w:vertAnchor="text" w:horzAnchor="margin" w:tblpX="-4" w:tblpY="78"/>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728"/>
              <w:gridCol w:w="1838"/>
              <w:gridCol w:w="2276"/>
              <w:gridCol w:w="2276"/>
            </w:tblGrid>
            <w:tr w14:paraId="346C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81" w:type="pct"/>
                  <w:gridSpan w:val="2"/>
                  <w:tcBorders>
                    <w:tl2br w:val="single" w:color="auto" w:sz="12" w:space="0"/>
                  </w:tcBorders>
                  <w:noWrap w:val="0"/>
                  <w:vAlign w:val="center"/>
                </w:tcPr>
                <w:p w14:paraId="7380AD26">
                  <w:pPr>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标准</w:t>
                  </w:r>
                </w:p>
                <w:p w14:paraId="2E1C76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p w14:paraId="36532D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184" w:type="pct"/>
                  <w:noWrap w:val="0"/>
                  <w:vAlign w:val="center"/>
                </w:tcPr>
                <w:p w14:paraId="142890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《污水综合排放标准》（GB8978-1996）表4三级标准</w:t>
                  </w:r>
                </w:p>
              </w:tc>
              <w:tc>
                <w:tcPr>
                  <w:tcW w:w="1466" w:type="pct"/>
                  <w:noWrap w:val="0"/>
                  <w:vAlign w:val="center"/>
                </w:tcPr>
                <w:p w14:paraId="28BA13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《食品加工制造业水污染物排放标准》（GB46817-2025）表1间接排放标准</w:t>
                  </w:r>
                </w:p>
              </w:tc>
              <w:tc>
                <w:tcPr>
                  <w:tcW w:w="1466" w:type="pct"/>
                  <w:noWrap w:val="0"/>
                  <w:vAlign w:val="center"/>
                </w:tcPr>
                <w:p w14:paraId="7974EC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单位</w:t>
                  </w:r>
                </w:p>
              </w:tc>
            </w:tr>
            <w:tr w14:paraId="000B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2" w:type="pct"/>
                  <w:vMerge w:val="restart"/>
                  <w:noWrap w:val="0"/>
                  <w:vAlign w:val="center"/>
                </w:tcPr>
                <w:p w14:paraId="25A6B3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469" w:type="pct"/>
                  <w:noWrap w:val="0"/>
                  <w:vAlign w:val="center"/>
                </w:tcPr>
                <w:p w14:paraId="2ECEC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pH值</w:t>
                  </w:r>
                </w:p>
              </w:tc>
              <w:tc>
                <w:tcPr>
                  <w:tcW w:w="1184" w:type="pct"/>
                  <w:noWrap w:val="0"/>
                  <w:vAlign w:val="center"/>
                </w:tcPr>
                <w:p w14:paraId="1E9A1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6.0-9.0</w:t>
                  </w:r>
                </w:p>
              </w:tc>
              <w:tc>
                <w:tcPr>
                  <w:tcW w:w="1466" w:type="pct"/>
                  <w:noWrap w:val="0"/>
                  <w:vAlign w:val="center"/>
                </w:tcPr>
                <w:p w14:paraId="4D1826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6.0-9.0</w:t>
                  </w:r>
                </w:p>
              </w:tc>
              <w:tc>
                <w:tcPr>
                  <w:tcW w:w="1466" w:type="pct"/>
                  <w:noWrap w:val="0"/>
                  <w:vAlign w:val="center"/>
                </w:tcPr>
                <w:p w14:paraId="1D46DA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929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2" w:type="pct"/>
                  <w:vMerge w:val="continue"/>
                  <w:noWrap w:val="0"/>
                  <w:vAlign w:val="center"/>
                </w:tcPr>
                <w:p w14:paraId="666633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69" w:type="pct"/>
                  <w:noWrap w:val="0"/>
                  <w:vAlign w:val="center"/>
                </w:tcPr>
                <w:p w14:paraId="383091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色度</w:t>
                  </w:r>
                </w:p>
              </w:tc>
              <w:tc>
                <w:tcPr>
                  <w:tcW w:w="1184" w:type="pct"/>
                  <w:noWrap w:val="0"/>
                  <w:vAlign w:val="center"/>
                </w:tcPr>
                <w:p w14:paraId="222E62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w:t>
                  </w:r>
                </w:p>
              </w:tc>
              <w:tc>
                <w:tcPr>
                  <w:tcW w:w="1466" w:type="pct"/>
                  <w:noWrap w:val="0"/>
                  <w:vAlign w:val="center"/>
                </w:tcPr>
                <w:p w14:paraId="2ED6D0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1466" w:type="pct"/>
                  <w:noWrap w:val="0"/>
                  <w:vAlign w:val="center"/>
                </w:tcPr>
                <w:p w14:paraId="3069B0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稀释倍数</w:t>
                  </w:r>
                </w:p>
              </w:tc>
            </w:tr>
            <w:tr w14:paraId="2038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2" w:type="pct"/>
                  <w:vMerge w:val="continue"/>
                  <w:noWrap w:val="0"/>
                  <w:vAlign w:val="center"/>
                </w:tcPr>
                <w:p w14:paraId="15740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69" w:type="pct"/>
                  <w:noWrap w:val="0"/>
                  <w:vAlign w:val="center"/>
                </w:tcPr>
                <w:p w14:paraId="25BCFC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总氮</w:t>
                  </w:r>
                </w:p>
              </w:tc>
              <w:tc>
                <w:tcPr>
                  <w:tcW w:w="1184" w:type="pct"/>
                  <w:noWrap w:val="0"/>
                  <w:vAlign w:val="center"/>
                </w:tcPr>
                <w:p w14:paraId="78F6BC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w:t>
                  </w:r>
                </w:p>
              </w:tc>
              <w:tc>
                <w:tcPr>
                  <w:tcW w:w="1466" w:type="pct"/>
                  <w:noWrap w:val="0"/>
                  <w:vAlign w:val="center"/>
                </w:tcPr>
                <w:p w14:paraId="57354B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w:t>
                  </w:r>
                </w:p>
              </w:tc>
              <w:tc>
                <w:tcPr>
                  <w:tcW w:w="1466" w:type="pct"/>
                  <w:noWrap w:val="0"/>
                  <w:vAlign w:val="center"/>
                </w:tcPr>
                <w:p w14:paraId="2A935C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L</w:t>
                  </w:r>
                </w:p>
              </w:tc>
            </w:tr>
            <w:tr w14:paraId="5D86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2" w:type="pct"/>
                  <w:vMerge w:val="continue"/>
                  <w:noWrap w:val="0"/>
                  <w:vAlign w:val="center"/>
                </w:tcPr>
                <w:p w14:paraId="2B4CE1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69" w:type="pct"/>
                  <w:noWrap w:val="0"/>
                  <w:vAlign w:val="center"/>
                </w:tcPr>
                <w:p w14:paraId="684B29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总磷</w:t>
                  </w:r>
                </w:p>
              </w:tc>
              <w:tc>
                <w:tcPr>
                  <w:tcW w:w="1184" w:type="pct"/>
                  <w:noWrap w:val="0"/>
                  <w:vAlign w:val="center"/>
                </w:tcPr>
                <w:p w14:paraId="191FAE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w:t>
                  </w:r>
                </w:p>
              </w:tc>
              <w:tc>
                <w:tcPr>
                  <w:tcW w:w="1466" w:type="pct"/>
                  <w:noWrap w:val="0"/>
                  <w:vAlign w:val="center"/>
                </w:tcPr>
                <w:p w14:paraId="42B81C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8.0</w:t>
                  </w:r>
                </w:p>
              </w:tc>
              <w:tc>
                <w:tcPr>
                  <w:tcW w:w="1466" w:type="pct"/>
                  <w:noWrap w:val="0"/>
                  <w:vAlign w:val="center"/>
                </w:tcPr>
                <w:p w14:paraId="5F3378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L</w:t>
                  </w:r>
                </w:p>
              </w:tc>
            </w:tr>
            <w:tr w14:paraId="3A84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2" w:type="pct"/>
                  <w:vMerge w:val="continue"/>
                  <w:noWrap w:val="0"/>
                  <w:vAlign w:val="center"/>
                </w:tcPr>
                <w:p w14:paraId="3B0211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69" w:type="pct"/>
                  <w:shd w:val="clear" w:color="auto" w:fill="auto"/>
                  <w:noWrap w:val="0"/>
                  <w:vAlign w:val="center"/>
                </w:tcPr>
                <w:p w14:paraId="54CB3A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COD</w:t>
                  </w:r>
                </w:p>
              </w:tc>
              <w:tc>
                <w:tcPr>
                  <w:tcW w:w="1184" w:type="pct"/>
                  <w:shd w:val="clear" w:color="auto" w:fill="auto"/>
                  <w:noWrap w:val="0"/>
                  <w:vAlign w:val="center"/>
                </w:tcPr>
                <w:p w14:paraId="66C77A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500</w:t>
                  </w:r>
                </w:p>
              </w:tc>
              <w:tc>
                <w:tcPr>
                  <w:tcW w:w="1466" w:type="pct"/>
                  <w:noWrap w:val="0"/>
                  <w:vAlign w:val="center"/>
                </w:tcPr>
                <w:p w14:paraId="0EA1D2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500</w:t>
                  </w:r>
                </w:p>
              </w:tc>
              <w:tc>
                <w:tcPr>
                  <w:tcW w:w="1466" w:type="pct"/>
                  <w:noWrap w:val="0"/>
                  <w:vAlign w:val="center"/>
                </w:tcPr>
                <w:p w14:paraId="0EE5EE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L</w:t>
                  </w:r>
                </w:p>
              </w:tc>
            </w:tr>
            <w:tr w14:paraId="7185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2" w:type="pct"/>
                  <w:vMerge w:val="continue"/>
                  <w:noWrap w:val="0"/>
                  <w:vAlign w:val="center"/>
                </w:tcPr>
                <w:p w14:paraId="0A1BDC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69" w:type="pct"/>
                  <w:noWrap w:val="0"/>
                  <w:vAlign w:val="center"/>
                </w:tcPr>
                <w:p w14:paraId="50F8D2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184" w:type="pct"/>
                  <w:noWrap w:val="0"/>
                  <w:vAlign w:val="center"/>
                </w:tcPr>
                <w:p w14:paraId="5F5810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66" w:type="pct"/>
                  <w:noWrap w:val="0"/>
                  <w:vAlign w:val="center"/>
                </w:tcPr>
                <w:p w14:paraId="4EA764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45</w:t>
                  </w:r>
                </w:p>
              </w:tc>
              <w:tc>
                <w:tcPr>
                  <w:tcW w:w="1466" w:type="pct"/>
                  <w:noWrap w:val="0"/>
                  <w:vAlign w:val="center"/>
                </w:tcPr>
                <w:p w14:paraId="777DE9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L</w:t>
                  </w:r>
                </w:p>
              </w:tc>
            </w:tr>
            <w:tr w14:paraId="4E20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trPr>
              <w:tc>
                <w:tcPr>
                  <w:tcW w:w="412" w:type="pct"/>
                  <w:vMerge w:val="continue"/>
                  <w:noWrap w:val="0"/>
                  <w:vAlign w:val="center"/>
                </w:tcPr>
                <w:p w14:paraId="5F097C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69" w:type="pct"/>
                  <w:noWrap w:val="0"/>
                  <w:vAlign w:val="center"/>
                </w:tcPr>
                <w:p w14:paraId="3CF901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184" w:type="pct"/>
                  <w:noWrap w:val="0"/>
                  <w:vAlign w:val="center"/>
                </w:tcPr>
                <w:p w14:paraId="307147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1466" w:type="pct"/>
                  <w:noWrap w:val="0"/>
                  <w:vAlign w:val="center"/>
                </w:tcPr>
                <w:p w14:paraId="0047C2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350</w:t>
                  </w:r>
                </w:p>
              </w:tc>
              <w:tc>
                <w:tcPr>
                  <w:tcW w:w="1466" w:type="pct"/>
                  <w:noWrap w:val="0"/>
                  <w:vAlign w:val="center"/>
                </w:tcPr>
                <w:p w14:paraId="4487BD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L</w:t>
                  </w:r>
                </w:p>
              </w:tc>
            </w:tr>
            <w:tr w14:paraId="606D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 w:hRule="atLeast"/>
              </w:trPr>
              <w:tc>
                <w:tcPr>
                  <w:tcW w:w="412" w:type="pct"/>
                  <w:vMerge w:val="continue"/>
                  <w:noWrap w:val="0"/>
                  <w:vAlign w:val="center"/>
                </w:tcPr>
                <w:p w14:paraId="32F5B6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69" w:type="pct"/>
                  <w:noWrap w:val="0"/>
                  <w:vAlign w:val="center"/>
                </w:tcPr>
                <w:p w14:paraId="3C2306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悬浮物</w:t>
                  </w:r>
                </w:p>
              </w:tc>
              <w:tc>
                <w:tcPr>
                  <w:tcW w:w="1184" w:type="pct"/>
                  <w:noWrap w:val="0"/>
                  <w:vAlign w:val="center"/>
                </w:tcPr>
                <w:p w14:paraId="0E9FE9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1466" w:type="pct"/>
                  <w:noWrap w:val="0"/>
                  <w:vAlign w:val="center"/>
                </w:tcPr>
                <w:p w14:paraId="36910B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400</w:t>
                  </w:r>
                </w:p>
              </w:tc>
              <w:tc>
                <w:tcPr>
                  <w:tcW w:w="1466" w:type="pct"/>
                  <w:noWrap w:val="0"/>
                  <w:vAlign w:val="center"/>
                </w:tcPr>
                <w:p w14:paraId="4CC08A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L</w:t>
                  </w:r>
                </w:p>
              </w:tc>
            </w:tr>
            <w:tr w14:paraId="5A64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2" w:type="pct"/>
                  <w:vMerge w:val="continue"/>
                  <w:noWrap w:val="0"/>
                  <w:vAlign w:val="center"/>
                </w:tcPr>
                <w:p w14:paraId="66E228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69" w:type="pct"/>
                  <w:noWrap w:val="0"/>
                  <w:vAlign w:val="center"/>
                </w:tcPr>
                <w:p w14:paraId="61B50C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1184" w:type="pct"/>
                  <w:noWrap w:val="0"/>
                  <w:vAlign w:val="center"/>
                </w:tcPr>
                <w:p w14:paraId="4B09A8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466" w:type="pct"/>
                  <w:noWrap w:val="0"/>
                  <w:vAlign w:val="center"/>
                </w:tcPr>
                <w:p w14:paraId="45DA99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1466" w:type="pct"/>
                  <w:noWrap w:val="0"/>
                  <w:vAlign w:val="center"/>
                </w:tcPr>
                <w:p w14:paraId="71199A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L</w:t>
                  </w:r>
                </w:p>
              </w:tc>
            </w:tr>
            <w:tr w14:paraId="29C7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412" w:type="pct"/>
                  <w:vMerge w:val="continue"/>
                  <w:noWrap w:val="0"/>
                  <w:vAlign w:val="center"/>
                </w:tcPr>
                <w:p w14:paraId="605015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69" w:type="pct"/>
                  <w:noWrap w:val="0"/>
                  <w:vAlign w:val="center"/>
                </w:tcPr>
                <w:p w14:paraId="2B8BD0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全盐量</w:t>
                  </w:r>
                </w:p>
              </w:tc>
              <w:tc>
                <w:tcPr>
                  <w:tcW w:w="1184" w:type="pct"/>
                  <w:noWrap w:val="0"/>
                  <w:vAlign w:val="center"/>
                </w:tcPr>
                <w:p w14:paraId="42176C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466" w:type="pct"/>
                  <w:noWrap w:val="0"/>
                  <w:vAlign w:val="center"/>
                </w:tcPr>
                <w:p w14:paraId="34A145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3000</w:t>
                  </w:r>
                </w:p>
              </w:tc>
              <w:tc>
                <w:tcPr>
                  <w:tcW w:w="1466" w:type="pct"/>
                  <w:noWrap w:val="0"/>
                  <w:vAlign w:val="center"/>
                </w:tcPr>
                <w:p w14:paraId="6D94D3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lang w:val="en-US" w:eastAsia="zh-CN"/>
                    </w:rPr>
                    <w:t>L</w:t>
                  </w:r>
                </w:p>
              </w:tc>
            </w:tr>
          </w:tbl>
          <w:p w14:paraId="67199EF0">
            <w:pPr>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4、固体废物</w:t>
            </w:r>
          </w:p>
          <w:p w14:paraId="062DA616">
            <w:pPr>
              <w:pStyle w:val="43"/>
              <w:spacing w:line="360" w:lineRule="auto"/>
              <w:ind w:firstLine="480" w:firstLineChars="200"/>
              <w:jc w:val="both"/>
              <w:rPr>
                <w:rFonts w:hint="default" w:ascii="Times New Roman" w:hAnsi="Times New Roman" w:eastAsia="宋体" w:cs="Times New Roman"/>
                <w:color w:val="auto"/>
                <w:spacing w:val="0"/>
                <w:highlight w:val="none"/>
                <w:lang w:val="en-US"/>
              </w:rPr>
            </w:pPr>
            <w:r>
              <w:rPr>
                <w:rFonts w:hint="default" w:ascii="Times New Roman" w:hAnsi="Times New Roman" w:eastAsia="宋体" w:cs="Times New Roman"/>
                <w:bCs/>
                <w:color w:val="auto"/>
                <w:spacing w:val="0"/>
                <w:kern w:val="2"/>
                <w:sz w:val="24"/>
                <w:szCs w:val="24"/>
                <w:highlight w:val="none"/>
                <w:lang w:val="en-US" w:eastAsia="zh-CN" w:bidi="ar-SA"/>
              </w:rPr>
              <w:t>一般工业固体废物执行《一般工业固体废物贮存和填埋污染控制标准》（GB18599-2020）标准、</w:t>
            </w:r>
            <w:r>
              <w:rPr>
                <w:rFonts w:hint="default" w:ascii="Times New Roman" w:hAnsi="Times New Roman" w:eastAsia="宋体" w:cs="Times New Roman"/>
                <w:color w:val="auto"/>
                <w:spacing w:val="0"/>
                <w:szCs w:val="21"/>
                <w:highlight w:val="none"/>
                <w:lang w:eastAsia="zh-CN"/>
              </w:rPr>
              <w:t>关于发布《固体废物分类与代码目录》的公告（公告2024年第4号）。</w:t>
            </w:r>
            <w:r>
              <w:rPr>
                <w:rFonts w:hint="default" w:ascii="Times New Roman" w:hAnsi="Times New Roman" w:eastAsia="宋体" w:cs="Times New Roman"/>
                <w:bCs/>
                <w:color w:val="auto"/>
                <w:spacing w:val="0"/>
                <w:kern w:val="2"/>
                <w:sz w:val="24"/>
                <w:szCs w:val="24"/>
                <w:highlight w:val="none"/>
                <w:lang w:val="en-US" w:eastAsia="zh-CN" w:bidi="ar-SA"/>
              </w:rPr>
              <w:t>危险固体废物执行《危险废物贮存污染控制标准》（GB18597-2023）。</w:t>
            </w:r>
          </w:p>
        </w:tc>
      </w:tr>
      <w:tr w14:paraId="0BBC96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8" w:hRule="atLeast"/>
          <w:jc w:val="center"/>
        </w:trPr>
        <w:tc>
          <w:tcPr>
            <w:tcW w:w="542" w:type="dxa"/>
            <w:noWrap w:val="0"/>
            <w:vAlign w:val="center"/>
          </w:tcPr>
          <w:p w14:paraId="4B92AF03">
            <w:pPr>
              <w:spacing w:line="240" w:lineRule="auto"/>
              <w:ind w:firstLine="0" w:firstLineChars="0"/>
              <w:jc w:val="center"/>
              <w:rPr>
                <w:rFonts w:hint="default" w:ascii="Times New Roman" w:hAnsi="Times New Roman" w:eastAsia="宋体" w:cs="Times New Roman"/>
                <w:color w:val="auto"/>
                <w:spacing w:val="0"/>
                <w:kern w:val="0"/>
                <w:highlight w:val="none"/>
              </w:rPr>
            </w:pPr>
            <w:r>
              <w:rPr>
                <w:rFonts w:hint="default" w:ascii="Times New Roman" w:hAnsi="Times New Roman" w:eastAsia="宋体" w:cs="Times New Roman"/>
                <w:color w:val="auto"/>
                <w:spacing w:val="0"/>
                <w:kern w:val="0"/>
                <w:highlight w:val="none"/>
              </w:rPr>
              <w:t>总量</w:t>
            </w:r>
          </w:p>
          <w:p w14:paraId="488468F0">
            <w:pPr>
              <w:spacing w:line="240" w:lineRule="auto"/>
              <w:ind w:firstLine="0" w:firstLineChars="0"/>
              <w:jc w:val="center"/>
              <w:rPr>
                <w:rFonts w:hint="default" w:ascii="Times New Roman" w:hAnsi="Times New Roman" w:eastAsia="宋体" w:cs="Times New Roman"/>
                <w:color w:val="auto"/>
                <w:spacing w:val="0"/>
                <w:kern w:val="0"/>
                <w:highlight w:val="none"/>
              </w:rPr>
            </w:pPr>
            <w:r>
              <w:rPr>
                <w:rFonts w:hint="default" w:ascii="Times New Roman" w:hAnsi="Times New Roman" w:eastAsia="宋体" w:cs="Times New Roman"/>
                <w:color w:val="auto"/>
                <w:spacing w:val="0"/>
                <w:kern w:val="0"/>
                <w:highlight w:val="none"/>
              </w:rPr>
              <w:t>控制</w:t>
            </w:r>
          </w:p>
          <w:p w14:paraId="43FBB55E">
            <w:pPr>
              <w:spacing w:line="240" w:lineRule="auto"/>
              <w:ind w:firstLine="0" w:firstLineChars="0"/>
              <w:jc w:val="center"/>
              <w:rPr>
                <w:rFonts w:hint="default" w:ascii="Times New Roman" w:hAnsi="Times New Roman" w:eastAsia="宋体" w:cs="Times New Roman"/>
                <w:color w:val="auto"/>
                <w:spacing w:val="0"/>
                <w:kern w:val="0"/>
                <w:highlight w:val="none"/>
              </w:rPr>
            </w:pPr>
            <w:r>
              <w:rPr>
                <w:rFonts w:hint="default" w:ascii="Times New Roman" w:hAnsi="Times New Roman" w:eastAsia="宋体" w:cs="Times New Roman"/>
                <w:color w:val="auto"/>
                <w:spacing w:val="0"/>
                <w:kern w:val="0"/>
                <w:highlight w:val="none"/>
              </w:rPr>
              <w:t>指标</w:t>
            </w:r>
          </w:p>
        </w:tc>
        <w:tc>
          <w:tcPr>
            <w:tcW w:w="7987" w:type="dxa"/>
            <w:noWrap w:val="0"/>
            <w:vAlign w:val="top"/>
          </w:tcPr>
          <w:p w14:paraId="4EB8101E">
            <w:pPr>
              <w:pStyle w:val="89"/>
              <w:spacing w:before="0" w:beforeLines="0" w:after="0" w:afterLines="0" w:line="360" w:lineRule="auto"/>
              <w:ind w:firstLine="480"/>
              <w:jc w:val="both"/>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lang w:val="en-US" w:eastAsia="zh-CN"/>
              </w:rPr>
              <w:t>本项目污染物核定排放量见下表</w:t>
            </w:r>
            <w:r>
              <w:rPr>
                <w:rFonts w:hint="default" w:ascii="Times New Roman" w:hAnsi="Times New Roman" w:eastAsia="宋体" w:cs="Times New Roman"/>
                <w:color w:val="auto"/>
                <w:spacing w:val="0"/>
                <w:highlight w:val="none"/>
              </w:rPr>
              <w:t>：</w:t>
            </w:r>
          </w:p>
          <w:p w14:paraId="48418292">
            <w:pPr>
              <w:pStyle w:val="90"/>
              <w:spacing w:line="240" w:lineRule="auto"/>
              <w:ind w:firstLine="0" w:firstLineChars="0"/>
              <w:jc w:val="center"/>
              <w:rPr>
                <w:rFonts w:hint="default" w:ascii="Times New Roman" w:hAnsi="Times New Roman" w:eastAsia="宋体" w:cs="Times New Roman"/>
                <w:b/>
                <w:bCs w:val="0"/>
                <w:color w:val="auto"/>
                <w:spacing w:val="0"/>
                <w:kern w:val="2"/>
                <w:sz w:val="21"/>
                <w:szCs w:val="21"/>
                <w:highlight w:val="none"/>
                <w:lang w:val="en-US" w:eastAsia="zh-CN" w:bidi="ar-SA"/>
              </w:rPr>
            </w:pPr>
            <w:r>
              <w:rPr>
                <w:rFonts w:hint="default" w:ascii="Times New Roman" w:hAnsi="Times New Roman" w:eastAsia="宋体" w:cs="Times New Roman"/>
                <w:b/>
                <w:bCs w:val="0"/>
                <w:color w:val="auto"/>
                <w:spacing w:val="0"/>
                <w:kern w:val="2"/>
                <w:sz w:val="21"/>
                <w:szCs w:val="21"/>
                <w:highlight w:val="none"/>
                <w:lang w:val="en-US" w:eastAsia="zh-CN" w:bidi="ar-SA"/>
              </w:rPr>
              <w:t>表3-6总量控制指标</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292"/>
              <w:gridCol w:w="2768"/>
              <w:gridCol w:w="2769"/>
            </w:tblGrid>
            <w:tr w14:paraId="0E344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39" w:type="dxa"/>
                  <w:noWrap w:val="0"/>
                  <w:vAlign w:val="center"/>
                </w:tcPr>
                <w:p w14:paraId="1FE96137">
                  <w:pPr>
                    <w:spacing w:line="240" w:lineRule="auto"/>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项目</w:t>
                  </w:r>
                </w:p>
              </w:tc>
              <w:tc>
                <w:tcPr>
                  <w:tcW w:w="1292" w:type="dxa"/>
                  <w:noWrap w:val="0"/>
                  <w:vAlign w:val="center"/>
                </w:tcPr>
                <w:p w14:paraId="27126CD9">
                  <w:pPr>
                    <w:spacing w:line="240" w:lineRule="auto"/>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名称</w:t>
                  </w:r>
                </w:p>
              </w:tc>
              <w:tc>
                <w:tcPr>
                  <w:tcW w:w="2768" w:type="dxa"/>
                  <w:noWrap w:val="0"/>
                  <w:vAlign w:val="center"/>
                </w:tcPr>
                <w:p w14:paraId="108A5CA4">
                  <w:pPr>
                    <w:spacing w:line="240" w:lineRule="auto"/>
                    <w:ind w:firstLine="0" w:firstLineChars="0"/>
                    <w:jc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本工程预测排放量</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t/a</w:t>
                  </w:r>
                  <w:r>
                    <w:rPr>
                      <w:rFonts w:hint="default" w:ascii="Times New Roman" w:hAnsi="Times New Roman" w:eastAsia="宋体" w:cs="Times New Roman"/>
                      <w:color w:val="auto"/>
                      <w:spacing w:val="0"/>
                      <w:sz w:val="21"/>
                      <w:szCs w:val="21"/>
                      <w:highlight w:val="none"/>
                      <w:lang w:eastAsia="zh-CN"/>
                    </w:rPr>
                    <w:t>）</w:t>
                  </w:r>
                </w:p>
              </w:tc>
              <w:tc>
                <w:tcPr>
                  <w:tcW w:w="2769" w:type="dxa"/>
                  <w:noWrap w:val="0"/>
                  <w:vAlign w:val="center"/>
                </w:tcPr>
                <w:p w14:paraId="56638590">
                  <w:pPr>
                    <w:spacing w:line="240" w:lineRule="auto"/>
                    <w:ind w:firstLine="0" w:firstLineChars="0"/>
                    <w:jc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核定排放量</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t/a</w:t>
                  </w:r>
                  <w:r>
                    <w:rPr>
                      <w:rFonts w:hint="default" w:ascii="Times New Roman" w:hAnsi="Times New Roman" w:eastAsia="宋体" w:cs="Times New Roman"/>
                      <w:color w:val="auto"/>
                      <w:spacing w:val="0"/>
                      <w:sz w:val="21"/>
                      <w:szCs w:val="21"/>
                      <w:highlight w:val="none"/>
                      <w:lang w:eastAsia="zh-CN"/>
                    </w:rPr>
                    <w:t>）</w:t>
                  </w:r>
                </w:p>
              </w:tc>
            </w:tr>
            <w:tr w14:paraId="5A651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39" w:type="dxa"/>
                  <w:vMerge w:val="restart"/>
                  <w:noWrap w:val="0"/>
                  <w:vAlign w:val="center"/>
                </w:tcPr>
                <w:p w14:paraId="3464A5D1">
                  <w:pPr>
                    <w:spacing w:line="240" w:lineRule="auto"/>
                    <w:ind w:firstLine="0" w:firstLineChars="0"/>
                    <w:jc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val="en-US" w:eastAsia="zh-CN"/>
                    </w:rPr>
                    <w:t>废气</w:t>
                  </w:r>
                </w:p>
              </w:tc>
              <w:tc>
                <w:tcPr>
                  <w:tcW w:w="1292" w:type="dxa"/>
                  <w:shd w:val="clear" w:color="auto" w:fill="auto"/>
                  <w:noWrap w:val="0"/>
                  <w:vAlign w:val="center"/>
                </w:tcPr>
                <w:p w14:paraId="530CEE51">
                  <w:pPr>
                    <w:pStyle w:val="128"/>
                    <w:ind w:firstLine="0" w:firstLineChars="0"/>
                    <w:jc w:val="center"/>
                    <w:rPr>
                      <w:rFonts w:hint="default" w:ascii="Times New Roman" w:hAnsi="Times New Roman" w:eastAsia="宋体" w:cs="Times New Roman"/>
                      <w:bCs w:val="0"/>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颗粒物</w:t>
                  </w:r>
                </w:p>
              </w:tc>
              <w:tc>
                <w:tcPr>
                  <w:tcW w:w="2768" w:type="dxa"/>
                  <w:shd w:val="clear" w:color="auto" w:fill="auto"/>
                  <w:noWrap w:val="0"/>
                  <w:vAlign w:val="center"/>
                </w:tcPr>
                <w:p w14:paraId="5B2D07B4">
                  <w:pPr>
                    <w:pStyle w:val="69"/>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cs="Times New Roman"/>
                      <w:color w:val="auto"/>
                      <w:spacing w:val="0"/>
                      <w:sz w:val="21"/>
                      <w:szCs w:val="21"/>
                      <w:highlight w:val="none"/>
                      <w:lang w:val="en-US" w:eastAsia="zh-CN"/>
                    </w:rPr>
                    <w:t>0.524</w:t>
                  </w:r>
                </w:p>
              </w:tc>
              <w:tc>
                <w:tcPr>
                  <w:tcW w:w="2769" w:type="dxa"/>
                  <w:shd w:val="clear" w:color="auto" w:fill="auto"/>
                  <w:noWrap w:val="0"/>
                  <w:vAlign w:val="center"/>
                </w:tcPr>
                <w:p w14:paraId="3346C0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2.053</w:t>
                  </w:r>
                </w:p>
              </w:tc>
            </w:tr>
            <w:tr w14:paraId="3DF96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39" w:type="dxa"/>
                  <w:vMerge w:val="continue"/>
                  <w:noWrap w:val="0"/>
                  <w:vAlign w:val="center"/>
                </w:tcPr>
                <w:p w14:paraId="286DF91E">
                  <w:pPr>
                    <w:spacing w:line="240" w:lineRule="auto"/>
                    <w:ind w:firstLine="0" w:firstLineChars="0"/>
                    <w:jc w:val="center"/>
                    <w:rPr>
                      <w:rFonts w:hint="default" w:ascii="Times New Roman" w:hAnsi="Times New Roman" w:eastAsia="宋体" w:cs="Times New Roman"/>
                      <w:color w:val="auto"/>
                      <w:spacing w:val="0"/>
                      <w:sz w:val="21"/>
                      <w:szCs w:val="21"/>
                      <w:highlight w:val="none"/>
                      <w:lang w:val="en-US" w:eastAsia="zh-CN"/>
                    </w:rPr>
                  </w:pPr>
                </w:p>
              </w:tc>
              <w:tc>
                <w:tcPr>
                  <w:tcW w:w="1292" w:type="dxa"/>
                  <w:shd w:val="clear" w:color="auto" w:fill="auto"/>
                  <w:noWrap w:val="0"/>
                  <w:vAlign w:val="center"/>
                </w:tcPr>
                <w:p w14:paraId="41D4E603">
                  <w:pPr>
                    <w:pStyle w:val="128"/>
                    <w:ind w:firstLine="0" w:firstLineChars="0"/>
                    <w:jc w:val="center"/>
                    <w:rPr>
                      <w:rFonts w:hint="default" w:ascii="Times New Roman" w:hAnsi="Times New Roman" w:eastAsia="宋体" w:cs="Times New Roman"/>
                      <w:bCs w:val="0"/>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二氧化硫</w:t>
                  </w:r>
                </w:p>
              </w:tc>
              <w:tc>
                <w:tcPr>
                  <w:tcW w:w="2768" w:type="dxa"/>
                  <w:shd w:val="clear" w:color="auto" w:fill="auto"/>
                  <w:noWrap w:val="0"/>
                  <w:vAlign w:val="center"/>
                </w:tcPr>
                <w:p w14:paraId="3C69E6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eastAsia" w:ascii="Times New Roman" w:hAnsi="Times New Roman" w:cs="Times New Roman"/>
                      <w:color w:val="auto"/>
                      <w:spacing w:val="0"/>
                      <w:sz w:val="21"/>
                      <w:szCs w:val="21"/>
                      <w:highlight w:val="none"/>
                      <w:lang w:val="en-US" w:eastAsia="zh-CN"/>
                    </w:rPr>
                    <w:t>4.388</w:t>
                  </w:r>
                </w:p>
              </w:tc>
              <w:tc>
                <w:tcPr>
                  <w:tcW w:w="2769" w:type="dxa"/>
                  <w:shd w:val="clear" w:color="auto" w:fill="auto"/>
                  <w:noWrap w:val="0"/>
                  <w:vAlign w:val="center"/>
                </w:tcPr>
                <w:p w14:paraId="188E34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9.686</w:t>
                  </w:r>
                </w:p>
              </w:tc>
            </w:tr>
            <w:tr w14:paraId="5A09E9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39" w:type="dxa"/>
                  <w:vMerge w:val="continue"/>
                  <w:noWrap w:val="0"/>
                  <w:vAlign w:val="center"/>
                </w:tcPr>
                <w:p w14:paraId="3C5D6013">
                  <w:pPr>
                    <w:spacing w:line="240" w:lineRule="auto"/>
                    <w:ind w:firstLine="0" w:firstLineChars="0"/>
                    <w:jc w:val="center"/>
                    <w:rPr>
                      <w:rFonts w:hint="default" w:ascii="Times New Roman" w:hAnsi="Times New Roman" w:eastAsia="宋体" w:cs="Times New Roman"/>
                      <w:color w:val="auto"/>
                      <w:spacing w:val="0"/>
                      <w:sz w:val="21"/>
                      <w:szCs w:val="21"/>
                      <w:highlight w:val="none"/>
                      <w:lang w:val="en-US" w:eastAsia="zh-CN"/>
                    </w:rPr>
                  </w:pPr>
                </w:p>
              </w:tc>
              <w:tc>
                <w:tcPr>
                  <w:tcW w:w="1292" w:type="dxa"/>
                  <w:noWrap w:val="0"/>
                  <w:vAlign w:val="center"/>
                </w:tcPr>
                <w:p w14:paraId="53C80E5F">
                  <w:pPr>
                    <w:pStyle w:val="128"/>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氮氧化物</w:t>
                  </w:r>
                </w:p>
              </w:tc>
              <w:tc>
                <w:tcPr>
                  <w:tcW w:w="2768" w:type="dxa"/>
                  <w:noWrap w:val="0"/>
                  <w:vAlign w:val="center"/>
                </w:tcPr>
                <w:p w14:paraId="26D8B5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6.7396</w:t>
                  </w:r>
                </w:p>
              </w:tc>
              <w:tc>
                <w:tcPr>
                  <w:tcW w:w="2769" w:type="dxa"/>
                  <w:noWrap w:val="0"/>
                  <w:vAlign w:val="center"/>
                </w:tcPr>
                <w:p w14:paraId="14A242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bCs/>
                      <w:color w:val="auto"/>
                      <w:sz w:val="21"/>
                      <w:szCs w:val="21"/>
                      <w:highlight w:val="none"/>
                      <w:lang w:val="en-US" w:eastAsia="zh-CN"/>
                    </w:rPr>
                    <w:t>12.107</w:t>
                  </w:r>
                </w:p>
              </w:tc>
            </w:tr>
          </w:tbl>
          <w:p w14:paraId="3F8510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表3-</w:t>
            </w:r>
            <w:r>
              <w:rPr>
                <w:rFonts w:hint="default" w:ascii="Times New Roman" w:hAnsi="Times New Roman" w:eastAsia="宋体" w:cs="Times New Roman"/>
                <w:b/>
                <w:color w:val="auto"/>
                <w:kern w:val="0"/>
                <w:sz w:val="21"/>
                <w:szCs w:val="21"/>
                <w:highlight w:val="none"/>
                <w:lang w:val="en-US" w:eastAsia="zh-CN"/>
              </w:rPr>
              <w:t>7</w:t>
            </w:r>
            <w:r>
              <w:rPr>
                <w:rFonts w:hint="default" w:ascii="Times New Roman" w:hAnsi="Times New Roman" w:eastAsia="宋体" w:cs="Times New Roman"/>
                <w:b/>
                <w:color w:val="auto"/>
                <w:kern w:val="0"/>
                <w:sz w:val="21"/>
                <w:szCs w:val="21"/>
                <w:highlight w:val="none"/>
              </w:rPr>
              <w:t>项目实施前后“三本帐”单位：t/a</w:t>
            </w:r>
          </w:p>
          <w:tbl>
            <w:tblPr>
              <w:tblStyle w:val="35"/>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597"/>
              <w:gridCol w:w="612"/>
              <w:gridCol w:w="616"/>
              <w:gridCol w:w="711"/>
              <w:gridCol w:w="711"/>
              <w:gridCol w:w="531"/>
              <w:gridCol w:w="593"/>
              <w:gridCol w:w="818"/>
              <w:gridCol w:w="720"/>
              <w:gridCol w:w="771"/>
              <w:gridCol w:w="689"/>
            </w:tblGrid>
            <w:tr w14:paraId="02CB72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noWrap w:val="0"/>
                  <w:vAlign w:val="center"/>
                </w:tcPr>
                <w:p w14:paraId="6AC018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项目</w:t>
                  </w:r>
                </w:p>
              </w:tc>
              <w:tc>
                <w:tcPr>
                  <w:tcW w:w="383" w:type="pct"/>
                  <w:noWrap w:val="0"/>
                  <w:vAlign w:val="center"/>
                </w:tcPr>
                <w:p w14:paraId="14C430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污染物</w:t>
                  </w:r>
                </w:p>
              </w:tc>
              <w:tc>
                <w:tcPr>
                  <w:tcW w:w="410" w:type="pct"/>
                  <w:noWrap w:val="0"/>
                  <w:vAlign w:val="center"/>
                </w:tcPr>
                <w:p w14:paraId="3A4B81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现有工程排放量</w:t>
                  </w:r>
                </w:p>
              </w:tc>
              <w:tc>
                <w:tcPr>
                  <w:tcW w:w="412" w:type="pct"/>
                  <w:noWrap w:val="0"/>
                  <w:vAlign w:val="center"/>
                </w:tcPr>
                <w:p w14:paraId="331A67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现有工程核定排放量</w:t>
                  </w:r>
                </w:p>
              </w:tc>
              <w:tc>
                <w:tcPr>
                  <w:tcW w:w="464" w:type="pct"/>
                  <w:noWrap w:val="0"/>
                  <w:vAlign w:val="center"/>
                </w:tcPr>
                <w:p w14:paraId="0FB2C9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本项目排放量</w:t>
                  </w:r>
                </w:p>
              </w:tc>
              <w:tc>
                <w:tcPr>
                  <w:tcW w:w="367" w:type="pct"/>
                  <w:noWrap w:val="0"/>
                  <w:vAlign w:val="center"/>
                </w:tcPr>
                <w:p w14:paraId="166EC7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本项目核定量</w:t>
                  </w:r>
                </w:p>
              </w:tc>
              <w:tc>
                <w:tcPr>
                  <w:tcW w:w="350" w:type="pct"/>
                  <w:noWrap w:val="0"/>
                  <w:vAlign w:val="center"/>
                </w:tcPr>
                <w:p w14:paraId="7F01BA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以新带老削减量</w:t>
                  </w:r>
                </w:p>
              </w:tc>
              <w:tc>
                <w:tcPr>
                  <w:tcW w:w="414" w:type="pct"/>
                  <w:noWrap w:val="0"/>
                  <w:vAlign w:val="center"/>
                </w:tcPr>
                <w:p w14:paraId="25016C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以新带老削减核定量</w:t>
                  </w:r>
                </w:p>
              </w:tc>
              <w:tc>
                <w:tcPr>
                  <w:tcW w:w="542" w:type="pct"/>
                  <w:noWrap w:val="0"/>
                  <w:vAlign w:val="center"/>
                </w:tcPr>
                <w:p w14:paraId="46151D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改扩建后全厂排放量</w:t>
                  </w:r>
                </w:p>
              </w:tc>
              <w:tc>
                <w:tcPr>
                  <w:tcW w:w="479" w:type="pct"/>
                  <w:noWrap w:val="0"/>
                  <w:vAlign w:val="center"/>
                </w:tcPr>
                <w:p w14:paraId="1086EB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改扩建后全厂核定排放量</w:t>
                  </w:r>
                </w:p>
              </w:tc>
              <w:tc>
                <w:tcPr>
                  <w:tcW w:w="459" w:type="pct"/>
                  <w:noWrap w:val="0"/>
                  <w:vAlign w:val="center"/>
                </w:tcPr>
                <w:p w14:paraId="65D927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预测排放增减量</w:t>
                  </w:r>
                </w:p>
                <w:p w14:paraId="2828216F">
                  <w:pPr>
                    <w:pStyle w:val="24"/>
                    <w:jc w:val="center"/>
                    <w:rPr>
                      <w:rFonts w:hint="default" w:ascii="Times New Roman" w:hAnsi="Times New Roman" w:cs="Times New Roman"/>
                      <w:color w:val="auto"/>
                      <w:highlight w:val="none"/>
                      <w:lang w:val="en-US" w:eastAsia="zh-CN"/>
                    </w:rPr>
                  </w:pPr>
                </w:p>
              </w:tc>
              <w:tc>
                <w:tcPr>
                  <w:tcW w:w="459" w:type="pct"/>
                  <w:noWrap w:val="0"/>
                  <w:vAlign w:val="center"/>
                </w:tcPr>
                <w:p w14:paraId="20E4A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核定排放</w:t>
                  </w:r>
                </w:p>
                <w:p w14:paraId="432063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增减量</w:t>
                  </w:r>
                </w:p>
              </w:tc>
            </w:tr>
            <w:tr w14:paraId="4FD796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3" w:type="pct"/>
                  <w:vMerge w:val="restart"/>
                  <w:noWrap w:val="0"/>
                  <w:vAlign w:val="center"/>
                </w:tcPr>
                <w:p w14:paraId="795BD5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废气</w:t>
                  </w:r>
                </w:p>
              </w:tc>
              <w:tc>
                <w:tcPr>
                  <w:tcW w:w="383" w:type="pct"/>
                  <w:noWrap w:val="0"/>
                  <w:vAlign w:val="center"/>
                </w:tcPr>
                <w:p w14:paraId="7DE52A14">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410" w:type="pct"/>
                  <w:noWrap w:val="0"/>
                  <w:vAlign w:val="center"/>
                </w:tcPr>
                <w:p w14:paraId="2293D320">
                  <w:pPr>
                    <w:keepNext w:val="0"/>
                    <w:keepLines w:val="0"/>
                    <w:pageBreakBefore w:val="0"/>
                    <w:widowControl w:val="0"/>
                    <w:kinsoku/>
                    <w:wordWrap/>
                    <w:overflowPunct/>
                    <w:topLinePunct w:val="0"/>
                    <w:bidi w:val="0"/>
                    <w:adjustRightInd w:val="0"/>
                    <w:spacing w:line="240" w:lineRule="auto"/>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5.58</w:t>
                  </w:r>
                </w:p>
              </w:tc>
              <w:tc>
                <w:tcPr>
                  <w:tcW w:w="412" w:type="pct"/>
                  <w:shd w:val="clear" w:color="auto" w:fill="auto"/>
                  <w:noWrap w:val="0"/>
                  <w:vAlign w:val="center"/>
                </w:tcPr>
                <w:p w14:paraId="228A905E">
                  <w:pPr>
                    <w:keepNext w:val="0"/>
                    <w:keepLines w:val="0"/>
                    <w:pageBreakBefore w:val="0"/>
                    <w:widowControl w:val="0"/>
                    <w:kinsoku/>
                    <w:wordWrap/>
                    <w:overflowPunct/>
                    <w:topLinePunct w:val="0"/>
                    <w:bidi w:val="0"/>
                    <w:adjustRightInd w:val="0"/>
                    <w:spacing w:line="240" w:lineRule="auto"/>
                    <w:ind w:firstLine="0" w:firstLineChars="0"/>
                    <w:jc w:val="center"/>
                    <w:textAlignment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5.58</w:t>
                  </w:r>
                </w:p>
              </w:tc>
              <w:tc>
                <w:tcPr>
                  <w:tcW w:w="464" w:type="pct"/>
                  <w:noWrap w:val="0"/>
                  <w:vAlign w:val="center"/>
                </w:tcPr>
                <w:p w14:paraId="3BE25D1B">
                  <w:pPr>
                    <w:pStyle w:val="69"/>
                    <w:jc w:val="center"/>
                    <w:rPr>
                      <w:rFonts w:hint="default" w:ascii="Times New Roman" w:hAnsi="Times New Roman" w:eastAsia="宋体" w:cs="Times New Roman"/>
                      <w:bCs/>
                      <w:color w:val="auto"/>
                      <w:sz w:val="18"/>
                      <w:szCs w:val="18"/>
                      <w:highlight w:val="none"/>
                      <w:lang w:val="en-US" w:eastAsia="zh-CN"/>
                    </w:rPr>
                  </w:pPr>
                  <w:r>
                    <w:rPr>
                      <w:rFonts w:hint="eastAsia" w:cs="Times New Roman"/>
                      <w:color w:val="auto"/>
                      <w:spacing w:val="0"/>
                      <w:sz w:val="18"/>
                      <w:szCs w:val="18"/>
                      <w:highlight w:val="none"/>
                      <w:lang w:val="en-US" w:eastAsia="zh-CN"/>
                    </w:rPr>
                    <w:t>0.524</w:t>
                  </w:r>
                </w:p>
              </w:tc>
              <w:tc>
                <w:tcPr>
                  <w:tcW w:w="367" w:type="pct"/>
                  <w:noWrap w:val="0"/>
                  <w:vAlign w:val="center"/>
                </w:tcPr>
                <w:p w14:paraId="3BC1BA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2.053</w:t>
                  </w:r>
                </w:p>
              </w:tc>
              <w:tc>
                <w:tcPr>
                  <w:tcW w:w="350" w:type="pct"/>
                  <w:noWrap w:val="0"/>
                  <w:vAlign w:val="center"/>
                </w:tcPr>
                <w:p w14:paraId="2C0DD609">
                  <w:pPr>
                    <w:keepNext w:val="0"/>
                    <w:keepLines w:val="0"/>
                    <w:pageBreakBefore w:val="0"/>
                    <w:widowControl w:val="0"/>
                    <w:kinsoku/>
                    <w:wordWrap/>
                    <w:overflowPunct/>
                    <w:topLinePunct w:val="0"/>
                    <w:bidi w:val="0"/>
                    <w:adjustRightInd w:val="0"/>
                    <w:spacing w:line="240" w:lineRule="auto"/>
                    <w:ind w:firstLine="0" w:firstLine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5.58</w:t>
                  </w:r>
                </w:p>
              </w:tc>
              <w:tc>
                <w:tcPr>
                  <w:tcW w:w="414" w:type="pct"/>
                  <w:noWrap w:val="0"/>
                  <w:vAlign w:val="center"/>
                </w:tcPr>
                <w:p w14:paraId="3F055F16">
                  <w:pPr>
                    <w:keepNext w:val="0"/>
                    <w:keepLines w:val="0"/>
                    <w:pageBreakBefore w:val="0"/>
                    <w:widowControl w:val="0"/>
                    <w:kinsoku/>
                    <w:wordWrap/>
                    <w:overflowPunct/>
                    <w:topLinePunct w:val="0"/>
                    <w:bidi w:val="0"/>
                    <w:adjustRightInd w:val="0"/>
                    <w:spacing w:line="240" w:lineRule="auto"/>
                    <w:ind w:firstLine="0" w:firstLineChars="0"/>
                    <w:jc w:val="center"/>
                    <w:textAlignment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5.58</w:t>
                  </w:r>
                </w:p>
              </w:tc>
              <w:tc>
                <w:tcPr>
                  <w:tcW w:w="542" w:type="pct"/>
                  <w:noWrap w:val="0"/>
                  <w:vAlign w:val="center"/>
                </w:tcPr>
                <w:p w14:paraId="1108CEE4">
                  <w:pPr>
                    <w:pStyle w:val="69"/>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color w:val="auto"/>
                      <w:spacing w:val="0"/>
                      <w:sz w:val="18"/>
                      <w:szCs w:val="18"/>
                      <w:highlight w:val="none"/>
                      <w:lang w:val="en-US" w:eastAsia="zh-CN"/>
                    </w:rPr>
                    <w:t>0.524</w:t>
                  </w:r>
                </w:p>
              </w:tc>
              <w:tc>
                <w:tcPr>
                  <w:tcW w:w="745" w:type="dxa"/>
                  <w:noWrap w:val="0"/>
                  <w:vAlign w:val="center"/>
                </w:tcPr>
                <w:p w14:paraId="515E19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2.053</w:t>
                  </w:r>
                </w:p>
              </w:tc>
              <w:tc>
                <w:tcPr>
                  <w:tcW w:w="698" w:type="dxa"/>
                  <w:noWrap w:val="0"/>
                  <w:vAlign w:val="center"/>
                </w:tcPr>
                <w:p w14:paraId="3B10AF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w:t>
                  </w:r>
                  <w:r>
                    <w:rPr>
                      <w:rFonts w:hint="eastAsia" w:ascii="Times New Roman" w:hAnsi="Times New Roman" w:cs="Times New Roman"/>
                      <w:bCs/>
                      <w:color w:val="auto"/>
                      <w:sz w:val="18"/>
                      <w:szCs w:val="18"/>
                      <w:highlight w:val="none"/>
                      <w:lang w:val="en-US" w:eastAsia="zh-CN"/>
                    </w:rPr>
                    <w:t>5.056</w:t>
                  </w:r>
                </w:p>
              </w:tc>
              <w:tc>
                <w:tcPr>
                  <w:tcW w:w="507" w:type="dxa"/>
                  <w:noWrap w:val="0"/>
                  <w:vAlign w:val="center"/>
                </w:tcPr>
                <w:p w14:paraId="2B6BF3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w:t>
                  </w:r>
                  <w:r>
                    <w:rPr>
                      <w:rFonts w:hint="eastAsia" w:ascii="Times New Roman" w:hAnsi="Times New Roman" w:cs="Times New Roman"/>
                      <w:bCs/>
                      <w:color w:val="auto"/>
                      <w:sz w:val="18"/>
                      <w:szCs w:val="18"/>
                      <w:highlight w:val="none"/>
                      <w:lang w:val="en-US" w:eastAsia="zh-CN"/>
                    </w:rPr>
                    <w:t>3.527</w:t>
                  </w:r>
                </w:p>
              </w:tc>
            </w:tr>
            <w:tr w14:paraId="44850E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continue"/>
                  <w:noWrap w:val="0"/>
                  <w:vAlign w:val="center"/>
                </w:tcPr>
                <w:p w14:paraId="1DCAFE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p>
              </w:tc>
              <w:tc>
                <w:tcPr>
                  <w:tcW w:w="383" w:type="pct"/>
                  <w:noWrap w:val="0"/>
                  <w:vAlign w:val="center"/>
                </w:tcPr>
                <w:p w14:paraId="574FAD2E">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二氧化硫</w:t>
                  </w:r>
                </w:p>
              </w:tc>
              <w:tc>
                <w:tcPr>
                  <w:tcW w:w="410" w:type="pct"/>
                  <w:noWrap w:val="0"/>
                  <w:vAlign w:val="center"/>
                </w:tcPr>
                <w:p w14:paraId="5DA25D21">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4.65</w:t>
                  </w:r>
                </w:p>
              </w:tc>
              <w:tc>
                <w:tcPr>
                  <w:tcW w:w="412" w:type="pct"/>
                  <w:shd w:val="clear" w:color="auto" w:fill="auto"/>
                  <w:noWrap w:val="0"/>
                  <w:vAlign w:val="center"/>
                </w:tcPr>
                <w:p w14:paraId="20A6EEB4">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Cs/>
                      <w:color w:val="auto"/>
                      <w:spacing w:val="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4.65</w:t>
                  </w:r>
                </w:p>
              </w:tc>
              <w:tc>
                <w:tcPr>
                  <w:tcW w:w="464" w:type="pct"/>
                  <w:noWrap w:val="0"/>
                  <w:vAlign w:val="center"/>
                </w:tcPr>
                <w:p w14:paraId="582D9B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color w:val="auto"/>
                      <w:spacing w:val="0"/>
                      <w:sz w:val="18"/>
                      <w:szCs w:val="18"/>
                      <w:highlight w:val="none"/>
                      <w:lang w:val="en-US" w:eastAsia="zh-CN"/>
                    </w:rPr>
                    <w:t>4.388</w:t>
                  </w:r>
                </w:p>
              </w:tc>
              <w:tc>
                <w:tcPr>
                  <w:tcW w:w="367" w:type="pct"/>
                  <w:noWrap w:val="0"/>
                  <w:vAlign w:val="center"/>
                </w:tcPr>
                <w:p w14:paraId="339835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9.686</w:t>
                  </w:r>
                </w:p>
              </w:tc>
              <w:tc>
                <w:tcPr>
                  <w:tcW w:w="350" w:type="pct"/>
                  <w:noWrap w:val="0"/>
                  <w:vAlign w:val="center"/>
                </w:tcPr>
                <w:p w14:paraId="497112BD">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4.65</w:t>
                  </w:r>
                </w:p>
              </w:tc>
              <w:tc>
                <w:tcPr>
                  <w:tcW w:w="414" w:type="pct"/>
                  <w:noWrap w:val="0"/>
                  <w:vAlign w:val="center"/>
                </w:tcPr>
                <w:p w14:paraId="4C478253">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pacing w:val="0"/>
                      <w:sz w:val="18"/>
                      <w:szCs w:val="18"/>
                      <w:highlight w:val="none"/>
                      <w:lang w:val="en-US" w:eastAsia="zh-CN"/>
                    </w:rPr>
                  </w:pPr>
                  <w:r>
                    <w:rPr>
                      <w:rFonts w:hint="default" w:ascii="Times New Roman" w:hAnsi="Times New Roman" w:cs="Times New Roman"/>
                      <w:color w:val="auto"/>
                      <w:sz w:val="18"/>
                      <w:szCs w:val="18"/>
                      <w:highlight w:val="none"/>
                      <w:lang w:val="en-US" w:eastAsia="zh-CN"/>
                    </w:rPr>
                    <w:t>4.65</w:t>
                  </w:r>
                </w:p>
              </w:tc>
              <w:tc>
                <w:tcPr>
                  <w:tcW w:w="542" w:type="pct"/>
                  <w:noWrap w:val="0"/>
                  <w:vAlign w:val="center"/>
                </w:tcPr>
                <w:p w14:paraId="58A5F2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eastAsia" w:ascii="Times New Roman" w:hAnsi="Times New Roman" w:cs="Times New Roman"/>
                      <w:color w:val="auto"/>
                      <w:spacing w:val="0"/>
                      <w:sz w:val="18"/>
                      <w:szCs w:val="18"/>
                      <w:highlight w:val="none"/>
                      <w:lang w:val="en-US" w:eastAsia="zh-CN"/>
                    </w:rPr>
                    <w:t>4.388</w:t>
                  </w:r>
                </w:p>
              </w:tc>
              <w:tc>
                <w:tcPr>
                  <w:tcW w:w="745" w:type="dxa"/>
                  <w:noWrap w:val="0"/>
                  <w:vAlign w:val="center"/>
                </w:tcPr>
                <w:p w14:paraId="591838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9.686</w:t>
                  </w:r>
                </w:p>
              </w:tc>
              <w:tc>
                <w:tcPr>
                  <w:tcW w:w="698" w:type="dxa"/>
                  <w:noWrap w:val="0"/>
                  <w:vAlign w:val="center"/>
                </w:tcPr>
                <w:p w14:paraId="4E46A0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w:t>
                  </w:r>
                  <w:r>
                    <w:rPr>
                      <w:rFonts w:hint="eastAsia" w:ascii="Times New Roman" w:hAnsi="Times New Roman" w:cs="Times New Roman"/>
                      <w:bCs/>
                      <w:color w:val="auto"/>
                      <w:sz w:val="18"/>
                      <w:szCs w:val="18"/>
                      <w:highlight w:val="none"/>
                      <w:lang w:val="en-US" w:eastAsia="zh-CN"/>
                    </w:rPr>
                    <w:t>0.262</w:t>
                  </w:r>
                </w:p>
              </w:tc>
              <w:tc>
                <w:tcPr>
                  <w:tcW w:w="507" w:type="dxa"/>
                  <w:noWrap w:val="0"/>
                  <w:vAlign w:val="center"/>
                </w:tcPr>
                <w:p w14:paraId="596F1A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5.036</w:t>
                  </w:r>
                </w:p>
              </w:tc>
            </w:tr>
            <w:tr w14:paraId="5D892A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continue"/>
                  <w:noWrap w:val="0"/>
                  <w:vAlign w:val="center"/>
                </w:tcPr>
                <w:p w14:paraId="52F05F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p>
              </w:tc>
              <w:tc>
                <w:tcPr>
                  <w:tcW w:w="383" w:type="pct"/>
                  <w:noWrap w:val="0"/>
                  <w:vAlign w:val="center"/>
                </w:tcPr>
                <w:p w14:paraId="09D9DD83">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氮氧化物</w:t>
                  </w:r>
                </w:p>
              </w:tc>
              <w:tc>
                <w:tcPr>
                  <w:tcW w:w="410" w:type="pct"/>
                  <w:noWrap w:val="0"/>
                  <w:vAlign w:val="center"/>
                </w:tcPr>
                <w:p w14:paraId="12F5C148">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15.3</w:t>
                  </w:r>
                </w:p>
              </w:tc>
              <w:tc>
                <w:tcPr>
                  <w:tcW w:w="412" w:type="pct"/>
                  <w:shd w:val="clear" w:color="auto" w:fill="auto"/>
                  <w:noWrap w:val="0"/>
                  <w:vAlign w:val="center"/>
                </w:tcPr>
                <w:p w14:paraId="4074F41E">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Cs/>
                      <w:color w:val="auto"/>
                      <w:spacing w:val="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15.3</w:t>
                  </w:r>
                </w:p>
              </w:tc>
              <w:tc>
                <w:tcPr>
                  <w:tcW w:w="464" w:type="pct"/>
                  <w:noWrap w:val="0"/>
                  <w:vAlign w:val="center"/>
                </w:tcPr>
                <w:p w14:paraId="28286C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color w:val="auto"/>
                      <w:spacing w:val="0"/>
                      <w:sz w:val="18"/>
                      <w:szCs w:val="18"/>
                      <w:highlight w:val="none"/>
                      <w:lang w:val="en-US" w:eastAsia="zh-CN"/>
                    </w:rPr>
                    <w:t>6.7396</w:t>
                  </w:r>
                </w:p>
              </w:tc>
              <w:tc>
                <w:tcPr>
                  <w:tcW w:w="367" w:type="pct"/>
                  <w:noWrap w:val="0"/>
                  <w:vAlign w:val="center"/>
                </w:tcPr>
                <w:p w14:paraId="771C98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12.107</w:t>
                  </w:r>
                </w:p>
              </w:tc>
              <w:tc>
                <w:tcPr>
                  <w:tcW w:w="350" w:type="pct"/>
                  <w:noWrap w:val="0"/>
                  <w:vAlign w:val="center"/>
                </w:tcPr>
                <w:p w14:paraId="4C71B2B7">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15.3</w:t>
                  </w:r>
                </w:p>
              </w:tc>
              <w:tc>
                <w:tcPr>
                  <w:tcW w:w="414" w:type="pct"/>
                  <w:noWrap w:val="0"/>
                  <w:vAlign w:val="center"/>
                </w:tcPr>
                <w:p w14:paraId="471E531D">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cs="Times New Roman"/>
                      <w:color w:val="auto"/>
                      <w:spacing w:val="0"/>
                      <w:sz w:val="18"/>
                      <w:szCs w:val="18"/>
                      <w:highlight w:val="none"/>
                      <w:lang w:val="en-US" w:eastAsia="zh-CN"/>
                    </w:rPr>
                  </w:pPr>
                  <w:r>
                    <w:rPr>
                      <w:rFonts w:hint="default" w:ascii="Times New Roman" w:hAnsi="Times New Roman" w:cs="Times New Roman"/>
                      <w:color w:val="auto"/>
                      <w:sz w:val="18"/>
                      <w:szCs w:val="18"/>
                      <w:highlight w:val="none"/>
                      <w:lang w:val="en-US" w:eastAsia="zh-CN"/>
                    </w:rPr>
                    <w:t>15.3</w:t>
                  </w:r>
                </w:p>
              </w:tc>
              <w:tc>
                <w:tcPr>
                  <w:tcW w:w="542" w:type="pct"/>
                  <w:noWrap w:val="0"/>
                  <w:vAlign w:val="center"/>
                </w:tcPr>
                <w:p w14:paraId="451207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color w:val="auto"/>
                      <w:spacing w:val="0"/>
                      <w:sz w:val="18"/>
                      <w:szCs w:val="18"/>
                      <w:highlight w:val="none"/>
                      <w:lang w:val="en-US" w:eastAsia="zh-CN"/>
                    </w:rPr>
                    <w:t>6.7396</w:t>
                  </w:r>
                </w:p>
              </w:tc>
              <w:tc>
                <w:tcPr>
                  <w:tcW w:w="745" w:type="dxa"/>
                  <w:noWrap w:val="0"/>
                  <w:vAlign w:val="center"/>
                </w:tcPr>
                <w:p w14:paraId="3111E1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12.107</w:t>
                  </w:r>
                </w:p>
              </w:tc>
              <w:tc>
                <w:tcPr>
                  <w:tcW w:w="698" w:type="dxa"/>
                  <w:noWrap w:val="0"/>
                  <w:vAlign w:val="center"/>
                </w:tcPr>
                <w:p w14:paraId="28DB27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-8.5604</w:t>
                  </w:r>
                </w:p>
              </w:tc>
              <w:tc>
                <w:tcPr>
                  <w:tcW w:w="507" w:type="dxa"/>
                  <w:noWrap w:val="0"/>
                  <w:vAlign w:val="center"/>
                </w:tcPr>
                <w:p w14:paraId="6D9B7C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-3.193</w:t>
                  </w:r>
                </w:p>
              </w:tc>
            </w:tr>
            <w:tr w14:paraId="154534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restart"/>
                  <w:noWrap w:val="0"/>
                  <w:vAlign w:val="center"/>
                </w:tcPr>
                <w:p w14:paraId="2102A9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废水</w:t>
                  </w:r>
                </w:p>
              </w:tc>
              <w:tc>
                <w:tcPr>
                  <w:tcW w:w="383" w:type="pct"/>
                  <w:noWrap w:val="0"/>
                  <w:vAlign w:val="center"/>
                </w:tcPr>
                <w:p w14:paraId="6605CCC3">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COD</w:t>
                  </w:r>
                </w:p>
              </w:tc>
              <w:tc>
                <w:tcPr>
                  <w:tcW w:w="410" w:type="pct"/>
                  <w:noWrap w:val="0"/>
                  <w:vAlign w:val="center"/>
                </w:tcPr>
                <w:p w14:paraId="6B6CC3FE">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18</w:t>
                  </w:r>
                </w:p>
              </w:tc>
              <w:tc>
                <w:tcPr>
                  <w:tcW w:w="412" w:type="pct"/>
                  <w:shd w:val="clear" w:color="auto" w:fill="auto"/>
                  <w:noWrap w:val="0"/>
                  <w:vAlign w:val="center"/>
                </w:tcPr>
                <w:p w14:paraId="3C6EB29F">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18</w:t>
                  </w:r>
                </w:p>
              </w:tc>
              <w:tc>
                <w:tcPr>
                  <w:tcW w:w="464" w:type="pct"/>
                  <w:noWrap w:val="0"/>
                  <w:vAlign w:val="center"/>
                </w:tcPr>
                <w:p w14:paraId="755BEC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0</w:t>
                  </w:r>
                </w:p>
              </w:tc>
              <w:tc>
                <w:tcPr>
                  <w:tcW w:w="367" w:type="pct"/>
                  <w:noWrap w:val="0"/>
                  <w:vAlign w:val="center"/>
                </w:tcPr>
                <w:p w14:paraId="52F708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w:t>
                  </w:r>
                </w:p>
              </w:tc>
              <w:tc>
                <w:tcPr>
                  <w:tcW w:w="350" w:type="pct"/>
                  <w:noWrap w:val="0"/>
                  <w:vAlign w:val="center"/>
                </w:tcPr>
                <w:p w14:paraId="1946E664">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414" w:type="pct"/>
                  <w:noWrap w:val="0"/>
                  <w:vAlign w:val="center"/>
                </w:tcPr>
                <w:p w14:paraId="7F6D5858">
                  <w:pPr>
                    <w:pStyle w:val="69"/>
                    <w:jc w:val="center"/>
                    <w:rPr>
                      <w:rFonts w:hint="default" w:ascii="Times New Roman" w:hAnsi="Times New Roman" w:cs="Times New Roman"/>
                      <w:color w:val="auto"/>
                      <w:spacing w:val="0"/>
                      <w:sz w:val="18"/>
                      <w:szCs w:val="18"/>
                      <w:highlight w:val="none"/>
                      <w:lang w:val="en-US" w:eastAsia="zh-CN"/>
                    </w:rPr>
                  </w:pPr>
                  <w:r>
                    <w:rPr>
                      <w:rFonts w:hint="default" w:ascii="Times New Roman" w:hAnsi="Times New Roman" w:cs="Times New Roman"/>
                      <w:color w:val="auto"/>
                      <w:spacing w:val="0"/>
                      <w:sz w:val="18"/>
                      <w:szCs w:val="18"/>
                      <w:highlight w:val="none"/>
                      <w:lang w:val="en-US" w:eastAsia="zh-CN"/>
                    </w:rPr>
                    <w:t>0</w:t>
                  </w:r>
                </w:p>
              </w:tc>
              <w:tc>
                <w:tcPr>
                  <w:tcW w:w="542" w:type="pct"/>
                  <w:noWrap w:val="0"/>
                  <w:vAlign w:val="center"/>
                </w:tcPr>
                <w:p w14:paraId="5BF4CB22">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18</w:t>
                  </w:r>
                </w:p>
              </w:tc>
              <w:tc>
                <w:tcPr>
                  <w:tcW w:w="479" w:type="pct"/>
                  <w:noWrap w:val="0"/>
                  <w:vAlign w:val="center"/>
                </w:tcPr>
                <w:p w14:paraId="1CB5A088">
                  <w:pPr>
                    <w:pStyle w:val="1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18</w:t>
                  </w:r>
                </w:p>
              </w:tc>
              <w:tc>
                <w:tcPr>
                  <w:tcW w:w="459" w:type="pct"/>
                  <w:noWrap w:val="0"/>
                  <w:vAlign w:val="center"/>
                </w:tcPr>
                <w:p w14:paraId="4DBDDFA0">
                  <w:pPr>
                    <w:pStyle w:val="1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0</w:t>
                  </w:r>
                </w:p>
              </w:tc>
              <w:tc>
                <w:tcPr>
                  <w:tcW w:w="459" w:type="pct"/>
                  <w:noWrap w:val="0"/>
                  <w:vAlign w:val="center"/>
                </w:tcPr>
                <w:p w14:paraId="0D7A548C">
                  <w:pPr>
                    <w:pStyle w:val="1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0</w:t>
                  </w:r>
                </w:p>
              </w:tc>
            </w:tr>
            <w:tr w14:paraId="3EFFEE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3" w:type="pct"/>
                  <w:vMerge w:val="continue"/>
                  <w:noWrap w:val="0"/>
                  <w:vAlign w:val="center"/>
                </w:tcPr>
                <w:p w14:paraId="461E22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p>
              </w:tc>
              <w:tc>
                <w:tcPr>
                  <w:tcW w:w="383" w:type="pct"/>
                  <w:noWrap w:val="0"/>
                  <w:vAlign w:val="center"/>
                </w:tcPr>
                <w:p w14:paraId="3CD68A01">
                  <w:pPr>
                    <w:pStyle w:val="43"/>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氨氮</w:t>
                  </w:r>
                </w:p>
              </w:tc>
              <w:tc>
                <w:tcPr>
                  <w:tcW w:w="410" w:type="pct"/>
                  <w:noWrap w:val="0"/>
                  <w:vAlign w:val="center"/>
                </w:tcPr>
                <w:p w14:paraId="7DF9BD9D">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0.9</w:t>
                  </w:r>
                </w:p>
              </w:tc>
              <w:tc>
                <w:tcPr>
                  <w:tcW w:w="412" w:type="pct"/>
                  <w:shd w:val="clear" w:color="auto" w:fill="auto"/>
                  <w:noWrap w:val="0"/>
                  <w:vAlign w:val="center"/>
                </w:tcPr>
                <w:p w14:paraId="6AB203F0">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0.9</w:t>
                  </w:r>
                </w:p>
              </w:tc>
              <w:tc>
                <w:tcPr>
                  <w:tcW w:w="464" w:type="pct"/>
                  <w:noWrap w:val="0"/>
                  <w:vAlign w:val="center"/>
                </w:tcPr>
                <w:p w14:paraId="7E1BDD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0</w:t>
                  </w:r>
                </w:p>
              </w:tc>
              <w:tc>
                <w:tcPr>
                  <w:tcW w:w="367" w:type="pct"/>
                  <w:noWrap w:val="0"/>
                  <w:vAlign w:val="center"/>
                </w:tcPr>
                <w:p w14:paraId="2E90AA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cs="Times New Roman"/>
                      <w:bCs/>
                      <w:color w:val="auto"/>
                      <w:sz w:val="18"/>
                      <w:szCs w:val="18"/>
                      <w:highlight w:val="none"/>
                      <w:lang w:val="en-US" w:eastAsia="zh-CN"/>
                    </w:rPr>
                    <w:t>/</w:t>
                  </w:r>
                </w:p>
              </w:tc>
              <w:tc>
                <w:tcPr>
                  <w:tcW w:w="350" w:type="pct"/>
                  <w:noWrap w:val="0"/>
                  <w:vAlign w:val="center"/>
                </w:tcPr>
                <w:p w14:paraId="03AB40C4">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414" w:type="pct"/>
                  <w:noWrap w:val="0"/>
                  <w:vAlign w:val="center"/>
                </w:tcPr>
                <w:p w14:paraId="24811F55">
                  <w:pPr>
                    <w:pStyle w:val="69"/>
                    <w:jc w:val="center"/>
                    <w:rPr>
                      <w:rFonts w:hint="default" w:ascii="Times New Roman" w:hAnsi="Times New Roman" w:cs="Times New Roman"/>
                      <w:color w:val="auto"/>
                      <w:spacing w:val="0"/>
                      <w:sz w:val="18"/>
                      <w:szCs w:val="18"/>
                      <w:highlight w:val="none"/>
                      <w:lang w:val="en-US" w:eastAsia="zh-CN"/>
                    </w:rPr>
                  </w:pPr>
                  <w:r>
                    <w:rPr>
                      <w:rFonts w:hint="default" w:ascii="Times New Roman" w:hAnsi="Times New Roman" w:cs="Times New Roman"/>
                      <w:color w:val="auto"/>
                      <w:spacing w:val="0"/>
                      <w:sz w:val="18"/>
                      <w:szCs w:val="18"/>
                      <w:highlight w:val="none"/>
                      <w:lang w:val="en-US" w:eastAsia="zh-CN"/>
                    </w:rPr>
                    <w:t>0</w:t>
                  </w:r>
                </w:p>
              </w:tc>
              <w:tc>
                <w:tcPr>
                  <w:tcW w:w="542" w:type="pct"/>
                  <w:noWrap w:val="0"/>
                  <w:vAlign w:val="center"/>
                </w:tcPr>
                <w:p w14:paraId="471F36D5">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cs="Times New Roman"/>
                      <w:b w:val="0"/>
                      <w:bCs w:val="0"/>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0.9</w:t>
                  </w:r>
                </w:p>
              </w:tc>
              <w:tc>
                <w:tcPr>
                  <w:tcW w:w="479" w:type="pct"/>
                  <w:noWrap w:val="0"/>
                  <w:vAlign w:val="center"/>
                </w:tcPr>
                <w:p w14:paraId="661404AB">
                  <w:pPr>
                    <w:pStyle w:val="1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0.9</w:t>
                  </w:r>
                </w:p>
              </w:tc>
              <w:tc>
                <w:tcPr>
                  <w:tcW w:w="459" w:type="pct"/>
                  <w:noWrap w:val="0"/>
                  <w:vAlign w:val="center"/>
                </w:tcPr>
                <w:p w14:paraId="66E7A7D0">
                  <w:pPr>
                    <w:pStyle w:val="1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0</w:t>
                  </w:r>
                </w:p>
              </w:tc>
              <w:tc>
                <w:tcPr>
                  <w:tcW w:w="459" w:type="pct"/>
                  <w:noWrap w:val="0"/>
                  <w:vAlign w:val="center"/>
                </w:tcPr>
                <w:p w14:paraId="66D99930">
                  <w:pPr>
                    <w:pStyle w:val="1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cs="Times New Roman"/>
                      <w:b w:val="0"/>
                      <w:bCs w:val="0"/>
                      <w:color w:val="auto"/>
                      <w:sz w:val="18"/>
                      <w:szCs w:val="18"/>
                      <w:highlight w:val="none"/>
                      <w:lang w:val="en-US" w:eastAsia="zh-CN"/>
                    </w:rPr>
                    <w:t>0</w:t>
                  </w:r>
                </w:p>
              </w:tc>
            </w:tr>
          </w:tbl>
          <w:p w14:paraId="75D7381B">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firstLine="0" w:firstLineChars="0"/>
              <w:jc w:val="both"/>
              <w:textAlignment w:val="auto"/>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注：现有工程实际排放量和现有工程核定排放量根据</w:t>
            </w:r>
            <w:r>
              <w:rPr>
                <w:rFonts w:hint="default" w:ascii="Times New Roman" w:hAnsi="Times New Roman" w:cs="Times New Roman"/>
                <w:b/>
                <w:bCs w:val="0"/>
                <w:color w:val="auto"/>
                <w:sz w:val="18"/>
                <w:szCs w:val="18"/>
                <w:highlight w:val="none"/>
                <w:lang w:val="en-US" w:eastAsia="zh-CN"/>
              </w:rPr>
              <w:t>《关于绿都集团股份有限公司日处理200吨米糠制油设施建设项目环境影响报告表的批复》填报</w:t>
            </w:r>
            <w:r>
              <w:rPr>
                <w:rFonts w:hint="eastAsia" w:cs="Times New Roman"/>
                <w:b/>
                <w:bCs w:val="0"/>
                <w:color w:val="auto"/>
                <w:sz w:val="18"/>
                <w:szCs w:val="18"/>
                <w:highlight w:val="none"/>
                <w:lang w:val="en-US" w:eastAsia="zh-CN"/>
              </w:rPr>
              <w:t>。</w:t>
            </w:r>
          </w:p>
          <w:p w14:paraId="19D45344">
            <w:pPr>
              <w:ind w:firstLine="0" w:firstLineChars="0"/>
              <w:jc w:val="both"/>
              <w:rPr>
                <w:rFonts w:hint="default" w:ascii="Times New Roman" w:hAnsi="Times New Roman" w:eastAsia="宋体" w:cs="Times New Roman"/>
                <w:color w:val="auto"/>
                <w:spacing w:val="0"/>
                <w:highlight w:val="none"/>
                <w:lang w:val="en-US" w:eastAsia="zh-CN"/>
              </w:rPr>
            </w:pPr>
          </w:p>
          <w:p w14:paraId="486DCD08">
            <w:pPr>
              <w:ind w:firstLine="0" w:firstLineChars="0"/>
              <w:jc w:val="both"/>
              <w:rPr>
                <w:rFonts w:hint="default" w:ascii="Times New Roman" w:hAnsi="Times New Roman" w:eastAsia="宋体" w:cs="Times New Roman"/>
                <w:color w:val="auto"/>
                <w:spacing w:val="0"/>
                <w:highlight w:val="none"/>
                <w:lang w:val="en-US" w:eastAsia="zh-CN"/>
              </w:rPr>
            </w:pPr>
          </w:p>
          <w:p w14:paraId="54009055">
            <w:pPr>
              <w:ind w:firstLine="0" w:firstLineChars="0"/>
              <w:jc w:val="both"/>
              <w:rPr>
                <w:rFonts w:hint="default" w:ascii="Times New Roman" w:hAnsi="Times New Roman" w:eastAsia="宋体" w:cs="Times New Roman"/>
                <w:color w:val="auto"/>
                <w:spacing w:val="0"/>
                <w:highlight w:val="none"/>
                <w:lang w:val="en-US" w:eastAsia="zh-CN"/>
              </w:rPr>
            </w:pPr>
          </w:p>
          <w:p w14:paraId="0D67602A">
            <w:pPr>
              <w:ind w:firstLine="0" w:firstLineChars="0"/>
              <w:jc w:val="both"/>
              <w:rPr>
                <w:rFonts w:hint="default" w:ascii="Times New Roman" w:hAnsi="Times New Roman" w:eastAsia="宋体" w:cs="Times New Roman"/>
                <w:color w:val="auto"/>
                <w:spacing w:val="0"/>
                <w:highlight w:val="none"/>
                <w:lang w:val="en-US" w:eastAsia="zh-CN"/>
              </w:rPr>
            </w:pPr>
          </w:p>
          <w:p w14:paraId="481FAA04">
            <w:pPr>
              <w:ind w:firstLine="0" w:firstLineChars="0"/>
              <w:jc w:val="both"/>
              <w:rPr>
                <w:rFonts w:hint="default" w:ascii="Times New Roman" w:hAnsi="Times New Roman" w:eastAsia="宋体" w:cs="Times New Roman"/>
                <w:color w:val="auto"/>
                <w:spacing w:val="0"/>
                <w:highlight w:val="none"/>
                <w:lang w:val="en-US" w:eastAsia="zh-CN"/>
              </w:rPr>
            </w:pPr>
          </w:p>
          <w:p w14:paraId="610595A0">
            <w:pPr>
              <w:ind w:firstLine="0" w:firstLineChars="0"/>
              <w:jc w:val="both"/>
              <w:rPr>
                <w:rFonts w:hint="default" w:ascii="Times New Roman" w:hAnsi="Times New Roman" w:eastAsia="宋体" w:cs="Times New Roman"/>
                <w:color w:val="auto"/>
                <w:spacing w:val="0"/>
                <w:highlight w:val="none"/>
                <w:lang w:val="en-US" w:eastAsia="zh-CN"/>
              </w:rPr>
            </w:pPr>
          </w:p>
          <w:p w14:paraId="4427C03F">
            <w:pPr>
              <w:ind w:firstLine="0" w:firstLineChars="0"/>
              <w:jc w:val="both"/>
              <w:rPr>
                <w:rFonts w:hint="default" w:ascii="Times New Roman" w:hAnsi="Times New Roman" w:eastAsia="宋体" w:cs="Times New Roman"/>
                <w:color w:val="auto"/>
                <w:spacing w:val="0"/>
                <w:highlight w:val="none"/>
                <w:lang w:val="en-US" w:eastAsia="zh-CN"/>
              </w:rPr>
            </w:pPr>
          </w:p>
          <w:p w14:paraId="66ECE2B8">
            <w:pPr>
              <w:ind w:firstLine="0" w:firstLineChars="0"/>
              <w:jc w:val="both"/>
              <w:rPr>
                <w:rFonts w:hint="default" w:ascii="Times New Roman" w:hAnsi="Times New Roman" w:eastAsia="宋体" w:cs="Times New Roman"/>
                <w:color w:val="auto"/>
                <w:spacing w:val="0"/>
                <w:highlight w:val="none"/>
                <w:lang w:val="en-US" w:eastAsia="zh-CN"/>
              </w:rPr>
            </w:pPr>
          </w:p>
          <w:p w14:paraId="6D09AD3F">
            <w:pPr>
              <w:ind w:firstLine="0" w:firstLineChars="0"/>
              <w:jc w:val="both"/>
              <w:rPr>
                <w:rFonts w:hint="default" w:ascii="Times New Roman" w:hAnsi="Times New Roman" w:eastAsia="宋体" w:cs="Times New Roman"/>
                <w:color w:val="auto"/>
                <w:spacing w:val="0"/>
                <w:highlight w:val="none"/>
                <w:lang w:val="en-US" w:eastAsia="zh-CN"/>
              </w:rPr>
            </w:pPr>
          </w:p>
          <w:p w14:paraId="20C2A3F9">
            <w:pPr>
              <w:ind w:firstLine="0" w:firstLineChars="0"/>
              <w:jc w:val="both"/>
              <w:rPr>
                <w:rFonts w:hint="default" w:ascii="Times New Roman" w:hAnsi="Times New Roman" w:eastAsia="宋体" w:cs="Times New Roman"/>
                <w:color w:val="auto"/>
                <w:spacing w:val="0"/>
                <w:highlight w:val="none"/>
                <w:lang w:val="en-US" w:eastAsia="zh-CN"/>
              </w:rPr>
            </w:pPr>
          </w:p>
        </w:tc>
      </w:tr>
    </w:tbl>
    <w:p w14:paraId="045CBED4">
      <w:pPr>
        <w:pStyle w:val="2"/>
        <w:rPr>
          <w:rFonts w:hint="default" w:ascii="Times New Roman" w:hAnsi="Times New Roman" w:eastAsia="宋体" w:cs="Times New Roman"/>
          <w:color w:val="auto"/>
          <w:spacing w:val="0"/>
          <w:highlight w:val="none"/>
        </w:rPr>
        <w:sectPr>
          <w:pgSz w:w="11907" w:h="16840"/>
          <w:pgMar w:top="1440" w:right="1797" w:bottom="1440" w:left="1797"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bookmarkEnd w:id="4"/>
    <w:bookmarkEnd w:id="5"/>
    <w:p w14:paraId="0C24026C">
      <w:pPr>
        <w:pStyle w:val="2"/>
        <w:spacing w:line="360" w:lineRule="auto"/>
        <w:jc w:val="both"/>
        <w:rPr>
          <w:rFonts w:hint="default" w:ascii="Times New Roman" w:hAnsi="Times New Roman" w:eastAsia="宋体" w:cs="Times New Roman"/>
          <w:bCs w:val="0"/>
          <w:color w:val="auto"/>
          <w:spacing w:val="0"/>
          <w:highlight w:val="none"/>
        </w:rPr>
      </w:pPr>
      <w:bookmarkStart w:id="6" w:name="_Toc71191480"/>
      <w:r>
        <w:rPr>
          <w:rFonts w:hint="default" w:ascii="Times New Roman" w:hAnsi="Times New Roman" w:eastAsia="宋体" w:cs="Times New Roman"/>
          <w:bCs w:val="0"/>
          <w:color w:val="auto"/>
          <w:spacing w:val="0"/>
          <w:highlight w:val="none"/>
        </w:rPr>
        <w:t>四、主要环境影响和保护措施</w:t>
      </w:r>
    </w:p>
    <w:tbl>
      <w:tblPr>
        <w:tblStyle w:val="35"/>
        <w:tblW w:w="50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1"/>
        <w:gridCol w:w="7865"/>
      </w:tblGrid>
      <w:tr w14:paraId="5B3AFB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45" w:type="dxa"/>
            <w:noWrap w:val="0"/>
            <w:tcMar>
              <w:left w:w="28" w:type="dxa"/>
              <w:right w:w="28" w:type="dxa"/>
            </w:tcMar>
            <w:vAlign w:val="center"/>
          </w:tcPr>
          <w:p w14:paraId="14DD5913">
            <w:pPr>
              <w:spacing w:line="240" w:lineRule="auto"/>
              <w:ind w:firstLine="0" w:firstLineChars="0"/>
              <w:jc w:val="center"/>
              <w:rPr>
                <w:rFonts w:hint="default" w:ascii="Times New Roman" w:hAnsi="Times New Roman" w:eastAsia="宋体" w:cs="Times New Roman"/>
                <w:bCs w:val="0"/>
                <w:color w:val="auto"/>
                <w:spacing w:val="0"/>
                <w:kern w:val="2"/>
                <w:sz w:val="21"/>
                <w:szCs w:val="21"/>
                <w:highlight w:val="none"/>
              </w:rPr>
            </w:pPr>
            <w:r>
              <w:rPr>
                <w:rFonts w:hint="default" w:ascii="Times New Roman" w:hAnsi="Times New Roman" w:eastAsia="宋体" w:cs="Times New Roman"/>
                <w:bCs/>
                <w:color w:val="auto"/>
                <w:spacing w:val="0"/>
                <w:sz w:val="22"/>
                <w:szCs w:val="22"/>
                <w:highlight w:val="none"/>
                <w:lang w:eastAsia="zh-CN"/>
              </w:rPr>
              <w:t>施工</w:t>
            </w:r>
            <w:r>
              <w:rPr>
                <w:rFonts w:hint="default" w:ascii="Times New Roman" w:hAnsi="Times New Roman" w:eastAsia="宋体" w:cs="Times New Roman"/>
                <w:bCs/>
                <w:color w:val="auto"/>
                <w:spacing w:val="0"/>
                <w:sz w:val="22"/>
                <w:szCs w:val="22"/>
                <w:highlight w:val="none"/>
              </w:rPr>
              <w:t>期环境影响和保护措施</w:t>
            </w:r>
          </w:p>
        </w:tc>
        <w:tc>
          <w:tcPr>
            <w:tcW w:w="7792" w:type="dxa"/>
            <w:tcBorders>
              <w:bottom w:val="single" w:color="auto" w:sz="4" w:space="0"/>
            </w:tcBorders>
            <w:noWrap w:val="0"/>
            <w:vAlign w:val="center"/>
          </w:tcPr>
          <w:p w14:paraId="35DDA745">
            <w:pPr>
              <w:pStyle w:val="147"/>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eastAsia="zh-CN"/>
              </w:rPr>
              <w:t>施工期主要为锅炉设备及配套设施安装，</w:t>
            </w:r>
            <w:r>
              <w:rPr>
                <w:rFonts w:hint="default" w:ascii="Times New Roman" w:hAnsi="Times New Roman" w:eastAsia="宋体" w:cs="Times New Roman"/>
                <w:color w:val="auto"/>
                <w:spacing w:val="-3"/>
                <w:sz w:val="24"/>
                <w:szCs w:val="24"/>
                <w:highlight w:val="none"/>
              </w:rPr>
              <w:t>本项目利用场内用地建设，土建工程较少，</w:t>
            </w:r>
            <w:r>
              <w:rPr>
                <w:rFonts w:hint="default" w:ascii="Times New Roman" w:hAnsi="Times New Roman" w:eastAsia="宋体" w:cs="Times New Roman"/>
                <w:color w:val="auto"/>
                <w:spacing w:val="-5"/>
                <w:sz w:val="24"/>
                <w:szCs w:val="24"/>
                <w:highlight w:val="none"/>
              </w:rPr>
              <w:t>需建设1台</w:t>
            </w:r>
            <w:r>
              <w:rPr>
                <w:rFonts w:hint="default" w:ascii="Times New Roman" w:hAnsi="Times New Roman" w:cs="Times New Roman"/>
                <w:color w:val="auto"/>
                <w:spacing w:val="-5"/>
                <w:sz w:val="24"/>
                <w:szCs w:val="24"/>
                <w:highlight w:val="none"/>
                <w:lang w:eastAsia="zh-CN"/>
              </w:rPr>
              <w:t>10t/h生物质蒸汽锅炉</w:t>
            </w:r>
            <w:r>
              <w:rPr>
                <w:rFonts w:hint="default" w:ascii="Times New Roman" w:hAnsi="Times New Roman" w:eastAsia="宋体" w:cs="Times New Roman"/>
                <w:color w:val="auto"/>
                <w:spacing w:val="-5"/>
                <w:sz w:val="24"/>
                <w:szCs w:val="24"/>
                <w:highlight w:val="none"/>
              </w:rPr>
              <w:t>，其余</w:t>
            </w:r>
            <w:r>
              <w:rPr>
                <w:rFonts w:hint="default" w:ascii="Times New Roman" w:hAnsi="Times New Roman" w:eastAsia="宋体" w:cs="Times New Roman"/>
                <w:color w:val="auto"/>
                <w:spacing w:val="-6"/>
                <w:sz w:val="24"/>
                <w:szCs w:val="24"/>
                <w:highlight w:val="none"/>
              </w:rPr>
              <w:t>主要为</w:t>
            </w:r>
            <w:r>
              <w:rPr>
                <w:rFonts w:hint="default" w:ascii="Times New Roman" w:hAnsi="Times New Roman" w:cs="Times New Roman"/>
                <w:color w:val="auto"/>
                <w:spacing w:val="-6"/>
                <w:sz w:val="24"/>
                <w:szCs w:val="24"/>
                <w:highlight w:val="none"/>
                <w:lang w:val="en-US" w:eastAsia="zh-CN"/>
              </w:rPr>
              <w:t>原有2t/h锅炉</w:t>
            </w:r>
            <w:r>
              <w:rPr>
                <w:rFonts w:hint="default" w:ascii="Times New Roman" w:hAnsi="Times New Roman" w:eastAsia="宋体" w:cs="Times New Roman"/>
                <w:color w:val="auto"/>
                <w:spacing w:val="-6"/>
                <w:sz w:val="24"/>
                <w:szCs w:val="24"/>
                <w:highlight w:val="none"/>
              </w:rPr>
              <w:t>拆除</w:t>
            </w:r>
            <w:r>
              <w:rPr>
                <w:rFonts w:hint="default" w:ascii="Times New Roman" w:hAnsi="Times New Roman" w:eastAsia="宋体" w:cs="Times New Roman"/>
                <w:color w:val="auto"/>
                <w:spacing w:val="-3"/>
                <w:sz w:val="24"/>
                <w:szCs w:val="24"/>
                <w:highlight w:val="none"/>
              </w:rPr>
              <w:t>工作。</w:t>
            </w:r>
            <w:r>
              <w:rPr>
                <w:rFonts w:hint="eastAsia" w:ascii="Times New Roman" w:hAnsi="Times New Roman" w:cs="Times New Roman"/>
                <w:color w:val="auto"/>
                <w:spacing w:val="-3"/>
                <w:sz w:val="24"/>
                <w:szCs w:val="24"/>
                <w:highlight w:val="none"/>
                <w:lang w:val="en-US" w:eastAsia="zh-CN"/>
              </w:rPr>
              <w:t>由于</w:t>
            </w:r>
            <w:r>
              <w:rPr>
                <w:rFonts w:hint="default" w:ascii="Times New Roman" w:hAnsi="Times New Roman" w:cs="Times New Roman"/>
                <w:color w:val="auto"/>
                <w:spacing w:val="-6"/>
                <w:sz w:val="24"/>
                <w:szCs w:val="24"/>
                <w:highlight w:val="none"/>
                <w:lang w:val="en-US" w:eastAsia="zh-CN"/>
              </w:rPr>
              <w:t>2t/h锅炉</w:t>
            </w:r>
            <w:r>
              <w:rPr>
                <w:rFonts w:hint="eastAsia" w:ascii="Times New Roman" w:hAnsi="Times New Roman" w:cs="Times New Roman"/>
                <w:color w:val="auto"/>
                <w:spacing w:val="-6"/>
                <w:sz w:val="24"/>
                <w:szCs w:val="24"/>
                <w:highlight w:val="none"/>
                <w:lang w:val="en-US" w:eastAsia="zh-CN"/>
              </w:rPr>
              <w:t>为国有资产，需在现场保留，目前</w:t>
            </w:r>
            <w:r>
              <w:rPr>
                <w:rFonts w:hint="eastAsia" w:ascii="Times New Roman" w:hAnsi="Times New Roman" w:cs="Times New Roman"/>
                <w:color w:val="auto"/>
                <w:spacing w:val="-5"/>
                <w:sz w:val="24"/>
                <w:szCs w:val="24"/>
                <w:highlight w:val="none"/>
                <w:lang w:val="en-US" w:eastAsia="zh-CN"/>
              </w:rPr>
              <w:t>2t/h</w:t>
            </w:r>
            <w:r>
              <w:rPr>
                <w:rFonts w:hint="default" w:ascii="Times New Roman" w:hAnsi="Times New Roman" w:cs="Times New Roman"/>
                <w:color w:val="auto"/>
                <w:spacing w:val="-6"/>
                <w:sz w:val="24"/>
                <w:szCs w:val="24"/>
                <w:highlight w:val="none"/>
                <w:lang w:val="en-US" w:eastAsia="zh-CN"/>
              </w:rPr>
              <w:t>锅炉</w:t>
            </w:r>
            <w:r>
              <w:rPr>
                <w:rFonts w:hint="eastAsia" w:ascii="Times New Roman" w:hAnsi="Times New Roman" w:cs="Times New Roman"/>
                <w:color w:val="auto"/>
                <w:spacing w:val="-6"/>
                <w:sz w:val="24"/>
                <w:szCs w:val="24"/>
                <w:highlight w:val="none"/>
                <w:lang w:val="en-US" w:eastAsia="zh-CN"/>
              </w:rPr>
              <w:t>与烟道连接已经断开，无法使用</w:t>
            </w:r>
            <w:r>
              <w:rPr>
                <w:rFonts w:hint="default" w:ascii="Times New Roman" w:hAnsi="Times New Roman" w:cs="Times New Roman"/>
                <w:color w:val="auto"/>
                <w:spacing w:val="-5"/>
                <w:sz w:val="24"/>
                <w:szCs w:val="24"/>
                <w:highlight w:val="none"/>
                <w:lang w:val="en-US" w:eastAsia="zh-CN"/>
              </w:rPr>
              <w:t>。</w:t>
            </w:r>
          </w:p>
          <w:p w14:paraId="26C4004B">
            <w:pPr>
              <w:pStyle w:val="147"/>
              <w:pageBreakBefore w:val="0"/>
              <w:widowControl w:val="0"/>
              <w:kinsoku/>
              <w:wordWrap/>
              <w:overflowPunct/>
              <w:topLinePunct w:val="0"/>
              <w:autoSpaceDE/>
              <w:autoSpaceDN/>
              <w:bidi w:val="0"/>
              <w:adjustRightInd w:val="0"/>
              <w:snapToGrid w:val="0"/>
              <w:spacing w:line="360" w:lineRule="auto"/>
              <w:ind w:left="0" w:right="0" w:firstLine="45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6"/>
                <w:sz w:val="24"/>
                <w:szCs w:val="24"/>
                <w:highlight w:val="none"/>
              </w:rPr>
              <w:t>1、施工扬尘防治措施</w:t>
            </w:r>
          </w:p>
          <w:p w14:paraId="5CE44F62">
            <w:pPr>
              <w:pStyle w:val="147"/>
              <w:pageBreakBefore w:val="0"/>
              <w:widowControl w:val="0"/>
              <w:kinsoku/>
              <w:wordWrap/>
              <w:overflowPunct/>
              <w:topLinePunct w:val="0"/>
              <w:autoSpaceDE/>
              <w:autoSpaceDN/>
              <w:bidi w:val="0"/>
              <w:adjustRightInd w:val="0"/>
              <w:snapToGrid w:val="0"/>
              <w:spacing w:line="360" w:lineRule="auto"/>
              <w:ind w:left="0" w:right="0" w:firstLine="48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为使施工期产生的扬尘对周围环境影响尽可能降到最低，建设单位在施工</w:t>
            </w:r>
            <w:r>
              <w:rPr>
                <w:rFonts w:hint="default" w:ascii="Times New Roman" w:hAnsi="Times New Roman" w:eastAsia="宋体" w:cs="Times New Roman"/>
                <w:color w:val="auto"/>
                <w:spacing w:val="-1"/>
                <w:sz w:val="24"/>
                <w:szCs w:val="24"/>
                <w:highlight w:val="none"/>
              </w:rPr>
              <w:t>期需采取相应措施。具体措施建议如下：</w:t>
            </w:r>
          </w:p>
          <w:p w14:paraId="065F3DC1">
            <w:pPr>
              <w:pStyle w:val="147"/>
              <w:pageBreakBefore w:val="0"/>
              <w:widowControl w:val="0"/>
              <w:kinsoku/>
              <w:wordWrap/>
              <w:overflowPunct/>
              <w:topLinePunct w:val="0"/>
              <w:autoSpaceDE/>
              <w:autoSpaceDN/>
              <w:bidi w:val="0"/>
              <w:adjustRightInd w:val="0"/>
              <w:snapToGrid w:val="0"/>
              <w:spacing w:line="360" w:lineRule="auto"/>
              <w:ind w:left="0" w:right="0" w:firstLine="48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一、加强施工车辆管理，要求对进出场地的设备运输车辆勤冲洗，对车辆</w:t>
            </w:r>
            <w:r>
              <w:rPr>
                <w:rFonts w:hint="default" w:ascii="Times New Roman" w:hAnsi="Times New Roman" w:eastAsia="宋体" w:cs="Times New Roman"/>
                <w:color w:val="auto"/>
                <w:spacing w:val="-1"/>
                <w:sz w:val="24"/>
                <w:szCs w:val="24"/>
                <w:highlight w:val="none"/>
              </w:rPr>
              <w:t>途经路段勤洒水、清扫。</w:t>
            </w:r>
          </w:p>
          <w:p w14:paraId="2DB2D0D0">
            <w:pPr>
              <w:pStyle w:val="147"/>
              <w:pageBreakBefore w:val="0"/>
              <w:widowControl w:val="0"/>
              <w:kinsoku/>
              <w:wordWrap/>
              <w:overflowPunct/>
              <w:topLinePunct w:val="0"/>
              <w:autoSpaceDE/>
              <w:autoSpaceDN/>
              <w:bidi w:val="0"/>
              <w:adjustRightInd w:val="0"/>
              <w:snapToGrid w:val="0"/>
              <w:spacing w:line="360" w:lineRule="auto"/>
              <w:ind w:left="0" w:right="0" w:firstLine="48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二、建设单位在施工过程中限制来往、进出施工场地车辆的车速，并在场地周围及运输道路上及时洒水，保持路面的潮湿，以减少由于车辆动力起尘对</w:t>
            </w:r>
            <w:r>
              <w:rPr>
                <w:rFonts w:hint="default" w:ascii="Times New Roman" w:hAnsi="Times New Roman" w:eastAsia="宋体" w:cs="Times New Roman"/>
                <w:color w:val="auto"/>
                <w:spacing w:val="-2"/>
                <w:sz w:val="24"/>
                <w:szCs w:val="24"/>
                <w:highlight w:val="none"/>
              </w:rPr>
              <w:t>周围环境的影响。</w:t>
            </w:r>
          </w:p>
          <w:p w14:paraId="413A81BB">
            <w:pPr>
              <w:pStyle w:val="147"/>
              <w:pageBreakBefore w:val="0"/>
              <w:widowControl w:val="0"/>
              <w:kinsoku/>
              <w:wordWrap/>
              <w:overflowPunct/>
              <w:topLinePunct w:val="0"/>
              <w:autoSpaceDE/>
              <w:autoSpaceDN/>
              <w:bidi w:val="0"/>
              <w:adjustRightInd w:val="0"/>
              <w:snapToGrid w:val="0"/>
              <w:spacing w:line="360" w:lineRule="auto"/>
              <w:ind w:left="0" w:right="0" w:firstLine="48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三、禁止车辆带泥（尘）上路行驶。对运输车辆在驶离作业点时，对车身</w:t>
            </w:r>
            <w:r>
              <w:rPr>
                <w:rFonts w:hint="default" w:ascii="Times New Roman" w:hAnsi="Times New Roman" w:eastAsia="宋体" w:cs="Times New Roman"/>
                <w:color w:val="auto"/>
                <w:sz w:val="24"/>
                <w:szCs w:val="24"/>
                <w:highlight w:val="none"/>
              </w:rPr>
              <w:t>进行清洗；严禁车辆超载超速行驶，以防止运输</w:t>
            </w:r>
            <w:r>
              <w:rPr>
                <w:rFonts w:hint="default" w:ascii="Times New Roman" w:hAnsi="Times New Roman" w:eastAsia="宋体" w:cs="Times New Roman"/>
                <w:color w:val="auto"/>
                <w:spacing w:val="-1"/>
                <w:sz w:val="24"/>
                <w:szCs w:val="24"/>
                <w:highlight w:val="none"/>
              </w:rPr>
              <w:t>中的二次扬尘产生。</w:t>
            </w:r>
          </w:p>
          <w:p w14:paraId="7C38B6C4">
            <w:pPr>
              <w:pStyle w:val="147"/>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四、对建设施工场地内易起尘的建筑材料，如水泥、沙子等，应存入库、</w:t>
            </w:r>
            <w:r>
              <w:rPr>
                <w:rFonts w:hint="default" w:ascii="Times New Roman" w:hAnsi="Times New Roman" w:eastAsia="宋体" w:cs="Times New Roman"/>
                <w:color w:val="auto"/>
                <w:spacing w:val="-1"/>
                <w:sz w:val="24"/>
                <w:szCs w:val="24"/>
                <w:highlight w:val="none"/>
              </w:rPr>
              <w:t>池内，或采取覆盖措施，减少起尘。</w:t>
            </w:r>
          </w:p>
          <w:p w14:paraId="74E7782B">
            <w:pPr>
              <w:pStyle w:val="147"/>
              <w:pageBreakBefore w:val="0"/>
              <w:widowControl w:val="0"/>
              <w:kinsoku/>
              <w:wordWrap/>
              <w:overflowPunct/>
              <w:topLinePunct w:val="0"/>
              <w:autoSpaceDE/>
              <w:autoSpaceDN/>
              <w:bidi w:val="0"/>
              <w:adjustRightInd w:val="0"/>
              <w:snapToGrid w:val="0"/>
              <w:spacing w:line="360" w:lineRule="auto"/>
              <w:ind w:left="0" w:right="0" w:firstLine="48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五、排气筒加高过程中要求，如分段吊装时采用抑尘毡布包裹钢构件，减</w:t>
            </w:r>
            <w:r>
              <w:rPr>
                <w:rFonts w:hint="default" w:ascii="Times New Roman" w:hAnsi="Times New Roman" w:eastAsia="宋体" w:cs="Times New Roman"/>
                <w:color w:val="auto"/>
                <w:spacing w:val="-1"/>
                <w:sz w:val="24"/>
                <w:szCs w:val="24"/>
                <w:highlight w:val="none"/>
              </w:rPr>
              <w:t>少扬尘扩散；焊接部位下方铺设防火集尘毯，收集坠落焊渣。</w:t>
            </w:r>
          </w:p>
          <w:p w14:paraId="462E1879">
            <w:pPr>
              <w:pStyle w:val="147"/>
              <w:pageBreakBefore w:val="0"/>
              <w:widowControl w:val="0"/>
              <w:kinsoku/>
              <w:wordWrap/>
              <w:overflowPunct/>
              <w:topLinePunct w:val="0"/>
              <w:autoSpaceDE/>
              <w:autoSpaceDN/>
              <w:bidi w:val="0"/>
              <w:adjustRightInd w:val="0"/>
              <w:snapToGrid w:val="0"/>
              <w:spacing w:line="360" w:lineRule="auto"/>
              <w:ind w:left="0" w:right="0" w:firstLine="48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综上所述，施工过程中加强现场施工管理，并采取以上防护措施，施工场界颗粒物浓度应符合</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大气污染物综合排放标准</w:t>
            </w:r>
            <w:r>
              <w:rPr>
                <w:rFonts w:hint="default" w:ascii="Times New Roman" w:hAnsi="Times New Roman" w:cs="Times New Roman"/>
                <w:color w:val="auto"/>
                <w:spacing w:val="2"/>
                <w:sz w:val="24"/>
                <w:szCs w:val="24"/>
                <w:highlight w:val="none"/>
                <w:lang w:eastAsia="zh-CN"/>
              </w:rPr>
              <w:t>》</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GB16297</w:t>
            </w:r>
            <w:r>
              <w:rPr>
                <w:rFonts w:hint="default" w:ascii="Times New Roman" w:hAnsi="Times New Roman" w:cs="Times New Roman"/>
                <w:color w:val="auto"/>
                <w:spacing w:val="2"/>
                <w:sz w:val="24"/>
                <w:szCs w:val="24"/>
                <w:highlight w:val="none"/>
                <w:lang w:val="en-US" w:eastAsia="zh-CN"/>
              </w:rPr>
              <w:t>-</w:t>
            </w:r>
            <w:r>
              <w:rPr>
                <w:rFonts w:hint="default" w:ascii="Times New Roman" w:hAnsi="Times New Roman" w:eastAsia="宋体" w:cs="Times New Roman"/>
                <w:color w:val="auto"/>
                <w:spacing w:val="2"/>
                <w:sz w:val="24"/>
                <w:szCs w:val="24"/>
                <w:highlight w:val="none"/>
              </w:rPr>
              <w:t>1996</w:t>
            </w:r>
            <w:r>
              <w:rPr>
                <w:rFonts w:hint="eastAsia"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表2无组织排放监控浓度限值。施工期扬尘对周围大气环境的不利影响可降到最低，且影响将随着施工期的结束而消</w:t>
            </w:r>
            <w:r>
              <w:rPr>
                <w:rFonts w:hint="default" w:ascii="Times New Roman" w:hAnsi="Times New Roman" w:eastAsia="宋体" w:cs="Times New Roman"/>
                <w:color w:val="auto"/>
                <w:spacing w:val="-5"/>
                <w:sz w:val="24"/>
                <w:szCs w:val="24"/>
                <w:highlight w:val="none"/>
              </w:rPr>
              <w:t>失。</w:t>
            </w:r>
          </w:p>
          <w:p w14:paraId="7B7BAD06">
            <w:pPr>
              <w:pStyle w:val="147"/>
              <w:pageBreakBefore w:val="0"/>
              <w:widowControl w:val="0"/>
              <w:kinsoku/>
              <w:wordWrap/>
              <w:overflowPunct/>
              <w:topLinePunct w:val="0"/>
              <w:autoSpaceDE/>
              <w:autoSpaceDN/>
              <w:bidi w:val="0"/>
              <w:adjustRightInd w:val="0"/>
              <w:snapToGrid w:val="0"/>
              <w:spacing w:line="360" w:lineRule="auto"/>
              <w:ind w:left="0" w:right="0" w:firstLine="45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6"/>
                <w:sz w:val="24"/>
                <w:szCs w:val="24"/>
                <w:highlight w:val="none"/>
              </w:rPr>
              <w:t>2、废水防治措施</w:t>
            </w:r>
          </w:p>
          <w:p w14:paraId="30FD69DD">
            <w:pPr>
              <w:pStyle w:val="147"/>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本项目施工期不设施工营地，施工人员产生的</w:t>
            </w:r>
            <w:r>
              <w:rPr>
                <w:rFonts w:hint="default" w:ascii="Times New Roman" w:hAnsi="Times New Roman" w:eastAsia="宋体" w:cs="Times New Roman"/>
                <w:color w:val="auto"/>
                <w:spacing w:val="-1"/>
                <w:sz w:val="24"/>
                <w:szCs w:val="24"/>
                <w:highlight w:val="none"/>
              </w:rPr>
              <w:t>生活污水依托厂区内现</w:t>
            </w:r>
            <w:r>
              <w:rPr>
                <w:rFonts w:hint="default" w:ascii="Times New Roman" w:hAnsi="Times New Roman" w:eastAsia="宋体" w:cs="Times New Roman"/>
                <w:color w:val="auto"/>
                <w:spacing w:val="-1"/>
                <w:sz w:val="24"/>
                <w:szCs w:val="24"/>
                <w:highlight w:val="none"/>
                <w:lang w:val="en-US" w:eastAsia="zh-CN"/>
              </w:rPr>
              <w:t>有污水处理设施</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cs="Times New Roman"/>
                <w:color w:val="auto"/>
                <w:sz w:val="24"/>
                <w:highlight w:val="none"/>
                <w:lang w:val="en-US" w:eastAsia="zh-CN"/>
              </w:rPr>
              <w:t>处理后的污水</w:t>
            </w:r>
            <w:r>
              <w:rPr>
                <w:rFonts w:hint="default" w:ascii="Times New Roman" w:hAnsi="Times New Roman" w:cs="Times New Roman"/>
                <w:color w:val="auto"/>
                <w:sz w:val="24"/>
                <w:highlight w:val="none"/>
              </w:rPr>
              <w:t>满足虎林污水处理厂的接管要求</w:t>
            </w:r>
            <w:r>
              <w:rPr>
                <w:rFonts w:hint="default" w:ascii="Times New Roman" w:hAnsi="Times New Roman" w:cs="Times New Roman"/>
                <w:color w:val="auto"/>
                <w:sz w:val="24"/>
                <w:highlight w:val="none"/>
                <w:lang w:val="en-US" w:eastAsia="zh-CN"/>
              </w:rPr>
              <w:t>和</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污水综合排放标准</w:t>
            </w: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GB8978-1996</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表4三级标准的要求</w:t>
            </w:r>
            <w:r>
              <w:rPr>
                <w:rFonts w:hint="default" w:ascii="Times New Roman" w:hAnsi="Times New Roman" w:cs="Times New Roman"/>
                <w:color w:val="auto"/>
                <w:sz w:val="24"/>
                <w:highlight w:val="none"/>
                <w:lang w:eastAsia="zh-CN"/>
              </w:rPr>
              <w:t>。</w:t>
            </w:r>
          </w:p>
          <w:p w14:paraId="6827225D">
            <w:pPr>
              <w:pStyle w:val="147"/>
              <w:pageBreakBefore w:val="0"/>
              <w:widowControl w:val="0"/>
              <w:kinsoku/>
              <w:wordWrap/>
              <w:overflowPunct/>
              <w:topLinePunct w:val="0"/>
              <w:autoSpaceDE/>
              <w:autoSpaceDN/>
              <w:bidi w:val="0"/>
              <w:adjustRightInd w:val="0"/>
              <w:snapToGrid w:val="0"/>
              <w:spacing w:line="360" w:lineRule="auto"/>
              <w:ind w:left="0" w:right="0" w:firstLine="45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6"/>
                <w:sz w:val="24"/>
                <w:szCs w:val="24"/>
                <w:highlight w:val="none"/>
              </w:rPr>
              <w:t>3、噪声防治措施</w:t>
            </w:r>
          </w:p>
          <w:p w14:paraId="395A50D5">
            <w:pPr>
              <w:pStyle w:val="147"/>
              <w:pageBreakBefore w:val="0"/>
              <w:widowControl w:val="0"/>
              <w:kinsoku/>
              <w:wordWrap/>
              <w:overflowPunct/>
              <w:topLinePunct w:val="0"/>
              <w:autoSpaceDE/>
              <w:autoSpaceDN/>
              <w:bidi w:val="0"/>
              <w:adjustRightInd w:val="0"/>
              <w:snapToGrid w:val="0"/>
              <w:spacing w:line="360" w:lineRule="auto"/>
              <w:ind w:left="0" w:right="0" w:firstLine="48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为避免施工过程对周边噪声环境产生不利影响，建设方要严格按照本环评</w:t>
            </w:r>
            <w:r>
              <w:rPr>
                <w:rFonts w:hint="default" w:ascii="Times New Roman" w:hAnsi="Times New Roman" w:eastAsia="宋体" w:cs="Times New Roman"/>
                <w:color w:val="auto"/>
                <w:spacing w:val="-1"/>
                <w:sz w:val="24"/>
                <w:szCs w:val="24"/>
                <w:highlight w:val="none"/>
              </w:rPr>
              <w:t>提出的噪声污染防治措施，</w:t>
            </w:r>
            <w:r>
              <w:rPr>
                <w:rFonts w:hint="default" w:ascii="Times New Roman" w:hAnsi="Times New Roman" w:cs="Times New Roman"/>
                <w:color w:val="auto"/>
                <w:spacing w:val="-1"/>
                <w:sz w:val="24"/>
                <w:szCs w:val="24"/>
                <w:highlight w:val="none"/>
                <w:lang w:eastAsia="zh-CN"/>
              </w:rPr>
              <w:t>尽量减少</w:t>
            </w:r>
            <w:r>
              <w:rPr>
                <w:rFonts w:hint="default" w:ascii="Times New Roman" w:hAnsi="Times New Roman" w:eastAsia="宋体" w:cs="Times New Roman"/>
                <w:color w:val="auto"/>
                <w:spacing w:val="-1"/>
                <w:sz w:val="24"/>
                <w:szCs w:val="24"/>
                <w:highlight w:val="none"/>
              </w:rPr>
              <w:t>施工噪声对周围环境的影响。</w:t>
            </w:r>
          </w:p>
          <w:p w14:paraId="62B1C7B8">
            <w:pPr>
              <w:pStyle w:val="147"/>
              <w:pageBreakBefore w:val="0"/>
              <w:widowControl w:val="0"/>
              <w:kinsoku/>
              <w:wordWrap/>
              <w:overflowPunct/>
              <w:topLinePunct w:val="0"/>
              <w:autoSpaceDE/>
              <w:autoSpaceDN/>
              <w:bidi w:val="0"/>
              <w:adjustRightInd w:val="0"/>
              <w:snapToGrid w:val="0"/>
              <w:spacing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一、施工单位合理安排施工时间。本项目不得在午间12时至14时和夜间</w:t>
            </w:r>
            <w:r>
              <w:rPr>
                <w:rFonts w:hint="default" w:ascii="Times New Roman" w:hAnsi="Times New Roman" w:eastAsia="宋体" w:cs="Times New Roman"/>
                <w:color w:val="auto"/>
                <w:sz w:val="24"/>
                <w:szCs w:val="24"/>
                <w:highlight w:val="none"/>
              </w:rPr>
              <w:t>22时至次日6时从事高噪声作业，夜间禁止使用高噪声设备。</w:t>
            </w:r>
          </w:p>
          <w:p w14:paraId="7D11F4DC">
            <w:pPr>
              <w:pStyle w:val="147"/>
              <w:pageBreakBefore w:val="0"/>
              <w:widowControl w:val="0"/>
              <w:kinsoku/>
              <w:wordWrap/>
              <w:overflowPunct/>
              <w:topLinePunct w:val="0"/>
              <w:autoSpaceDE/>
              <w:autoSpaceDN/>
              <w:bidi w:val="0"/>
              <w:adjustRightInd w:val="0"/>
              <w:snapToGrid w:val="0"/>
              <w:spacing w:line="360" w:lineRule="auto"/>
              <w:ind w:left="0" w:right="0" w:firstLine="48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二、施工单位应尽量选用先进的低噪声设备，在高噪声设备周围设置简易声屏障以减轻噪声对周围环境的影响。控制施工场界噪声不超过《</w:t>
            </w:r>
            <w:r>
              <w:rPr>
                <w:rFonts w:hint="default" w:ascii="Times New Roman" w:hAnsi="Times New Roman" w:cs="Times New Roman"/>
                <w:color w:val="auto"/>
                <w:spacing w:val="2"/>
                <w:sz w:val="24"/>
                <w:szCs w:val="24"/>
                <w:highlight w:val="none"/>
                <w:lang w:eastAsia="zh-CN"/>
              </w:rPr>
              <w:t>建筑施工噪声排放标准</w:t>
            </w:r>
            <w:r>
              <w:rPr>
                <w:rFonts w:hint="default" w:ascii="Times New Roman" w:hAnsi="Times New Roman" w:eastAsia="宋体" w:cs="Times New Roman"/>
                <w:color w:val="auto"/>
                <w:spacing w:val="-1"/>
                <w:sz w:val="24"/>
                <w:szCs w:val="24"/>
                <w:highlight w:val="none"/>
              </w:rPr>
              <w:t>》（</w:t>
            </w:r>
            <w:r>
              <w:rPr>
                <w:rFonts w:hint="default" w:ascii="Times New Roman" w:hAnsi="Times New Roman" w:cs="Times New Roman"/>
                <w:color w:val="auto"/>
                <w:spacing w:val="-1"/>
                <w:sz w:val="24"/>
                <w:szCs w:val="24"/>
                <w:highlight w:val="none"/>
                <w:lang w:eastAsia="zh-CN"/>
              </w:rPr>
              <w:t>GB12523-2025</w:t>
            </w:r>
            <w:r>
              <w:rPr>
                <w:rFonts w:hint="default" w:ascii="Times New Roman" w:hAnsi="Times New Roman" w:eastAsia="宋体" w:cs="Times New Roman"/>
                <w:color w:val="auto"/>
                <w:spacing w:val="-1"/>
                <w:sz w:val="24"/>
                <w:szCs w:val="24"/>
                <w:highlight w:val="none"/>
              </w:rPr>
              <w:t>）的要求。</w:t>
            </w:r>
          </w:p>
          <w:p w14:paraId="4910DBB5">
            <w:pPr>
              <w:pStyle w:val="147"/>
              <w:pageBreakBefore w:val="0"/>
              <w:widowControl w:val="0"/>
              <w:kinsoku/>
              <w:wordWrap/>
              <w:overflowPunct/>
              <w:topLinePunct w:val="0"/>
              <w:autoSpaceDE/>
              <w:autoSpaceDN/>
              <w:bidi w:val="0"/>
              <w:adjustRightInd w:val="0"/>
              <w:snapToGrid w:val="0"/>
              <w:spacing w:line="360" w:lineRule="auto"/>
              <w:ind w:left="0" w:right="0" w:firstLine="48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三、施工单位采用先进的施工工艺，合理选用施工机械。对动力机械、设</w:t>
            </w:r>
            <w:r>
              <w:rPr>
                <w:rFonts w:hint="default" w:ascii="Times New Roman" w:hAnsi="Times New Roman" w:eastAsia="宋体" w:cs="Times New Roman"/>
                <w:color w:val="auto"/>
                <w:spacing w:val="-1"/>
                <w:sz w:val="24"/>
                <w:szCs w:val="24"/>
                <w:highlight w:val="none"/>
              </w:rPr>
              <w:t>备等定期检修、养护，保证施工机械处于低噪声、高效率的状态。</w:t>
            </w:r>
          </w:p>
          <w:p w14:paraId="344F1C90">
            <w:pPr>
              <w:pStyle w:val="147"/>
              <w:pageBreakBefore w:val="0"/>
              <w:widowControl w:val="0"/>
              <w:kinsoku/>
              <w:wordWrap/>
              <w:overflowPunct/>
              <w:topLinePunct w:val="0"/>
              <w:autoSpaceDE/>
              <w:autoSpaceDN/>
              <w:bidi w:val="0"/>
              <w:adjustRightInd w:val="0"/>
              <w:snapToGrid w:val="0"/>
              <w:spacing w:line="360" w:lineRule="auto"/>
              <w:ind w:left="0" w:right="0" w:firstLine="488"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sz w:val="24"/>
                <w:szCs w:val="24"/>
                <w:highlight w:val="none"/>
              </w:rPr>
              <w:t>四、施工现场合理布局，以避免局部声级过高，尽可能将施</w:t>
            </w:r>
            <w:r>
              <w:rPr>
                <w:rFonts w:hint="default" w:ascii="Times New Roman" w:hAnsi="Times New Roman" w:eastAsia="宋体" w:cs="Times New Roman"/>
                <w:color w:val="auto"/>
                <w:spacing w:val="1"/>
                <w:sz w:val="24"/>
                <w:szCs w:val="24"/>
                <w:highlight w:val="none"/>
              </w:rPr>
              <w:t>工阶段的噪声</w:t>
            </w:r>
            <w:r>
              <w:rPr>
                <w:rFonts w:hint="default" w:ascii="Times New Roman" w:hAnsi="Times New Roman" w:eastAsia="宋体" w:cs="Times New Roman"/>
                <w:color w:val="auto"/>
                <w:spacing w:val="-2"/>
                <w:sz w:val="24"/>
                <w:szCs w:val="24"/>
                <w:highlight w:val="none"/>
              </w:rPr>
              <w:t>减至</w:t>
            </w:r>
            <w:r>
              <w:rPr>
                <w:rFonts w:hint="default" w:ascii="Times New Roman" w:hAnsi="Times New Roman" w:cs="Times New Roman"/>
                <w:color w:val="auto"/>
                <w:spacing w:val="-2"/>
                <w:sz w:val="24"/>
                <w:szCs w:val="24"/>
                <w:highlight w:val="none"/>
                <w:lang w:eastAsia="zh-CN"/>
              </w:rPr>
              <w:t>最低。</w:t>
            </w:r>
          </w:p>
          <w:p w14:paraId="69ACD0EB">
            <w:pPr>
              <w:pStyle w:val="147"/>
              <w:pageBreakBefore w:val="0"/>
              <w:widowControl w:val="0"/>
              <w:kinsoku/>
              <w:wordWrap/>
              <w:overflowPunct/>
              <w:topLinePunct w:val="0"/>
              <w:autoSpaceDE/>
              <w:autoSpaceDN/>
              <w:bidi w:val="0"/>
              <w:adjustRightInd w:val="0"/>
              <w:snapToGrid w:val="0"/>
              <w:spacing w:line="360" w:lineRule="auto"/>
              <w:ind w:left="0" w:right="0" w:firstLine="48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五、降低人为噪声，按规定操作机械设备，模板、支架装卸过程中尽量减</w:t>
            </w:r>
            <w:r>
              <w:rPr>
                <w:rFonts w:hint="default" w:ascii="Times New Roman" w:hAnsi="Times New Roman" w:eastAsia="宋体" w:cs="Times New Roman"/>
                <w:color w:val="auto"/>
                <w:spacing w:val="-2"/>
                <w:sz w:val="24"/>
                <w:szCs w:val="24"/>
                <w:highlight w:val="none"/>
              </w:rPr>
              <w:t>少碰撞声音。</w:t>
            </w:r>
          </w:p>
          <w:p w14:paraId="5DBC4D47">
            <w:pPr>
              <w:pStyle w:val="147"/>
              <w:pageBreakBefore w:val="0"/>
              <w:widowControl w:val="0"/>
              <w:kinsoku/>
              <w:wordWrap/>
              <w:overflowPunct/>
              <w:topLinePunct w:val="0"/>
              <w:autoSpaceDE/>
              <w:autoSpaceDN/>
              <w:bidi w:val="0"/>
              <w:adjustRightInd w:val="0"/>
              <w:snapToGrid w:val="0"/>
              <w:spacing w:line="360" w:lineRule="auto"/>
              <w:ind w:left="0" w:right="0" w:firstLine="48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六、控制汽车鸣笛、施工鸣哨指挥，现场施工人员要严加管理，要文明施</w:t>
            </w:r>
            <w:r>
              <w:rPr>
                <w:rFonts w:hint="default" w:ascii="Times New Roman" w:hAnsi="Times New Roman" w:eastAsia="宋体" w:cs="Times New Roman"/>
                <w:color w:val="auto"/>
                <w:spacing w:val="-7"/>
                <w:sz w:val="24"/>
                <w:szCs w:val="24"/>
                <w:highlight w:val="none"/>
              </w:rPr>
              <w:t>工。</w:t>
            </w:r>
          </w:p>
          <w:p w14:paraId="700575EA">
            <w:pPr>
              <w:pStyle w:val="147"/>
              <w:pageBreakBefore w:val="0"/>
              <w:widowControl w:val="0"/>
              <w:kinsoku/>
              <w:wordWrap/>
              <w:overflowPunct/>
              <w:topLinePunct w:val="0"/>
              <w:autoSpaceDE/>
              <w:autoSpaceDN/>
              <w:bidi w:val="0"/>
              <w:adjustRightInd w:val="0"/>
              <w:snapToGrid w:val="0"/>
              <w:spacing w:line="360" w:lineRule="auto"/>
              <w:ind w:left="0" w:right="0" w:firstLine="46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经以上措施，可降低施工期产生的噪声，并且施工期噪声影响是一定时间、</w:t>
            </w:r>
            <w:r>
              <w:rPr>
                <w:rFonts w:hint="default" w:ascii="Times New Roman" w:hAnsi="Times New Roman" w:eastAsia="宋体" w:cs="Times New Roman"/>
                <w:color w:val="auto"/>
                <w:spacing w:val="-1"/>
                <w:sz w:val="24"/>
                <w:szCs w:val="24"/>
                <w:highlight w:val="none"/>
              </w:rPr>
              <w:t>一定范围的，随着施工期的结束，噪声影响也随之消失。</w:t>
            </w:r>
          </w:p>
          <w:p w14:paraId="15E90DF6">
            <w:pPr>
              <w:pStyle w:val="147"/>
              <w:pageBreakBefore w:val="0"/>
              <w:widowControl w:val="0"/>
              <w:kinsoku/>
              <w:wordWrap/>
              <w:overflowPunct/>
              <w:topLinePunct w:val="0"/>
              <w:autoSpaceDE/>
              <w:autoSpaceDN/>
              <w:bidi w:val="0"/>
              <w:adjustRightInd w:val="0"/>
              <w:snapToGrid w:val="0"/>
              <w:spacing w:line="360" w:lineRule="auto"/>
              <w:ind w:left="0" w:right="0" w:firstLine="45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7"/>
                <w:sz w:val="24"/>
                <w:szCs w:val="24"/>
                <w:highlight w:val="none"/>
              </w:rPr>
              <w:t>4、固体废物</w:t>
            </w:r>
          </w:p>
          <w:p w14:paraId="2E733A12">
            <w:pPr>
              <w:pStyle w:val="147"/>
              <w:pageBreakBefore w:val="0"/>
              <w:widowControl w:val="0"/>
              <w:kinsoku/>
              <w:wordWrap/>
              <w:overflowPunct/>
              <w:topLinePunct w:val="0"/>
              <w:autoSpaceDE/>
              <w:autoSpaceDN/>
              <w:bidi w:val="0"/>
              <w:adjustRightInd w:val="0"/>
              <w:snapToGrid w:val="0"/>
              <w:spacing w:line="360" w:lineRule="auto"/>
              <w:ind w:left="0" w:right="0" w:firstLine="48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本项目施工期不设营地，施工期间的固体废物主要为施工产生的建筑垃圾</w:t>
            </w:r>
            <w:r>
              <w:rPr>
                <w:rFonts w:hint="default" w:ascii="Times New Roman" w:hAnsi="Times New Roman" w:eastAsia="宋体" w:cs="Times New Roman"/>
                <w:color w:val="auto"/>
                <w:spacing w:val="-1"/>
                <w:sz w:val="24"/>
                <w:szCs w:val="24"/>
                <w:highlight w:val="none"/>
              </w:rPr>
              <w:t>及拆除的旧锅炉设备。</w:t>
            </w:r>
          </w:p>
          <w:p w14:paraId="23E5504A">
            <w:pPr>
              <w:pStyle w:val="147"/>
              <w:pageBreakBefore w:val="0"/>
              <w:widowControl w:val="0"/>
              <w:kinsoku/>
              <w:wordWrap/>
              <w:overflowPunct/>
              <w:topLinePunct w:val="0"/>
              <w:autoSpaceDE/>
              <w:autoSpaceDN/>
              <w:bidi w:val="0"/>
              <w:adjustRightInd w:val="0"/>
              <w:snapToGrid w:val="0"/>
              <w:spacing w:line="360" w:lineRule="auto"/>
              <w:ind w:left="0" w:right="0" w:firstLine="468"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3"/>
                <w:sz w:val="24"/>
                <w:szCs w:val="24"/>
                <w:highlight w:val="none"/>
              </w:rPr>
              <w:t>建筑垃圾主要包括砂石、石块、废金属等杂物，分别收集堆放于指定地点，</w:t>
            </w:r>
            <w:r>
              <w:rPr>
                <w:rFonts w:hint="default" w:ascii="Times New Roman" w:hAnsi="Times New Roman" w:eastAsia="宋体" w:cs="Times New Roman"/>
                <w:color w:val="auto"/>
                <w:spacing w:val="2"/>
                <w:sz w:val="24"/>
                <w:szCs w:val="24"/>
                <w:highlight w:val="none"/>
              </w:rPr>
              <w:t>将能回收的废材料及时回收综合利用；剩余废物运往市政指定的建筑垃圾堆放</w:t>
            </w:r>
            <w:r>
              <w:rPr>
                <w:rFonts w:hint="default" w:ascii="Times New Roman" w:hAnsi="Times New Roman" w:eastAsia="宋体" w:cs="Times New Roman"/>
                <w:color w:val="auto"/>
                <w:spacing w:val="-4"/>
                <w:sz w:val="24"/>
                <w:szCs w:val="24"/>
                <w:highlight w:val="none"/>
              </w:rPr>
              <w:t>场</w:t>
            </w:r>
            <w:r>
              <w:rPr>
                <w:rFonts w:hint="default" w:ascii="Times New Roman" w:hAnsi="Times New Roman" w:cs="Times New Roman"/>
                <w:color w:val="auto"/>
                <w:spacing w:val="-4"/>
                <w:sz w:val="24"/>
                <w:szCs w:val="24"/>
                <w:highlight w:val="none"/>
                <w:lang w:eastAsia="zh-CN"/>
              </w:rPr>
              <w:t>。</w:t>
            </w:r>
          </w:p>
          <w:p w14:paraId="14D31E0D">
            <w:pPr>
              <w:pStyle w:val="147"/>
              <w:pageBreakBefore w:val="0"/>
              <w:widowControl w:val="0"/>
              <w:kinsoku/>
              <w:wordWrap/>
              <w:overflowPunct/>
              <w:topLinePunct w:val="0"/>
              <w:autoSpaceDE/>
              <w:autoSpaceDN/>
              <w:bidi w:val="0"/>
              <w:adjustRightInd w:val="0"/>
              <w:snapToGrid w:val="0"/>
              <w:spacing w:line="360" w:lineRule="auto"/>
              <w:ind w:left="0" w:right="0" w:firstLine="48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拆除的旧锅炉由厂家回收，对施工过</w:t>
            </w:r>
            <w:r>
              <w:rPr>
                <w:rFonts w:hint="default" w:ascii="Times New Roman" w:hAnsi="Times New Roman" w:cs="Times New Roman"/>
                <w:color w:val="auto"/>
                <w:spacing w:val="2"/>
                <w:sz w:val="24"/>
                <w:szCs w:val="24"/>
                <w:highlight w:val="none"/>
                <w:lang w:eastAsia="zh-CN"/>
              </w:rPr>
              <w:t>程中</w:t>
            </w:r>
            <w:r>
              <w:rPr>
                <w:rFonts w:hint="default" w:ascii="Times New Roman" w:hAnsi="Times New Roman" w:eastAsia="宋体" w:cs="Times New Roman"/>
                <w:color w:val="auto"/>
                <w:spacing w:val="2"/>
                <w:sz w:val="24"/>
                <w:szCs w:val="24"/>
                <w:highlight w:val="none"/>
              </w:rPr>
              <w:t>产生的废物应及时清运。为防止运输过程中垃圾遗撒，运输时应采用封盖、防风扬措施。为减小施工期建筑垃圾对区域环境的影响，评价建</w:t>
            </w:r>
            <w:r>
              <w:rPr>
                <w:rFonts w:hint="default" w:ascii="Times New Roman" w:hAnsi="Times New Roman" w:eastAsia="宋体" w:cs="Times New Roman"/>
                <w:color w:val="auto"/>
                <w:spacing w:val="-1"/>
                <w:sz w:val="24"/>
                <w:szCs w:val="24"/>
                <w:highlight w:val="none"/>
              </w:rPr>
              <w:t>议建设单位应采取有效的防治措施：</w:t>
            </w:r>
          </w:p>
          <w:p w14:paraId="63A8C0A8">
            <w:pPr>
              <w:pStyle w:val="147"/>
              <w:pageBreakBefore w:val="0"/>
              <w:widowControl w:val="0"/>
              <w:kinsoku/>
              <w:wordWrap/>
              <w:overflowPunct/>
              <w:topLinePunct w:val="0"/>
              <w:autoSpaceDE/>
              <w:autoSpaceDN/>
              <w:bidi w:val="0"/>
              <w:adjustRightInd w:val="0"/>
              <w:snapToGrid w:val="0"/>
              <w:spacing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pacing w:val="-1"/>
                <w:sz w:val="24"/>
                <w:szCs w:val="24"/>
                <w:highlight w:val="none"/>
                <w:lang w:eastAsia="zh-CN"/>
              </w:rPr>
              <w:t>（</w:t>
            </w:r>
            <w:r>
              <w:rPr>
                <w:rFonts w:hint="default" w:ascii="Times New Roman" w:hAnsi="Times New Roman" w:cs="Times New Roman"/>
                <w:color w:val="auto"/>
                <w:spacing w:val="-1"/>
                <w:sz w:val="24"/>
                <w:szCs w:val="24"/>
                <w:highlight w:val="none"/>
                <w:lang w:val="en-US" w:eastAsia="zh-CN"/>
              </w:rPr>
              <w:t>1</w:t>
            </w:r>
            <w:r>
              <w:rPr>
                <w:rFonts w:hint="default" w:ascii="Times New Roman" w:hAnsi="Times New Roman" w:cs="Times New Roman"/>
                <w:color w:val="auto"/>
                <w:spacing w:val="-1"/>
                <w:sz w:val="24"/>
                <w:szCs w:val="24"/>
                <w:highlight w:val="none"/>
                <w:lang w:eastAsia="zh-CN"/>
              </w:rPr>
              <w:t>）</w:t>
            </w:r>
            <w:r>
              <w:rPr>
                <w:rFonts w:hint="default" w:ascii="Times New Roman" w:hAnsi="Times New Roman" w:eastAsia="宋体" w:cs="Times New Roman"/>
                <w:color w:val="auto"/>
                <w:spacing w:val="-1"/>
                <w:sz w:val="24"/>
                <w:szCs w:val="24"/>
                <w:highlight w:val="none"/>
              </w:rPr>
              <w:t>不得在运输过程中沿途丢弃、遗撒固体废物。</w:t>
            </w:r>
          </w:p>
          <w:p w14:paraId="36730155">
            <w:pPr>
              <w:pStyle w:val="147"/>
              <w:pageBreakBefore w:val="0"/>
              <w:widowControl w:val="0"/>
              <w:kinsoku/>
              <w:wordWrap/>
              <w:overflowPunct/>
              <w:topLinePunct w:val="0"/>
              <w:autoSpaceDE/>
              <w:autoSpaceDN/>
              <w:bidi w:val="0"/>
              <w:adjustRightInd w:val="0"/>
              <w:snapToGrid w:val="0"/>
              <w:spacing w:line="360" w:lineRule="auto"/>
              <w:ind w:left="0" w:right="0" w:firstLine="48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pacing w:val="2"/>
                <w:sz w:val="24"/>
                <w:szCs w:val="24"/>
                <w:highlight w:val="none"/>
                <w:lang w:eastAsia="zh-CN"/>
              </w:rPr>
              <w:t>（</w:t>
            </w:r>
            <w:r>
              <w:rPr>
                <w:rFonts w:hint="default" w:ascii="Times New Roman" w:hAnsi="Times New Roman" w:cs="Times New Roman"/>
                <w:color w:val="auto"/>
                <w:spacing w:val="2"/>
                <w:sz w:val="24"/>
                <w:szCs w:val="24"/>
                <w:highlight w:val="none"/>
                <w:lang w:val="en-US" w:eastAsia="zh-CN"/>
              </w:rPr>
              <w:t>2</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按计划和施工的操作规程，严格控制并尽量减少物料的剩余。一旦有</w:t>
            </w:r>
            <w:r>
              <w:rPr>
                <w:rFonts w:hint="default" w:ascii="Times New Roman" w:hAnsi="Times New Roman" w:eastAsia="宋体" w:cs="Times New Roman"/>
                <w:color w:val="auto"/>
                <w:spacing w:val="-1"/>
                <w:sz w:val="24"/>
                <w:szCs w:val="24"/>
                <w:highlight w:val="none"/>
              </w:rPr>
              <w:t>余下的材料，将其有序地存放好，妥善保管，回收使用。</w:t>
            </w:r>
          </w:p>
          <w:p w14:paraId="3D4C588C">
            <w:pPr>
              <w:keepNext/>
              <w:keepLines/>
              <w:pageBreakBefore w:val="0"/>
              <w:widowControl w:val="0"/>
              <w:numPr>
                <w:ilvl w:val="2"/>
                <w:numId w:val="0"/>
              </w:numPr>
              <w:kinsoku/>
              <w:wordWrap/>
              <w:overflowPunct/>
              <w:topLinePunct w:val="0"/>
              <w:autoSpaceDE/>
              <w:autoSpaceDN/>
              <w:bidi w:val="0"/>
              <w:adjustRightInd w:val="0"/>
              <w:snapToGrid w:val="0"/>
              <w:spacing w:line="360" w:lineRule="auto"/>
              <w:ind w:left="0" w:right="0" w:firstLine="488" w:firstLineChars="200"/>
              <w:jc w:val="both"/>
              <w:textAlignment w:val="auto"/>
              <w:outlineLvl w:val="2"/>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2"/>
                <w:sz w:val="24"/>
                <w:szCs w:val="24"/>
                <w:highlight w:val="none"/>
              </w:rPr>
              <w:t>综上所述，通过加强管理，并采取相应措施，施工期固体废弃物对环境的</w:t>
            </w:r>
            <w:r>
              <w:rPr>
                <w:rFonts w:hint="default" w:ascii="Times New Roman" w:hAnsi="Times New Roman" w:eastAsia="宋体" w:cs="Times New Roman"/>
                <w:color w:val="auto"/>
                <w:spacing w:val="-2"/>
                <w:sz w:val="24"/>
                <w:szCs w:val="24"/>
                <w:highlight w:val="none"/>
              </w:rPr>
              <w:t>影响不大。</w:t>
            </w:r>
          </w:p>
        </w:tc>
      </w:tr>
      <w:tr w14:paraId="198148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69" w:hRule="atLeast"/>
          <w:jc w:val="center"/>
        </w:trPr>
        <w:tc>
          <w:tcPr>
            <w:tcW w:w="645" w:type="dxa"/>
            <w:noWrap w:val="0"/>
            <w:tcMar>
              <w:left w:w="28" w:type="dxa"/>
              <w:right w:w="28" w:type="dxa"/>
            </w:tcMar>
            <w:vAlign w:val="center"/>
          </w:tcPr>
          <w:p w14:paraId="03029427">
            <w:pPr>
              <w:spacing w:line="360" w:lineRule="auto"/>
              <w:ind w:firstLine="0" w:firstLineChars="0"/>
              <w:jc w:val="center"/>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bCs/>
                <w:color w:val="auto"/>
                <w:spacing w:val="0"/>
                <w:sz w:val="22"/>
                <w:szCs w:val="22"/>
                <w:highlight w:val="none"/>
              </w:rPr>
              <w:t>运营期环境影响和保护措施</w:t>
            </w:r>
          </w:p>
        </w:tc>
        <w:tc>
          <w:tcPr>
            <w:tcW w:w="7792" w:type="dxa"/>
            <w:tcBorders>
              <w:top w:val="single" w:color="auto" w:sz="4" w:space="0"/>
              <w:bottom w:val="single" w:color="auto" w:sz="4" w:space="0"/>
            </w:tcBorders>
            <w:noWrap w:val="0"/>
            <w:vAlign w:val="center"/>
          </w:tcPr>
          <w:p w14:paraId="1FDA2A9B">
            <w:pPr>
              <w:numPr>
                <w:ilvl w:val="0"/>
                <w:numId w:val="9"/>
              </w:numPr>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废气</w:t>
            </w:r>
          </w:p>
          <w:p w14:paraId="1BB2B01E">
            <w:pPr>
              <w:adjustRightInd w:val="0"/>
              <w:snapToGrid w:val="0"/>
              <w:spacing w:line="360" w:lineRule="auto"/>
              <w:ind w:firstLine="482" w:firstLineChars="200"/>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b/>
                <w:color w:val="auto"/>
                <w:spacing w:val="0"/>
                <w:sz w:val="24"/>
                <w:highlight w:val="none"/>
                <w:lang w:val="en-US" w:eastAsia="zh-CN"/>
              </w:rPr>
              <w:t>1.1</w:t>
            </w:r>
            <w:r>
              <w:rPr>
                <w:rFonts w:hint="default" w:ascii="Times New Roman" w:hAnsi="Times New Roman" w:eastAsia="宋体" w:cs="Times New Roman"/>
                <w:b/>
                <w:color w:val="auto"/>
                <w:spacing w:val="0"/>
                <w:sz w:val="24"/>
                <w:highlight w:val="none"/>
                <w:lang w:bidi="ar"/>
              </w:rPr>
              <w:t>源强核算分析</w:t>
            </w:r>
          </w:p>
          <w:p w14:paraId="6DC7BA09">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（1）源强分析</w:t>
            </w:r>
          </w:p>
          <w:p w14:paraId="02B60EA9">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textAlignment w:val="auto"/>
              <w:rPr>
                <w:rFonts w:hint="default" w:ascii="Times New Roman" w:hAnsi="Times New Roman" w:eastAsia="宋体" w:cs="Times New Roman"/>
                <w:color w:val="auto"/>
                <w:spacing w:val="0"/>
                <w:kern w:val="0"/>
                <w:sz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本项目产生的废气主要</w:t>
            </w:r>
            <w:r>
              <w:rPr>
                <w:rFonts w:hint="default" w:ascii="Times New Roman" w:hAnsi="Times New Roman" w:cs="Times New Roman"/>
                <w:color w:val="auto"/>
                <w:spacing w:val="0"/>
                <w:sz w:val="24"/>
                <w:szCs w:val="24"/>
                <w:highlight w:val="none"/>
                <w:lang w:val="en-US" w:eastAsia="zh-CN"/>
              </w:rPr>
              <w:t>为</w:t>
            </w:r>
            <w:r>
              <w:rPr>
                <w:rFonts w:hint="default" w:ascii="Times New Roman" w:hAnsi="Times New Roman" w:eastAsia="宋体" w:cs="Times New Roman"/>
                <w:color w:val="auto"/>
                <w:spacing w:val="0"/>
                <w:sz w:val="24"/>
                <w:szCs w:val="24"/>
                <w:highlight w:val="none"/>
                <w:lang w:val="en-US" w:eastAsia="zh-CN"/>
              </w:rPr>
              <w:t>锅炉产生的废气，主要污染物为</w:t>
            </w:r>
            <w:r>
              <w:rPr>
                <w:rFonts w:hint="default" w:ascii="Times New Roman" w:hAnsi="Times New Roman" w:eastAsia="宋体" w:cs="Times New Roman"/>
                <w:color w:val="auto"/>
                <w:spacing w:val="-2"/>
                <w:sz w:val="24"/>
                <w:szCs w:val="24"/>
                <w:highlight w:val="none"/>
              </w:rPr>
              <w:t>颗粒物、SO</w:t>
            </w:r>
            <w:r>
              <w:rPr>
                <w:rFonts w:hint="default" w:ascii="Times New Roman" w:hAnsi="Times New Roman" w:eastAsia="宋体" w:cs="Times New Roman"/>
                <w:color w:val="auto"/>
                <w:spacing w:val="-2"/>
                <w:position w:val="-2"/>
                <w:sz w:val="15"/>
                <w:szCs w:val="15"/>
                <w:highlight w:val="none"/>
              </w:rPr>
              <w:t>2</w:t>
            </w:r>
            <w:r>
              <w:rPr>
                <w:rFonts w:hint="default" w:ascii="Times New Roman" w:hAnsi="Times New Roman" w:eastAsia="宋体" w:cs="Times New Roman"/>
                <w:color w:val="auto"/>
                <w:spacing w:val="-2"/>
                <w:sz w:val="24"/>
                <w:szCs w:val="24"/>
                <w:highlight w:val="none"/>
              </w:rPr>
              <w:t>、NOx</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cs="Times New Roman"/>
                <w:color w:val="auto"/>
                <w:spacing w:val="-2"/>
                <w:sz w:val="24"/>
                <w:szCs w:val="24"/>
                <w:highlight w:val="none"/>
                <w:lang w:val="en-US" w:eastAsia="zh-CN"/>
              </w:rPr>
              <w:t>汞及其化合物</w:t>
            </w:r>
            <w:r>
              <w:rPr>
                <w:rFonts w:hint="default" w:ascii="Times New Roman" w:hAnsi="Times New Roman" w:eastAsia="宋体" w:cs="Times New Roman"/>
                <w:color w:val="auto"/>
                <w:spacing w:val="-2"/>
                <w:sz w:val="24"/>
                <w:szCs w:val="24"/>
                <w:highlight w:val="none"/>
              </w:rPr>
              <w:t>及林格曼黑度</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本项目燃烧生物质成型颗粒，生物质分析报告中未体现汞含量，根据《直接法测定固体生物质燃料中汞的试验研究》（煤质技术，2020 年）可知，生物质汞含量为15.47ng/g。由于生物质汞含量极低的特点，本项目暂不考虑汞的排放</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color w:val="auto"/>
                <w:spacing w:val="-2"/>
                <w:sz w:val="24"/>
                <w:szCs w:val="24"/>
                <w:highlight w:val="none"/>
                <w:lang w:val="en-US" w:eastAsia="zh-CN"/>
              </w:rPr>
              <w:t>不对汞及其化合物污染物进行源强分析。</w:t>
            </w:r>
          </w:p>
          <w:p w14:paraId="7C44D600">
            <w:pPr>
              <w:pStyle w:val="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sz w:val="24"/>
                <w:szCs w:val="28"/>
                <w:highlight w:val="none"/>
                <w:lang w:val="en-US" w:eastAsia="zh-CN"/>
              </w:rPr>
            </w:pPr>
            <w:r>
              <w:rPr>
                <w:rFonts w:hint="default" w:ascii="Times New Roman" w:hAnsi="Times New Roman" w:eastAsia="宋体" w:cs="Times New Roman"/>
                <w:bCs/>
                <w:color w:val="auto"/>
                <w:kern w:val="28"/>
                <w:sz w:val="24"/>
                <w:szCs w:val="24"/>
                <w:highlight w:val="none"/>
                <w:lang w:val="en-US" w:eastAsia="zh-CN" w:bidi="ar-SA"/>
              </w:rPr>
              <w:t>根据《污染源源强核算技术指南 锅炉》（HJ 991-2018）中相关规定：新建（改、扩建）锅炉污染源源强核算应优先采用物料衡算法。</w:t>
            </w:r>
          </w:p>
          <w:p w14:paraId="6B0F042C">
            <w:pPr>
              <w:spacing w:line="360" w:lineRule="auto"/>
              <w:textAlignment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1 \* GB3 \* MERGEFORMAT </w:instrText>
            </w:r>
            <w:r>
              <w:rPr>
                <w:rFonts w:hint="default" w:ascii="Times New Roman" w:hAnsi="Times New Roman" w:eastAsia="宋体" w:cs="Times New Roman"/>
                <w:color w:val="auto"/>
                <w:sz w:val="24"/>
                <w:highlight w:val="none"/>
              </w:rPr>
              <w:fldChar w:fldCharType="separate"/>
            </w: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烟气量计算：</w:t>
            </w:r>
          </w:p>
          <w:p w14:paraId="1DEF5168">
            <w:pPr>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理论烟气量计算：</w:t>
            </w:r>
          </w:p>
          <w:p w14:paraId="0112B73C">
            <w:pPr>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8" o:spt="75" type="#_x0000_t75" style="height:18.35pt;width:247.95pt;" o:ole="t" filled="f" o:preferrelative="t" stroked="f" coordsize="21600,21600">
                  <v:path/>
                  <v:fill on="f" focussize="0,0"/>
                  <v:stroke on="f"/>
                  <v:imagedata r:id="rId27" o:title=""/>
                  <o:lock v:ext="edit" aspectratio="t"/>
                  <w10:wrap type="none"/>
                  <w10:anchorlock/>
                </v:shape>
                <o:OLEObject Type="Embed" ProgID="Equation.KSEE3" ShapeID="_x0000_i1028" DrawAspect="Content" ObjectID="_1468075728" r:id="rId26">
                  <o:LockedField>false</o:LockedField>
                </o:OLEObject>
              </w:object>
            </w:r>
          </w:p>
          <w:p w14:paraId="39684B36">
            <w:pPr>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式中：V</w:t>
            </w:r>
            <w:r>
              <w:rPr>
                <w:rFonts w:hint="default" w:ascii="Times New Roman" w:hAnsi="Times New Roman" w:eastAsia="宋体" w:cs="Times New Roman"/>
                <w:color w:val="auto"/>
                <w:sz w:val="24"/>
                <w:highlight w:val="none"/>
                <w:vertAlign w:val="subscript"/>
                <w:lang w:val="en-US" w:eastAsia="zh-CN"/>
              </w:rPr>
              <w:t>0</w:t>
            </w:r>
            <w:r>
              <w:rPr>
                <w:rFonts w:hint="default" w:ascii="Times New Roman" w:hAnsi="Times New Roman" w:eastAsia="宋体" w:cs="Times New Roman"/>
                <w:color w:val="auto"/>
                <w:sz w:val="24"/>
                <w:highlight w:val="none"/>
                <w:lang w:val="en-US" w:eastAsia="zh-CN"/>
              </w:rPr>
              <w:t>——理论空气量，m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/kg；</w:t>
            </w:r>
          </w:p>
          <w:p w14:paraId="2DA830F9">
            <w:pPr>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Car——收到基碳的质量分数，%，根据燃料成分分析为</w:t>
            </w:r>
            <w:r>
              <w:rPr>
                <w:rFonts w:hint="default" w:ascii="Times New Roman" w:hAnsi="Times New Roman" w:cs="Times New Roman"/>
                <w:color w:val="auto"/>
                <w:sz w:val="24"/>
                <w:highlight w:val="none"/>
                <w:lang w:val="en-US" w:eastAsia="zh-CN"/>
              </w:rPr>
              <w:t>38.16</w:t>
            </w:r>
            <w:r>
              <w:rPr>
                <w:rFonts w:hint="default" w:ascii="Times New Roman" w:hAnsi="Times New Roman" w:eastAsia="宋体" w:cs="Times New Roman"/>
                <w:color w:val="auto"/>
                <w:sz w:val="24"/>
                <w:highlight w:val="none"/>
                <w:lang w:val="en-US" w:eastAsia="zh-CN"/>
              </w:rPr>
              <w:t>；</w:t>
            </w:r>
          </w:p>
          <w:p w14:paraId="48B5F92D">
            <w:pPr>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Sar——收到基硫的质量分数，%，根据燃料成分分析为</w:t>
            </w:r>
            <w:r>
              <w:rPr>
                <w:rFonts w:hint="default" w:ascii="Times New Roman" w:hAnsi="Times New Roman" w:cs="Times New Roman"/>
                <w:color w:val="auto"/>
                <w:sz w:val="24"/>
                <w:highlight w:val="none"/>
                <w:lang w:val="en-US" w:eastAsia="zh-CN"/>
              </w:rPr>
              <w:t>0.07</w:t>
            </w:r>
            <w:r>
              <w:rPr>
                <w:rFonts w:hint="default" w:ascii="Times New Roman" w:hAnsi="Times New Roman" w:eastAsia="宋体" w:cs="Times New Roman"/>
                <w:color w:val="auto"/>
                <w:sz w:val="24"/>
                <w:highlight w:val="none"/>
                <w:lang w:val="en-US" w:eastAsia="zh-CN"/>
              </w:rPr>
              <w:t>；</w:t>
            </w:r>
          </w:p>
          <w:p w14:paraId="0D7CB65D">
            <w:pPr>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Har——收到基氢的质量分数，%，根据燃料成分分析为</w:t>
            </w:r>
            <w:r>
              <w:rPr>
                <w:rFonts w:hint="default" w:ascii="Times New Roman" w:hAnsi="Times New Roman" w:cs="Times New Roman"/>
                <w:color w:val="auto"/>
                <w:sz w:val="24"/>
                <w:highlight w:val="none"/>
                <w:lang w:val="en-US" w:eastAsia="zh-CN"/>
              </w:rPr>
              <w:t>4.32</w:t>
            </w:r>
            <w:r>
              <w:rPr>
                <w:rFonts w:hint="default" w:ascii="Times New Roman" w:hAnsi="Times New Roman" w:eastAsia="宋体" w:cs="Times New Roman"/>
                <w:color w:val="auto"/>
                <w:sz w:val="24"/>
                <w:highlight w:val="none"/>
                <w:lang w:val="en-US" w:eastAsia="zh-CN"/>
              </w:rPr>
              <w:t>；</w:t>
            </w:r>
          </w:p>
          <w:p w14:paraId="0C1CEE1F">
            <w:pPr>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Oar——收到基氧的质量分数，%，根据燃料成分分析为</w:t>
            </w:r>
            <w:r>
              <w:rPr>
                <w:rFonts w:hint="default" w:ascii="Times New Roman" w:hAnsi="Times New Roman" w:cs="Times New Roman"/>
                <w:color w:val="auto"/>
                <w:sz w:val="24"/>
                <w:highlight w:val="none"/>
                <w:lang w:val="en-US" w:eastAsia="zh-CN"/>
              </w:rPr>
              <w:t>31.02</w:t>
            </w:r>
            <w:r>
              <w:rPr>
                <w:rFonts w:hint="default" w:ascii="Times New Roman" w:hAnsi="Times New Roman" w:eastAsia="宋体" w:cs="Times New Roman"/>
                <w:color w:val="auto"/>
                <w:sz w:val="24"/>
                <w:highlight w:val="none"/>
                <w:lang w:val="en-US" w:eastAsia="zh-CN"/>
              </w:rPr>
              <w:t>。</w:t>
            </w:r>
          </w:p>
          <w:p w14:paraId="7A77D1C9">
            <w:pPr>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代入公式后计算可得V</w:t>
            </w:r>
            <w:r>
              <w:rPr>
                <w:rFonts w:hint="default" w:ascii="Times New Roman" w:hAnsi="Times New Roman" w:eastAsia="宋体" w:cs="Times New Roman"/>
                <w:color w:val="auto"/>
                <w:sz w:val="24"/>
                <w:highlight w:val="none"/>
                <w:vertAlign w:val="subscript"/>
                <w:lang w:val="en-US" w:eastAsia="zh-CN"/>
              </w:rPr>
              <w:t>0</w:t>
            </w:r>
            <w:r>
              <w:rPr>
                <w:rFonts w:hint="default" w:ascii="Times New Roman" w:hAnsi="Times New Roman" w:eastAsia="宋体" w:cs="Times New Roman"/>
                <w:color w:val="auto"/>
                <w:sz w:val="24"/>
                <w:highlight w:val="none"/>
                <w:lang w:val="en-US" w:eastAsia="zh-CN"/>
              </w:rPr>
              <w:t>为</w:t>
            </w:r>
            <w:r>
              <w:rPr>
                <w:rFonts w:hint="default" w:ascii="Times New Roman" w:hAnsi="Times New Roman" w:cs="Times New Roman"/>
                <w:color w:val="auto"/>
                <w:sz w:val="24"/>
                <w:highlight w:val="none"/>
                <w:lang w:val="en-US" w:eastAsia="zh-CN"/>
              </w:rPr>
              <w:t>3.507</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/kg。</w:t>
            </w:r>
          </w:p>
          <w:p w14:paraId="1D8A0F51">
            <w:pPr>
              <w:pStyle w:val="130"/>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锅炉中实际燃烧过程是在过量空气系数α＞1的条件下进行的，1kg固体或液体燃料产生的烟气排放量可用下式计算：</w:t>
            </w:r>
          </w:p>
          <w:p w14:paraId="06253F7A">
            <w:pPr>
              <w:pStyle w:val="130"/>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0" distR="0">
                  <wp:extent cx="2519680" cy="436245"/>
                  <wp:effectExtent l="0" t="0" r="13970" b="1905"/>
                  <wp:docPr id="14"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1"/>
                          <pic:cNvPicPr>
                            <a:picLocks noChangeAspect="1" noChangeArrowheads="1"/>
                          </pic:cNvPicPr>
                        </pic:nvPicPr>
                        <pic:blipFill>
                          <a:blip r:embed="rId28"/>
                          <a:srcRect/>
                          <a:stretch>
                            <a:fillRect/>
                          </a:stretch>
                        </pic:blipFill>
                        <pic:spPr>
                          <a:xfrm>
                            <a:off x="0" y="0"/>
                            <a:ext cx="2519680" cy="436245"/>
                          </a:xfrm>
                          <a:prstGeom prst="rect">
                            <a:avLst/>
                          </a:prstGeom>
                          <a:noFill/>
                          <a:ln w="9525">
                            <a:noFill/>
                            <a:miter lim="800000"/>
                            <a:headEnd/>
                            <a:tailEnd/>
                          </a:ln>
                        </pic:spPr>
                      </pic:pic>
                    </a:graphicData>
                  </a:graphic>
                </wp:inline>
              </w:drawing>
            </w:r>
          </w:p>
          <w:p w14:paraId="66C19BE2">
            <w:pPr>
              <w:pStyle w:val="130"/>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0" distR="0">
                  <wp:extent cx="1616075" cy="425450"/>
                  <wp:effectExtent l="0" t="0" r="3175" b="12700"/>
                  <wp:docPr id="7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2"/>
                          <pic:cNvPicPr>
                            <a:picLocks noChangeAspect="1" noChangeArrowheads="1"/>
                          </pic:cNvPicPr>
                        </pic:nvPicPr>
                        <pic:blipFill>
                          <a:blip r:embed="rId29"/>
                          <a:srcRect/>
                          <a:stretch>
                            <a:fillRect/>
                          </a:stretch>
                        </pic:blipFill>
                        <pic:spPr>
                          <a:xfrm>
                            <a:off x="0" y="0"/>
                            <a:ext cx="1616075" cy="425450"/>
                          </a:xfrm>
                          <a:prstGeom prst="rect">
                            <a:avLst/>
                          </a:prstGeom>
                          <a:noFill/>
                          <a:ln w="9525">
                            <a:noFill/>
                            <a:miter lim="800000"/>
                            <a:headEnd/>
                            <a:tailEnd/>
                          </a:ln>
                        </pic:spPr>
                      </pic:pic>
                    </a:graphicData>
                  </a:graphic>
                </wp:inline>
              </w:drawing>
            </w:r>
          </w:p>
          <w:p w14:paraId="5F232FB5">
            <w:pPr>
              <w:pStyle w:val="130"/>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0" distR="0">
                  <wp:extent cx="1871345" cy="318770"/>
                  <wp:effectExtent l="0" t="0" r="14605" b="5080"/>
                  <wp:docPr id="10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33"/>
                          <pic:cNvPicPr>
                            <a:picLocks noChangeAspect="1" noChangeArrowheads="1"/>
                          </pic:cNvPicPr>
                        </pic:nvPicPr>
                        <pic:blipFill>
                          <a:blip r:embed="rId30"/>
                          <a:srcRect/>
                          <a:stretch>
                            <a:fillRect/>
                          </a:stretch>
                        </pic:blipFill>
                        <pic:spPr>
                          <a:xfrm>
                            <a:off x="0" y="0"/>
                            <a:ext cx="1871345" cy="318770"/>
                          </a:xfrm>
                          <a:prstGeom prst="rect">
                            <a:avLst/>
                          </a:prstGeom>
                          <a:noFill/>
                          <a:ln w="9525">
                            <a:noFill/>
                            <a:miter lim="800000"/>
                            <a:headEnd/>
                            <a:tailEnd/>
                          </a:ln>
                        </pic:spPr>
                      </pic:pic>
                    </a:graphicData>
                  </a:graphic>
                </wp:inline>
              </w:drawing>
            </w:r>
          </w:p>
          <w:p w14:paraId="108971FF">
            <w:pPr>
              <w:pStyle w:val="130"/>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0" distR="0">
                  <wp:extent cx="3370580" cy="329565"/>
                  <wp:effectExtent l="0" t="0" r="1270" b="13335"/>
                  <wp:docPr id="10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4"/>
                          <pic:cNvPicPr>
                            <a:picLocks noChangeAspect="1" noChangeArrowheads="1"/>
                          </pic:cNvPicPr>
                        </pic:nvPicPr>
                        <pic:blipFill>
                          <a:blip r:embed="rId31"/>
                          <a:srcRect/>
                          <a:stretch>
                            <a:fillRect/>
                          </a:stretch>
                        </pic:blipFill>
                        <pic:spPr>
                          <a:xfrm>
                            <a:off x="0" y="0"/>
                            <a:ext cx="3370580" cy="329565"/>
                          </a:xfrm>
                          <a:prstGeom prst="rect">
                            <a:avLst/>
                          </a:prstGeom>
                          <a:noFill/>
                          <a:ln w="9525">
                            <a:noFill/>
                            <a:miter lim="800000"/>
                            <a:headEnd/>
                            <a:tailEnd/>
                          </a:ln>
                        </pic:spPr>
                      </pic:pic>
                    </a:graphicData>
                  </a:graphic>
                </wp:inline>
              </w:drawing>
            </w:r>
          </w:p>
          <w:p w14:paraId="2FE97BBF">
            <w:pPr>
              <w:pStyle w:val="130"/>
              <w:ind w:firstLine="0" w:firstLineChars="0"/>
              <w:jc w:val="center"/>
              <w:rPr>
                <w:rFonts w:hint="default" w:ascii="Times New Roman" w:hAnsi="Times New Roman" w:eastAsia="宋体" w:cs="Times New Roman"/>
                <w:color w:val="auto"/>
                <w:sz w:val="24"/>
                <w:szCs w:val="24"/>
                <w:highlight w:val="none"/>
              </w:rPr>
            </w:pPr>
            <w:bookmarkStart w:id="7" w:name="_Toc113611427"/>
            <w:r>
              <w:rPr>
                <w:rFonts w:hint="default" w:ascii="Times New Roman" w:hAnsi="Times New Roman" w:eastAsia="宋体" w:cs="Times New Roman"/>
                <w:color w:val="auto"/>
                <w:sz w:val="24"/>
                <w:szCs w:val="24"/>
                <w:highlight w:val="none"/>
              </w:rPr>
              <w:drawing>
                <wp:inline distT="0" distB="0" distL="0" distR="0">
                  <wp:extent cx="2562225" cy="318770"/>
                  <wp:effectExtent l="0" t="0" r="9525" b="5080"/>
                  <wp:docPr id="108"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35"/>
                          <pic:cNvPicPr>
                            <a:picLocks noChangeAspect="1" noChangeArrowheads="1"/>
                          </pic:cNvPicPr>
                        </pic:nvPicPr>
                        <pic:blipFill>
                          <a:blip r:embed="rId32"/>
                          <a:srcRect/>
                          <a:stretch>
                            <a:fillRect/>
                          </a:stretch>
                        </pic:blipFill>
                        <pic:spPr>
                          <a:xfrm>
                            <a:off x="0" y="0"/>
                            <a:ext cx="2562225" cy="318770"/>
                          </a:xfrm>
                          <a:prstGeom prst="rect">
                            <a:avLst/>
                          </a:prstGeom>
                          <a:noFill/>
                          <a:ln w="9525">
                            <a:noFill/>
                            <a:miter lim="800000"/>
                            <a:headEnd/>
                            <a:tailEnd/>
                          </a:ln>
                        </pic:spPr>
                      </pic:pic>
                    </a:graphicData>
                  </a:graphic>
                </wp:inline>
              </w:drawing>
            </w:r>
            <w:bookmarkEnd w:id="7"/>
          </w:p>
          <w:p w14:paraId="40710651">
            <w:pPr>
              <w:pStyle w:val="130"/>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p>
          <w:p w14:paraId="4F807F75">
            <w:pPr>
              <w:pStyle w:val="130"/>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s</w:t>
            </w:r>
            <w:r>
              <w:rPr>
                <w:rFonts w:hint="default" w:ascii="Times New Roman" w:hAnsi="Times New Roman" w:eastAsia="宋体" w:cs="Times New Roman"/>
                <w:color w:val="auto"/>
                <w:sz w:val="24"/>
                <w:szCs w:val="24"/>
                <w:highlight w:val="none"/>
              </w:rPr>
              <w:t>——湿烟气排放量，m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/kg</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经计算得</w:t>
            </w:r>
            <w:r>
              <w:rPr>
                <w:rFonts w:hint="default" w:ascii="Times New Roman" w:hAnsi="Times New Roman" w:cs="Times New Roman"/>
                <w:color w:val="auto"/>
                <w:sz w:val="24"/>
                <w:szCs w:val="24"/>
                <w:highlight w:val="none"/>
                <w:lang w:val="en-US" w:eastAsia="zh-CN"/>
              </w:rPr>
              <w:t>6.821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/kg</w:t>
            </w:r>
            <w:r>
              <w:rPr>
                <w:rFonts w:hint="default" w:ascii="Times New Roman" w:hAnsi="Times New Roman" w:eastAsia="宋体" w:cs="Times New Roman"/>
                <w:color w:val="auto"/>
                <w:sz w:val="24"/>
                <w:szCs w:val="24"/>
                <w:highlight w:val="none"/>
                <w:lang w:val="en-US" w:eastAsia="zh-CN"/>
              </w:rPr>
              <w:t>；</w:t>
            </w:r>
          </w:p>
          <w:p w14:paraId="599E0E1A">
            <w:pPr>
              <w:pStyle w:val="130"/>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g</w:t>
            </w:r>
            <w:r>
              <w:rPr>
                <w:rFonts w:hint="default" w:ascii="Times New Roman" w:hAnsi="Times New Roman" w:eastAsia="宋体" w:cs="Times New Roman"/>
                <w:color w:val="auto"/>
                <w:sz w:val="24"/>
                <w:szCs w:val="24"/>
                <w:highlight w:val="none"/>
              </w:rPr>
              <w:t>——干烟气排放量，m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/kg</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经计算得</w:t>
            </w:r>
            <w:r>
              <w:rPr>
                <w:rFonts w:hint="default" w:ascii="Times New Roman" w:hAnsi="Times New Roman" w:cs="Times New Roman"/>
                <w:color w:val="auto"/>
                <w:sz w:val="24"/>
                <w:szCs w:val="24"/>
                <w:highlight w:val="none"/>
                <w:lang w:val="en-US" w:eastAsia="zh-CN"/>
              </w:rPr>
              <w:t>6.116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/kg</w:t>
            </w:r>
            <w:r>
              <w:rPr>
                <w:rFonts w:hint="default" w:ascii="Times New Roman" w:hAnsi="Times New Roman" w:eastAsia="宋体" w:cs="Times New Roman"/>
                <w:color w:val="auto"/>
                <w:sz w:val="24"/>
                <w:szCs w:val="24"/>
                <w:highlight w:val="none"/>
                <w:lang w:val="en-US" w:eastAsia="zh-CN"/>
              </w:rPr>
              <w:t>；</w:t>
            </w:r>
          </w:p>
          <w:p w14:paraId="1F04BED0">
            <w:pPr>
              <w:pStyle w:val="130"/>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RO2</w:t>
            </w:r>
            <w:r>
              <w:rPr>
                <w:rFonts w:hint="default" w:ascii="Times New Roman" w:hAnsi="Times New Roman" w:eastAsia="宋体" w:cs="Times New Roman"/>
                <w:color w:val="auto"/>
                <w:sz w:val="24"/>
                <w:szCs w:val="24"/>
                <w:highlight w:val="none"/>
              </w:rPr>
              <w:t>——烟气中二氧化碳和二氧化硫容积之和，经计算得</w:t>
            </w:r>
            <w:r>
              <w:rPr>
                <w:rFonts w:hint="default" w:ascii="Times New Roman" w:hAnsi="Times New Roman" w:cs="Times New Roman"/>
                <w:color w:val="auto"/>
                <w:sz w:val="24"/>
                <w:szCs w:val="24"/>
                <w:highlight w:val="none"/>
                <w:lang w:val="en-US" w:eastAsia="zh-CN"/>
              </w:rPr>
              <w:t>0.713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/kg；</w:t>
            </w:r>
          </w:p>
          <w:p w14:paraId="6944A79E">
            <w:pPr>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Car——收到基碳的质量分数，%，根据燃料成分分析为</w:t>
            </w:r>
            <w:r>
              <w:rPr>
                <w:rFonts w:hint="default" w:ascii="Times New Roman" w:hAnsi="Times New Roman" w:cs="Times New Roman"/>
                <w:color w:val="auto"/>
                <w:sz w:val="24"/>
                <w:highlight w:val="none"/>
                <w:lang w:val="en-US" w:eastAsia="zh-CN"/>
              </w:rPr>
              <w:t>38.16</w:t>
            </w:r>
            <w:r>
              <w:rPr>
                <w:rFonts w:hint="default" w:ascii="Times New Roman" w:hAnsi="Times New Roman" w:eastAsia="宋体" w:cs="Times New Roman"/>
                <w:color w:val="auto"/>
                <w:sz w:val="24"/>
                <w:highlight w:val="none"/>
                <w:lang w:val="en-US" w:eastAsia="zh-CN"/>
              </w:rPr>
              <w:t>；</w:t>
            </w:r>
          </w:p>
          <w:p w14:paraId="3B670A61">
            <w:pPr>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Sar——收到基硫的质量分数，%，根据燃料成分分析为</w:t>
            </w:r>
            <w:r>
              <w:rPr>
                <w:rFonts w:hint="default" w:ascii="Times New Roman" w:hAnsi="Times New Roman" w:cs="Times New Roman"/>
                <w:color w:val="auto"/>
                <w:sz w:val="24"/>
                <w:highlight w:val="none"/>
                <w:lang w:val="en-US" w:eastAsia="zh-CN"/>
              </w:rPr>
              <w:t>0.07</w:t>
            </w:r>
            <w:r>
              <w:rPr>
                <w:rFonts w:hint="default" w:ascii="Times New Roman" w:hAnsi="Times New Roman" w:eastAsia="宋体" w:cs="Times New Roman"/>
                <w:color w:val="auto"/>
                <w:sz w:val="24"/>
                <w:highlight w:val="none"/>
                <w:lang w:val="en-US" w:eastAsia="zh-CN"/>
              </w:rPr>
              <w:t>；</w:t>
            </w:r>
          </w:p>
          <w:p w14:paraId="0BDFEFDE">
            <w:pPr>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Har——收到基氢的质量分数，%，根据燃料成分分析为</w:t>
            </w:r>
            <w:r>
              <w:rPr>
                <w:rFonts w:hint="default" w:ascii="Times New Roman" w:hAnsi="Times New Roman" w:cs="Times New Roman"/>
                <w:color w:val="auto"/>
                <w:sz w:val="24"/>
                <w:highlight w:val="none"/>
                <w:lang w:val="en-US" w:eastAsia="zh-CN"/>
              </w:rPr>
              <w:t>4.32</w:t>
            </w:r>
            <w:r>
              <w:rPr>
                <w:rFonts w:hint="default" w:ascii="Times New Roman" w:hAnsi="Times New Roman" w:eastAsia="宋体" w:cs="Times New Roman"/>
                <w:color w:val="auto"/>
                <w:sz w:val="24"/>
                <w:highlight w:val="none"/>
                <w:lang w:val="en-US" w:eastAsia="zh-CN"/>
              </w:rPr>
              <w:t>；</w:t>
            </w:r>
          </w:p>
          <w:p w14:paraId="17737D15">
            <w:pPr>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Oar——收到基氧的质量分数，%，根据燃料成分分析为</w:t>
            </w:r>
            <w:r>
              <w:rPr>
                <w:rFonts w:hint="default" w:ascii="Times New Roman" w:hAnsi="Times New Roman" w:cs="Times New Roman"/>
                <w:color w:val="auto"/>
                <w:sz w:val="24"/>
                <w:highlight w:val="none"/>
                <w:lang w:val="en-US" w:eastAsia="zh-CN"/>
              </w:rPr>
              <w:t>31.02</w:t>
            </w:r>
            <w:r>
              <w:rPr>
                <w:rFonts w:hint="default" w:ascii="Times New Roman" w:hAnsi="Times New Roman" w:eastAsia="宋体" w:cs="Times New Roman"/>
                <w:color w:val="auto"/>
                <w:sz w:val="24"/>
                <w:highlight w:val="none"/>
                <w:lang w:val="en-US" w:eastAsia="zh-CN"/>
              </w:rPr>
              <w:t>。</w:t>
            </w:r>
          </w:p>
          <w:p w14:paraId="22DFCFB9">
            <w:pPr>
              <w:pStyle w:val="130"/>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N2</w:t>
            </w:r>
            <w:r>
              <w:rPr>
                <w:rFonts w:hint="default" w:ascii="Times New Roman" w:hAnsi="Times New Roman" w:eastAsia="宋体" w:cs="Times New Roman"/>
                <w:color w:val="auto"/>
                <w:sz w:val="24"/>
                <w:szCs w:val="24"/>
                <w:highlight w:val="none"/>
              </w:rPr>
              <w:t>——烟气中氮气，经计算得</w:t>
            </w:r>
            <w:r>
              <w:rPr>
                <w:rFonts w:hint="default" w:ascii="Times New Roman" w:hAnsi="Times New Roman" w:cs="Times New Roman"/>
                <w:color w:val="auto"/>
                <w:sz w:val="24"/>
                <w:szCs w:val="24"/>
                <w:highlight w:val="none"/>
                <w:lang w:val="en-US" w:eastAsia="zh-CN"/>
              </w:rPr>
              <w:t>2.773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/kg；</w:t>
            </w:r>
          </w:p>
          <w:p w14:paraId="58468849">
            <w:pPr>
              <w:pStyle w:val="130"/>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w:t>
            </w:r>
            <w:r>
              <w:rPr>
                <w:rFonts w:hint="default" w:ascii="Times New Roman" w:hAnsi="Times New Roman" w:eastAsia="宋体" w:cs="Times New Roman"/>
                <w:color w:val="auto"/>
                <w:sz w:val="24"/>
                <w:szCs w:val="24"/>
                <w:highlight w:val="none"/>
                <w:vertAlign w:val="subscript"/>
              </w:rPr>
              <w:t>ar</w:t>
            </w:r>
            <w:r>
              <w:rPr>
                <w:rFonts w:hint="default" w:ascii="Times New Roman" w:hAnsi="Times New Roman" w:eastAsia="宋体" w:cs="Times New Roman"/>
                <w:color w:val="auto"/>
                <w:sz w:val="24"/>
                <w:szCs w:val="24"/>
                <w:highlight w:val="none"/>
              </w:rPr>
              <w:t>——收到基氮的质量分数，%，根据燃料成分分析为</w:t>
            </w:r>
            <w:r>
              <w:rPr>
                <w:rFonts w:hint="default" w:ascii="Times New Roman" w:hAnsi="Times New Roman" w:cs="Times New Roman"/>
                <w:color w:val="auto"/>
                <w:sz w:val="24"/>
                <w:szCs w:val="24"/>
                <w:highlight w:val="none"/>
                <w:lang w:val="en-US" w:eastAsia="zh-CN"/>
              </w:rPr>
              <w:t>0.34</w:t>
            </w:r>
            <w:r>
              <w:rPr>
                <w:rFonts w:hint="default" w:ascii="Times New Roman" w:hAnsi="Times New Roman" w:eastAsia="宋体" w:cs="Times New Roman"/>
                <w:color w:val="auto"/>
                <w:sz w:val="24"/>
                <w:szCs w:val="24"/>
                <w:highlight w:val="none"/>
              </w:rPr>
              <w:t>；</w:t>
            </w:r>
          </w:p>
          <w:p w14:paraId="28AC40FF">
            <w:pPr>
              <w:pStyle w:val="130"/>
              <w:ind w:firstLine="480"/>
              <w:rPr>
                <w:rFonts w:hint="default" w:ascii="Times New Roman" w:hAnsi="Times New Roman" w:eastAsia="宋体" w:cs="Times New Roman"/>
                <w:color w:val="auto"/>
                <w:sz w:val="24"/>
                <w:szCs w:val="24"/>
                <w:highlight w:val="none"/>
              </w:rPr>
            </w:pPr>
            <w:bookmarkStart w:id="8" w:name="_Toc113611428"/>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——理论空气量，经计算得</w:t>
            </w:r>
            <w:r>
              <w:rPr>
                <w:rFonts w:hint="default" w:ascii="Times New Roman" w:hAnsi="Times New Roman" w:cs="Times New Roman"/>
                <w:color w:val="auto"/>
                <w:sz w:val="24"/>
                <w:szCs w:val="24"/>
                <w:highlight w:val="none"/>
                <w:lang w:eastAsia="zh-CN"/>
              </w:rPr>
              <w:t>3.507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/kg；</w:t>
            </w:r>
            <w:bookmarkEnd w:id="8"/>
          </w:p>
          <w:p w14:paraId="65280C5A">
            <w:pPr>
              <w:pStyle w:val="130"/>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α——过量空气系数，</w:t>
            </w:r>
            <w:r>
              <w:rPr>
                <w:rFonts w:hint="default" w:ascii="Times New Roman" w:hAnsi="Times New Roman" w:eastAsia="宋体" w:cs="Times New Roman"/>
                <w:color w:val="auto"/>
                <w:sz w:val="24"/>
                <w:szCs w:val="24"/>
                <w:highlight w:val="none"/>
                <w:lang w:val="en-US" w:eastAsia="zh-CN"/>
              </w:rPr>
              <w:t>燃料燃烧时实际空气供给量与理论空气需要量之比值，燃煤锅炉、燃油锅炉及燃气锅炉的规定过量空气系数分别为1.75、1.2，对应基准氧含量分别为9%、3.5%。因此本项目</w:t>
            </w:r>
            <w:r>
              <w:rPr>
                <w:rFonts w:hint="default" w:ascii="Times New Roman" w:hAnsi="Times New Roman" w:eastAsia="宋体" w:cs="Times New Roman"/>
                <w:color w:val="auto"/>
                <w:sz w:val="24"/>
                <w:szCs w:val="24"/>
                <w:highlight w:val="none"/>
              </w:rPr>
              <w:t>α</w:t>
            </w:r>
            <w:r>
              <w:rPr>
                <w:rFonts w:hint="default" w:ascii="Times New Roman" w:hAnsi="Times New Roman" w:eastAsia="宋体" w:cs="Times New Roman"/>
                <w:color w:val="auto"/>
                <w:sz w:val="24"/>
                <w:szCs w:val="24"/>
                <w:highlight w:val="none"/>
                <w:lang w:val="en-US" w:eastAsia="zh-CN"/>
              </w:rPr>
              <w:t>取1.75</w:t>
            </w:r>
            <w:r>
              <w:rPr>
                <w:rFonts w:hint="default" w:ascii="Times New Roman" w:hAnsi="Times New Roman" w:eastAsia="宋体" w:cs="Times New Roman"/>
                <w:color w:val="auto"/>
                <w:sz w:val="24"/>
                <w:szCs w:val="24"/>
                <w:highlight w:val="none"/>
              </w:rPr>
              <w:t>；</w:t>
            </w:r>
          </w:p>
          <w:p w14:paraId="393E1591">
            <w:pPr>
              <w:pStyle w:val="130"/>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H2O</w:t>
            </w:r>
            <w:r>
              <w:rPr>
                <w:rFonts w:hint="default" w:ascii="Times New Roman" w:hAnsi="Times New Roman" w:eastAsia="宋体" w:cs="Times New Roman"/>
                <w:color w:val="auto"/>
                <w:sz w:val="24"/>
                <w:szCs w:val="24"/>
                <w:highlight w:val="none"/>
              </w:rPr>
              <w:t>——烟气中水蒸气量，m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/kg；经计</w:t>
            </w:r>
            <w:r>
              <w:rPr>
                <w:rFonts w:hint="default" w:ascii="Times New Roman" w:hAnsi="Times New Roman" w:cs="Times New Roman"/>
                <w:color w:val="auto"/>
                <w:sz w:val="24"/>
                <w:szCs w:val="24"/>
                <w:highlight w:val="none"/>
                <w:lang w:val="en-US" w:eastAsia="zh-CN"/>
              </w:rPr>
              <w:t>0.663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/kg；</w:t>
            </w:r>
          </w:p>
          <w:p w14:paraId="25798045">
            <w:pPr>
              <w:pStyle w:val="130"/>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bscript"/>
              </w:rPr>
              <w:t>ar</w:t>
            </w:r>
            <w:r>
              <w:rPr>
                <w:rFonts w:hint="default" w:ascii="Times New Roman" w:hAnsi="Times New Roman" w:eastAsia="宋体" w:cs="Times New Roman"/>
                <w:color w:val="auto"/>
                <w:sz w:val="24"/>
                <w:szCs w:val="24"/>
                <w:highlight w:val="none"/>
              </w:rPr>
              <w:t>——收到基水分的质量分数，%；根据燃料成分分析为</w:t>
            </w:r>
            <w:r>
              <w:rPr>
                <w:rFonts w:hint="default" w:ascii="Times New Roman" w:hAnsi="Times New Roman" w:cs="Times New Roman"/>
                <w:color w:val="auto"/>
                <w:sz w:val="24"/>
                <w:szCs w:val="24"/>
                <w:highlight w:val="none"/>
                <w:lang w:val="en-US" w:eastAsia="zh-CN"/>
              </w:rPr>
              <w:t>10.21</w:t>
            </w:r>
            <w:r>
              <w:rPr>
                <w:rFonts w:hint="default" w:ascii="Times New Roman" w:hAnsi="Times New Roman" w:eastAsia="宋体" w:cs="Times New Roman"/>
                <w:color w:val="auto"/>
                <w:sz w:val="24"/>
                <w:szCs w:val="24"/>
                <w:highlight w:val="none"/>
              </w:rPr>
              <w:t>；</w:t>
            </w:r>
          </w:p>
          <w:p w14:paraId="395D9339">
            <w:pPr>
              <w:pStyle w:val="130"/>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G</w:t>
            </w:r>
            <w:r>
              <w:rPr>
                <w:rFonts w:hint="default" w:ascii="Times New Roman" w:hAnsi="Times New Roman" w:eastAsia="宋体" w:cs="Times New Roman"/>
                <w:color w:val="auto"/>
                <w:sz w:val="24"/>
                <w:szCs w:val="24"/>
                <w:highlight w:val="none"/>
                <w:vertAlign w:val="subscript"/>
              </w:rPr>
              <w:t>wh</w:t>
            </w:r>
            <w:r>
              <w:rPr>
                <w:rFonts w:hint="default" w:ascii="Times New Roman" w:hAnsi="Times New Roman" w:eastAsia="宋体" w:cs="Times New Roman"/>
                <w:color w:val="auto"/>
                <w:sz w:val="24"/>
                <w:szCs w:val="24"/>
                <w:highlight w:val="none"/>
              </w:rPr>
              <w:t>——雾化燃油时消耗的蒸汽量，kg/kg；本项目不涉及燃油，因此取0。</w:t>
            </w:r>
          </w:p>
          <w:p w14:paraId="5CC5538A">
            <w:pPr>
              <w:pStyle w:val="130"/>
              <w:wordWrap w:val="0"/>
              <w:topLinePunct/>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经计算，本项目</w:t>
            </w:r>
            <w:r>
              <w:rPr>
                <w:rFonts w:hint="default" w:ascii="Times New Roman" w:hAnsi="Times New Roman" w:eastAsia="宋体" w:cs="Times New Roman"/>
                <w:color w:val="auto"/>
                <w:spacing w:val="0"/>
                <w:sz w:val="24"/>
                <w:szCs w:val="24"/>
                <w:highlight w:val="none"/>
                <w:lang w:val="en-US" w:eastAsia="zh-CN"/>
              </w:rPr>
              <w:t>1台</w:t>
            </w:r>
            <w:r>
              <w:rPr>
                <w:rFonts w:hint="default" w:ascii="Times New Roman" w:hAnsi="Times New Roman" w:cs="Times New Roman"/>
                <w:color w:val="auto"/>
                <w:spacing w:val="0"/>
                <w:sz w:val="24"/>
                <w:szCs w:val="24"/>
                <w:highlight w:val="none"/>
                <w:lang w:val="en-US" w:eastAsia="zh-CN"/>
              </w:rPr>
              <w:t>10t/h燃生物质蒸汽锅炉</w:t>
            </w:r>
            <w:r>
              <w:rPr>
                <w:rFonts w:hint="default" w:ascii="Times New Roman" w:hAnsi="Times New Roman" w:eastAsia="宋体" w:cs="Times New Roman"/>
                <w:color w:val="auto"/>
                <w:sz w:val="24"/>
                <w:szCs w:val="24"/>
                <w:highlight w:val="none"/>
              </w:rPr>
              <w:t>干烟气排放量为</w:t>
            </w:r>
            <w:r>
              <w:rPr>
                <w:rFonts w:hint="default" w:ascii="Times New Roman" w:hAnsi="Times New Roman" w:cs="Times New Roman"/>
                <w:color w:val="auto"/>
                <w:sz w:val="24"/>
                <w:szCs w:val="24"/>
                <w:highlight w:val="none"/>
                <w:lang w:val="en-US" w:eastAsia="zh-CN"/>
              </w:rPr>
              <w:t>6.116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/kg，湿烟气排放量为</w:t>
            </w:r>
            <w:r>
              <w:rPr>
                <w:rFonts w:hint="default" w:ascii="Times New Roman" w:hAnsi="Times New Roman" w:cs="Times New Roman"/>
                <w:color w:val="auto"/>
                <w:sz w:val="24"/>
                <w:szCs w:val="24"/>
                <w:highlight w:val="none"/>
                <w:lang w:val="en-US" w:eastAsia="zh-CN"/>
              </w:rPr>
              <w:t>6.821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/kg。</w:t>
            </w:r>
          </w:p>
          <w:p w14:paraId="61364BE8">
            <w:pPr>
              <w:widowControl/>
              <w:numPr>
                <w:ilvl w:val="0"/>
                <w:numId w:val="0"/>
              </w:numPr>
              <w:tabs>
                <w:tab w:val="left" w:pos="4785"/>
              </w:tabs>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lang w:val="en-US" w:eastAsia="zh-CN"/>
              </w:rPr>
              <w:t>根据锅炉厂家提供资料</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lang w:val="en-US" w:eastAsia="zh-CN"/>
              </w:rPr>
              <w:t>本项目10t/h锅炉</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最大小时燃料消耗量</w:t>
            </w:r>
            <w:r>
              <w:rPr>
                <w:rFonts w:hint="default" w:ascii="Times New Roman" w:hAnsi="Times New Roman" w:cs="Times New Roman"/>
                <w:color w:val="auto"/>
                <w:sz w:val="24"/>
                <w:szCs w:val="24"/>
                <w:highlight w:val="none"/>
                <w:lang w:val="en-US" w:eastAsia="zh-CN"/>
              </w:rPr>
              <w:t>为2.1t/h</w:t>
            </w:r>
            <w:r>
              <w:rPr>
                <w:rFonts w:hint="default" w:ascii="Times New Roman" w:hAnsi="Times New Roman" w:eastAsia="宋体" w:cs="Times New Roman"/>
                <w:color w:val="auto"/>
                <w:sz w:val="24"/>
                <w:szCs w:val="24"/>
                <w:highlight w:val="none"/>
              </w:rPr>
              <w:t>，进而计算出每小时烟气排放量为</w:t>
            </w:r>
            <w:r>
              <w:rPr>
                <w:rFonts w:hint="default" w:ascii="Times New Roman" w:hAnsi="Times New Roman" w:cs="Times New Roman"/>
                <w:color w:val="auto"/>
                <w:sz w:val="24"/>
                <w:szCs w:val="24"/>
                <w:highlight w:val="none"/>
                <w:lang w:val="en-US" w:eastAsia="zh-CN"/>
              </w:rPr>
              <w:t>12843.6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lang w:val="en-US" w:eastAsia="zh-CN"/>
              </w:rPr>
              <w:t>根据前文本项目</w:t>
            </w:r>
            <w:r>
              <w:rPr>
                <w:rFonts w:hint="eastAsia"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lang w:val="en-US" w:eastAsia="zh-CN"/>
              </w:rPr>
              <w:t>利用小时数</w:t>
            </w:r>
            <w:r>
              <w:rPr>
                <w:rFonts w:hint="eastAsia" w:ascii="Times New Roman" w:hAnsi="Times New Roman" w:eastAsia="宋体" w:cs="Times New Roman"/>
                <w:color w:val="auto"/>
                <w:sz w:val="24"/>
                <w:szCs w:val="24"/>
                <w:lang w:val="en-US" w:eastAsia="zh-CN"/>
              </w:rPr>
              <w:t>为</w:t>
            </w:r>
            <w:r>
              <w:rPr>
                <w:rFonts w:hint="eastAsia" w:ascii="Times New Roman" w:hAnsi="Times New Roman" w:cs="Times New Roman"/>
                <w:color w:val="auto"/>
                <w:sz w:val="24"/>
                <w:szCs w:val="24"/>
                <w:lang w:val="en-US" w:eastAsia="zh-CN"/>
              </w:rPr>
              <w:t>3142.2h，则本项目</w:t>
            </w:r>
            <w:r>
              <w:rPr>
                <w:rFonts w:hint="default" w:ascii="Times New Roman" w:hAnsi="Times New Roman" w:eastAsia="宋体" w:cs="Times New Roman"/>
                <w:b w:val="0"/>
                <w:bCs/>
                <w:color w:val="auto"/>
                <w:highlight w:val="none"/>
              </w:rPr>
              <w:t>总烟气量为</w:t>
            </w:r>
            <w:r>
              <w:rPr>
                <w:rFonts w:hint="default" w:ascii="Times New Roman" w:hAnsi="Times New Roman" w:eastAsia="宋体" w:cs="Times New Roman"/>
                <w:b w:val="0"/>
                <w:bCs/>
                <w:color w:val="auto"/>
                <w:highlight w:val="none"/>
                <w:lang w:eastAsia="zh-CN"/>
              </w:rPr>
              <w:t>40357159.92</w:t>
            </w:r>
            <w:r>
              <w:rPr>
                <w:rFonts w:hint="default" w:ascii="Times New Roman" w:hAnsi="Times New Roman" w:eastAsia="宋体" w:cs="Times New Roman"/>
                <w:b w:val="0"/>
                <w:bCs/>
                <w:color w:val="auto"/>
                <w:highlight w:val="none"/>
              </w:rPr>
              <w:t>Nm</w:t>
            </w:r>
            <w:r>
              <w:rPr>
                <w:rFonts w:hint="default" w:ascii="Times New Roman" w:hAnsi="Times New Roman" w:eastAsia="宋体" w:cs="Times New Roman"/>
                <w:b w:val="0"/>
                <w:bCs/>
                <w:color w:val="auto"/>
                <w:highlight w:val="none"/>
                <w:vertAlign w:val="superscript"/>
              </w:rPr>
              <w:t>3</w:t>
            </w:r>
            <w:r>
              <w:rPr>
                <w:rFonts w:hint="default" w:ascii="Times New Roman" w:hAnsi="Times New Roman" w:eastAsia="宋体" w:cs="Times New Roman"/>
                <w:b w:val="0"/>
                <w:bCs/>
                <w:color w:val="auto"/>
                <w:highlight w:val="none"/>
              </w:rPr>
              <w:t>/a</w:t>
            </w:r>
            <w:r>
              <w:rPr>
                <w:rFonts w:hint="eastAsia" w:ascii="Times New Roman" w:hAnsi="Times New Roman" w:eastAsia="宋体" w:cs="Times New Roman"/>
                <w:b w:val="0"/>
                <w:bCs/>
                <w:color w:val="auto"/>
                <w:highlight w:val="none"/>
                <w:lang w:eastAsia="zh-CN"/>
              </w:rPr>
              <w:t>。</w:t>
            </w:r>
          </w:p>
          <w:p w14:paraId="3B3A45E5">
            <w:pPr>
              <w:pStyle w:val="43"/>
              <w:adjustRightInd/>
              <w:spacing w:line="360" w:lineRule="auto"/>
              <w:ind w:left="0" w:leftChars="0" w:firstLine="0" w:firstLineChars="0"/>
              <w:jc w:val="left"/>
              <w:rPr>
                <w:rFonts w:hint="default" w:ascii="Times New Roman" w:hAnsi="Times New Roman" w:eastAsia="宋体" w:cs="Times New Roman"/>
                <w:b w:val="0"/>
                <w:bCs/>
                <w:color w:val="auto"/>
                <w:highlight w:val="none"/>
                <w:lang w:eastAsia="zh-CN"/>
              </w:rPr>
            </w:pPr>
            <w:r>
              <w:rPr>
                <w:rFonts w:hint="default" w:ascii="Times New Roman" w:hAnsi="Times New Roman" w:eastAsia="宋体" w:cs="Times New Roman"/>
                <w:b w:val="0"/>
                <w:bCs/>
                <w:color w:val="auto"/>
                <w:highlight w:val="none"/>
              </w:rPr>
              <w:drawing>
                <wp:anchor distT="0" distB="0" distL="114300" distR="114300" simplePos="0" relativeHeight="251670528" behindDoc="1" locked="0" layoutInCell="1" allowOverlap="1">
                  <wp:simplePos x="0" y="0"/>
                  <wp:positionH relativeFrom="column">
                    <wp:posOffset>1617345</wp:posOffset>
                  </wp:positionH>
                  <wp:positionV relativeFrom="paragraph">
                    <wp:posOffset>219075</wp:posOffset>
                  </wp:positionV>
                  <wp:extent cx="2130425" cy="823595"/>
                  <wp:effectExtent l="0" t="0" r="3175" b="14605"/>
                  <wp:wrapNone/>
                  <wp:docPr id="1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
                          <pic:cNvPicPr>
                            <a:picLocks noChangeAspect="1"/>
                          </pic:cNvPicPr>
                        </pic:nvPicPr>
                        <pic:blipFill>
                          <a:blip r:embed="rId33"/>
                          <a:srcRect t="-6538" b="-6538"/>
                          <a:stretch>
                            <a:fillRect/>
                          </a:stretch>
                        </pic:blipFill>
                        <pic:spPr>
                          <a:xfrm>
                            <a:off x="0" y="0"/>
                            <a:ext cx="2130425" cy="823595"/>
                          </a:xfrm>
                          <a:prstGeom prst="rect">
                            <a:avLst/>
                          </a:prstGeom>
                          <a:noFill/>
                          <a:ln>
                            <a:noFill/>
                          </a:ln>
                        </pic:spPr>
                      </pic:pic>
                    </a:graphicData>
                  </a:graphic>
                </wp:anchor>
              </w:drawing>
            </w:r>
            <w:r>
              <w:rPr>
                <w:rFonts w:hint="default" w:ascii="Times New Roman" w:hAnsi="Times New Roman" w:eastAsia="宋体" w:cs="Times New Roman"/>
                <w:b w:val="0"/>
                <w:bCs/>
                <w:color w:val="auto"/>
                <w:highlight w:val="none"/>
              </w:rPr>
              <w:t>②</w:t>
            </w:r>
            <w:r>
              <w:rPr>
                <w:rFonts w:hint="default" w:ascii="Times New Roman" w:hAnsi="Times New Roman" w:eastAsia="宋体" w:cs="Times New Roman"/>
                <w:b w:val="0"/>
                <w:bCs/>
                <w:color w:val="auto"/>
                <w:highlight w:val="none"/>
                <w:lang w:eastAsia="zh-CN"/>
              </w:rPr>
              <w:t>颗粒物</w:t>
            </w:r>
          </w:p>
          <w:p w14:paraId="514B0765">
            <w:pPr>
              <w:pStyle w:val="43"/>
              <w:adjustRightInd/>
              <w:spacing w:line="360" w:lineRule="auto"/>
              <w:ind w:firstLine="480" w:firstLineChars="200"/>
              <w:rPr>
                <w:rFonts w:hint="default" w:ascii="Times New Roman" w:hAnsi="Times New Roman" w:eastAsia="宋体" w:cs="Times New Roman"/>
                <w:color w:val="auto"/>
                <w:highlight w:val="none"/>
              </w:rPr>
            </w:pPr>
          </w:p>
          <w:p w14:paraId="2BE1F90E">
            <w:pPr>
              <w:pStyle w:val="43"/>
              <w:adjustRightInd/>
              <w:spacing w:line="360" w:lineRule="auto"/>
              <w:ind w:firstLine="480" w:firstLineChars="200"/>
              <w:rPr>
                <w:rFonts w:hint="default" w:ascii="Times New Roman" w:hAnsi="Times New Roman" w:eastAsia="宋体" w:cs="Times New Roman"/>
                <w:color w:val="auto"/>
                <w:highlight w:val="none"/>
              </w:rPr>
            </w:pPr>
          </w:p>
          <w:p w14:paraId="2BBFFCAB">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p>
          <w:p w14:paraId="7D9AF9EF">
            <w:pPr>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rPr>
              <w:t>——核算时段内烟尘（颗粒物）排放量，t；</w:t>
            </w:r>
          </w:p>
          <w:p w14:paraId="0795F276">
            <w:pPr>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R——核算时段内锅炉燃料耗量，</w:t>
            </w:r>
            <w:r>
              <w:rPr>
                <w:rFonts w:hint="default" w:ascii="Times New Roman" w:hAnsi="Times New Roman" w:cs="Times New Roman"/>
                <w:color w:val="auto"/>
                <w:sz w:val="24"/>
                <w:szCs w:val="24"/>
                <w:highlight w:val="none"/>
                <w:lang w:val="en-US" w:eastAsia="zh-CN"/>
              </w:rPr>
              <w:t>2.1t/h</w:t>
            </w:r>
            <w:r>
              <w:rPr>
                <w:rFonts w:hint="default" w:ascii="Times New Roman" w:hAnsi="Times New Roman" w:eastAsia="宋体" w:cs="Times New Roman"/>
                <w:color w:val="auto"/>
                <w:sz w:val="24"/>
                <w:highlight w:val="none"/>
              </w:rPr>
              <w:t>；</w:t>
            </w:r>
          </w:p>
          <w:p w14:paraId="441296AD">
            <w:pPr>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Aar——收到基灰分的质量分数，</w:t>
            </w:r>
            <w:r>
              <w:rPr>
                <w:rFonts w:hint="default" w:ascii="Times New Roman" w:hAnsi="Times New Roman" w:eastAsia="宋体" w:cs="Times New Roman"/>
                <w:b w:val="0"/>
                <w:bCs/>
                <w:color w:val="auto"/>
                <w:highlight w:val="none"/>
                <w:lang w:eastAsia="zh-CN"/>
              </w:rPr>
              <w:t>根据生物质燃料检测报告</w:t>
            </w:r>
            <w:r>
              <w:rPr>
                <w:rFonts w:hint="default" w:ascii="Times New Roman" w:hAnsi="Times New Roman" w:cs="Times New Roman"/>
                <w:b w:val="0"/>
                <w:bCs/>
                <w:color w:val="auto"/>
                <w:highlight w:val="none"/>
                <w:lang w:val="en-US" w:eastAsia="zh-CN"/>
              </w:rPr>
              <w:t>15.75%</w:t>
            </w:r>
            <w:r>
              <w:rPr>
                <w:rFonts w:hint="default" w:ascii="Times New Roman" w:hAnsi="Times New Roman" w:eastAsia="宋体" w:cs="Times New Roman"/>
                <w:color w:val="auto"/>
                <w:sz w:val="24"/>
                <w:highlight w:val="none"/>
              </w:rPr>
              <w:t>；</w:t>
            </w:r>
          </w:p>
          <w:p w14:paraId="08F7FF31">
            <w:pPr>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dfh——锅炉烟气带出的飞灰份额，</w:t>
            </w:r>
            <w:r>
              <w:rPr>
                <w:rFonts w:hint="default" w:ascii="Times New Roman" w:hAnsi="Times New Roman" w:eastAsia="宋体" w:cs="Times New Roman"/>
                <w:b w:val="0"/>
                <w:bCs/>
                <w:color w:val="auto"/>
                <w:highlight w:val="none"/>
              </w:rPr>
              <w:t>本项目炉型为</w:t>
            </w:r>
            <w:r>
              <w:rPr>
                <w:rFonts w:hint="default" w:ascii="Times New Roman" w:hAnsi="Times New Roman" w:eastAsia="宋体" w:cs="Times New Roman"/>
                <w:b w:val="0"/>
                <w:bCs/>
                <w:color w:val="auto"/>
                <w:highlight w:val="none"/>
                <w:lang w:eastAsia="zh-CN"/>
              </w:rPr>
              <w:t>链条</w:t>
            </w:r>
            <w:r>
              <w:rPr>
                <w:rFonts w:hint="default" w:ascii="Times New Roman" w:hAnsi="Times New Roman" w:eastAsia="宋体" w:cs="Times New Roman"/>
                <w:b w:val="0"/>
                <w:bCs/>
                <w:color w:val="auto"/>
                <w:highlight w:val="none"/>
              </w:rPr>
              <w:t>炉排炉，锅炉烟气带出的飞灰份额（dfh）取值范围为</w:t>
            </w:r>
            <w:r>
              <w:rPr>
                <w:rFonts w:hint="default" w:ascii="Times New Roman" w:hAnsi="Times New Roman" w:eastAsia="宋体" w:cs="Times New Roman"/>
                <w:b w:val="0"/>
                <w:bCs/>
                <w:color w:val="auto"/>
                <w:highlight w:val="none"/>
                <w:lang w:val="en-US" w:eastAsia="zh-CN"/>
              </w:rPr>
              <w:t>10</w:t>
            </w:r>
            <w:r>
              <w:rPr>
                <w:rFonts w:hint="default" w:ascii="Times New Roman" w:hAnsi="Times New Roman" w:eastAsia="宋体" w:cs="Times New Roman"/>
                <w:b w:val="0"/>
                <w:bCs/>
                <w:color w:val="auto"/>
                <w:highlight w:val="none"/>
              </w:rPr>
              <w:t>%～</w:t>
            </w:r>
            <w:r>
              <w:rPr>
                <w:rFonts w:hint="default" w:ascii="Times New Roman" w:hAnsi="Times New Roman" w:eastAsia="宋体" w:cs="Times New Roman"/>
                <w:b w:val="0"/>
                <w:bCs/>
                <w:color w:val="auto"/>
                <w:highlight w:val="none"/>
                <w:lang w:val="en-US" w:eastAsia="zh-CN"/>
              </w:rPr>
              <w:t>20</w:t>
            </w:r>
            <w:r>
              <w:rPr>
                <w:rFonts w:hint="default" w:ascii="Times New Roman" w:hAnsi="Times New Roman" w:eastAsia="宋体" w:cs="Times New Roman"/>
                <w:b w:val="0"/>
                <w:bCs/>
                <w:color w:val="auto"/>
                <w:highlight w:val="none"/>
              </w:rPr>
              <w:t>%</w:t>
            </w:r>
            <w:r>
              <w:rPr>
                <w:rFonts w:hint="default" w:ascii="Times New Roman" w:hAnsi="Times New Roman" w:eastAsia="宋体" w:cs="Times New Roman"/>
                <w:b w:val="0"/>
                <w:bCs/>
                <w:color w:val="auto"/>
                <w:highlight w:val="none"/>
                <w:lang w:eastAsia="zh-CN"/>
              </w:rPr>
              <w:t>，燃用生物质时，飞灰份额加30%，</w:t>
            </w:r>
            <w:r>
              <w:rPr>
                <w:rFonts w:hint="default" w:ascii="Times New Roman" w:hAnsi="Times New Roman" w:eastAsia="宋体" w:cs="Times New Roman"/>
                <w:b w:val="0"/>
                <w:bCs/>
                <w:color w:val="auto"/>
                <w:highlight w:val="none"/>
                <w:lang w:val="en-US" w:eastAsia="zh-CN"/>
              </w:rPr>
              <w:t>本项目</w:t>
            </w:r>
            <w:r>
              <w:rPr>
                <w:rFonts w:hint="default" w:ascii="Times New Roman" w:hAnsi="Times New Roman" w:eastAsia="宋体" w:cs="Times New Roman"/>
                <w:b w:val="0"/>
                <w:bCs/>
                <w:color w:val="auto"/>
                <w:highlight w:val="none"/>
              </w:rPr>
              <w:t>飞灰份额（dfh）取</w:t>
            </w:r>
            <w:r>
              <w:rPr>
                <w:rFonts w:hint="default" w:ascii="Times New Roman" w:hAnsi="Times New Roman" w:eastAsia="宋体" w:cs="Times New Roman"/>
                <w:b w:val="0"/>
                <w:bCs/>
                <w:color w:val="auto"/>
                <w:highlight w:val="none"/>
                <w:lang w:val="en-US" w:eastAsia="zh-CN"/>
              </w:rPr>
              <w:t>4</w:t>
            </w:r>
            <w:r>
              <w:rPr>
                <w:rFonts w:hint="default" w:ascii="Times New Roman" w:hAnsi="Times New Roman" w:cs="Times New Roman"/>
                <w:b w:val="0"/>
                <w:bCs/>
                <w:color w:val="auto"/>
                <w:highlight w:val="none"/>
                <w:lang w:val="en-US" w:eastAsia="zh-CN"/>
              </w:rPr>
              <w:t>0</w:t>
            </w:r>
            <w:r>
              <w:rPr>
                <w:rFonts w:hint="default" w:ascii="Times New Roman" w:hAnsi="Times New Roman" w:eastAsia="宋体" w:cs="Times New Roman"/>
                <w:b w:val="0"/>
                <w:bCs/>
                <w:color w:val="auto"/>
                <w:highlight w:val="none"/>
                <w:lang w:val="en-US" w:eastAsia="zh-CN"/>
              </w:rPr>
              <w:t>%</w:t>
            </w:r>
            <w:r>
              <w:rPr>
                <w:rFonts w:hint="default" w:ascii="Times New Roman" w:hAnsi="Times New Roman" w:eastAsia="宋体" w:cs="Times New Roman"/>
                <w:color w:val="auto"/>
                <w:sz w:val="24"/>
                <w:highlight w:val="none"/>
              </w:rPr>
              <w:t>；</w:t>
            </w:r>
          </w:p>
          <w:p w14:paraId="51965BA4">
            <w:pPr>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ηc——综合除尘效率，</w:t>
            </w:r>
            <w:r>
              <w:rPr>
                <w:rFonts w:hint="default" w:ascii="Times New Roman" w:hAnsi="Times New Roman" w:cs="Times New Roman"/>
                <w:color w:val="auto"/>
                <w:sz w:val="24"/>
                <w:highlight w:val="none"/>
                <w:lang w:val="en-US" w:eastAsia="zh-CN"/>
              </w:rPr>
              <w:t>99.9</w:t>
            </w:r>
            <w:r>
              <w:rPr>
                <w:rFonts w:hint="default" w:ascii="Times New Roman" w:hAnsi="Times New Roman" w:eastAsia="宋体" w:cs="Times New Roman"/>
                <w:color w:val="auto"/>
                <w:sz w:val="24"/>
                <w:highlight w:val="none"/>
              </w:rPr>
              <w:t>%；</w:t>
            </w:r>
          </w:p>
          <w:p w14:paraId="5077388C">
            <w:pPr>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Cfh——飞灰中的可燃物含量，</w:t>
            </w:r>
            <w:r>
              <w:rPr>
                <w:rFonts w:hint="default" w:ascii="Times New Roman" w:hAnsi="Times New Roman" w:eastAsia="宋体" w:cs="Times New Roman"/>
                <w:b w:val="0"/>
                <w:bCs/>
                <w:color w:val="auto"/>
                <w:highlight w:val="none"/>
              </w:rPr>
              <w:t>飞灰、炉渣中可燃物含量（含碳量）可在《工业锅炉经济运行》（GB/T 17954-2007）表4内选取1</w:t>
            </w:r>
            <w:r>
              <w:rPr>
                <w:rFonts w:hint="default" w:ascii="Times New Roman" w:hAnsi="Times New Roman" w:cs="Times New Roman"/>
                <w:b w:val="0"/>
                <w:bCs/>
                <w:color w:val="auto"/>
                <w:highlight w:val="none"/>
                <w:lang w:val="en-US" w:eastAsia="zh-CN"/>
              </w:rPr>
              <w:t>5</w:t>
            </w:r>
            <w:r>
              <w:rPr>
                <w:rFonts w:hint="default" w:ascii="Times New Roman" w:hAnsi="Times New Roman" w:eastAsia="宋体" w:cs="Times New Roman"/>
                <w:b w:val="0"/>
                <w:bCs/>
                <w:color w:val="auto"/>
                <w:highlight w:val="none"/>
              </w:rPr>
              <w:t>%</w:t>
            </w:r>
            <w:r>
              <w:rPr>
                <w:rFonts w:hint="default" w:ascii="Times New Roman" w:hAnsi="Times New Roman" w:eastAsia="宋体" w:cs="Times New Roman"/>
                <w:color w:val="auto"/>
                <w:sz w:val="24"/>
                <w:highlight w:val="none"/>
              </w:rPr>
              <w:t>；</w:t>
            </w:r>
          </w:p>
          <w:p w14:paraId="113BD1E8">
            <w:pPr>
              <w:pStyle w:val="4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firstLine="480" w:firstLineChars="200"/>
              <w:jc w:val="both"/>
              <w:textAlignment w:val="auto"/>
              <w:rPr>
                <w:rFonts w:hint="default" w:ascii="Times New Roman" w:hAnsi="Times New Roman" w:eastAsia="宋体" w:cs="Times New Roman"/>
                <w:b w:val="0"/>
                <w:bCs/>
                <w:color w:val="auto"/>
                <w:highlight w:val="none"/>
                <w:lang w:val="en-US" w:eastAsia="zh-CN"/>
              </w:rPr>
            </w:pPr>
            <w:r>
              <w:rPr>
                <w:rFonts w:hint="default" w:ascii="Times New Roman" w:hAnsi="Times New Roman" w:eastAsia="宋体" w:cs="Times New Roman"/>
                <w:b w:val="0"/>
                <w:bCs/>
                <w:color w:val="auto"/>
                <w:highlight w:val="none"/>
              </w:rPr>
              <w:t>本项目核算时段内颗粒物产生量</w:t>
            </w:r>
            <w:r>
              <w:rPr>
                <w:rFonts w:hint="default" w:ascii="Times New Roman" w:hAnsi="Times New Roman" w:cs="Times New Roman"/>
                <w:b w:val="0"/>
                <w:bCs/>
                <w:color w:val="auto"/>
                <w:highlight w:val="none"/>
                <w:lang w:val="en-US" w:eastAsia="zh-CN"/>
              </w:rPr>
              <w:t>为</w:t>
            </w:r>
            <w:r>
              <w:rPr>
                <w:rFonts w:hint="eastAsia" w:ascii="Times New Roman" w:hAnsi="Times New Roman" w:cs="Times New Roman"/>
                <w:b w:val="0"/>
                <w:bCs/>
                <w:color w:val="auto"/>
                <w:highlight w:val="none"/>
                <w:lang w:val="en-US" w:eastAsia="zh-CN"/>
              </w:rPr>
              <w:t>155.647</w:t>
            </w:r>
            <w:r>
              <w:rPr>
                <w:rFonts w:hint="default" w:ascii="Times New Roman" w:hAnsi="Times New Roman" w:cs="Times New Roman"/>
                <w:b w:val="0"/>
                <w:bCs/>
                <w:color w:val="auto"/>
                <w:highlight w:val="none"/>
                <w:lang w:val="en-US" w:eastAsia="zh-CN"/>
              </w:rPr>
              <w:t>kg</w:t>
            </w:r>
            <w:r>
              <w:rPr>
                <w:rFonts w:hint="default" w:ascii="Times New Roman" w:hAnsi="Times New Roman" w:eastAsia="宋体" w:cs="Times New Roman"/>
                <w:b w:val="0"/>
                <w:bCs/>
                <w:color w:val="auto"/>
                <w:highlight w:val="none"/>
                <w:lang w:eastAsia="zh-CN"/>
              </w:rPr>
              <w:t>/h，</w:t>
            </w:r>
            <w:r>
              <w:rPr>
                <w:rFonts w:hint="default" w:ascii="Times New Roman" w:hAnsi="Times New Roman" w:cs="Times New Roman"/>
                <w:b w:val="0"/>
                <w:bCs/>
                <w:color w:val="auto"/>
                <w:highlight w:val="none"/>
                <w:lang w:val="en-US" w:eastAsia="zh-CN"/>
              </w:rPr>
              <w:t>489.074</w:t>
            </w:r>
            <w:r>
              <w:rPr>
                <w:rFonts w:hint="default" w:ascii="Times New Roman" w:hAnsi="Times New Roman" w:eastAsia="宋体" w:cs="Times New Roman"/>
                <w:b w:val="0"/>
                <w:bCs/>
                <w:color w:val="auto"/>
                <w:highlight w:val="none"/>
                <w:lang w:val="en-US" w:eastAsia="zh-CN"/>
              </w:rPr>
              <w:t>t/a</w:t>
            </w:r>
            <w:r>
              <w:rPr>
                <w:rFonts w:hint="default" w:ascii="Times New Roman" w:hAnsi="Times New Roman" w:cs="Times New Roman"/>
                <w:b w:val="0"/>
                <w:bCs/>
                <w:color w:val="auto"/>
                <w:highlight w:val="none"/>
                <w:lang w:val="en-US" w:eastAsia="zh-CN"/>
              </w:rPr>
              <w:t>。</w:t>
            </w:r>
          </w:p>
          <w:p w14:paraId="04D96AA4">
            <w:pPr>
              <w:pStyle w:val="4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firstLine="480" w:firstLineChars="200"/>
              <w:jc w:val="left"/>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本项目核算时段内颗粒物产生浓度=</w:t>
            </w:r>
            <w:r>
              <w:rPr>
                <w:rFonts w:hint="default" w:ascii="Times New Roman" w:hAnsi="Times New Roman" w:cs="Times New Roman"/>
                <w:b w:val="0"/>
                <w:bCs/>
                <w:color w:val="auto"/>
                <w:highlight w:val="none"/>
                <w:lang w:val="en-US" w:eastAsia="zh-CN"/>
              </w:rPr>
              <w:t>0.</w:t>
            </w:r>
            <w:r>
              <w:rPr>
                <w:rFonts w:hint="eastAsia" w:ascii="Times New Roman" w:hAnsi="Times New Roman" w:cs="Times New Roman"/>
                <w:b w:val="0"/>
                <w:bCs/>
                <w:color w:val="auto"/>
                <w:highlight w:val="none"/>
                <w:lang w:val="en-US" w:eastAsia="zh-CN"/>
              </w:rPr>
              <w:t>155647</w:t>
            </w:r>
            <w:r>
              <w:rPr>
                <w:rFonts w:hint="default" w:ascii="Times New Roman" w:hAnsi="Times New Roman" w:eastAsia="宋体" w:cs="Times New Roman"/>
                <w:b w:val="0"/>
                <w:bCs/>
                <w:color w:val="auto"/>
                <w:highlight w:val="none"/>
              </w:rPr>
              <w:t>÷</w:t>
            </w:r>
            <w:r>
              <w:rPr>
                <w:rFonts w:hint="eastAsia" w:ascii="Times New Roman" w:hAnsi="Times New Roman" w:cs="Times New Roman"/>
                <w:color w:val="auto"/>
                <w:sz w:val="24"/>
                <w:szCs w:val="24"/>
                <w:highlight w:val="none"/>
                <w:lang w:val="en-US" w:eastAsia="zh-CN"/>
              </w:rPr>
              <w:t>12843.6</w:t>
            </w:r>
            <w:r>
              <w:rPr>
                <w:rFonts w:hint="default" w:ascii="Times New Roman" w:hAnsi="Times New Roman" w:eastAsia="宋体" w:cs="Times New Roman"/>
                <w:b w:val="0"/>
                <w:bCs/>
                <w:color w:val="auto"/>
                <w:highlight w:val="none"/>
              </w:rPr>
              <w:t>×10</w:t>
            </w:r>
            <w:r>
              <w:rPr>
                <w:rFonts w:hint="default" w:ascii="Times New Roman" w:hAnsi="Times New Roman" w:eastAsia="宋体" w:cs="Times New Roman"/>
                <w:b w:val="0"/>
                <w:bCs/>
                <w:color w:val="auto"/>
                <w:highlight w:val="none"/>
                <w:vertAlign w:val="superscript"/>
              </w:rPr>
              <w:t>9</w:t>
            </w:r>
            <w:r>
              <w:rPr>
                <w:rFonts w:hint="default" w:ascii="Times New Roman" w:hAnsi="Times New Roman" w:eastAsia="宋体" w:cs="Times New Roman"/>
                <w:b w:val="0"/>
                <w:bCs/>
                <w:color w:val="auto"/>
                <w:highlight w:val="none"/>
              </w:rPr>
              <w:t>=</w:t>
            </w:r>
            <w:r>
              <w:rPr>
                <w:rFonts w:hint="eastAsia" w:ascii="Times New Roman" w:hAnsi="Times New Roman" w:cs="Times New Roman"/>
                <w:b w:val="0"/>
                <w:bCs/>
                <w:color w:val="auto"/>
                <w:highlight w:val="none"/>
                <w:lang w:val="en-US" w:eastAsia="zh-CN"/>
              </w:rPr>
              <w:t>12118.643</w:t>
            </w:r>
            <w:r>
              <w:rPr>
                <w:rFonts w:hint="default" w:ascii="Times New Roman" w:hAnsi="Times New Roman" w:eastAsia="宋体" w:cs="Times New Roman"/>
                <w:b w:val="0"/>
                <w:bCs/>
                <w:color w:val="auto"/>
                <w:highlight w:val="none"/>
              </w:rPr>
              <w:t>mg/m</w:t>
            </w:r>
            <w:r>
              <w:rPr>
                <w:rFonts w:hint="default" w:ascii="Times New Roman" w:hAnsi="Times New Roman" w:eastAsia="宋体" w:cs="Times New Roman"/>
                <w:b w:val="0"/>
                <w:bCs/>
                <w:color w:val="auto"/>
                <w:highlight w:val="none"/>
                <w:vertAlign w:val="superscript"/>
              </w:rPr>
              <w:t>3</w:t>
            </w:r>
          </w:p>
          <w:p w14:paraId="0786B456">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本项目锅炉烟尘经处理效率为99</w:t>
            </w:r>
            <w:r>
              <w:rPr>
                <w:rFonts w:hint="default" w:ascii="Times New Roman" w:hAnsi="Times New Roman"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%的布袋除尘器处理后，颗粒</w:t>
            </w:r>
            <w:r>
              <w:rPr>
                <w:rFonts w:hint="default" w:ascii="Times New Roman" w:hAnsi="Times New Roman" w:cs="Times New Roman"/>
                <w:color w:val="auto"/>
                <w:sz w:val="24"/>
                <w:szCs w:val="24"/>
                <w:highlight w:val="none"/>
                <w:lang w:val="en-US" w:eastAsia="zh-CN"/>
              </w:rPr>
              <w:t>物</w:t>
            </w:r>
            <w:r>
              <w:rPr>
                <w:rFonts w:hint="default" w:ascii="Times New Roman" w:hAnsi="Times New Roman" w:eastAsia="宋体" w:cs="Times New Roman"/>
                <w:color w:val="auto"/>
                <w:sz w:val="24"/>
                <w:szCs w:val="24"/>
                <w:highlight w:val="none"/>
                <w:lang w:val="en-US" w:eastAsia="zh-CN"/>
              </w:rPr>
              <w:t>排放量为</w:t>
            </w:r>
            <w:r>
              <w:rPr>
                <w:rFonts w:hint="eastAsia" w:ascii="Times New Roman" w:hAnsi="Times New Roman" w:cs="Times New Roman"/>
                <w:color w:val="auto"/>
                <w:sz w:val="24"/>
                <w:szCs w:val="24"/>
                <w:highlight w:val="none"/>
                <w:lang w:val="en-US" w:eastAsia="zh-CN"/>
              </w:rPr>
              <w:t>0.156</w:t>
            </w:r>
            <w:r>
              <w:rPr>
                <w:rFonts w:hint="default" w:ascii="Times New Roman" w:hAnsi="Times New Roman"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cs="Times New Roman"/>
                <w:color w:val="auto"/>
                <w:sz w:val="24"/>
                <w:szCs w:val="24"/>
                <w:highlight w:val="none"/>
                <w:lang w:val="en-US" w:eastAsia="zh-CN"/>
              </w:rPr>
              <w:t>0.489</w:t>
            </w:r>
            <w:r>
              <w:rPr>
                <w:rFonts w:hint="default" w:ascii="Times New Roman" w:hAnsi="Times New Roman" w:eastAsia="宋体" w:cs="Times New Roman"/>
                <w:color w:val="auto"/>
                <w:sz w:val="24"/>
                <w:szCs w:val="24"/>
                <w:highlight w:val="none"/>
                <w:lang w:val="en-US" w:eastAsia="zh-CN"/>
              </w:rPr>
              <w:t>t/a，排放浓度为</w:t>
            </w:r>
            <w:r>
              <w:rPr>
                <w:rFonts w:hint="default" w:ascii="Times New Roman" w:hAnsi="Times New Roman" w:cs="Times New Roman"/>
                <w:color w:val="auto"/>
                <w:sz w:val="24"/>
                <w:szCs w:val="24"/>
                <w:highlight w:val="none"/>
                <w:lang w:val="en-US" w:eastAsia="zh-CN"/>
              </w:rPr>
              <w:t>12.119</w:t>
            </w:r>
            <w:r>
              <w:rPr>
                <w:rFonts w:hint="default" w:ascii="Times New Roman" w:hAnsi="Times New Roman" w:eastAsia="宋体" w:cs="Times New Roman"/>
                <w:color w:val="auto"/>
                <w:sz w:val="24"/>
                <w:szCs w:val="24"/>
                <w:highlight w:val="none"/>
                <w:lang w:val="en-US" w:eastAsia="zh-CN"/>
              </w:rPr>
              <w:t>mg/m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p>
          <w:p w14:paraId="525F3683">
            <w:pPr>
              <w:pStyle w:val="43"/>
              <w:adjustRightInd/>
              <w:spacing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 xml:space="preserve">    锅炉烟气带出飞灰份额的一般取值</w:t>
            </w:r>
          </w:p>
          <w:tbl>
            <w:tblPr>
              <w:tblStyle w:val="3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1688"/>
              <w:gridCol w:w="1528"/>
              <w:gridCol w:w="1528"/>
              <w:gridCol w:w="1532"/>
            </w:tblGrid>
            <w:tr w14:paraId="77A92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3" w:hRule="atLeast"/>
              </w:trPr>
              <w:tc>
                <w:tcPr>
                  <w:tcW w:w="2000" w:type="pct"/>
                  <w:gridSpan w:val="2"/>
                  <w:noWrap w:val="0"/>
                  <w:vAlign w:val="center"/>
                </w:tcPr>
                <w:p w14:paraId="1DA97A75">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炉型</w:t>
                  </w:r>
                </w:p>
              </w:tc>
              <w:tc>
                <w:tcPr>
                  <w:tcW w:w="999" w:type="pct"/>
                  <w:noWrap w:val="0"/>
                  <w:vAlign w:val="center"/>
                </w:tcPr>
                <w:p w14:paraId="6F499996">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Dfh/%</w:t>
                  </w:r>
                </w:p>
              </w:tc>
              <w:tc>
                <w:tcPr>
                  <w:tcW w:w="999" w:type="pct"/>
                  <w:noWrap w:val="0"/>
                  <w:vAlign w:val="center"/>
                </w:tcPr>
                <w:p w14:paraId="0D24A359">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炉型</w:t>
                  </w:r>
                </w:p>
              </w:tc>
              <w:tc>
                <w:tcPr>
                  <w:tcW w:w="999" w:type="pct"/>
                  <w:noWrap w:val="0"/>
                  <w:vAlign w:val="center"/>
                </w:tcPr>
                <w:p w14:paraId="694A8CFA">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Dfh/%</w:t>
                  </w:r>
                </w:p>
              </w:tc>
            </w:tr>
            <w:tr w14:paraId="3209F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896" w:type="pct"/>
                  <w:vMerge w:val="restart"/>
                  <w:noWrap w:val="0"/>
                  <w:vAlign w:val="center"/>
                </w:tcPr>
                <w:p w14:paraId="18FEAD53">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层燃炉</w:t>
                  </w:r>
                </w:p>
              </w:tc>
              <w:tc>
                <w:tcPr>
                  <w:tcW w:w="1103" w:type="pct"/>
                  <w:noWrap w:val="0"/>
                  <w:vAlign w:val="center"/>
                </w:tcPr>
                <w:p w14:paraId="7E5594ED">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链条炉排炉</w:t>
                  </w:r>
                </w:p>
              </w:tc>
              <w:tc>
                <w:tcPr>
                  <w:tcW w:w="999" w:type="pct"/>
                  <w:noWrap w:val="0"/>
                  <w:vAlign w:val="center"/>
                </w:tcPr>
                <w:p w14:paraId="5791A881">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10~20</w:t>
                  </w:r>
                </w:p>
              </w:tc>
              <w:tc>
                <w:tcPr>
                  <w:tcW w:w="999" w:type="pct"/>
                  <w:noWrap w:val="0"/>
                  <w:vAlign w:val="center"/>
                </w:tcPr>
                <w:p w14:paraId="7D7373FE">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循环流化床炉</w:t>
                  </w:r>
                </w:p>
              </w:tc>
              <w:tc>
                <w:tcPr>
                  <w:tcW w:w="999" w:type="pct"/>
                  <w:noWrap w:val="0"/>
                  <w:vAlign w:val="center"/>
                </w:tcPr>
                <w:p w14:paraId="7B635620">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40~60</w:t>
                  </w:r>
                </w:p>
              </w:tc>
            </w:tr>
            <w:tr w14:paraId="778DB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896" w:type="pct"/>
                  <w:vMerge w:val="continue"/>
                  <w:noWrap w:val="0"/>
                  <w:vAlign w:val="center"/>
                </w:tcPr>
                <w:p w14:paraId="1805CDB9">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rPr>
                  </w:pPr>
                </w:p>
              </w:tc>
              <w:tc>
                <w:tcPr>
                  <w:tcW w:w="1103" w:type="pct"/>
                  <w:noWrap w:val="0"/>
                  <w:vAlign w:val="center"/>
                </w:tcPr>
                <w:p w14:paraId="327B4568">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往复炉排炉</w:t>
                  </w:r>
                </w:p>
              </w:tc>
              <w:tc>
                <w:tcPr>
                  <w:tcW w:w="999" w:type="pct"/>
                  <w:noWrap w:val="0"/>
                  <w:vAlign w:val="center"/>
                </w:tcPr>
                <w:p w14:paraId="25FA42CF">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15~20</w:t>
                  </w:r>
                </w:p>
              </w:tc>
              <w:tc>
                <w:tcPr>
                  <w:tcW w:w="999" w:type="pct"/>
                  <w:noWrap w:val="0"/>
                  <w:vAlign w:val="center"/>
                </w:tcPr>
                <w:p w14:paraId="01ADE439">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煤粉炉</w:t>
                  </w:r>
                </w:p>
              </w:tc>
              <w:tc>
                <w:tcPr>
                  <w:tcW w:w="999" w:type="pct"/>
                  <w:noWrap w:val="0"/>
                  <w:vAlign w:val="center"/>
                </w:tcPr>
                <w:p w14:paraId="59823665">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85~95</w:t>
                  </w:r>
                </w:p>
              </w:tc>
            </w:tr>
            <w:tr w14:paraId="10811D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5000" w:type="pct"/>
                  <w:gridSpan w:val="5"/>
                  <w:noWrap w:val="0"/>
                  <w:vAlign w:val="center"/>
                </w:tcPr>
                <w:p w14:paraId="36BAE47F">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注 1：燃料挥发分高、灰分低可取高值，一般的取值大小排序为煤矸石＜无烟煤、贫煤、烟煤＜褐煤。注 2：燃用生物质时，飞灰份额加 30%。</w:t>
                  </w:r>
                  <w:r>
                    <w:rPr>
                      <w:rFonts w:hint="default" w:ascii="Times New Roman" w:hAnsi="Times New Roman" w:eastAsia="宋体" w:cs="Times New Roman"/>
                      <w:b w:val="0"/>
                      <w:bCs/>
                      <w:color w:val="auto"/>
                      <w:sz w:val="21"/>
                      <w:szCs w:val="21"/>
                      <w:highlight w:val="none"/>
                      <w:lang w:val="en-US" w:eastAsia="zh-CN"/>
                    </w:rPr>
                    <w:t>本项目锅炉炉型为链条炉。</w:t>
                  </w:r>
                </w:p>
              </w:tc>
            </w:tr>
          </w:tbl>
          <w:p w14:paraId="361556A5">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③二氧化硫排放量</w:t>
            </w:r>
          </w:p>
          <w:p w14:paraId="2F815EF1">
            <w:pPr>
              <w:adjustRightInd w:val="0"/>
              <w:snapToGrid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9" o:spt="75" type="#_x0000_t75" style="height:33.3pt;width:204.2pt;" o:ole="t" filled="f" o:preferrelative="t" stroked="f" coordsize="21600,21600">
                  <v:path/>
                  <v:fill on="f" focussize="0,0"/>
                  <v:stroke on="f" joinstyle="miter"/>
                  <v:imagedata r:id="rId35" o:title=""/>
                  <o:lock v:ext="edit" aspectratio="t"/>
                  <w10:wrap type="none"/>
                  <w10:anchorlock/>
                </v:shape>
                <o:OLEObject Type="Embed" ProgID="Equation.3" ShapeID="_x0000_i1029" DrawAspect="Content" ObjectID="_1468075729" r:id="rId34">
                  <o:LockedField>false</o:LockedField>
                </o:OLEObject>
              </w:object>
            </w:r>
          </w:p>
          <w:p w14:paraId="5FD3554F">
            <w:pPr>
              <w:pStyle w:val="32"/>
              <w:spacing w:after="0"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式中：E</w:t>
            </w:r>
            <w:r>
              <w:rPr>
                <w:rFonts w:hint="default" w:ascii="Times New Roman" w:hAnsi="Times New Roman" w:eastAsia="宋体" w:cs="Times New Roman"/>
                <w:color w:val="auto"/>
                <w:sz w:val="24"/>
                <w:szCs w:val="24"/>
                <w:highlight w:val="none"/>
                <w:vertAlign w:val="subscript"/>
              </w:rPr>
              <w:t>SO2</w:t>
            </w:r>
            <w:r>
              <w:rPr>
                <w:rFonts w:hint="default" w:ascii="Times New Roman" w:hAnsi="Times New Roman" w:eastAsia="宋体" w:cs="Times New Roman"/>
                <w:color w:val="auto"/>
                <w:sz w:val="24"/>
                <w:szCs w:val="24"/>
                <w:highlight w:val="none"/>
              </w:rPr>
              <w:t>----核算时段内二氧化硫排放量，t；</w:t>
            </w:r>
          </w:p>
          <w:p w14:paraId="68ED427B">
            <w:pPr>
              <w:pStyle w:val="32"/>
              <w:spacing w:after="0"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R----核算时段内锅炉燃料耗量，</w:t>
            </w:r>
            <w:r>
              <w:rPr>
                <w:rFonts w:hint="eastAsia" w:ascii="Times New Roman" w:hAnsi="Times New Roman" w:cs="Times New Roman"/>
                <w:color w:val="auto"/>
                <w:sz w:val="24"/>
                <w:szCs w:val="24"/>
                <w:highlight w:val="none"/>
                <w:lang w:val="en-US" w:eastAsia="zh-CN"/>
              </w:rPr>
              <w:t>2.1t/h</w:t>
            </w:r>
            <w:r>
              <w:rPr>
                <w:rFonts w:hint="default" w:ascii="Times New Roman" w:hAnsi="Times New Roman" w:eastAsia="宋体" w:cs="Times New Roman"/>
                <w:color w:val="auto"/>
                <w:sz w:val="24"/>
                <w:szCs w:val="24"/>
                <w:highlight w:val="none"/>
              </w:rPr>
              <w:t>；</w:t>
            </w:r>
          </w:p>
          <w:p w14:paraId="327DA4F4">
            <w:pPr>
              <w:pStyle w:val="32"/>
              <w:spacing w:after="0"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S</w:t>
            </w:r>
            <w:r>
              <w:rPr>
                <w:rFonts w:hint="default" w:ascii="Times New Roman" w:hAnsi="Times New Roman" w:eastAsia="宋体" w:cs="Times New Roman"/>
                <w:color w:val="auto"/>
                <w:sz w:val="24"/>
                <w:szCs w:val="24"/>
                <w:highlight w:val="none"/>
                <w:vertAlign w:val="subscript"/>
              </w:rPr>
              <w:t>ar</w:t>
            </w:r>
            <w:r>
              <w:rPr>
                <w:rFonts w:hint="default" w:ascii="Times New Roman" w:hAnsi="Times New Roman" w:eastAsia="宋体" w:cs="Times New Roman"/>
                <w:color w:val="auto"/>
                <w:sz w:val="24"/>
                <w:szCs w:val="24"/>
                <w:highlight w:val="none"/>
              </w:rPr>
              <w:t>----收到基硫的质量分数，根据生物质成分分析报告取</w:t>
            </w:r>
            <w:r>
              <w:rPr>
                <w:rFonts w:hint="default" w:ascii="Times New Roman" w:hAnsi="Times New Roman" w:cs="Times New Roman"/>
                <w:color w:val="auto"/>
                <w:sz w:val="24"/>
                <w:szCs w:val="24"/>
                <w:highlight w:val="none"/>
                <w:lang w:val="en-US" w:eastAsia="zh-CN"/>
              </w:rPr>
              <w:t>0.07</w:t>
            </w:r>
            <w:r>
              <w:rPr>
                <w:rFonts w:hint="default" w:ascii="Times New Roman" w:hAnsi="Times New Roman" w:eastAsia="宋体" w:cs="Times New Roman"/>
                <w:color w:val="auto"/>
                <w:sz w:val="24"/>
                <w:szCs w:val="24"/>
                <w:highlight w:val="none"/>
              </w:rPr>
              <w:t>%；</w:t>
            </w:r>
          </w:p>
          <w:p w14:paraId="2B2DAC4A">
            <w:pPr>
              <w:pStyle w:val="32"/>
              <w:spacing w:after="0"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4</w:t>
            </w:r>
            <w:r>
              <w:rPr>
                <w:rFonts w:hint="default" w:ascii="Times New Roman" w:hAnsi="Times New Roman" w:eastAsia="宋体" w:cs="Times New Roman"/>
                <w:color w:val="auto"/>
                <w:sz w:val="24"/>
                <w:szCs w:val="24"/>
                <w:highlight w:val="none"/>
              </w:rPr>
              <w:t>----锅炉机械不完全燃烧热损失，%；取</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%，（链条炉排炉不完全燃烧热损失5%-15%）；</w:t>
            </w:r>
          </w:p>
          <w:p w14:paraId="3A6FCCFF">
            <w:pPr>
              <w:pStyle w:val="32"/>
              <w:spacing w:after="0"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ƞ</w:t>
            </w:r>
            <w:r>
              <w:rPr>
                <w:rFonts w:hint="default" w:ascii="Times New Roman" w:hAnsi="Times New Roman" w:eastAsia="宋体" w:cs="Times New Roman"/>
                <w:color w:val="auto"/>
                <w:sz w:val="24"/>
                <w:szCs w:val="24"/>
                <w:highlight w:val="none"/>
                <w:vertAlign w:val="subscript"/>
              </w:rPr>
              <w:t>s</w:t>
            </w:r>
            <w:r>
              <w:rPr>
                <w:rFonts w:hint="default" w:ascii="Times New Roman" w:hAnsi="Times New Roman" w:eastAsia="宋体" w:cs="Times New Roman"/>
                <w:color w:val="auto"/>
                <w:sz w:val="24"/>
                <w:szCs w:val="24"/>
                <w:highlight w:val="none"/>
              </w:rPr>
              <w:t>----脱硫效率，%，取值0；</w:t>
            </w:r>
          </w:p>
          <w:p w14:paraId="2474AA54">
            <w:pPr>
              <w:pStyle w:val="32"/>
              <w:spacing w:after="0"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K----燃料中的硫燃烧后氧化成二氧化硫的份额，量纲一的量。取0.</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0。</w:t>
            </w:r>
          </w:p>
          <w:p w14:paraId="0C5A526D">
            <w:pPr>
              <w:widowControl/>
              <w:adjustRightInd w:val="0"/>
              <w:snapToGrid w:val="0"/>
              <w:spacing w:line="360" w:lineRule="auto"/>
              <w:ind w:firstLine="480" w:firstLineChars="200"/>
              <w:rPr>
                <w:rFonts w:hint="default" w:ascii="Times New Roman" w:hAnsi="Times New Roman" w:eastAsia="宋体" w:cs="Times New Roman"/>
                <w:color w:val="auto"/>
                <w:sz w:val="24"/>
                <w:szCs w:val="24"/>
                <w:highlight w:val="none"/>
                <w:vertAlign w:val="baseline"/>
                <w:lang w:eastAsia="zh-CN"/>
              </w:rPr>
            </w:pPr>
            <w:r>
              <w:rPr>
                <w:rFonts w:hint="default" w:ascii="Times New Roman" w:hAnsi="Times New Roman" w:eastAsia="宋体" w:cs="Times New Roman"/>
                <w:color w:val="auto"/>
                <w:sz w:val="24"/>
                <w:szCs w:val="24"/>
                <w:highlight w:val="none"/>
              </w:rPr>
              <w:t>代入计算可得出二氧化硫排放量为</w:t>
            </w:r>
            <w:r>
              <w:rPr>
                <w:rFonts w:hint="eastAsia" w:ascii="Times New Roman" w:hAnsi="Times New Roman" w:cs="Times New Roman"/>
                <w:color w:val="auto"/>
                <w:sz w:val="24"/>
                <w:szCs w:val="24"/>
                <w:highlight w:val="none"/>
                <w:lang w:val="en-US" w:eastAsia="zh-CN"/>
              </w:rPr>
              <w:t>4.388</w:t>
            </w:r>
            <w:r>
              <w:rPr>
                <w:rFonts w:hint="default" w:ascii="Times New Roman" w:hAnsi="Times New Roman" w:eastAsia="宋体" w:cs="Times New Roman"/>
                <w:color w:val="auto"/>
                <w:sz w:val="24"/>
                <w:szCs w:val="24"/>
                <w:highlight w:val="none"/>
              </w:rPr>
              <w:t>t/a，</w:t>
            </w:r>
            <w:r>
              <w:rPr>
                <w:rFonts w:hint="eastAsia" w:ascii="Times New Roman" w:hAnsi="Times New Roman" w:cs="Times New Roman"/>
                <w:color w:val="auto"/>
                <w:sz w:val="24"/>
                <w:szCs w:val="24"/>
                <w:highlight w:val="none"/>
                <w:lang w:val="en-US" w:eastAsia="zh-CN"/>
              </w:rPr>
              <w:t>1.3965</w:t>
            </w:r>
            <w:r>
              <w:rPr>
                <w:rFonts w:hint="default" w:ascii="Times New Roman" w:hAnsi="Times New Roman" w:eastAsia="宋体" w:cs="Times New Roman"/>
                <w:color w:val="auto"/>
                <w:sz w:val="24"/>
                <w:szCs w:val="24"/>
                <w:highlight w:val="none"/>
              </w:rPr>
              <w:t>kg/h，排放浓度为</w:t>
            </w:r>
            <w:r>
              <w:rPr>
                <w:rFonts w:hint="eastAsia" w:ascii="Times New Roman" w:hAnsi="Times New Roman" w:cs="Times New Roman"/>
                <w:color w:val="auto"/>
                <w:sz w:val="24"/>
                <w:szCs w:val="24"/>
                <w:highlight w:val="none"/>
                <w:lang w:val="en-US" w:eastAsia="zh-CN"/>
              </w:rPr>
              <w:t>108.731</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。由于未设脱硫装置，产生量及产生浓度均与排放相同，</w:t>
            </w:r>
            <w:r>
              <w:rPr>
                <w:rFonts w:hint="default" w:ascii="Times New Roman" w:hAnsi="Times New Roman"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二氧化硫</w:t>
            </w:r>
            <w:r>
              <w:rPr>
                <w:rFonts w:hint="default" w:ascii="Times New Roman" w:hAnsi="Times New Roman" w:eastAsia="宋体" w:cs="Times New Roman"/>
                <w:color w:val="auto"/>
                <w:sz w:val="24"/>
                <w:szCs w:val="24"/>
                <w:highlight w:val="none"/>
              </w:rPr>
              <w:t>产生量为</w:t>
            </w:r>
            <w:r>
              <w:rPr>
                <w:rFonts w:hint="eastAsia" w:ascii="Times New Roman" w:hAnsi="Times New Roman" w:cs="Times New Roman"/>
                <w:color w:val="auto"/>
                <w:sz w:val="24"/>
                <w:szCs w:val="24"/>
                <w:highlight w:val="none"/>
                <w:lang w:val="en-US" w:eastAsia="zh-CN"/>
              </w:rPr>
              <w:t>4.388</w:t>
            </w:r>
            <w:r>
              <w:rPr>
                <w:rFonts w:hint="default" w:ascii="Times New Roman" w:hAnsi="Times New Roman" w:eastAsia="宋体" w:cs="Times New Roman"/>
                <w:color w:val="auto"/>
                <w:sz w:val="24"/>
                <w:szCs w:val="24"/>
                <w:highlight w:val="none"/>
              </w:rPr>
              <w:t>t/a，</w:t>
            </w:r>
            <w:r>
              <w:rPr>
                <w:rFonts w:hint="eastAsia" w:ascii="Times New Roman" w:hAnsi="Times New Roman" w:cs="Times New Roman"/>
                <w:color w:val="auto"/>
                <w:sz w:val="24"/>
                <w:szCs w:val="24"/>
                <w:highlight w:val="none"/>
                <w:lang w:val="en-US" w:eastAsia="zh-CN"/>
              </w:rPr>
              <w:t>1.3965</w:t>
            </w:r>
            <w:r>
              <w:rPr>
                <w:rFonts w:hint="default" w:ascii="Times New Roman" w:hAnsi="Times New Roman" w:eastAsia="宋体" w:cs="Times New Roman"/>
                <w:color w:val="auto"/>
                <w:sz w:val="24"/>
                <w:szCs w:val="24"/>
                <w:highlight w:val="none"/>
              </w:rPr>
              <w:t>kg/h，</w:t>
            </w:r>
            <w:r>
              <w:rPr>
                <w:rFonts w:hint="default" w:ascii="Times New Roman" w:hAnsi="Times New Roman" w:cs="Times New Roman"/>
                <w:color w:val="auto"/>
                <w:sz w:val="24"/>
                <w:szCs w:val="24"/>
                <w:highlight w:val="none"/>
                <w:lang w:val="en-US" w:eastAsia="zh-CN"/>
              </w:rPr>
              <w:t>产生</w:t>
            </w:r>
            <w:r>
              <w:rPr>
                <w:rFonts w:hint="default" w:ascii="Times New Roman" w:hAnsi="Times New Roman" w:eastAsia="宋体" w:cs="Times New Roman"/>
                <w:color w:val="auto"/>
                <w:sz w:val="24"/>
                <w:szCs w:val="24"/>
                <w:highlight w:val="none"/>
              </w:rPr>
              <w:t>浓度为</w:t>
            </w:r>
            <w:r>
              <w:rPr>
                <w:rFonts w:hint="eastAsia" w:ascii="Times New Roman" w:hAnsi="Times New Roman" w:cs="Times New Roman"/>
                <w:color w:val="auto"/>
                <w:sz w:val="24"/>
                <w:szCs w:val="24"/>
                <w:highlight w:val="none"/>
                <w:lang w:val="en-US" w:eastAsia="zh-CN"/>
              </w:rPr>
              <w:t>108.731</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lang w:val="en-US" w:eastAsia="zh-CN"/>
              </w:rPr>
              <w:t>排放</w:t>
            </w:r>
            <w:r>
              <w:rPr>
                <w:rFonts w:hint="default" w:ascii="Times New Roman" w:hAnsi="Times New Roman" w:eastAsia="宋体" w:cs="Times New Roman"/>
                <w:color w:val="auto"/>
                <w:sz w:val="24"/>
                <w:szCs w:val="24"/>
                <w:highlight w:val="none"/>
              </w:rPr>
              <w:t>量为</w:t>
            </w:r>
            <w:r>
              <w:rPr>
                <w:rFonts w:hint="eastAsia" w:ascii="Times New Roman" w:hAnsi="Times New Roman" w:cs="Times New Roman"/>
                <w:color w:val="auto"/>
                <w:sz w:val="24"/>
                <w:szCs w:val="24"/>
                <w:highlight w:val="none"/>
                <w:lang w:val="en-US" w:eastAsia="zh-CN"/>
              </w:rPr>
              <w:t>4.388</w:t>
            </w:r>
            <w:r>
              <w:rPr>
                <w:rFonts w:hint="default" w:ascii="Times New Roman" w:hAnsi="Times New Roman" w:eastAsia="宋体" w:cs="Times New Roman"/>
                <w:color w:val="auto"/>
                <w:sz w:val="24"/>
                <w:szCs w:val="24"/>
                <w:highlight w:val="none"/>
              </w:rPr>
              <w:t>t/a，</w:t>
            </w:r>
            <w:r>
              <w:rPr>
                <w:rFonts w:hint="eastAsia" w:ascii="Times New Roman" w:hAnsi="Times New Roman" w:cs="Times New Roman"/>
                <w:color w:val="auto"/>
                <w:sz w:val="24"/>
                <w:szCs w:val="24"/>
                <w:highlight w:val="none"/>
                <w:lang w:val="en-US" w:eastAsia="zh-CN"/>
              </w:rPr>
              <w:t>1.3965</w:t>
            </w:r>
            <w:r>
              <w:rPr>
                <w:rFonts w:hint="default" w:ascii="Times New Roman" w:hAnsi="Times New Roman" w:eastAsia="宋体" w:cs="Times New Roman"/>
                <w:color w:val="auto"/>
                <w:sz w:val="24"/>
                <w:szCs w:val="24"/>
                <w:highlight w:val="none"/>
              </w:rPr>
              <w:t>kg/h，</w:t>
            </w:r>
            <w:r>
              <w:rPr>
                <w:rFonts w:hint="default" w:ascii="Times New Roman" w:hAnsi="Times New Roman" w:cs="Times New Roman"/>
                <w:color w:val="auto"/>
                <w:sz w:val="24"/>
                <w:szCs w:val="24"/>
                <w:highlight w:val="none"/>
                <w:lang w:val="en-US" w:eastAsia="zh-CN"/>
              </w:rPr>
              <w:t>排放</w:t>
            </w:r>
            <w:r>
              <w:rPr>
                <w:rFonts w:hint="default" w:ascii="Times New Roman" w:hAnsi="Times New Roman" w:eastAsia="宋体" w:cs="Times New Roman"/>
                <w:color w:val="auto"/>
                <w:sz w:val="24"/>
                <w:szCs w:val="24"/>
                <w:highlight w:val="none"/>
              </w:rPr>
              <w:t>浓度为</w:t>
            </w:r>
            <w:r>
              <w:rPr>
                <w:rFonts w:hint="eastAsia" w:ascii="Times New Roman" w:hAnsi="Times New Roman" w:cs="Times New Roman"/>
                <w:color w:val="auto"/>
                <w:sz w:val="24"/>
                <w:szCs w:val="24"/>
                <w:highlight w:val="none"/>
                <w:lang w:val="en-US" w:eastAsia="zh-CN"/>
              </w:rPr>
              <w:t>108.731</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p>
          <w:p w14:paraId="747A796B">
            <w:pPr>
              <w:widowControl/>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④氮氧化物排放量</w:t>
            </w:r>
          </w:p>
          <w:p w14:paraId="56FCED2C">
            <w:pPr>
              <w:pStyle w:val="32"/>
              <w:spacing w:after="0" w:line="360" w:lineRule="auto"/>
              <w:ind w:firstLine="480" w:firstLineChars="200"/>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氮氧化物排放量采用锅炉生产商提供的氮氧化物控制保证浓度值或类比同类锅炉氮氧化物浓度值按式</w:t>
            </w:r>
            <w:r>
              <w:rPr>
                <w:rFonts w:hint="eastAsia" w:ascii="Times New Roman" w:hAnsi="Times New Roman"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5</w:t>
            </w:r>
            <w:r>
              <w:rPr>
                <w:rFonts w:hint="eastAsia" w:ascii="Times New Roman" w:hAnsi="Times New Roman"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eastAsia="zh-CN"/>
              </w:rPr>
              <w:t>计算。</w:t>
            </w:r>
          </w:p>
          <w:p w14:paraId="16A35A58">
            <w:pPr>
              <w:pStyle w:val="3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521585" cy="539750"/>
                  <wp:effectExtent l="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36">
                            <a:lum contrast="18000"/>
                          </a:blip>
                          <a:srcRect l="39441" t="14985" b="57490"/>
                          <a:stretch>
                            <a:fillRect/>
                          </a:stretch>
                        </pic:blipFill>
                        <pic:spPr>
                          <a:xfrm>
                            <a:off x="0" y="0"/>
                            <a:ext cx="2521585" cy="539750"/>
                          </a:xfrm>
                          <a:prstGeom prst="rect">
                            <a:avLst/>
                          </a:prstGeom>
                          <a:noFill/>
                          <a:ln>
                            <a:noFill/>
                          </a:ln>
                        </pic:spPr>
                      </pic:pic>
                    </a:graphicData>
                  </a:graphic>
                </wp:inline>
              </w:drawing>
            </w:r>
          </w:p>
          <w:p w14:paraId="238E4C3D">
            <w:pPr>
              <w:pStyle w:val="32"/>
              <w:spacing w:after="0" w:line="360" w:lineRule="auto"/>
              <w:ind w:left="0" w:leftChars="0" w:firstLine="0" w:firstLineChars="0"/>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式中:E</w:t>
            </w:r>
            <w:r>
              <w:rPr>
                <w:rFonts w:hint="default" w:ascii="Times New Roman" w:hAnsi="Times New Roman" w:eastAsia="宋体" w:cs="Times New Roman"/>
                <w:b w:val="0"/>
                <w:bCs/>
                <w:color w:val="auto"/>
                <w:sz w:val="24"/>
                <w:szCs w:val="24"/>
                <w:highlight w:val="none"/>
                <w:vertAlign w:val="subscript"/>
                <w:lang w:eastAsia="zh-CN"/>
              </w:rPr>
              <w:t>N</w:t>
            </w:r>
            <w:r>
              <w:rPr>
                <w:rFonts w:hint="default" w:ascii="Times New Roman" w:hAnsi="Times New Roman" w:cs="Times New Roman"/>
                <w:b w:val="0"/>
                <w:bCs/>
                <w:color w:val="auto"/>
                <w:sz w:val="24"/>
                <w:szCs w:val="24"/>
                <w:highlight w:val="none"/>
                <w:vertAlign w:val="subscript"/>
                <w:lang w:val="en-US" w:eastAsia="zh-CN"/>
              </w:rPr>
              <w:t>Ox</w:t>
            </w:r>
            <w:r>
              <w:rPr>
                <w:rFonts w:hint="default" w:ascii="Times New Roman" w:hAnsi="Times New Roman" w:cs="Times New Roman"/>
                <w:b w:val="0"/>
                <w:bCs/>
                <w:color w:val="auto"/>
                <w:sz w:val="24"/>
                <w:szCs w:val="24"/>
                <w:highlight w:val="none"/>
                <w:vertAlign w:val="baseline"/>
                <w:lang w:val="en-US" w:eastAsia="zh-CN"/>
              </w:rPr>
              <w:t>—</w:t>
            </w:r>
            <w:r>
              <w:rPr>
                <w:rFonts w:hint="default" w:ascii="Times New Roman" w:hAnsi="Times New Roman" w:eastAsia="宋体" w:cs="Times New Roman"/>
                <w:b w:val="0"/>
                <w:bCs/>
                <w:color w:val="auto"/>
                <w:sz w:val="24"/>
                <w:szCs w:val="24"/>
                <w:highlight w:val="none"/>
                <w:lang w:eastAsia="zh-CN"/>
              </w:rPr>
              <w:t>核算时段内氮氧化物排放量，t;</w:t>
            </w:r>
          </w:p>
          <w:p w14:paraId="3EBB7E8F">
            <w:pPr>
              <w:pStyle w:val="32"/>
              <w:spacing w:after="0" w:line="360" w:lineRule="auto"/>
              <w:ind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eastAsia="zh-CN"/>
              </w:rPr>
              <w:t>p</w:t>
            </w:r>
            <w:r>
              <w:rPr>
                <w:rFonts w:hint="default" w:ascii="Times New Roman" w:hAnsi="Times New Roman" w:cs="Times New Roman"/>
                <w:b w:val="0"/>
                <w:bCs/>
                <w:color w:val="auto"/>
                <w:sz w:val="24"/>
                <w:szCs w:val="24"/>
                <w:highlight w:val="none"/>
                <w:vertAlign w:val="subscript"/>
                <w:lang w:val="en-US" w:eastAsia="zh-CN"/>
              </w:rPr>
              <w:t>NOx</w:t>
            </w:r>
            <w:r>
              <w:rPr>
                <w:rFonts w:hint="default" w:ascii="Times New Roman" w:hAnsi="Times New Roman" w:cs="Times New Roman"/>
                <w:b w:val="0"/>
                <w:bCs/>
                <w:color w:val="auto"/>
                <w:sz w:val="24"/>
                <w:szCs w:val="24"/>
                <w:highlight w:val="none"/>
                <w:vertAlign w:val="baseline"/>
                <w:lang w:val="en-US" w:eastAsia="zh-CN"/>
              </w:rPr>
              <w:t>—</w:t>
            </w:r>
            <w:r>
              <w:rPr>
                <w:rFonts w:hint="default" w:ascii="Times New Roman" w:hAnsi="Times New Roman" w:eastAsia="宋体" w:cs="Times New Roman"/>
                <w:b w:val="0"/>
                <w:bCs/>
                <w:color w:val="auto"/>
                <w:sz w:val="24"/>
                <w:szCs w:val="24"/>
                <w:highlight w:val="none"/>
                <w:lang w:eastAsia="zh-CN"/>
              </w:rPr>
              <w:t>锅炉炉膛出口氮氧化物质量浓度，mg/m</w:t>
            </w:r>
            <w:r>
              <w:rPr>
                <w:rFonts w:hint="default" w:ascii="Times New Roman" w:hAnsi="Times New Roman" w:cs="Times New Roman"/>
                <w:b w:val="0"/>
                <w:bCs/>
                <w:color w:val="auto"/>
                <w:sz w:val="24"/>
                <w:szCs w:val="24"/>
                <w:highlight w:val="none"/>
                <w:vertAlign w:val="superscript"/>
                <w:lang w:val="en-US" w:eastAsia="zh-CN"/>
              </w:rPr>
              <w:t>3</w:t>
            </w: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lang w:val="en-US" w:eastAsia="zh-CN"/>
              </w:rPr>
              <w:t>本项目取167</w:t>
            </w:r>
            <w:r>
              <w:rPr>
                <w:rFonts w:hint="default" w:ascii="Times New Roman" w:hAnsi="Times New Roman" w:eastAsia="宋体" w:cs="Times New Roman"/>
                <w:b w:val="0"/>
                <w:bCs/>
                <w:color w:val="auto"/>
                <w:highlight w:val="none"/>
                <w:lang w:val="en-US" w:eastAsia="zh-CN"/>
              </w:rPr>
              <w:t>m</w:t>
            </w:r>
            <w:r>
              <w:rPr>
                <w:rFonts w:hint="default" w:ascii="Times New Roman" w:hAnsi="Times New Roman" w:eastAsia="宋体" w:cs="Times New Roman"/>
                <w:b w:val="0"/>
                <w:bCs/>
                <w:color w:val="auto"/>
                <w:highlight w:val="none"/>
              </w:rPr>
              <w:t>g/m</w:t>
            </w:r>
            <w:r>
              <w:rPr>
                <w:rFonts w:hint="default" w:ascii="Times New Roman" w:hAnsi="Times New Roman" w:eastAsia="宋体" w:cs="Times New Roman"/>
                <w:b w:val="0"/>
                <w:bCs/>
                <w:color w:val="auto"/>
                <w:highlight w:val="none"/>
                <w:vertAlign w:val="superscript"/>
              </w:rPr>
              <w:t>3</w:t>
            </w:r>
          </w:p>
          <w:p w14:paraId="3A468CDD">
            <w:pPr>
              <w:pStyle w:val="32"/>
              <w:spacing w:after="0" w:line="360" w:lineRule="auto"/>
              <w:ind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eastAsia="zh-CN"/>
              </w:rPr>
              <w:t>Q</w:t>
            </w:r>
            <w:r>
              <w:rPr>
                <w:rFonts w:hint="default" w:ascii="Times New Roman" w:hAnsi="Times New Roman" w:cs="Times New Roman"/>
                <w:b w:val="0"/>
                <w:bCs/>
                <w:color w:val="auto"/>
                <w:sz w:val="24"/>
                <w:szCs w:val="24"/>
                <w:highlight w:val="none"/>
                <w:vertAlign w:val="baseline"/>
                <w:lang w:val="en-US" w:eastAsia="zh-CN"/>
              </w:rPr>
              <w:t>—</w:t>
            </w:r>
            <w:r>
              <w:rPr>
                <w:rFonts w:hint="default" w:ascii="Times New Roman" w:hAnsi="Times New Roman" w:eastAsia="宋体" w:cs="Times New Roman"/>
                <w:b w:val="0"/>
                <w:bCs/>
                <w:color w:val="auto"/>
                <w:sz w:val="24"/>
                <w:szCs w:val="24"/>
                <w:highlight w:val="none"/>
                <w:lang w:eastAsia="zh-CN"/>
              </w:rPr>
              <w:t>核算时段内标态干烟气排放量，m</w:t>
            </w:r>
            <w:r>
              <w:rPr>
                <w:rFonts w:hint="default" w:ascii="Times New Roman" w:hAnsi="Times New Roman" w:cs="Times New Roman"/>
                <w:b w:val="0"/>
                <w:bCs/>
                <w:color w:val="auto"/>
                <w:sz w:val="24"/>
                <w:szCs w:val="24"/>
                <w:highlight w:val="none"/>
                <w:lang w:val="en-US" w:eastAsia="zh-CN"/>
              </w:rPr>
              <w:t>3</w:t>
            </w: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lang w:val="en-US" w:eastAsia="zh-CN"/>
              </w:rPr>
              <w:t>本项目取40357159.92</w:t>
            </w:r>
            <w:r>
              <w:rPr>
                <w:rFonts w:hint="default" w:ascii="Times New Roman" w:hAnsi="Times New Roman" w:eastAsia="宋体" w:cs="Times New Roman"/>
                <w:b w:val="0"/>
                <w:bCs/>
                <w:color w:val="auto"/>
                <w:sz w:val="24"/>
                <w:szCs w:val="24"/>
                <w:highlight w:val="none"/>
                <w:lang w:eastAsia="zh-CN"/>
              </w:rPr>
              <w:t>m</w:t>
            </w:r>
            <w:r>
              <w:rPr>
                <w:rFonts w:hint="default" w:ascii="Times New Roman" w:hAnsi="Times New Roman" w:cs="Times New Roman"/>
                <w:b w:val="0"/>
                <w:bCs/>
                <w:color w:val="auto"/>
                <w:sz w:val="24"/>
                <w:szCs w:val="24"/>
                <w:highlight w:val="none"/>
                <w:vertAlign w:val="superscript"/>
                <w:lang w:val="en-US" w:eastAsia="zh-CN"/>
              </w:rPr>
              <w:t>3</w:t>
            </w:r>
          </w:p>
          <w:p w14:paraId="22143A06">
            <w:pPr>
              <w:pStyle w:val="32"/>
              <w:spacing w:after="0" w:line="360" w:lineRule="auto"/>
              <w:ind w:firstLine="500" w:firstLineChars="200"/>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KaTeX_Math" w:cs="Times New Roman"/>
                <w:i/>
                <w:iCs/>
                <w:caps w:val="0"/>
                <w:color w:val="auto"/>
                <w:spacing w:val="0"/>
                <w:sz w:val="25"/>
                <w:szCs w:val="25"/>
                <w:shd w:val="clear" w:fill="FFFFFF"/>
              </w:rPr>
              <w:t>η</w:t>
            </w:r>
            <w:r>
              <w:rPr>
                <w:rFonts w:hint="default" w:ascii="Times New Roman" w:hAnsi="Times New Roman" w:eastAsia="宋体" w:cs="Times New Roman"/>
                <w:b w:val="0"/>
                <w:bCs/>
                <w:color w:val="auto"/>
                <w:sz w:val="24"/>
                <w:szCs w:val="24"/>
                <w:highlight w:val="none"/>
                <w:vertAlign w:val="subscript"/>
                <w:lang w:eastAsia="zh-CN"/>
              </w:rPr>
              <w:t>NO</w:t>
            </w:r>
            <w:r>
              <w:rPr>
                <w:rFonts w:hint="default" w:ascii="Times New Roman" w:hAnsi="Times New Roman" w:cs="Times New Roman"/>
                <w:b w:val="0"/>
                <w:bCs/>
                <w:color w:val="auto"/>
                <w:sz w:val="24"/>
                <w:szCs w:val="24"/>
                <w:highlight w:val="none"/>
                <w:vertAlign w:val="subscript"/>
                <w:lang w:val="en-US" w:eastAsia="zh-CN"/>
              </w:rPr>
              <w:t>x</w:t>
            </w:r>
            <w:r>
              <w:rPr>
                <w:rFonts w:hint="default" w:ascii="Times New Roman" w:hAnsi="Times New Roman" w:eastAsia="宋体" w:cs="Times New Roman"/>
                <w:b w:val="0"/>
                <w:bCs/>
                <w:color w:val="auto"/>
                <w:sz w:val="24"/>
                <w:szCs w:val="24"/>
                <w:highlight w:val="none"/>
                <w:lang w:eastAsia="zh-CN"/>
              </w:rPr>
              <w:t>脱硝效率，%。</w:t>
            </w:r>
          </w:p>
          <w:p w14:paraId="68A41CD3">
            <w:pPr>
              <w:pStyle w:val="32"/>
              <w:spacing w:after="0" w:line="360" w:lineRule="auto"/>
              <w:ind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eastAsia="zh-CN"/>
              </w:rPr>
              <w:t>项目无脱硝工艺</w:t>
            </w:r>
            <w:r>
              <w:rPr>
                <w:rFonts w:hint="default" w:ascii="Times New Roman" w:hAnsi="Times New Roman" w:eastAsia="宋体" w:cs="Times New Roman"/>
                <w:b w:val="0"/>
                <w:bCs/>
                <w:color w:val="auto"/>
                <w:sz w:val="24"/>
                <w:szCs w:val="24"/>
                <w:highlight w:val="none"/>
                <w:lang w:val="en-US" w:eastAsia="zh-CN"/>
              </w:rPr>
              <w:t>。</w:t>
            </w:r>
          </w:p>
          <w:p w14:paraId="0DCCBB74">
            <w:pPr>
              <w:pStyle w:val="32"/>
              <w:spacing w:after="0" w:line="360" w:lineRule="auto"/>
              <w:ind w:firstLine="480" w:firstLineChars="200"/>
              <w:rPr>
                <w:rFonts w:hint="default" w:ascii="Times New Roman" w:hAnsi="Times New Roman" w:eastAsia="宋体" w:cs="Times New Roman"/>
                <w:b w:val="0"/>
                <w:bCs/>
                <w:color w:val="auto"/>
                <w:highlight w:val="none"/>
                <w:lang w:val="en-US"/>
              </w:rPr>
            </w:pPr>
            <w:r>
              <w:rPr>
                <w:rFonts w:hint="default" w:ascii="Times New Roman" w:hAnsi="Times New Roman" w:cs="Times New Roman"/>
                <w:b w:val="0"/>
                <w:bCs/>
                <w:color w:val="auto"/>
                <w:sz w:val="24"/>
                <w:szCs w:val="24"/>
                <w:highlight w:val="none"/>
                <w:lang w:val="en-US" w:eastAsia="zh-CN"/>
              </w:rPr>
              <w:t>根据锅炉生产商产生提供的氮氧化物控制保证浓度值为167</w:t>
            </w:r>
            <w:r>
              <w:rPr>
                <w:rFonts w:hint="default" w:ascii="Times New Roman" w:hAnsi="Times New Roman" w:eastAsia="宋体" w:cs="Times New Roman"/>
                <w:b w:val="0"/>
                <w:bCs/>
                <w:color w:val="auto"/>
                <w:highlight w:val="none"/>
                <w:lang w:val="en-US" w:eastAsia="zh-CN"/>
              </w:rPr>
              <w:t>m</w:t>
            </w:r>
            <w:r>
              <w:rPr>
                <w:rFonts w:hint="default" w:ascii="Times New Roman" w:hAnsi="Times New Roman" w:eastAsia="宋体" w:cs="Times New Roman"/>
                <w:b w:val="0"/>
                <w:bCs/>
                <w:color w:val="auto"/>
                <w:highlight w:val="none"/>
              </w:rPr>
              <w:t>g/m</w:t>
            </w:r>
            <w:r>
              <w:rPr>
                <w:rFonts w:hint="default" w:ascii="Times New Roman" w:hAnsi="Times New Roman" w:eastAsia="宋体" w:cs="Times New Roman"/>
                <w:b w:val="0"/>
                <w:bCs/>
                <w:color w:val="auto"/>
                <w:highlight w:val="none"/>
                <w:vertAlign w:val="superscript"/>
              </w:rPr>
              <w:t>3</w:t>
            </w:r>
            <w:r>
              <w:rPr>
                <w:rFonts w:hint="default" w:ascii="Times New Roman" w:hAnsi="Times New Roman" w:cs="Times New Roman"/>
                <w:b w:val="0"/>
                <w:bCs/>
                <w:color w:val="auto"/>
                <w:highlight w:val="none"/>
                <w:vertAlign w:val="baseline"/>
                <w:lang w:eastAsia="zh-CN"/>
              </w:rPr>
              <w:t>。</w:t>
            </w:r>
            <w:r>
              <w:rPr>
                <w:rFonts w:hint="default" w:ascii="Times New Roman" w:hAnsi="Times New Roman" w:cs="Times New Roman"/>
                <w:color w:val="auto"/>
                <w:sz w:val="24"/>
                <w:szCs w:val="24"/>
                <w:highlight w:val="none"/>
                <w:lang w:val="en-US" w:eastAsia="zh-CN"/>
              </w:rPr>
              <w:t>则</w:t>
            </w:r>
            <w:r>
              <w:rPr>
                <w:rFonts w:hint="default" w:ascii="Times New Roman" w:hAnsi="Times New Roman" w:eastAsia="宋体" w:cs="Times New Roman"/>
                <w:b w:val="0"/>
                <w:bCs/>
                <w:color w:val="auto"/>
                <w:highlight w:val="none"/>
              </w:rPr>
              <w:t>本项目核算时段内氮氧化物产生浓度</w:t>
            </w:r>
            <w:r>
              <w:rPr>
                <w:rFonts w:hint="default" w:ascii="Times New Roman" w:hAnsi="Times New Roman" w:cs="Times New Roman"/>
                <w:b w:val="0"/>
                <w:bCs/>
                <w:color w:val="auto"/>
                <w:highlight w:val="none"/>
                <w:lang w:val="en-US" w:eastAsia="zh-CN"/>
              </w:rPr>
              <w:t>为167</w:t>
            </w:r>
            <w:r>
              <w:rPr>
                <w:rFonts w:hint="default" w:ascii="Times New Roman" w:hAnsi="Times New Roman" w:eastAsia="宋体" w:cs="Times New Roman"/>
                <w:b w:val="0"/>
                <w:bCs/>
                <w:color w:val="auto"/>
                <w:highlight w:val="none"/>
                <w:lang w:val="en-US" w:eastAsia="zh-CN"/>
              </w:rPr>
              <w:t>m</w:t>
            </w:r>
            <w:r>
              <w:rPr>
                <w:rFonts w:hint="default" w:ascii="Times New Roman" w:hAnsi="Times New Roman" w:eastAsia="宋体" w:cs="Times New Roman"/>
                <w:b w:val="0"/>
                <w:bCs/>
                <w:color w:val="auto"/>
                <w:highlight w:val="none"/>
              </w:rPr>
              <w:t>g/m</w:t>
            </w:r>
            <w:r>
              <w:rPr>
                <w:rFonts w:hint="default" w:ascii="Times New Roman" w:hAnsi="Times New Roman" w:eastAsia="宋体" w:cs="Times New Roman"/>
                <w:b w:val="0"/>
                <w:bCs/>
                <w:color w:val="auto"/>
                <w:highlight w:val="none"/>
                <w:vertAlign w:val="superscript"/>
              </w:rPr>
              <w:t>3</w:t>
            </w:r>
            <w:r>
              <w:rPr>
                <w:rFonts w:hint="default" w:ascii="Times New Roman" w:hAnsi="Times New Roman" w:cs="Times New Roman"/>
                <w:b w:val="0"/>
                <w:bCs/>
                <w:color w:val="auto"/>
                <w:highlight w:val="none"/>
                <w:lang w:eastAsia="zh-CN"/>
              </w:rPr>
              <w:t>，</w:t>
            </w:r>
            <w:r>
              <w:rPr>
                <w:rFonts w:hint="default" w:ascii="Times New Roman" w:hAnsi="Times New Roman" w:eastAsia="宋体" w:cs="Times New Roman"/>
                <w:color w:val="auto"/>
                <w:kern w:val="21"/>
                <w:sz w:val="24"/>
                <w:szCs w:val="28"/>
                <w:highlight w:val="none"/>
              </w:rPr>
              <w:t>氮氧化物</w:t>
            </w:r>
            <w:r>
              <w:rPr>
                <w:rFonts w:hint="default" w:ascii="Times New Roman" w:hAnsi="Times New Roman" w:eastAsia="宋体" w:cs="Times New Roman"/>
                <w:color w:val="auto"/>
                <w:kern w:val="21"/>
                <w:sz w:val="24"/>
                <w:szCs w:val="28"/>
                <w:highlight w:val="none"/>
                <w:lang w:val="en-US" w:eastAsia="zh-CN"/>
              </w:rPr>
              <w:t>产生量为</w:t>
            </w:r>
            <w:r>
              <w:rPr>
                <w:rFonts w:hint="default" w:ascii="Times New Roman" w:hAnsi="Times New Roman" w:cs="Times New Roman"/>
                <w:color w:val="auto"/>
                <w:kern w:val="21"/>
                <w:sz w:val="24"/>
                <w:szCs w:val="28"/>
                <w:highlight w:val="none"/>
                <w:lang w:val="en-US" w:eastAsia="zh-CN"/>
              </w:rPr>
              <w:t>6.7396</w:t>
            </w:r>
            <w:r>
              <w:rPr>
                <w:rFonts w:hint="default" w:ascii="Times New Roman" w:hAnsi="Times New Roman" w:eastAsia="宋体" w:cs="Times New Roman"/>
                <w:color w:val="auto"/>
                <w:kern w:val="21"/>
                <w:sz w:val="24"/>
                <w:szCs w:val="28"/>
                <w:highlight w:val="none"/>
                <w:lang w:val="en-US" w:eastAsia="zh-CN"/>
              </w:rPr>
              <w:t>t/a，</w:t>
            </w:r>
            <w:r>
              <w:rPr>
                <w:rFonts w:hint="default" w:ascii="Times New Roman" w:hAnsi="Times New Roman" w:cs="Times New Roman"/>
                <w:b w:val="0"/>
                <w:bCs/>
                <w:color w:val="auto"/>
                <w:highlight w:val="none"/>
                <w:vertAlign w:val="baseline"/>
                <w:lang w:val="en-US" w:eastAsia="zh-CN"/>
              </w:rPr>
              <w:t>1.404</w:t>
            </w:r>
            <w:r>
              <w:rPr>
                <w:rFonts w:hint="default" w:ascii="Times New Roman" w:hAnsi="Times New Roman" w:eastAsia="宋体" w:cs="Times New Roman"/>
                <w:b w:val="0"/>
                <w:bCs/>
                <w:color w:val="auto"/>
                <w:highlight w:val="none"/>
                <w:lang w:eastAsia="zh-CN"/>
              </w:rPr>
              <w:t>t/</w:t>
            </w:r>
            <w:r>
              <w:rPr>
                <w:rFonts w:hint="default" w:ascii="Times New Roman" w:hAnsi="Times New Roman" w:eastAsia="宋体" w:cs="Times New Roman"/>
                <w:b w:val="0"/>
                <w:bCs/>
                <w:color w:val="auto"/>
                <w:highlight w:val="none"/>
                <w:lang w:val="en-US" w:eastAsia="zh-CN"/>
              </w:rPr>
              <w:t>h</w:t>
            </w:r>
            <w:r>
              <w:rPr>
                <w:rFonts w:hint="default" w:ascii="Times New Roman" w:hAnsi="Times New Roman" w:eastAsia="宋体" w:cs="Times New Roman"/>
                <w:color w:val="auto"/>
                <w:kern w:val="21"/>
                <w:sz w:val="24"/>
                <w:szCs w:val="28"/>
                <w:highlight w:val="none"/>
                <w:lang w:val="en-US" w:eastAsia="zh-CN"/>
              </w:rPr>
              <w:t>。</w:t>
            </w:r>
            <w:r>
              <w:rPr>
                <w:rFonts w:hint="default" w:ascii="Times New Roman" w:hAnsi="Times New Roman" w:eastAsia="宋体" w:cs="Times New Roman"/>
                <w:b w:val="0"/>
                <w:bCs/>
                <w:color w:val="auto"/>
                <w:sz w:val="24"/>
                <w:szCs w:val="24"/>
                <w:highlight w:val="none"/>
                <w:lang w:eastAsia="zh-CN"/>
              </w:rPr>
              <w:t>项目无脱硝工艺</w:t>
            </w:r>
            <w:r>
              <w:rPr>
                <w:rFonts w:hint="default" w:ascii="Times New Roman" w:hAnsi="Times New Roman" w:cs="Times New Roman"/>
                <w:b w:val="0"/>
                <w:bCs/>
                <w:color w:val="auto"/>
                <w:sz w:val="24"/>
                <w:szCs w:val="24"/>
                <w:highlight w:val="none"/>
                <w:lang w:val="en-US" w:eastAsia="zh-CN"/>
              </w:rPr>
              <w:t>故本项目</w:t>
            </w:r>
            <w:r>
              <w:rPr>
                <w:rFonts w:hint="default" w:ascii="Times New Roman" w:hAnsi="Times New Roman" w:eastAsia="宋体" w:cs="Times New Roman"/>
                <w:b w:val="0"/>
                <w:bCs/>
                <w:color w:val="auto"/>
                <w:highlight w:val="none"/>
              </w:rPr>
              <w:t>核算时段内氮氧化物</w:t>
            </w:r>
            <w:r>
              <w:rPr>
                <w:rFonts w:hint="default" w:ascii="Times New Roman" w:hAnsi="Times New Roman" w:cs="Times New Roman"/>
                <w:b w:val="0"/>
                <w:bCs/>
                <w:color w:val="auto"/>
                <w:highlight w:val="none"/>
                <w:lang w:val="en-US" w:eastAsia="zh-CN"/>
              </w:rPr>
              <w:t>排放</w:t>
            </w:r>
            <w:r>
              <w:rPr>
                <w:rFonts w:hint="default" w:ascii="Times New Roman" w:hAnsi="Times New Roman" w:eastAsia="宋体" w:cs="Times New Roman"/>
                <w:b w:val="0"/>
                <w:bCs/>
                <w:color w:val="auto"/>
                <w:highlight w:val="none"/>
              </w:rPr>
              <w:t>浓度</w:t>
            </w:r>
            <w:r>
              <w:rPr>
                <w:rFonts w:hint="default" w:ascii="Times New Roman" w:hAnsi="Times New Roman" w:cs="Times New Roman"/>
                <w:b w:val="0"/>
                <w:bCs/>
                <w:color w:val="auto"/>
                <w:highlight w:val="none"/>
                <w:lang w:val="en-US" w:eastAsia="zh-CN"/>
              </w:rPr>
              <w:t>为167</w:t>
            </w:r>
            <w:r>
              <w:rPr>
                <w:rFonts w:hint="default" w:ascii="Times New Roman" w:hAnsi="Times New Roman" w:eastAsia="宋体" w:cs="Times New Roman"/>
                <w:b w:val="0"/>
                <w:bCs/>
                <w:color w:val="auto"/>
                <w:highlight w:val="none"/>
                <w:lang w:val="en-US" w:eastAsia="zh-CN"/>
              </w:rPr>
              <w:t>m</w:t>
            </w:r>
            <w:r>
              <w:rPr>
                <w:rFonts w:hint="default" w:ascii="Times New Roman" w:hAnsi="Times New Roman" w:eastAsia="宋体" w:cs="Times New Roman"/>
                <w:b w:val="0"/>
                <w:bCs/>
                <w:color w:val="auto"/>
                <w:highlight w:val="none"/>
              </w:rPr>
              <w:t>g/m</w:t>
            </w:r>
            <w:r>
              <w:rPr>
                <w:rFonts w:hint="default" w:ascii="Times New Roman" w:hAnsi="Times New Roman" w:eastAsia="宋体" w:cs="Times New Roman"/>
                <w:b w:val="0"/>
                <w:bCs/>
                <w:color w:val="auto"/>
                <w:highlight w:val="none"/>
                <w:vertAlign w:val="superscript"/>
              </w:rPr>
              <w:t>3</w:t>
            </w:r>
            <w:r>
              <w:rPr>
                <w:rFonts w:hint="default" w:ascii="Times New Roman" w:hAnsi="Times New Roman" w:cs="Times New Roman"/>
                <w:b w:val="0"/>
                <w:bCs/>
                <w:color w:val="auto"/>
                <w:highlight w:val="none"/>
                <w:lang w:eastAsia="zh-CN"/>
              </w:rPr>
              <w:t>，</w:t>
            </w:r>
            <w:r>
              <w:rPr>
                <w:rFonts w:hint="default" w:ascii="Times New Roman" w:hAnsi="Times New Roman" w:eastAsia="宋体" w:cs="Times New Roman"/>
                <w:color w:val="auto"/>
                <w:kern w:val="21"/>
                <w:sz w:val="24"/>
                <w:szCs w:val="28"/>
                <w:highlight w:val="none"/>
              </w:rPr>
              <w:t>氮氧化物</w:t>
            </w:r>
            <w:r>
              <w:rPr>
                <w:rFonts w:hint="default" w:ascii="Times New Roman" w:hAnsi="Times New Roman" w:cs="Times New Roman"/>
                <w:color w:val="auto"/>
                <w:kern w:val="21"/>
                <w:sz w:val="24"/>
                <w:szCs w:val="28"/>
                <w:highlight w:val="none"/>
                <w:lang w:val="en-US" w:eastAsia="zh-CN"/>
              </w:rPr>
              <w:t>排放</w:t>
            </w:r>
            <w:r>
              <w:rPr>
                <w:rFonts w:hint="default" w:ascii="Times New Roman" w:hAnsi="Times New Roman" w:eastAsia="宋体" w:cs="Times New Roman"/>
                <w:color w:val="auto"/>
                <w:kern w:val="21"/>
                <w:sz w:val="24"/>
                <w:szCs w:val="28"/>
                <w:highlight w:val="none"/>
                <w:lang w:val="en-US" w:eastAsia="zh-CN"/>
              </w:rPr>
              <w:t>量为</w:t>
            </w:r>
            <w:r>
              <w:rPr>
                <w:rFonts w:hint="default" w:ascii="Times New Roman" w:hAnsi="Times New Roman" w:cs="Times New Roman"/>
                <w:color w:val="auto"/>
                <w:kern w:val="21"/>
                <w:sz w:val="24"/>
                <w:szCs w:val="28"/>
                <w:highlight w:val="none"/>
                <w:lang w:val="en-US" w:eastAsia="zh-CN"/>
              </w:rPr>
              <w:t>6.7396</w:t>
            </w:r>
            <w:r>
              <w:rPr>
                <w:rFonts w:hint="default" w:ascii="Times New Roman" w:hAnsi="Times New Roman" w:eastAsia="宋体" w:cs="Times New Roman"/>
                <w:color w:val="auto"/>
                <w:kern w:val="21"/>
                <w:sz w:val="24"/>
                <w:szCs w:val="28"/>
                <w:highlight w:val="none"/>
                <w:lang w:val="en-US" w:eastAsia="zh-CN"/>
              </w:rPr>
              <w:t>t/a，</w:t>
            </w:r>
            <w:r>
              <w:rPr>
                <w:rFonts w:hint="default" w:ascii="Times New Roman" w:hAnsi="Times New Roman" w:cs="Times New Roman"/>
                <w:b w:val="0"/>
                <w:bCs/>
                <w:color w:val="auto"/>
                <w:highlight w:val="none"/>
                <w:vertAlign w:val="baseline"/>
                <w:lang w:val="en-US" w:eastAsia="zh-CN"/>
              </w:rPr>
              <w:t>1.404</w:t>
            </w:r>
            <w:r>
              <w:rPr>
                <w:rFonts w:hint="default" w:ascii="Times New Roman" w:hAnsi="Times New Roman" w:eastAsia="宋体" w:cs="Times New Roman"/>
                <w:b w:val="0"/>
                <w:bCs/>
                <w:color w:val="auto"/>
                <w:highlight w:val="none"/>
                <w:lang w:eastAsia="zh-CN"/>
              </w:rPr>
              <w:t>t/</w:t>
            </w:r>
            <w:r>
              <w:rPr>
                <w:rFonts w:hint="default" w:ascii="Times New Roman" w:hAnsi="Times New Roman" w:eastAsia="宋体" w:cs="Times New Roman"/>
                <w:b w:val="0"/>
                <w:bCs/>
                <w:color w:val="auto"/>
                <w:highlight w:val="none"/>
                <w:lang w:val="en-US" w:eastAsia="zh-CN"/>
              </w:rPr>
              <w:t>h</w:t>
            </w:r>
            <w:r>
              <w:rPr>
                <w:rFonts w:hint="default" w:ascii="Times New Roman" w:hAnsi="Times New Roman" w:cs="Times New Roman"/>
                <w:b w:val="0"/>
                <w:bCs/>
                <w:color w:val="auto"/>
                <w:highlight w:val="none"/>
                <w:lang w:val="en-US" w:eastAsia="zh-CN"/>
              </w:rPr>
              <w:t>。</w:t>
            </w:r>
          </w:p>
          <w:p w14:paraId="29A68639">
            <w:pPr>
              <w:pStyle w:val="157"/>
              <w:keepNext w:val="0"/>
              <w:keepLines w:val="0"/>
              <w:pageBreakBefore w:val="0"/>
              <w:widowControl w:val="0"/>
              <w:kinsoku/>
              <w:wordWrap/>
              <w:overflowPunct/>
              <w:topLinePunct w:val="0"/>
              <w:autoSpaceDE/>
              <w:autoSpaceDN/>
              <w:bidi w:val="0"/>
              <w:adjustRightInd w:val="0"/>
              <w:snapToGrid/>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本项目锅炉</w:t>
            </w:r>
            <w:r>
              <w:rPr>
                <w:rFonts w:hint="default" w:ascii="Times New Roman" w:hAnsi="Times New Roman" w:eastAsia="宋体" w:cs="Times New Roman"/>
                <w:color w:val="auto"/>
                <w:sz w:val="24"/>
                <w:szCs w:val="24"/>
                <w:highlight w:val="none"/>
              </w:rPr>
              <w:t>烟气经</w:t>
            </w:r>
            <w:r>
              <w:rPr>
                <w:rFonts w:hint="default" w:ascii="Times New Roman" w:hAnsi="Times New Roman" w:eastAsia="宋体" w:cs="Times New Roman"/>
                <w:color w:val="auto"/>
                <w:sz w:val="24"/>
                <w:szCs w:val="24"/>
                <w:highlight w:val="none"/>
                <w:lang w:val="en-US" w:eastAsia="zh-CN"/>
              </w:rPr>
              <w:t>1台布袋除尘器（除尘效率99.9%）</w:t>
            </w:r>
            <w:r>
              <w:rPr>
                <w:rFonts w:hint="default" w:ascii="Times New Roman" w:hAnsi="Times New Roman" w:eastAsia="宋体" w:cs="Times New Roman"/>
                <w:color w:val="auto"/>
                <w:sz w:val="24"/>
                <w:szCs w:val="24"/>
                <w:highlight w:val="none"/>
              </w:rPr>
              <w:t>处理后经</w:t>
            </w:r>
            <w:r>
              <w:rPr>
                <w:rFonts w:hint="default" w:ascii="Times New Roman" w:hAnsi="Times New Roman" w:eastAsia="宋体" w:cs="Times New Roman"/>
                <w:color w:val="auto"/>
                <w:sz w:val="24"/>
                <w:szCs w:val="24"/>
                <w:highlight w:val="none"/>
                <w:lang w:val="en-US" w:eastAsia="zh-CN"/>
              </w:rPr>
              <w:t>1根40</w:t>
            </w:r>
            <w:r>
              <w:rPr>
                <w:rFonts w:hint="default" w:ascii="Times New Roman" w:hAnsi="Times New Roman" w:eastAsia="宋体" w:cs="Times New Roman"/>
                <w:color w:val="auto"/>
                <w:sz w:val="24"/>
                <w:szCs w:val="24"/>
                <w:highlight w:val="none"/>
              </w:rPr>
              <w:t>m高</w:t>
            </w:r>
            <w:r>
              <w:rPr>
                <w:rFonts w:hint="default" w:ascii="Times New Roman" w:hAnsi="Times New Roman" w:eastAsia="宋体" w:cs="Times New Roman"/>
                <w:color w:val="auto"/>
                <w:sz w:val="24"/>
                <w:szCs w:val="24"/>
                <w:highlight w:val="none"/>
                <w:lang w:val="en-US" w:eastAsia="zh-CN"/>
              </w:rPr>
              <w:t>烟囱</w:t>
            </w:r>
            <w:r>
              <w:rPr>
                <w:rFonts w:hint="default" w:ascii="Times New Roman" w:hAnsi="Times New Roman" w:eastAsia="宋体" w:cs="Times New Roman"/>
                <w:color w:val="auto"/>
                <w:sz w:val="24"/>
                <w:szCs w:val="24"/>
                <w:highlight w:val="none"/>
              </w:rPr>
              <w:t>排放，颗粒物、烟气黑度和SO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排放浓度</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szCs w:val="24"/>
                <w:highlight w:val="none"/>
                <w:lang w:eastAsia="zh-CN"/>
              </w:rPr>
              <w:t>《锅炉大气污染物排放标准》（GB13271-2014）表</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中燃煤锅炉排放限值</w:t>
            </w:r>
            <w:r>
              <w:rPr>
                <w:rFonts w:hint="default" w:ascii="Times New Roman" w:hAnsi="Times New Roman" w:eastAsia="宋体" w:cs="Times New Roman"/>
                <w:color w:val="auto"/>
                <w:sz w:val="24"/>
                <w:szCs w:val="24"/>
                <w:highlight w:val="none"/>
              </w:rPr>
              <w:t>。</w:t>
            </w:r>
          </w:p>
          <w:p w14:paraId="37AA9A53">
            <w:pPr>
              <w:spacing w:line="360" w:lineRule="auto"/>
              <w:ind w:firstLine="439" w:firstLineChars="183"/>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二</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灰渣装卸</w:t>
            </w:r>
            <w:r>
              <w:rPr>
                <w:rFonts w:hint="default" w:ascii="Times New Roman" w:hAnsi="Times New Roman" w:cs="Times New Roman"/>
                <w:b w:val="0"/>
                <w:bCs/>
                <w:color w:val="auto"/>
                <w:sz w:val="24"/>
                <w:szCs w:val="24"/>
                <w:highlight w:val="none"/>
                <w:lang w:val="en-US" w:eastAsia="zh-CN"/>
              </w:rPr>
              <w:t>、转</w:t>
            </w:r>
            <w:r>
              <w:rPr>
                <w:rFonts w:hint="default" w:ascii="Times New Roman" w:hAnsi="Times New Roman" w:cs="Times New Roman"/>
                <w:color w:val="auto"/>
                <w:sz w:val="24"/>
                <w:szCs w:val="24"/>
                <w:highlight w:val="none"/>
                <w:lang w:val="en-US" w:eastAsia="zh-CN"/>
              </w:rPr>
              <w:t>运和</w:t>
            </w:r>
            <w:r>
              <w:rPr>
                <w:rFonts w:hint="default" w:ascii="Times New Roman" w:hAnsi="Times New Roman" w:eastAsia="宋体" w:cs="Times New Roman"/>
                <w:b w:val="0"/>
                <w:bCs/>
                <w:color w:val="auto"/>
                <w:sz w:val="24"/>
                <w:szCs w:val="24"/>
                <w:highlight w:val="none"/>
                <w:lang w:val="en-US" w:eastAsia="zh-CN"/>
              </w:rPr>
              <w:t>储存过程中粉尘</w:t>
            </w:r>
          </w:p>
          <w:p w14:paraId="24FC2C6F">
            <w:pPr>
              <w:spacing w:line="360" w:lineRule="auto"/>
              <w:ind w:firstLine="439" w:firstLineChars="183"/>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kern w:val="2"/>
                <w:sz w:val="24"/>
                <w:szCs w:val="24"/>
                <w:highlight w:val="none"/>
              </w:rPr>
              <w:t>本项目设</w:t>
            </w:r>
            <w:r>
              <w:rPr>
                <w:rFonts w:hint="default" w:ascii="Times New Roman" w:hAnsi="Times New Roman" w:cs="Times New Roman"/>
                <w:color w:val="auto"/>
                <w:kern w:val="2"/>
                <w:sz w:val="24"/>
                <w:szCs w:val="24"/>
                <w:highlight w:val="none"/>
                <w:lang w:val="en-US" w:eastAsia="zh-CN"/>
              </w:rPr>
              <w:t>1座</w:t>
            </w:r>
            <w:r>
              <w:rPr>
                <w:rFonts w:hint="default" w:ascii="Times New Roman" w:hAnsi="Times New Roman" w:cs="Times New Roman"/>
                <w:color w:val="auto"/>
                <w:kern w:val="2"/>
                <w:sz w:val="24"/>
                <w:szCs w:val="24"/>
                <w:highlight w:val="none"/>
              </w:rPr>
              <w:t>封闭的</w:t>
            </w:r>
            <w:r>
              <w:rPr>
                <w:rFonts w:hint="default" w:ascii="Times New Roman" w:hAnsi="Times New Roman" w:cs="Times New Roman"/>
                <w:color w:val="auto"/>
                <w:kern w:val="2"/>
                <w:sz w:val="24"/>
                <w:szCs w:val="24"/>
                <w:highlight w:val="none"/>
                <w:lang w:val="en-US" w:eastAsia="zh-CN"/>
              </w:rPr>
              <w:t>灰渣库</w:t>
            </w:r>
            <w:r>
              <w:rPr>
                <w:rFonts w:hint="default" w:ascii="Times New Roman" w:hAnsi="Times New Roman" w:cs="Times New Roman"/>
                <w:color w:val="auto"/>
                <w:kern w:val="2"/>
                <w:sz w:val="24"/>
                <w:szCs w:val="24"/>
                <w:highlight w:val="none"/>
              </w:rPr>
              <w:t>，</w:t>
            </w:r>
            <w:r>
              <w:rPr>
                <w:rFonts w:hint="default" w:ascii="Times New Roman" w:hAnsi="Times New Roman" w:cs="Times New Roman"/>
                <w:color w:val="auto"/>
                <w:kern w:val="2"/>
                <w:sz w:val="24"/>
                <w:szCs w:val="24"/>
                <w:highlight w:val="none"/>
                <w:lang w:val="en-US" w:eastAsia="zh-CN"/>
              </w:rPr>
              <w:t>布袋除尘器收尘和</w:t>
            </w:r>
            <w:r>
              <w:rPr>
                <w:rFonts w:hint="default" w:ascii="Times New Roman" w:hAnsi="Times New Roman" w:cs="Times New Roman"/>
                <w:color w:val="auto"/>
                <w:kern w:val="2"/>
                <w:sz w:val="24"/>
                <w:szCs w:val="24"/>
                <w:highlight w:val="none"/>
              </w:rPr>
              <w:t>灰渣</w:t>
            </w:r>
            <w:r>
              <w:rPr>
                <w:rFonts w:hint="default" w:ascii="Times New Roman" w:hAnsi="Times New Roman" w:cs="Times New Roman"/>
                <w:color w:val="auto"/>
                <w:kern w:val="2"/>
                <w:sz w:val="24"/>
                <w:szCs w:val="24"/>
                <w:highlight w:val="none"/>
                <w:lang w:val="en-US" w:eastAsia="zh-CN"/>
              </w:rPr>
              <w:t>袋装暂存于灰渣库，</w:t>
            </w:r>
            <w:r>
              <w:rPr>
                <w:rFonts w:hint="default" w:ascii="Times New Roman" w:hAnsi="Times New Roman" w:cs="Times New Roman"/>
                <w:color w:val="auto"/>
                <w:kern w:val="2"/>
                <w:sz w:val="24"/>
                <w:szCs w:val="24"/>
                <w:highlight w:val="none"/>
              </w:rPr>
              <w:t>定期由封闭罐车汽车外运</w:t>
            </w:r>
            <w:r>
              <w:rPr>
                <w:rFonts w:hint="default"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lang w:val="en-US" w:eastAsia="zh-CN"/>
              </w:rPr>
              <w:t>灰渣库采用喷洒水降尘，</w:t>
            </w:r>
            <w:r>
              <w:rPr>
                <w:rFonts w:hint="default" w:ascii="Times New Roman" w:hAnsi="Times New Roman" w:cs="Times New Roman"/>
                <w:color w:val="auto"/>
                <w:sz w:val="24"/>
                <w:szCs w:val="24"/>
                <w:highlight w:val="none"/>
                <w:lang w:val="en-US" w:eastAsia="zh-CN"/>
              </w:rPr>
              <w:t>处理</w:t>
            </w:r>
            <w:r>
              <w:rPr>
                <w:rFonts w:hint="default" w:ascii="Times New Roman" w:hAnsi="Times New Roman" w:cs="Times New Roman"/>
                <w:color w:val="auto"/>
                <w:sz w:val="24"/>
                <w:szCs w:val="24"/>
                <w:highlight w:val="none"/>
              </w:rPr>
              <w:t>效率</w:t>
            </w:r>
            <w:r>
              <w:rPr>
                <w:rFonts w:hint="default" w:ascii="Times New Roman" w:hAnsi="Times New Roman" w:cs="Times New Roman"/>
                <w:color w:val="auto"/>
                <w:sz w:val="24"/>
                <w:szCs w:val="24"/>
                <w:highlight w:val="none"/>
                <w:lang w:val="en-US" w:eastAsia="zh-CN"/>
              </w:rPr>
              <w:t>90</w:t>
            </w:r>
            <w:r>
              <w:rPr>
                <w:rFonts w:hint="default" w:ascii="Times New Roman" w:hAnsi="Times New Roman" w:cs="Times New Roman"/>
                <w:color w:val="auto"/>
                <w:sz w:val="24"/>
                <w:szCs w:val="24"/>
                <w:highlight w:val="none"/>
              </w:rPr>
              <w:t>%。</w:t>
            </w:r>
            <w:r>
              <w:rPr>
                <w:rStyle w:val="42"/>
                <w:rFonts w:hint="default" w:ascii="Times New Roman" w:hAnsi="Times New Roman" w:eastAsia="宋体" w:cs="Times New Roman"/>
                <w:color w:val="auto"/>
                <w:kern w:val="0"/>
                <w:sz w:val="24"/>
                <w:szCs w:val="24"/>
                <w:highlight w:val="none"/>
                <w:lang w:eastAsia="zh-CN"/>
              </w:rPr>
              <w:t>灰仓</w:t>
            </w:r>
            <w:r>
              <w:rPr>
                <w:rStyle w:val="42"/>
                <w:rFonts w:hint="default" w:ascii="Times New Roman" w:hAnsi="Times New Roman" w:eastAsia="宋体" w:cs="Times New Roman"/>
                <w:color w:val="auto"/>
                <w:kern w:val="0"/>
                <w:sz w:val="24"/>
                <w:szCs w:val="24"/>
                <w:highlight w:val="none"/>
              </w:rPr>
              <w:t>颗粒物产生量</w:t>
            </w:r>
            <w:r>
              <w:rPr>
                <w:rStyle w:val="42"/>
                <w:rFonts w:hint="default" w:ascii="Times New Roman" w:hAnsi="Times New Roman" w:eastAsia="宋体" w:cs="Times New Roman"/>
                <w:color w:val="auto"/>
                <w:kern w:val="0"/>
                <w:sz w:val="24"/>
                <w:szCs w:val="24"/>
                <w:highlight w:val="none"/>
                <w:lang w:eastAsia="zh-CN"/>
              </w:rPr>
              <w:t>根据</w:t>
            </w:r>
            <w:r>
              <w:rPr>
                <w:rFonts w:hint="default" w:ascii="Times New Roman" w:hAnsi="Times New Roman" w:eastAsia="宋体" w:cs="Times New Roman"/>
                <w:color w:val="auto"/>
                <w:sz w:val="24"/>
                <w:szCs w:val="24"/>
                <w:highlight w:val="none"/>
                <w:u w:val="none"/>
                <w:lang w:eastAsia="zh-CN"/>
              </w:rPr>
              <w:t>《逸散性工业粉尘控制技术》中物料输送过程产尘系数</w:t>
            </w:r>
            <w:r>
              <w:rPr>
                <w:rFonts w:hint="default" w:ascii="Times New Roman" w:hAnsi="Times New Roman" w:eastAsia="宋体" w:cs="Times New Roman"/>
                <w:color w:val="auto"/>
                <w:sz w:val="24"/>
                <w:szCs w:val="24"/>
                <w:highlight w:val="none"/>
                <w:u w:val="none"/>
                <w:lang w:val="en-US" w:eastAsia="zh-CN"/>
              </w:rPr>
              <w:t>0.3kg/t计算</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kern w:val="2"/>
                <w:sz w:val="24"/>
                <w:szCs w:val="24"/>
                <w:highlight w:val="none"/>
                <w:lang w:val="en-US" w:eastAsia="zh-CN"/>
              </w:rPr>
              <w:t>布袋除尘器收尘和</w:t>
            </w:r>
            <w:r>
              <w:rPr>
                <w:rFonts w:hint="default" w:ascii="Times New Roman" w:hAnsi="Times New Roman" w:cs="Times New Roman"/>
                <w:color w:val="auto"/>
                <w:sz w:val="24"/>
                <w:szCs w:val="24"/>
                <w:highlight w:val="none"/>
                <w:lang w:val="en-US" w:eastAsia="zh-CN"/>
              </w:rPr>
              <w:t>灰渣产生量</w:t>
            </w:r>
            <w:r>
              <w:rPr>
                <w:rFonts w:hint="default" w:ascii="Times New Roman" w:hAnsi="Times New Roman" w:cs="Times New Roman"/>
                <w:color w:val="auto"/>
                <w:sz w:val="24"/>
                <w:szCs w:val="24"/>
                <w:highlight w:val="none"/>
              </w:rPr>
              <w:t>为</w:t>
            </w:r>
            <w:r>
              <w:rPr>
                <w:rFonts w:hint="eastAsia" w:ascii="Times New Roman" w:hAnsi="Times New Roman" w:cs="Times New Roman"/>
                <w:color w:val="auto"/>
                <w:kern w:val="0"/>
                <w:sz w:val="24"/>
                <w:szCs w:val="24"/>
                <w:highlight w:val="none"/>
                <w:lang w:val="en-US" w:eastAsia="zh-CN"/>
              </w:rPr>
              <w:t>1175.508</w:t>
            </w:r>
            <w:r>
              <w:rPr>
                <w:rFonts w:hint="default" w:ascii="Times New Roman" w:hAnsi="Times New Roman" w:eastAsia="宋体" w:cs="Times New Roman"/>
                <w:color w:val="auto"/>
                <w:kern w:val="0"/>
                <w:sz w:val="24"/>
                <w:szCs w:val="24"/>
                <w:highlight w:val="none"/>
              </w:rPr>
              <w:t>t/a</w:t>
            </w:r>
            <w:r>
              <w:rPr>
                <w:rFonts w:hint="default" w:ascii="Times New Roman" w:hAnsi="Times New Roman" w:cs="Times New Roman"/>
                <w:color w:val="auto"/>
                <w:sz w:val="24"/>
                <w:szCs w:val="24"/>
                <w:highlight w:val="none"/>
              </w:rPr>
              <w:t>，灰渣储存过程中粉尘产生量为</w:t>
            </w:r>
            <w:r>
              <w:rPr>
                <w:rFonts w:hint="eastAsia" w:ascii="Times New Roman" w:hAnsi="Times New Roman" w:cs="Times New Roman"/>
                <w:color w:val="auto"/>
                <w:sz w:val="24"/>
                <w:szCs w:val="24"/>
                <w:highlight w:val="none"/>
                <w:lang w:val="en-US" w:eastAsia="zh-CN"/>
              </w:rPr>
              <w:t>0.353</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经</w:t>
            </w:r>
            <w:r>
              <w:rPr>
                <w:rFonts w:hint="default" w:ascii="Times New Roman" w:hAnsi="Times New Roman" w:cs="Times New Roman"/>
                <w:color w:val="auto"/>
                <w:kern w:val="2"/>
                <w:sz w:val="24"/>
                <w:szCs w:val="24"/>
                <w:highlight w:val="none"/>
                <w:lang w:val="en-US" w:eastAsia="zh-CN"/>
              </w:rPr>
              <w:t>洒水降尘</w:t>
            </w:r>
            <w:r>
              <w:rPr>
                <w:rFonts w:hint="default" w:ascii="Times New Roman" w:hAnsi="Times New Roman" w:cs="Times New Roman"/>
                <w:color w:val="auto"/>
                <w:sz w:val="24"/>
                <w:szCs w:val="24"/>
                <w:highlight w:val="none"/>
                <w:lang w:val="en-US" w:eastAsia="zh-CN"/>
              </w:rPr>
              <w:t>处理后</w:t>
            </w:r>
            <w:r>
              <w:rPr>
                <w:rFonts w:hint="default" w:ascii="Times New Roman" w:hAnsi="Times New Roman" w:cs="Times New Roman"/>
                <w:color w:val="auto"/>
                <w:sz w:val="24"/>
                <w:szCs w:val="24"/>
                <w:highlight w:val="none"/>
              </w:rPr>
              <w:t>粉尘</w:t>
            </w:r>
            <w:r>
              <w:rPr>
                <w:rFonts w:hint="default" w:ascii="Times New Roman" w:hAnsi="Times New Roman" w:cs="Times New Roman"/>
                <w:color w:val="auto"/>
                <w:sz w:val="24"/>
                <w:szCs w:val="24"/>
                <w:highlight w:val="none"/>
                <w:lang w:val="en-US" w:eastAsia="zh-CN"/>
              </w:rPr>
              <w:t>排放</w:t>
            </w:r>
            <w:r>
              <w:rPr>
                <w:rFonts w:hint="default" w:ascii="Times New Roman" w:hAnsi="Times New Roman" w:cs="Times New Roman"/>
                <w:color w:val="auto"/>
                <w:sz w:val="24"/>
                <w:szCs w:val="24"/>
                <w:highlight w:val="none"/>
              </w:rPr>
              <w:t>量为</w:t>
            </w:r>
            <w:r>
              <w:rPr>
                <w:rFonts w:hint="eastAsia" w:ascii="Times New Roman" w:hAnsi="Times New Roman" w:cs="Times New Roman"/>
                <w:color w:val="auto"/>
                <w:sz w:val="24"/>
                <w:szCs w:val="24"/>
                <w:highlight w:val="none"/>
                <w:lang w:val="en-US" w:eastAsia="zh-CN"/>
              </w:rPr>
              <w:t>0.035</w:t>
            </w:r>
            <w:r>
              <w:rPr>
                <w:rFonts w:hint="default" w:ascii="Times New Roman" w:hAnsi="Times New Roman" w:cs="Times New Roman"/>
                <w:color w:val="auto"/>
                <w:sz w:val="24"/>
                <w:szCs w:val="24"/>
                <w:highlight w:val="none"/>
              </w:rPr>
              <w:t>t/a</w:t>
            </w: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宋体" w:cs="Times New Roman"/>
                <w:color w:val="auto"/>
                <w:spacing w:val="2"/>
                <w:sz w:val="24"/>
                <w:szCs w:val="24"/>
                <w:highlight w:val="none"/>
              </w:rPr>
              <w:t>生物质成型燃料颗粒袋装储存于封闭</w:t>
            </w:r>
            <w:r>
              <w:rPr>
                <w:rFonts w:hint="default" w:ascii="Times New Roman" w:hAnsi="Times New Roman" w:cs="Times New Roman"/>
                <w:color w:val="auto"/>
                <w:spacing w:val="2"/>
                <w:sz w:val="24"/>
                <w:szCs w:val="24"/>
                <w:highlight w:val="none"/>
                <w:lang w:val="en-US" w:eastAsia="zh-CN"/>
              </w:rPr>
              <w:t>库</w:t>
            </w:r>
            <w:r>
              <w:rPr>
                <w:rFonts w:hint="default" w:ascii="Times New Roman" w:hAnsi="Times New Roman" w:eastAsia="宋体" w:cs="Times New Roman"/>
                <w:color w:val="auto"/>
                <w:spacing w:val="2"/>
                <w:sz w:val="24"/>
                <w:szCs w:val="24"/>
                <w:highlight w:val="none"/>
              </w:rPr>
              <w:t>房内，输排灰过程均在锅炉房内进行，封闭厂房可减少无组织粉尘的扩散，并定期</w:t>
            </w:r>
            <w:r>
              <w:rPr>
                <w:rFonts w:hint="default" w:ascii="Times New Roman" w:hAnsi="Times New Roman" w:cs="Times New Roman"/>
                <w:color w:val="auto"/>
                <w:spacing w:val="2"/>
                <w:sz w:val="24"/>
                <w:szCs w:val="24"/>
                <w:highlight w:val="none"/>
                <w:lang w:eastAsia="zh-CN"/>
              </w:rPr>
              <w:t>洒水降尘。</w:t>
            </w:r>
            <w:r>
              <w:rPr>
                <w:rFonts w:hint="default" w:ascii="Times New Roman" w:hAnsi="Times New Roman" w:cs="Times New Roman"/>
                <w:color w:val="auto"/>
                <w:spacing w:val="2"/>
                <w:sz w:val="24"/>
                <w:szCs w:val="24"/>
                <w:highlight w:val="none"/>
                <w:lang w:val="en-US" w:eastAsia="zh-CN"/>
              </w:rPr>
              <w:t>灰渣转运采用封闭罐车运输，</w:t>
            </w:r>
            <w:r>
              <w:rPr>
                <w:rFonts w:hint="default" w:ascii="Times New Roman" w:hAnsi="Times New Roman" w:eastAsia="宋体" w:cs="Times New Roman"/>
                <w:color w:val="auto"/>
                <w:spacing w:val="2"/>
                <w:sz w:val="24"/>
                <w:szCs w:val="24"/>
                <w:highlight w:val="none"/>
              </w:rPr>
              <w:t>无组织排放粉尘对周</w:t>
            </w:r>
            <w:r>
              <w:rPr>
                <w:rFonts w:hint="default" w:ascii="Times New Roman" w:hAnsi="Times New Roman" w:eastAsia="宋体" w:cs="Times New Roman"/>
                <w:color w:val="auto"/>
                <w:spacing w:val="-4"/>
                <w:sz w:val="24"/>
                <w:szCs w:val="24"/>
                <w:highlight w:val="none"/>
              </w:rPr>
              <w:t>围环境影响不大。</w:t>
            </w:r>
          </w:p>
          <w:p w14:paraId="2398FBD7">
            <w:pPr>
              <w:pStyle w:val="147"/>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B</w:t>
            </w:r>
            <w:r>
              <w:rPr>
                <w:rFonts w:hint="default" w:ascii="Times New Roman" w:hAnsi="Times New Roman" w:eastAsia="宋体" w:cs="Times New Roman"/>
                <w:color w:val="auto"/>
                <w:spacing w:val="-1"/>
                <w:sz w:val="24"/>
                <w:szCs w:val="24"/>
                <w:highlight w:val="none"/>
                <w:lang w:val="en-US" w:eastAsia="zh-CN"/>
              </w:rPr>
              <w:t>.</w:t>
            </w:r>
            <w:r>
              <w:rPr>
                <w:rFonts w:hint="default" w:ascii="Times New Roman" w:hAnsi="Times New Roman" w:eastAsia="宋体" w:cs="Times New Roman"/>
                <w:color w:val="auto"/>
                <w:spacing w:val="-1"/>
                <w:sz w:val="24"/>
                <w:szCs w:val="24"/>
                <w:highlight w:val="none"/>
              </w:rPr>
              <w:t>布袋除尘器收集收尘灰废气</w:t>
            </w:r>
          </w:p>
          <w:p w14:paraId="61FF3C2F">
            <w:pPr>
              <w:keepNext w:val="0"/>
              <w:keepLines w:val="0"/>
              <w:pageBreakBefore w:val="0"/>
              <w:widowControl w:val="0"/>
              <w:kinsoku/>
              <w:wordWrap/>
              <w:overflowPunct/>
              <w:topLinePunct w:val="0"/>
              <w:autoSpaceDE/>
              <w:autoSpaceDN/>
              <w:bidi w:val="0"/>
              <w:adjustRightInd w:val="0"/>
              <w:snapToGrid w:val="0"/>
              <w:ind w:left="0" w:leftChars="0" w:firstLine="488" w:firstLineChars="200"/>
              <w:textAlignment w:val="auto"/>
              <w:rPr>
                <w:rFonts w:hint="default" w:ascii="Times New Roman" w:hAnsi="Times New Roman" w:eastAsia="宋体" w:cs="Times New Roman"/>
                <w:color w:val="auto"/>
                <w:spacing w:val="0"/>
                <w:highlight w:val="none"/>
                <w:lang w:eastAsia="zh-CN"/>
              </w:rPr>
            </w:pPr>
            <w:r>
              <w:rPr>
                <w:rFonts w:hint="default" w:ascii="Times New Roman" w:hAnsi="Times New Roman" w:eastAsia="宋体" w:cs="Times New Roman"/>
                <w:color w:val="auto"/>
                <w:spacing w:val="2"/>
                <w:sz w:val="24"/>
                <w:szCs w:val="24"/>
                <w:highlight w:val="none"/>
              </w:rPr>
              <w:t>布袋除尘器收集收尘灰主要污染物为颗粒物，除尘器灰斗装袋前，先将</w:t>
            </w:r>
            <w:r>
              <w:rPr>
                <w:rFonts w:hint="default" w:ascii="Times New Roman" w:hAnsi="Times New Roman" w:cs="Times New Roman"/>
                <w:color w:val="auto"/>
                <w:spacing w:val="2"/>
                <w:sz w:val="24"/>
                <w:szCs w:val="24"/>
                <w:highlight w:val="none"/>
                <w:lang w:eastAsia="zh-CN"/>
              </w:rPr>
              <w:t>袋子</w:t>
            </w:r>
            <w:r>
              <w:rPr>
                <w:rFonts w:hint="default" w:ascii="Times New Roman" w:hAnsi="Times New Roman" w:eastAsia="宋体" w:cs="Times New Roman"/>
                <w:color w:val="auto"/>
                <w:spacing w:val="2"/>
                <w:sz w:val="24"/>
                <w:szCs w:val="24"/>
                <w:highlight w:val="none"/>
              </w:rPr>
              <w:t>用绳固定在下料口，之后打开下料口插板阀，密闭下料，因此粉尘量很少忽</w:t>
            </w:r>
            <w:r>
              <w:rPr>
                <w:rFonts w:hint="default" w:ascii="Times New Roman" w:hAnsi="Times New Roman" w:eastAsia="宋体" w:cs="Times New Roman"/>
                <w:color w:val="auto"/>
                <w:spacing w:val="-3"/>
                <w:sz w:val="24"/>
                <w:szCs w:val="24"/>
                <w:highlight w:val="none"/>
              </w:rPr>
              <w:t>略不计</w:t>
            </w:r>
            <w:r>
              <w:rPr>
                <w:rFonts w:hint="default" w:ascii="Times New Roman" w:hAnsi="Times New Roman" w:eastAsia="宋体" w:cs="Times New Roman"/>
                <w:color w:val="auto"/>
                <w:spacing w:val="-3"/>
                <w:sz w:val="24"/>
                <w:szCs w:val="24"/>
                <w:highlight w:val="none"/>
                <w:lang w:eastAsia="zh-CN"/>
              </w:rPr>
              <w:t>。</w:t>
            </w:r>
          </w:p>
          <w:p w14:paraId="32B64803">
            <w:pPr>
              <w:pStyle w:val="7"/>
              <w:rPr>
                <w:rFonts w:hint="default" w:ascii="Times New Roman" w:hAnsi="Times New Roman" w:eastAsia="宋体" w:cs="Times New Roman"/>
                <w:color w:val="auto"/>
                <w:highlight w:val="none"/>
                <w:lang w:eastAsia="zh-CN"/>
              </w:rPr>
            </w:pPr>
          </w:p>
        </w:tc>
      </w:tr>
    </w:tbl>
    <w:p w14:paraId="6F15F8C3">
      <w:pPr>
        <w:rPr>
          <w:rFonts w:hint="default" w:ascii="Times New Roman" w:hAnsi="Times New Roman" w:eastAsia="宋体" w:cs="Times New Roman"/>
          <w:color w:val="auto"/>
          <w:spacing w:val="0"/>
          <w:highlight w:val="none"/>
        </w:rPr>
        <w:sectPr>
          <w:pgSz w:w="11907" w:h="16840"/>
          <w:pgMar w:top="1440" w:right="1803" w:bottom="1440" w:left="1803"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tbl>
      <w:tblPr>
        <w:tblStyle w:val="35"/>
        <w:tblW w:w="502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3635"/>
      </w:tblGrid>
      <w:tr w14:paraId="536E8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2" w:hRule="atLeast"/>
          <w:jc w:val="center"/>
        </w:trPr>
        <w:tc>
          <w:tcPr>
            <w:tcW w:w="537" w:type="dxa"/>
            <w:noWrap w:val="0"/>
            <w:tcMar>
              <w:left w:w="28" w:type="dxa"/>
              <w:right w:w="28" w:type="dxa"/>
            </w:tcMar>
            <w:vAlign w:val="center"/>
          </w:tcPr>
          <w:p w14:paraId="5AED11AC">
            <w:pPr>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13559" w:type="dxa"/>
            <w:tcBorders>
              <w:top w:val="single" w:color="auto" w:sz="4" w:space="0"/>
              <w:bottom w:val="single" w:color="auto" w:sz="4" w:space="0"/>
            </w:tcBorders>
            <w:noWrap w:val="0"/>
            <w:vAlign w:val="center"/>
          </w:tcPr>
          <w:p w14:paraId="5BBAAB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sz w:val="21"/>
                <w:szCs w:val="21"/>
                <w:highlight w:val="none"/>
              </w:rPr>
            </w:pPr>
            <w:r>
              <w:rPr>
                <w:rFonts w:hint="default" w:ascii="Times New Roman" w:hAnsi="Times New Roman" w:eastAsia="宋体" w:cs="Times New Roman"/>
                <w:b/>
                <w:bCs w:val="0"/>
                <w:color w:val="auto"/>
                <w:spacing w:val="0"/>
                <w:sz w:val="21"/>
                <w:szCs w:val="21"/>
                <w:highlight w:val="none"/>
              </w:rPr>
              <w:t>表4-</w:t>
            </w:r>
            <w:r>
              <w:rPr>
                <w:rFonts w:hint="default" w:ascii="Times New Roman" w:hAnsi="Times New Roman" w:eastAsia="宋体" w:cs="Times New Roman"/>
                <w:b/>
                <w:bCs w:val="0"/>
                <w:color w:val="auto"/>
                <w:spacing w:val="0"/>
                <w:sz w:val="21"/>
                <w:szCs w:val="21"/>
                <w:highlight w:val="none"/>
                <w:lang w:val="en-US" w:eastAsia="zh-CN"/>
              </w:rPr>
              <w:t>1</w:t>
            </w:r>
            <w:r>
              <w:rPr>
                <w:rFonts w:hint="default" w:ascii="Times New Roman" w:hAnsi="Times New Roman" w:eastAsia="宋体" w:cs="Times New Roman"/>
                <w:b/>
                <w:bCs w:val="0"/>
                <w:color w:val="auto"/>
                <w:spacing w:val="0"/>
                <w:sz w:val="21"/>
                <w:szCs w:val="21"/>
                <w:highlight w:val="none"/>
                <w:lang w:eastAsia="zh-CN"/>
              </w:rPr>
              <w:t>本项目</w:t>
            </w:r>
            <w:r>
              <w:rPr>
                <w:rFonts w:hint="default" w:ascii="Times New Roman" w:hAnsi="Times New Roman" w:eastAsia="宋体" w:cs="Times New Roman"/>
                <w:b/>
                <w:bCs w:val="0"/>
                <w:color w:val="auto"/>
                <w:spacing w:val="0"/>
                <w:sz w:val="21"/>
                <w:szCs w:val="21"/>
                <w:highlight w:val="none"/>
                <w:lang w:val="en-US" w:eastAsia="zh-CN"/>
              </w:rPr>
              <w:t>废气污染源源强核算结果及相关参数一览表</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6"/>
              <w:gridCol w:w="767"/>
              <w:gridCol w:w="748"/>
              <w:gridCol w:w="914"/>
              <w:gridCol w:w="1036"/>
              <w:gridCol w:w="1095"/>
              <w:gridCol w:w="1035"/>
              <w:gridCol w:w="1015"/>
              <w:gridCol w:w="817"/>
              <w:gridCol w:w="523"/>
              <w:gridCol w:w="990"/>
              <w:gridCol w:w="1260"/>
              <w:gridCol w:w="1021"/>
              <w:gridCol w:w="42"/>
              <w:gridCol w:w="980"/>
              <w:gridCol w:w="705"/>
            </w:tblGrid>
            <w:tr w14:paraId="01C23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73" w:type="pct"/>
                  <w:vMerge w:val="restart"/>
                  <w:noWrap w:val="0"/>
                  <w:vAlign w:val="center"/>
                </w:tcPr>
                <w:p w14:paraId="1C3976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工序</w:t>
                  </w:r>
                </w:p>
              </w:tc>
              <w:tc>
                <w:tcPr>
                  <w:tcW w:w="285" w:type="pct"/>
                  <w:vMerge w:val="restart"/>
                  <w:noWrap w:val="0"/>
                  <w:vAlign w:val="center"/>
                </w:tcPr>
                <w:p w14:paraId="77D1FD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装置</w:t>
                  </w:r>
                </w:p>
              </w:tc>
              <w:tc>
                <w:tcPr>
                  <w:tcW w:w="278" w:type="pct"/>
                  <w:vMerge w:val="restart"/>
                  <w:noWrap w:val="0"/>
                  <w:vAlign w:val="center"/>
                </w:tcPr>
                <w:p w14:paraId="2AF361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污染源</w:t>
                  </w:r>
                </w:p>
              </w:tc>
              <w:tc>
                <w:tcPr>
                  <w:tcW w:w="340" w:type="pct"/>
                  <w:vMerge w:val="restart"/>
                  <w:noWrap w:val="0"/>
                  <w:vAlign w:val="center"/>
                </w:tcPr>
                <w:p w14:paraId="5F28D8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污染物</w:t>
                  </w:r>
                </w:p>
              </w:tc>
              <w:tc>
                <w:tcPr>
                  <w:tcW w:w="1558" w:type="pct"/>
                  <w:gridSpan w:val="4"/>
                  <w:noWrap w:val="0"/>
                  <w:vAlign w:val="center"/>
                </w:tcPr>
                <w:p w14:paraId="7CDC93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污染物产生</w:t>
                  </w:r>
                </w:p>
              </w:tc>
              <w:tc>
                <w:tcPr>
                  <w:tcW w:w="499" w:type="pct"/>
                  <w:gridSpan w:val="2"/>
                  <w:noWrap w:val="0"/>
                  <w:vAlign w:val="center"/>
                </w:tcPr>
                <w:p w14:paraId="1E57D6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治理措施</w:t>
                  </w:r>
                </w:p>
              </w:tc>
              <w:tc>
                <w:tcPr>
                  <w:tcW w:w="1600" w:type="pct"/>
                  <w:gridSpan w:val="5"/>
                  <w:noWrap w:val="0"/>
                  <w:vAlign w:val="center"/>
                </w:tcPr>
                <w:p w14:paraId="577862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污染物排放</w:t>
                  </w:r>
                </w:p>
              </w:tc>
              <w:tc>
                <w:tcPr>
                  <w:tcW w:w="262" w:type="pct"/>
                  <w:vMerge w:val="restart"/>
                  <w:noWrap w:val="0"/>
                  <w:vAlign w:val="center"/>
                </w:tcPr>
                <w:p w14:paraId="4FE2D3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排放时间h</w:t>
                  </w:r>
                </w:p>
              </w:tc>
            </w:tr>
            <w:tr w14:paraId="3F6DF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9" w:hRule="exact"/>
                <w:jc w:val="center"/>
              </w:trPr>
              <w:tc>
                <w:tcPr>
                  <w:tcW w:w="173" w:type="pct"/>
                  <w:vMerge w:val="continue"/>
                  <w:noWrap w:val="0"/>
                  <w:vAlign w:val="center"/>
                </w:tcPr>
                <w:p w14:paraId="218D63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285" w:type="pct"/>
                  <w:vMerge w:val="continue"/>
                  <w:noWrap w:val="0"/>
                  <w:vAlign w:val="center"/>
                </w:tcPr>
                <w:p w14:paraId="7E0099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278" w:type="pct"/>
                  <w:vMerge w:val="continue"/>
                  <w:noWrap w:val="0"/>
                  <w:vAlign w:val="center"/>
                </w:tcPr>
                <w:p w14:paraId="05CC73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340" w:type="pct"/>
                  <w:vMerge w:val="continue"/>
                  <w:noWrap w:val="0"/>
                  <w:vAlign w:val="center"/>
                </w:tcPr>
                <w:p w14:paraId="67ACDE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386" w:type="pct"/>
                  <w:noWrap w:val="0"/>
                  <w:vAlign w:val="center"/>
                </w:tcPr>
                <w:p w14:paraId="51BA94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核算</w:t>
                  </w:r>
                </w:p>
                <w:p w14:paraId="456FEB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方法</w:t>
                  </w:r>
                </w:p>
              </w:tc>
              <w:tc>
                <w:tcPr>
                  <w:tcW w:w="408" w:type="pct"/>
                  <w:noWrap w:val="0"/>
                  <w:vAlign w:val="center"/>
                </w:tcPr>
                <w:p w14:paraId="05BBAE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废气产生量</w:t>
                  </w:r>
                  <w:r>
                    <w:rPr>
                      <w:rFonts w:hint="default" w:ascii="Times New Roman" w:hAnsi="Times New Roman" w:eastAsia="宋体" w:cs="Times New Roman"/>
                      <w:color w:val="auto"/>
                      <w:spacing w:val="0"/>
                      <w:sz w:val="21"/>
                      <w:szCs w:val="21"/>
                      <w:highlight w:val="none"/>
                      <w:lang w:eastAsia="zh-CN"/>
                    </w:rPr>
                    <w:t>m</w:t>
                  </w:r>
                  <w:r>
                    <w:rPr>
                      <w:rFonts w:hint="default" w:ascii="Times New Roman" w:hAnsi="Times New Roman" w:eastAsia="宋体" w:cs="Times New Roman"/>
                      <w:caps w:val="0"/>
                      <w:smallCaps w:val="0"/>
                      <w:strike w:val="0"/>
                      <w:dstrike w:val="0"/>
                      <w:vanish w:val="0"/>
                      <w:color w:val="auto"/>
                      <w:spacing w:val="0"/>
                      <w:sz w:val="21"/>
                      <w:szCs w:val="21"/>
                      <w:highlight w:val="none"/>
                      <w:vertAlign w:val="superscript"/>
                      <w:lang w:eastAsia="zh-CN"/>
                    </w:rPr>
                    <w:t>3</w:t>
                  </w:r>
                  <w:r>
                    <w:rPr>
                      <w:rFonts w:hint="default" w:ascii="Times New Roman" w:hAnsi="Times New Roman" w:eastAsia="宋体" w:cs="Times New Roman"/>
                      <w:color w:val="auto"/>
                      <w:spacing w:val="0"/>
                      <w:sz w:val="21"/>
                      <w:szCs w:val="21"/>
                      <w:highlight w:val="none"/>
                    </w:rPr>
                    <w:t>/a</w:t>
                  </w:r>
                </w:p>
              </w:tc>
              <w:tc>
                <w:tcPr>
                  <w:tcW w:w="385" w:type="pct"/>
                  <w:noWrap w:val="0"/>
                  <w:vAlign w:val="center"/>
                </w:tcPr>
                <w:p w14:paraId="0D6F65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产生浓度mg/</w:t>
                  </w:r>
                  <w:r>
                    <w:rPr>
                      <w:rFonts w:hint="default" w:ascii="Times New Roman" w:hAnsi="Times New Roman" w:eastAsia="宋体" w:cs="Times New Roman"/>
                      <w:color w:val="auto"/>
                      <w:spacing w:val="0"/>
                      <w:sz w:val="21"/>
                      <w:szCs w:val="21"/>
                      <w:highlight w:val="none"/>
                      <w:lang w:eastAsia="zh-CN"/>
                    </w:rPr>
                    <w:t>m</w:t>
                  </w:r>
                  <w:r>
                    <w:rPr>
                      <w:rFonts w:hint="default" w:ascii="Times New Roman" w:hAnsi="Times New Roman" w:eastAsia="宋体" w:cs="Times New Roman"/>
                      <w:caps w:val="0"/>
                      <w:smallCaps w:val="0"/>
                      <w:strike w:val="0"/>
                      <w:dstrike w:val="0"/>
                      <w:vanish w:val="0"/>
                      <w:color w:val="auto"/>
                      <w:spacing w:val="0"/>
                      <w:sz w:val="21"/>
                      <w:szCs w:val="21"/>
                      <w:highlight w:val="none"/>
                      <w:vertAlign w:val="superscript"/>
                      <w:lang w:eastAsia="zh-CN"/>
                    </w:rPr>
                    <w:t>3</w:t>
                  </w:r>
                </w:p>
              </w:tc>
              <w:tc>
                <w:tcPr>
                  <w:tcW w:w="378" w:type="pct"/>
                  <w:noWrap w:val="0"/>
                  <w:vAlign w:val="center"/>
                </w:tcPr>
                <w:p w14:paraId="019C2B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产生量t/a</w:t>
                  </w:r>
                </w:p>
              </w:tc>
              <w:tc>
                <w:tcPr>
                  <w:tcW w:w="304" w:type="pct"/>
                  <w:noWrap w:val="0"/>
                  <w:vAlign w:val="center"/>
                </w:tcPr>
                <w:p w14:paraId="607791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工艺</w:t>
                  </w:r>
                </w:p>
              </w:tc>
              <w:tc>
                <w:tcPr>
                  <w:tcW w:w="194" w:type="pct"/>
                  <w:noWrap w:val="0"/>
                  <w:vAlign w:val="center"/>
                </w:tcPr>
                <w:p w14:paraId="0A0235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效率%</w:t>
                  </w:r>
                </w:p>
              </w:tc>
              <w:tc>
                <w:tcPr>
                  <w:tcW w:w="369" w:type="pct"/>
                  <w:noWrap w:val="0"/>
                  <w:vAlign w:val="center"/>
                </w:tcPr>
                <w:p w14:paraId="3254F4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核算</w:t>
                  </w:r>
                </w:p>
                <w:p w14:paraId="7FE154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方法</w:t>
                  </w:r>
                </w:p>
              </w:tc>
              <w:tc>
                <w:tcPr>
                  <w:tcW w:w="469" w:type="pct"/>
                  <w:noWrap w:val="0"/>
                  <w:vAlign w:val="center"/>
                </w:tcPr>
                <w:p w14:paraId="672EF7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废气产生量</w:t>
                  </w:r>
                  <w:r>
                    <w:rPr>
                      <w:rFonts w:hint="default" w:ascii="Times New Roman" w:hAnsi="Times New Roman" w:eastAsia="宋体" w:cs="Times New Roman"/>
                      <w:color w:val="auto"/>
                      <w:spacing w:val="0"/>
                      <w:sz w:val="21"/>
                      <w:szCs w:val="21"/>
                      <w:highlight w:val="none"/>
                      <w:lang w:eastAsia="zh-CN"/>
                    </w:rPr>
                    <w:t>m</w:t>
                  </w:r>
                  <w:r>
                    <w:rPr>
                      <w:rFonts w:hint="default" w:ascii="Times New Roman" w:hAnsi="Times New Roman" w:eastAsia="宋体" w:cs="Times New Roman"/>
                      <w:caps w:val="0"/>
                      <w:smallCaps w:val="0"/>
                      <w:strike w:val="0"/>
                      <w:dstrike w:val="0"/>
                      <w:vanish w:val="0"/>
                      <w:color w:val="auto"/>
                      <w:spacing w:val="0"/>
                      <w:sz w:val="21"/>
                      <w:szCs w:val="21"/>
                      <w:highlight w:val="none"/>
                      <w:vertAlign w:val="superscript"/>
                      <w:lang w:eastAsia="zh-CN"/>
                    </w:rPr>
                    <w:t>3</w:t>
                  </w:r>
                  <w:r>
                    <w:rPr>
                      <w:rFonts w:hint="default"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lang w:val="en-US" w:eastAsia="zh-CN"/>
                    </w:rPr>
                    <w:t>a</w:t>
                  </w:r>
                </w:p>
              </w:tc>
              <w:tc>
                <w:tcPr>
                  <w:tcW w:w="396" w:type="pct"/>
                  <w:gridSpan w:val="2"/>
                  <w:noWrap w:val="0"/>
                  <w:vAlign w:val="center"/>
                </w:tcPr>
                <w:p w14:paraId="21D5A3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排放浓度</w:t>
                  </w:r>
                </w:p>
                <w:p w14:paraId="4811DB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rPr>
                    <w:t>mg/</w:t>
                  </w:r>
                  <w:r>
                    <w:rPr>
                      <w:rFonts w:hint="default" w:ascii="Times New Roman" w:hAnsi="Times New Roman" w:eastAsia="宋体" w:cs="Times New Roman"/>
                      <w:color w:val="auto"/>
                      <w:spacing w:val="0"/>
                      <w:sz w:val="21"/>
                      <w:szCs w:val="21"/>
                      <w:highlight w:val="none"/>
                      <w:lang w:eastAsia="zh-CN"/>
                    </w:rPr>
                    <w:t>m</w:t>
                  </w:r>
                  <w:r>
                    <w:rPr>
                      <w:rFonts w:hint="default" w:ascii="Times New Roman" w:hAnsi="Times New Roman" w:eastAsia="宋体" w:cs="Times New Roman"/>
                      <w:caps w:val="0"/>
                      <w:smallCaps w:val="0"/>
                      <w:strike w:val="0"/>
                      <w:dstrike w:val="0"/>
                      <w:vanish w:val="0"/>
                      <w:color w:val="auto"/>
                      <w:spacing w:val="0"/>
                      <w:sz w:val="21"/>
                      <w:szCs w:val="21"/>
                      <w:highlight w:val="none"/>
                      <w:vertAlign w:val="superscript"/>
                      <w:lang w:eastAsia="zh-CN"/>
                    </w:rPr>
                    <w:t>3</w:t>
                  </w:r>
                </w:p>
              </w:tc>
              <w:tc>
                <w:tcPr>
                  <w:tcW w:w="365" w:type="pct"/>
                  <w:noWrap w:val="0"/>
                  <w:vAlign w:val="center"/>
                </w:tcPr>
                <w:p w14:paraId="4D9B0C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排放量</w:t>
                  </w:r>
                </w:p>
                <w:p w14:paraId="76ACEE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t/a</w:t>
                  </w:r>
                </w:p>
              </w:tc>
              <w:tc>
                <w:tcPr>
                  <w:tcW w:w="262" w:type="pct"/>
                  <w:vMerge w:val="continue"/>
                  <w:noWrap w:val="0"/>
                  <w:vAlign w:val="center"/>
                </w:tcPr>
                <w:p w14:paraId="68332A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r>
            <w:tr w14:paraId="3096B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exact"/>
                <w:jc w:val="center"/>
              </w:trPr>
              <w:tc>
                <w:tcPr>
                  <w:tcW w:w="173" w:type="pct"/>
                  <w:vMerge w:val="restart"/>
                  <w:noWrap w:val="0"/>
                  <w:vAlign w:val="center"/>
                </w:tcPr>
                <w:p w14:paraId="0B1EF0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bookmarkStart w:id="9" w:name="OLE_LINK10" w:colFirst="7" w:colLast="7"/>
                  <w:bookmarkStart w:id="10" w:name="OLE_LINK6" w:colFirst="5" w:colLast="7"/>
                  <w:bookmarkStart w:id="11" w:name="OLE_LINK8" w:colFirst="6" w:colLast="7"/>
                  <w:bookmarkStart w:id="12" w:name="OLE_LINK9" w:colFirst="6" w:colLast="6"/>
                  <w:r>
                    <w:rPr>
                      <w:rFonts w:hint="default" w:ascii="Times New Roman" w:hAnsi="Times New Roman" w:eastAsia="宋体" w:cs="Times New Roman"/>
                      <w:color w:val="auto"/>
                      <w:spacing w:val="0"/>
                      <w:sz w:val="21"/>
                      <w:szCs w:val="21"/>
                      <w:highlight w:val="none"/>
                    </w:rPr>
                    <w:t>锅炉房</w:t>
                  </w:r>
                </w:p>
              </w:tc>
              <w:tc>
                <w:tcPr>
                  <w:tcW w:w="285" w:type="pct"/>
                  <w:vMerge w:val="restart"/>
                  <w:noWrap w:val="0"/>
                  <w:vAlign w:val="center"/>
                </w:tcPr>
                <w:p w14:paraId="54C0A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spacing w:val="0"/>
                      <w:sz w:val="21"/>
                      <w:szCs w:val="21"/>
                      <w:highlight w:val="none"/>
                      <w:lang w:val="en-US" w:eastAsia="zh-CN"/>
                    </w:rPr>
                    <w:t>10t/h</w:t>
                  </w:r>
                  <w:r>
                    <w:rPr>
                      <w:rFonts w:hint="default" w:ascii="Times New Roman" w:hAnsi="Times New Roman" w:eastAsia="宋体" w:cs="Times New Roman"/>
                      <w:color w:val="auto"/>
                      <w:spacing w:val="0"/>
                      <w:sz w:val="21"/>
                      <w:szCs w:val="21"/>
                      <w:highlight w:val="none"/>
                      <w:lang w:val="en-US" w:eastAsia="zh-CN"/>
                    </w:rPr>
                    <w:t>锅炉</w:t>
                  </w:r>
                </w:p>
              </w:tc>
              <w:tc>
                <w:tcPr>
                  <w:tcW w:w="278" w:type="pct"/>
                  <w:vMerge w:val="restart"/>
                  <w:noWrap w:val="0"/>
                  <w:vAlign w:val="center"/>
                </w:tcPr>
                <w:p w14:paraId="3EC5CA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spacing w:val="0"/>
                      <w:sz w:val="21"/>
                      <w:szCs w:val="21"/>
                      <w:highlight w:val="none"/>
                      <w:lang w:val="en-US" w:eastAsia="zh-CN"/>
                    </w:rPr>
                    <w:t>4</w:t>
                  </w:r>
                  <w:r>
                    <w:rPr>
                      <w:rFonts w:hint="default" w:ascii="Times New Roman" w:hAnsi="Times New Roman" w:eastAsia="宋体" w:cs="Times New Roman"/>
                      <w:color w:val="auto"/>
                      <w:spacing w:val="0"/>
                      <w:sz w:val="21"/>
                      <w:szCs w:val="21"/>
                      <w:highlight w:val="none"/>
                      <w:lang w:val="en-US" w:eastAsia="zh-CN"/>
                    </w:rPr>
                    <w:t>0</w:t>
                  </w:r>
                  <w:r>
                    <w:rPr>
                      <w:rFonts w:hint="default" w:ascii="Times New Roman" w:hAnsi="Times New Roman" w:eastAsia="宋体" w:cs="Times New Roman"/>
                      <w:color w:val="auto"/>
                      <w:spacing w:val="0"/>
                      <w:sz w:val="21"/>
                      <w:szCs w:val="21"/>
                      <w:highlight w:val="none"/>
                    </w:rPr>
                    <w:t>米高烟囱</w:t>
                  </w:r>
                </w:p>
              </w:tc>
              <w:tc>
                <w:tcPr>
                  <w:tcW w:w="340" w:type="pct"/>
                  <w:noWrap w:val="0"/>
                  <w:vAlign w:val="center"/>
                </w:tcPr>
                <w:p w14:paraId="0314D9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21"/>
                      <w:sz w:val="21"/>
                      <w:szCs w:val="21"/>
                      <w:highlight w:val="none"/>
                    </w:rPr>
                    <w:t>颗粒物</w:t>
                  </w:r>
                </w:p>
              </w:tc>
              <w:tc>
                <w:tcPr>
                  <w:tcW w:w="386" w:type="pct"/>
                  <w:noWrap w:val="0"/>
                  <w:vAlign w:val="center"/>
                </w:tcPr>
                <w:p w14:paraId="774543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物料衡算法</w:t>
                  </w:r>
                </w:p>
              </w:tc>
              <w:tc>
                <w:tcPr>
                  <w:tcW w:w="408" w:type="pct"/>
                  <w:vMerge w:val="restart"/>
                  <w:noWrap w:val="0"/>
                  <w:vAlign w:val="center"/>
                </w:tcPr>
                <w:p w14:paraId="106D46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spacing w:val="0"/>
                      <w:sz w:val="21"/>
                      <w:szCs w:val="21"/>
                      <w:highlight w:val="none"/>
                      <w:lang w:eastAsia="zh-CN"/>
                    </w:rPr>
                    <w:t>40357159.92</w:t>
                  </w:r>
                </w:p>
              </w:tc>
              <w:tc>
                <w:tcPr>
                  <w:tcW w:w="385" w:type="pct"/>
                  <w:noWrap w:val="0"/>
                  <w:vAlign w:val="center"/>
                </w:tcPr>
                <w:p w14:paraId="567C0B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12118.643</w:t>
                  </w:r>
                </w:p>
              </w:tc>
              <w:tc>
                <w:tcPr>
                  <w:tcW w:w="378" w:type="pct"/>
                  <w:noWrap w:val="0"/>
                  <w:vAlign w:val="center"/>
                </w:tcPr>
                <w:p w14:paraId="7BD3E3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489.074</w:t>
                  </w:r>
                </w:p>
              </w:tc>
              <w:tc>
                <w:tcPr>
                  <w:tcW w:w="304" w:type="pct"/>
                  <w:noWrap w:val="0"/>
                  <w:vAlign w:val="center"/>
                </w:tcPr>
                <w:p w14:paraId="4C5FF9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布袋除尘器</w:t>
                  </w:r>
                </w:p>
              </w:tc>
              <w:tc>
                <w:tcPr>
                  <w:tcW w:w="194" w:type="pct"/>
                  <w:noWrap w:val="0"/>
                  <w:vAlign w:val="center"/>
                </w:tcPr>
                <w:p w14:paraId="41C3F5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99</w:t>
                  </w:r>
                  <w:r>
                    <w:rPr>
                      <w:rFonts w:hint="default" w:ascii="Times New Roman" w:hAnsi="Times New Roman" w:cs="Times New Roman"/>
                      <w:color w:val="auto"/>
                      <w:spacing w:val="0"/>
                      <w:kern w:val="21"/>
                      <w:sz w:val="21"/>
                      <w:szCs w:val="21"/>
                      <w:highlight w:val="none"/>
                      <w:lang w:val="en-US" w:eastAsia="zh-CN"/>
                    </w:rPr>
                    <w:t>.9</w:t>
                  </w:r>
                </w:p>
              </w:tc>
              <w:tc>
                <w:tcPr>
                  <w:tcW w:w="369" w:type="pct"/>
                  <w:noWrap w:val="0"/>
                  <w:vAlign w:val="center"/>
                </w:tcPr>
                <w:p w14:paraId="6B3969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lang w:val="en-US" w:eastAsia="zh-CN"/>
                    </w:rPr>
                    <w:t>物料衡算法</w:t>
                  </w:r>
                </w:p>
              </w:tc>
              <w:tc>
                <w:tcPr>
                  <w:tcW w:w="469" w:type="pct"/>
                  <w:vMerge w:val="restart"/>
                  <w:noWrap w:val="0"/>
                  <w:vAlign w:val="center"/>
                </w:tcPr>
                <w:p w14:paraId="15628D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rPr>
                  </w:pPr>
                  <w:r>
                    <w:rPr>
                      <w:rFonts w:hint="default" w:ascii="Times New Roman" w:hAnsi="Times New Roman" w:cs="Times New Roman"/>
                      <w:color w:val="auto"/>
                      <w:spacing w:val="0"/>
                      <w:sz w:val="21"/>
                      <w:szCs w:val="21"/>
                      <w:highlight w:val="none"/>
                      <w:lang w:eastAsia="zh-CN"/>
                    </w:rPr>
                    <w:t>40357159.92</w:t>
                  </w:r>
                </w:p>
              </w:tc>
              <w:tc>
                <w:tcPr>
                  <w:tcW w:w="396" w:type="pct"/>
                  <w:gridSpan w:val="2"/>
                  <w:noWrap w:val="0"/>
                  <w:vAlign w:val="center"/>
                </w:tcPr>
                <w:p w14:paraId="4293FC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12.119</w:t>
                  </w:r>
                </w:p>
              </w:tc>
              <w:tc>
                <w:tcPr>
                  <w:tcW w:w="365" w:type="pct"/>
                  <w:noWrap w:val="0"/>
                  <w:vAlign w:val="center"/>
                </w:tcPr>
                <w:p w14:paraId="547A9A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0.489</w:t>
                  </w:r>
                </w:p>
              </w:tc>
              <w:tc>
                <w:tcPr>
                  <w:tcW w:w="262" w:type="pct"/>
                  <w:vMerge w:val="restart"/>
                  <w:noWrap w:val="0"/>
                  <w:vAlign w:val="center"/>
                </w:tcPr>
                <w:p w14:paraId="298BCD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4800</w:t>
                  </w:r>
                </w:p>
              </w:tc>
            </w:tr>
            <w:tr w14:paraId="09AF7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 w:type="pct"/>
                  <w:vMerge w:val="continue"/>
                  <w:noWrap w:val="0"/>
                  <w:vAlign w:val="center"/>
                </w:tcPr>
                <w:p w14:paraId="0A8A10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285" w:type="pct"/>
                  <w:vMerge w:val="continue"/>
                  <w:noWrap w:val="0"/>
                  <w:vAlign w:val="center"/>
                </w:tcPr>
                <w:p w14:paraId="39529E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278" w:type="pct"/>
                  <w:vMerge w:val="continue"/>
                  <w:noWrap w:val="0"/>
                  <w:vAlign w:val="center"/>
                </w:tcPr>
                <w:p w14:paraId="7374A4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340" w:type="pct"/>
                  <w:noWrap w:val="0"/>
                  <w:vAlign w:val="center"/>
                </w:tcPr>
                <w:p w14:paraId="67498E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21"/>
                      <w:sz w:val="21"/>
                      <w:szCs w:val="21"/>
                      <w:highlight w:val="none"/>
                    </w:rPr>
                    <w:t>SO</w:t>
                  </w:r>
                  <w:r>
                    <w:rPr>
                      <w:rFonts w:hint="default" w:ascii="Times New Roman" w:hAnsi="Times New Roman" w:eastAsia="宋体" w:cs="Times New Roman"/>
                      <w:color w:val="auto"/>
                      <w:spacing w:val="0"/>
                      <w:kern w:val="21"/>
                      <w:sz w:val="21"/>
                      <w:szCs w:val="21"/>
                      <w:highlight w:val="none"/>
                      <w:vertAlign w:val="subscript"/>
                    </w:rPr>
                    <w:t>2</w:t>
                  </w:r>
                </w:p>
              </w:tc>
              <w:tc>
                <w:tcPr>
                  <w:tcW w:w="386" w:type="pct"/>
                  <w:noWrap w:val="0"/>
                  <w:vAlign w:val="center"/>
                </w:tcPr>
                <w:p w14:paraId="4F24E8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物料衡算法</w:t>
                  </w:r>
                </w:p>
              </w:tc>
              <w:tc>
                <w:tcPr>
                  <w:tcW w:w="408" w:type="pct"/>
                  <w:vMerge w:val="continue"/>
                  <w:noWrap w:val="0"/>
                  <w:vAlign w:val="center"/>
                </w:tcPr>
                <w:p w14:paraId="46B6E7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385" w:type="pct"/>
                  <w:noWrap w:val="0"/>
                  <w:vAlign w:val="center"/>
                </w:tcPr>
                <w:p w14:paraId="387F63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108.731</w:t>
                  </w:r>
                </w:p>
              </w:tc>
              <w:tc>
                <w:tcPr>
                  <w:tcW w:w="378" w:type="pct"/>
                  <w:noWrap w:val="0"/>
                  <w:vAlign w:val="center"/>
                </w:tcPr>
                <w:p w14:paraId="078939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4.388</w:t>
                  </w:r>
                </w:p>
              </w:tc>
              <w:tc>
                <w:tcPr>
                  <w:tcW w:w="304" w:type="pct"/>
                  <w:noWrap w:val="0"/>
                  <w:vAlign w:val="center"/>
                </w:tcPr>
                <w:p w14:paraId="47D78D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c>
                <w:tcPr>
                  <w:tcW w:w="194" w:type="pct"/>
                  <w:noWrap w:val="0"/>
                  <w:vAlign w:val="center"/>
                </w:tcPr>
                <w:p w14:paraId="487D85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21"/>
                      <w:sz w:val="21"/>
                      <w:szCs w:val="21"/>
                      <w:highlight w:val="none"/>
                    </w:rPr>
                    <w:t>/</w:t>
                  </w:r>
                </w:p>
              </w:tc>
              <w:tc>
                <w:tcPr>
                  <w:tcW w:w="369" w:type="pct"/>
                  <w:noWrap w:val="0"/>
                  <w:vAlign w:val="center"/>
                </w:tcPr>
                <w:p w14:paraId="71ECE8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lang w:val="en-US" w:eastAsia="zh-CN"/>
                    </w:rPr>
                    <w:t>物料衡算法</w:t>
                  </w:r>
                </w:p>
              </w:tc>
              <w:tc>
                <w:tcPr>
                  <w:tcW w:w="469" w:type="pct"/>
                  <w:vMerge w:val="continue"/>
                  <w:noWrap w:val="0"/>
                  <w:vAlign w:val="center"/>
                </w:tcPr>
                <w:p w14:paraId="5BAC3A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1063" w:type="dxa"/>
                  <w:gridSpan w:val="2"/>
                  <w:noWrap w:val="0"/>
                  <w:vAlign w:val="center"/>
                </w:tcPr>
                <w:p w14:paraId="20D53B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108.731</w:t>
                  </w:r>
                </w:p>
              </w:tc>
              <w:tc>
                <w:tcPr>
                  <w:tcW w:w="980" w:type="dxa"/>
                  <w:noWrap w:val="0"/>
                  <w:vAlign w:val="center"/>
                </w:tcPr>
                <w:p w14:paraId="579E3C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4.388</w:t>
                  </w:r>
                </w:p>
              </w:tc>
              <w:tc>
                <w:tcPr>
                  <w:tcW w:w="262" w:type="pct"/>
                  <w:vMerge w:val="continue"/>
                  <w:noWrap w:val="0"/>
                  <w:vAlign w:val="center"/>
                </w:tcPr>
                <w:p w14:paraId="06FA64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r>
            <w:tr w14:paraId="16E34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 w:type="pct"/>
                  <w:vMerge w:val="continue"/>
                  <w:noWrap w:val="0"/>
                  <w:vAlign w:val="center"/>
                </w:tcPr>
                <w:p w14:paraId="2C1E23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285" w:type="pct"/>
                  <w:vMerge w:val="continue"/>
                  <w:noWrap w:val="0"/>
                  <w:vAlign w:val="center"/>
                </w:tcPr>
                <w:p w14:paraId="175E1D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278" w:type="pct"/>
                  <w:vMerge w:val="continue"/>
                  <w:noWrap w:val="0"/>
                  <w:vAlign w:val="center"/>
                </w:tcPr>
                <w:p w14:paraId="3613B3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340" w:type="pct"/>
                  <w:noWrap w:val="0"/>
                  <w:vAlign w:val="center"/>
                </w:tcPr>
                <w:p w14:paraId="58687E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kern w:val="21"/>
                      <w:sz w:val="21"/>
                      <w:szCs w:val="21"/>
                      <w:highlight w:val="none"/>
                    </w:rPr>
                    <w:t>NO</w:t>
                  </w:r>
                  <w:r>
                    <w:rPr>
                      <w:rFonts w:hint="default" w:ascii="Times New Roman" w:hAnsi="Times New Roman" w:eastAsia="宋体" w:cs="Times New Roman"/>
                      <w:color w:val="auto"/>
                      <w:spacing w:val="0"/>
                      <w:kern w:val="21"/>
                      <w:sz w:val="21"/>
                      <w:szCs w:val="21"/>
                      <w:highlight w:val="none"/>
                      <w:vertAlign w:val="subscript"/>
                    </w:rPr>
                    <w:t>X</w:t>
                  </w:r>
                </w:p>
              </w:tc>
              <w:tc>
                <w:tcPr>
                  <w:tcW w:w="386" w:type="pct"/>
                  <w:noWrap w:val="0"/>
                  <w:vAlign w:val="center"/>
                </w:tcPr>
                <w:p w14:paraId="7DD107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系数</w:t>
                  </w:r>
                  <w:r>
                    <w:rPr>
                      <w:rFonts w:hint="default" w:ascii="Times New Roman" w:hAnsi="Times New Roman" w:eastAsia="宋体" w:cs="Times New Roman"/>
                      <w:color w:val="auto"/>
                      <w:spacing w:val="0"/>
                      <w:sz w:val="21"/>
                      <w:szCs w:val="21"/>
                      <w:highlight w:val="none"/>
                      <w:lang w:val="en-US" w:eastAsia="zh-CN"/>
                    </w:rPr>
                    <w:t>法</w:t>
                  </w:r>
                </w:p>
              </w:tc>
              <w:tc>
                <w:tcPr>
                  <w:tcW w:w="408" w:type="pct"/>
                  <w:vMerge w:val="continue"/>
                  <w:noWrap w:val="0"/>
                  <w:vAlign w:val="center"/>
                </w:tcPr>
                <w:p w14:paraId="750727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385" w:type="pct"/>
                  <w:noWrap w:val="0"/>
                  <w:vAlign w:val="center"/>
                </w:tcPr>
                <w:p w14:paraId="19D8FB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167</w:t>
                  </w:r>
                </w:p>
              </w:tc>
              <w:tc>
                <w:tcPr>
                  <w:tcW w:w="378" w:type="pct"/>
                  <w:noWrap w:val="0"/>
                  <w:vAlign w:val="center"/>
                </w:tcPr>
                <w:p w14:paraId="0FA816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6.7396</w:t>
                  </w:r>
                </w:p>
              </w:tc>
              <w:tc>
                <w:tcPr>
                  <w:tcW w:w="304" w:type="pct"/>
                  <w:noWrap w:val="0"/>
                  <w:vAlign w:val="center"/>
                </w:tcPr>
                <w:p w14:paraId="5832F6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194" w:type="pct"/>
                  <w:noWrap w:val="0"/>
                  <w:vAlign w:val="center"/>
                </w:tcPr>
                <w:p w14:paraId="2031D9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369" w:type="pct"/>
                  <w:noWrap w:val="0"/>
                  <w:vAlign w:val="center"/>
                </w:tcPr>
                <w:p w14:paraId="7D7141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spacing w:val="0"/>
                      <w:sz w:val="21"/>
                      <w:szCs w:val="21"/>
                      <w:highlight w:val="none"/>
                      <w:lang w:val="en-US" w:eastAsia="zh-CN"/>
                    </w:rPr>
                    <w:t>系数</w:t>
                  </w:r>
                  <w:r>
                    <w:rPr>
                      <w:rFonts w:hint="default" w:ascii="Times New Roman" w:hAnsi="Times New Roman" w:eastAsia="宋体" w:cs="Times New Roman"/>
                      <w:color w:val="auto"/>
                      <w:spacing w:val="0"/>
                      <w:sz w:val="21"/>
                      <w:szCs w:val="21"/>
                      <w:highlight w:val="none"/>
                      <w:lang w:val="en-US" w:eastAsia="zh-CN"/>
                    </w:rPr>
                    <w:t>法</w:t>
                  </w:r>
                </w:p>
              </w:tc>
              <w:tc>
                <w:tcPr>
                  <w:tcW w:w="469" w:type="pct"/>
                  <w:vMerge w:val="continue"/>
                  <w:noWrap w:val="0"/>
                  <w:vAlign w:val="center"/>
                </w:tcPr>
                <w:p w14:paraId="3ADC05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1063" w:type="dxa"/>
                  <w:gridSpan w:val="2"/>
                  <w:noWrap w:val="0"/>
                  <w:vAlign w:val="center"/>
                </w:tcPr>
                <w:p w14:paraId="645A65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167</w:t>
                  </w:r>
                </w:p>
              </w:tc>
              <w:tc>
                <w:tcPr>
                  <w:tcW w:w="980" w:type="dxa"/>
                  <w:noWrap w:val="0"/>
                  <w:vAlign w:val="center"/>
                </w:tcPr>
                <w:p w14:paraId="7C4BCC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6.7396</w:t>
                  </w:r>
                </w:p>
              </w:tc>
              <w:tc>
                <w:tcPr>
                  <w:tcW w:w="262" w:type="pct"/>
                  <w:vMerge w:val="continue"/>
                  <w:noWrap w:val="0"/>
                  <w:vAlign w:val="center"/>
                </w:tcPr>
                <w:p w14:paraId="61A864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r>
            <w:bookmarkEnd w:id="9"/>
            <w:bookmarkEnd w:id="10"/>
            <w:bookmarkEnd w:id="11"/>
            <w:bookmarkEnd w:id="12"/>
            <w:tr w14:paraId="0AC55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 w:type="pct"/>
                  <w:vMerge w:val="continue"/>
                  <w:noWrap w:val="0"/>
                  <w:vAlign w:val="center"/>
                </w:tcPr>
                <w:p w14:paraId="2A9462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285" w:type="pct"/>
                  <w:vMerge w:val="continue"/>
                  <w:noWrap w:val="0"/>
                  <w:vAlign w:val="center"/>
                </w:tcPr>
                <w:p w14:paraId="6B1DCC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278" w:type="pct"/>
                  <w:vMerge w:val="continue"/>
                  <w:noWrap w:val="0"/>
                  <w:vAlign w:val="center"/>
                </w:tcPr>
                <w:p w14:paraId="4305C1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340" w:type="pct"/>
                  <w:noWrap w:val="0"/>
                  <w:vAlign w:val="center"/>
                </w:tcPr>
                <w:p w14:paraId="6AF51A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烟气黑度</w:t>
                  </w:r>
                </w:p>
              </w:tc>
              <w:tc>
                <w:tcPr>
                  <w:tcW w:w="386" w:type="pct"/>
                  <w:noWrap w:val="0"/>
                  <w:vAlign w:val="center"/>
                </w:tcPr>
                <w:p w14:paraId="276F2E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c>
                <w:tcPr>
                  <w:tcW w:w="408" w:type="pct"/>
                  <w:vMerge w:val="continue"/>
                  <w:noWrap w:val="0"/>
                  <w:vAlign w:val="center"/>
                </w:tcPr>
                <w:p w14:paraId="528951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764" w:type="pct"/>
                  <w:gridSpan w:val="2"/>
                  <w:noWrap w:val="0"/>
                  <w:vAlign w:val="center"/>
                </w:tcPr>
                <w:p w14:paraId="6EA463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＜1（林格曼等级）</w:t>
                  </w:r>
                </w:p>
              </w:tc>
              <w:tc>
                <w:tcPr>
                  <w:tcW w:w="304" w:type="pct"/>
                  <w:noWrap w:val="0"/>
                  <w:vAlign w:val="center"/>
                </w:tcPr>
                <w:p w14:paraId="715E9C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194" w:type="pct"/>
                  <w:noWrap w:val="0"/>
                  <w:vAlign w:val="center"/>
                </w:tcPr>
                <w:p w14:paraId="502CF8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1"/>
                      <w:sz w:val="21"/>
                      <w:szCs w:val="21"/>
                      <w:highlight w:val="none"/>
                      <w:lang w:val="en-US" w:eastAsia="zh-CN"/>
                    </w:rPr>
                  </w:pPr>
                  <w:r>
                    <w:rPr>
                      <w:rFonts w:hint="default" w:ascii="Times New Roman" w:hAnsi="Times New Roman" w:eastAsia="宋体" w:cs="Times New Roman"/>
                      <w:color w:val="auto"/>
                      <w:spacing w:val="0"/>
                      <w:kern w:val="21"/>
                      <w:sz w:val="21"/>
                      <w:szCs w:val="21"/>
                      <w:highlight w:val="none"/>
                      <w:lang w:val="en-US" w:eastAsia="zh-CN"/>
                    </w:rPr>
                    <w:t>/</w:t>
                  </w:r>
                </w:p>
              </w:tc>
              <w:tc>
                <w:tcPr>
                  <w:tcW w:w="369" w:type="pct"/>
                  <w:noWrap w:val="0"/>
                  <w:vAlign w:val="center"/>
                </w:tcPr>
                <w:p w14:paraId="6C4C8A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c>
                <w:tcPr>
                  <w:tcW w:w="469" w:type="pct"/>
                  <w:vMerge w:val="continue"/>
                  <w:noWrap w:val="0"/>
                  <w:vAlign w:val="center"/>
                </w:tcPr>
                <w:p w14:paraId="39DE1A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761" w:type="pct"/>
                  <w:gridSpan w:val="3"/>
                  <w:noWrap w:val="0"/>
                  <w:vAlign w:val="center"/>
                </w:tcPr>
                <w:p w14:paraId="711BCF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＜1（林格曼等级）</w:t>
                  </w:r>
                </w:p>
              </w:tc>
              <w:tc>
                <w:tcPr>
                  <w:tcW w:w="262" w:type="pct"/>
                  <w:vMerge w:val="continue"/>
                  <w:noWrap w:val="0"/>
                  <w:vAlign w:val="center"/>
                </w:tcPr>
                <w:p w14:paraId="57CF2C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r>
            <w:tr w14:paraId="29EDB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9" w:hRule="exact"/>
                <w:jc w:val="center"/>
              </w:trPr>
              <w:tc>
                <w:tcPr>
                  <w:tcW w:w="173" w:type="pct"/>
                  <w:shd w:val="clear" w:color="auto" w:fill="auto"/>
                  <w:noWrap w:val="0"/>
                  <w:vAlign w:val="center"/>
                </w:tcPr>
                <w:p w14:paraId="17528935">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灰渣库</w:t>
                  </w:r>
                </w:p>
              </w:tc>
              <w:tc>
                <w:tcPr>
                  <w:tcW w:w="285" w:type="pct"/>
                  <w:shd w:val="clear" w:color="auto" w:fill="auto"/>
                  <w:noWrap w:val="0"/>
                  <w:vAlign w:val="center"/>
                </w:tcPr>
                <w:p w14:paraId="0A80B638">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灰渣库</w:t>
                  </w:r>
                </w:p>
              </w:tc>
              <w:tc>
                <w:tcPr>
                  <w:tcW w:w="278" w:type="pct"/>
                  <w:shd w:val="clear" w:color="auto" w:fill="auto"/>
                  <w:noWrap w:val="0"/>
                  <w:vAlign w:val="center"/>
                </w:tcPr>
                <w:p w14:paraId="0A0E5F93">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Cs/>
                      <w:color w:val="auto"/>
                      <w:spacing w:val="0"/>
                      <w:kern w:val="2"/>
                      <w:sz w:val="21"/>
                      <w:szCs w:val="21"/>
                      <w:highlight w:val="none"/>
                      <w:lang w:val="en-US" w:eastAsia="zh-CN" w:bidi="ar-SA"/>
                    </w:rPr>
                    <w:t>灰渣装卸、转运和储存</w:t>
                  </w:r>
                </w:p>
              </w:tc>
              <w:tc>
                <w:tcPr>
                  <w:tcW w:w="340" w:type="pct"/>
                  <w:shd w:val="clear" w:color="auto" w:fill="auto"/>
                  <w:noWrap w:val="0"/>
                  <w:vAlign w:val="center"/>
                </w:tcPr>
                <w:p w14:paraId="41B2392B">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颗粒物</w:t>
                  </w:r>
                </w:p>
              </w:tc>
              <w:tc>
                <w:tcPr>
                  <w:tcW w:w="386" w:type="pct"/>
                  <w:shd w:val="clear" w:color="auto" w:fill="auto"/>
                  <w:noWrap w:val="0"/>
                  <w:vAlign w:val="center"/>
                </w:tcPr>
                <w:p w14:paraId="525ECF9F">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lang w:eastAsia="zh-CN"/>
                    </w:rPr>
                    <w:t>产排污系数法</w:t>
                  </w:r>
                </w:p>
              </w:tc>
              <w:tc>
                <w:tcPr>
                  <w:tcW w:w="408" w:type="pct"/>
                  <w:shd w:val="clear" w:color="auto" w:fill="auto"/>
                  <w:noWrap w:val="0"/>
                  <w:vAlign w:val="center"/>
                </w:tcPr>
                <w:p w14:paraId="4F8A735F">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w:t>
                  </w:r>
                </w:p>
              </w:tc>
              <w:tc>
                <w:tcPr>
                  <w:tcW w:w="385" w:type="pct"/>
                  <w:shd w:val="clear" w:color="auto" w:fill="auto"/>
                  <w:noWrap w:val="0"/>
                  <w:vAlign w:val="center"/>
                </w:tcPr>
                <w:p w14:paraId="36F79933">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w:t>
                  </w:r>
                </w:p>
              </w:tc>
              <w:tc>
                <w:tcPr>
                  <w:tcW w:w="378" w:type="pct"/>
                  <w:shd w:val="clear" w:color="auto" w:fill="auto"/>
                  <w:noWrap w:val="0"/>
                  <w:vAlign w:val="center"/>
                </w:tcPr>
                <w:p w14:paraId="7C881C6B">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bidi="ar-SA"/>
                    </w:rPr>
                    <w:t>0.353</w:t>
                  </w:r>
                </w:p>
              </w:tc>
              <w:tc>
                <w:tcPr>
                  <w:tcW w:w="304" w:type="pct"/>
                  <w:shd w:val="clear" w:color="auto" w:fill="auto"/>
                  <w:noWrap w:val="0"/>
                  <w:vAlign w:val="center"/>
                </w:tcPr>
                <w:p w14:paraId="5C13BAA9">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厂房密闭</w:t>
                  </w:r>
                  <w:r>
                    <w:rPr>
                      <w:rFonts w:hint="default" w:ascii="Times New Roman" w:hAnsi="Times New Roman" w:cs="Times New Roman"/>
                      <w:color w:val="auto"/>
                      <w:sz w:val="21"/>
                      <w:szCs w:val="21"/>
                      <w:highlight w:val="none"/>
                      <w:lang w:val="en-US" w:eastAsia="zh-CN"/>
                    </w:rPr>
                    <w:t>、密闭运输、洒水降尘</w:t>
                  </w:r>
                </w:p>
              </w:tc>
              <w:tc>
                <w:tcPr>
                  <w:tcW w:w="194" w:type="pct"/>
                  <w:shd w:val="clear" w:color="auto" w:fill="auto"/>
                  <w:noWrap w:val="0"/>
                  <w:vAlign w:val="center"/>
                </w:tcPr>
                <w:p w14:paraId="1E28097F">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w:t>
                  </w:r>
                </w:p>
              </w:tc>
              <w:tc>
                <w:tcPr>
                  <w:tcW w:w="369" w:type="pct"/>
                  <w:shd w:val="clear" w:color="auto" w:fill="auto"/>
                  <w:noWrap w:val="0"/>
                  <w:vAlign w:val="center"/>
                </w:tcPr>
                <w:p w14:paraId="7D5117AD">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lang w:val="en-US" w:eastAsia="zh-CN" w:bidi="ar-SA"/>
                    </w:rPr>
                  </w:pPr>
                  <w:bookmarkStart w:id="13" w:name="OLE_LINK7"/>
                  <w:r>
                    <w:rPr>
                      <w:rFonts w:hint="default" w:ascii="Times New Roman" w:hAnsi="Times New Roman" w:eastAsia="宋体" w:cs="Times New Roman"/>
                      <w:b w:val="0"/>
                      <w:bCs/>
                      <w:color w:val="auto"/>
                      <w:sz w:val="21"/>
                      <w:szCs w:val="21"/>
                      <w:highlight w:val="none"/>
                      <w:lang w:eastAsia="zh-CN"/>
                    </w:rPr>
                    <w:t>产排污系数法</w:t>
                  </w:r>
                  <w:bookmarkEnd w:id="13"/>
                </w:p>
              </w:tc>
              <w:tc>
                <w:tcPr>
                  <w:tcW w:w="469" w:type="pct"/>
                  <w:shd w:val="clear" w:color="auto" w:fill="auto"/>
                  <w:noWrap w:val="0"/>
                  <w:vAlign w:val="center"/>
                </w:tcPr>
                <w:p w14:paraId="6470E965">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w:t>
                  </w:r>
                </w:p>
              </w:tc>
              <w:tc>
                <w:tcPr>
                  <w:tcW w:w="380" w:type="pct"/>
                  <w:shd w:val="clear" w:color="auto" w:fill="auto"/>
                  <w:noWrap w:val="0"/>
                  <w:vAlign w:val="center"/>
                </w:tcPr>
                <w:p w14:paraId="1F6364F0">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w:t>
                  </w:r>
                </w:p>
              </w:tc>
              <w:tc>
                <w:tcPr>
                  <w:tcW w:w="380" w:type="pct"/>
                  <w:gridSpan w:val="2"/>
                  <w:shd w:val="clear" w:color="auto" w:fill="auto"/>
                  <w:noWrap w:val="0"/>
                  <w:vAlign w:val="center"/>
                </w:tcPr>
                <w:p w14:paraId="3E33F83B">
                  <w:pPr>
                    <w:pStyle w:val="43"/>
                    <w:keepNext w:val="0"/>
                    <w:keepLines w:val="0"/>
                    <w:pageBreakBefore w:val="0"/>
                    <w:widowControl w:val="0"/>
                    <w:kinsoku/>
                    <w:wordWrap/>
                    <w:overflowPunct/>
                    <w:topLinePunct w:val="0"/>
                    <w:autoSpaceDE w:val="0"/>
                    <w:autoSpaceDN w:val="0"/>
                    <w:bidi w:val="0"/>
                    <w:adjustRightInd/>
                    <w:snapToGrid/>
                    <w:spacing w:before="0" w:beforeLines="0" w:line="240" w:lineRule="auto"/>
                    <w:ind w:left="0" w:left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bidi="ar-SA"/>
                    </w:rPr>
                    <w:t>0.035</w:t>
                  </w:r>
                </w:p>
              </w:tc>
              <w:tc>
                <w:tcPr>
                  <w:tcW w:w="262" w:type="pct"/>
                  <w:noWrap w:val="0"/>
                  <w:vAlign w:val="center"/>
                </w:tcPr>
                <w:p w14:paraId="27157C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4800</w:t>
                  </w:r>
                </w:p>
              </w:tc>
            </w:tr>
          </w:tbl>
          <w:p w14:paraId="37358178">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auto"/>
                <w:spacing w:val="0"/>
                <w:sz w:val="24"/>
                <w:szCs w:val="24"/>
                <w:highlight w:val="none"/>
              </w:rPr>
            </w:pPr>
          </w:p>
        </w:tc>
      </w:tr>
    </w:tbl>
    <w:p w14:paraId="6301D560">
      <w:pPr>
        <w:rPr>
          <w:rFonts w:hint="default" w:ascii="Times New Roman" w:hAnsi="Times New Roman" w:eastAsia="宋体" w:cs="Times New Roman"/>
          <w:color w:val="auto"/>
          <w:spacing w:val="0"/>
          <w:highlight w:val="none"/>
        </w:rPr>
        <w:sectPr>
          <w:pgSz w:w="16840" w:h="11907" w:orient="landscape"/>
          <w:pgMar w:top="1803" w:right="1440" w:bottom="1803" w:left="1440"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tbl>
      <w:tblPr>
        <w:tblStyle w:val="35"/>
        <w:tblW w:w="564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3"/>
        <w:gridCol w:w="9102"/>
      </w:tblGrid>
      <w:tr w14:paraId="1DF496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1" w:hRule="atLeast"/>
          <w:jc w:val="center"/>
        </w:trPr>
        <w:tc>
          <w:tcPr>
            <w:tcW w:w="419" w:type="dxa"/>
            <w:noWrap w:val="0"/>
            <w:tcMar>
              <w:left w:w="28" w:type="dxa"/>
              <w:right w:w="28" w:type="dxa"/>
            </w:tcMar>
            <w:vAlign w:val="center"/>
          </w:tcPr>
          <w:p w14:paraId="72F7E83A">
            <w:pPr>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9017" w:type="dxa"/>
            <w:tcBorders>
              <w:top w:val="single" w:color="auto" w:sz="4" w:space="0"/>
              <w:bottom w:val="single" w:color="auto" w:sz="4" w:space="0"/>
            </w:tcBorders>
            <w:noWrap w:val="0"/>
            <w:vAlign w:val="center"/>
          </w:tcPr>
          <w:p w14:paraId="3D9C1652">
            <w:pPr>
              <w:pStyle w:val="112"/>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1.2大气排放口参数情况如下：</w:t>
            </w:r>
          </w:p>
          <w:p w14:paraId="6CF61E73">
            <w:pPr>
              <w:pStyle w:val="11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表4-2大气排放口基本情况一览表</w:t>
            </w:r>
          </w:p>
          <w:tbl>
            <w:tblPr>
              <w:tblStyle w:val="35"/>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571"/>
              <w:gridCol w:w="1516"/>
              <w:gridCol w:w="1264"/>
              <w:gridCol w:w="1224"/>
              <w:gridCol w:w="609"/>
              <w:gridCol w:w="521"/>
              <w:gridCol w:w="657"/>
              <w:gridCol w:w="479"/>
              <w:gridCol w:w="946"/>
              <w:gridCol w:w="348"/>
            </w:tblGrid>
            <w:tr w14:paraId="4E77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23" w:type="pct"/>
                  <w:vMerge w:val="restart"/>
                  <w:tcBorders>
                    <w:top w:val="single" w:color="auto" w:sz="12" w:space="0"/>
                    <w:left w:val="nil"/>
                    <w:right w:val="single" w:color="auto" w:sz="4" w:space="0"/>
                  </w:tcBorders>
                  <w:noWrap w:val="0"/>
                  <w:vAlign w:val="center"/>
                </w:tcPr>
                <w:p w14:paraId="1F6128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r>
                    <w:rPr>
                      <w:rFonts w:hint="default" w:ascii="Times New Roman" w:hAnsi="Times New Roman" w:eastAsia="宋体" w:cs="Times New Roman"/>
                      <w:b/>
                      <w:color w:val="auto"/>
                      <w:spacing w:val="0"/>
                      <w:sz w:val="21"/>
                      <w:szCs w:val="21"/>
                      <w:highlight w:val="none"/>
                      <w:lang w:bidi="ar"/>
                    </w:rPr>
                    <w:t>排放口编号</w:t>
                  </w:r>
                </w:p>
              </w:tc>
              <w:tc>
                <w:tcPr>
                  <w:tcW w:w="328" w:type="pct"/>
                  <w:vMerge w:val="restart"/>
                  <w:tcBorders>
                    <w:top w:val="single" w:color="auto" w:sz="12" w:space="0"/>
                    <w:left w:val="single" w:color="auto" w:sz="4" w:space="0"/>
                    <w:right w:val="single" w:color="auto" w:sz="4" w:space="0"/>
                  </w:tcBorders>
                  <w:noWrap w:val="0"/>
                  <w:vAlign w:val="center"/>
                </w:tcPr>
                <w:p w14:paraId="40F978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r>
                    <w:rPr>
                      <w:rFonts w:hint="default" w:ascii="Times New Roman" w:hAnsi="Times New Roman" w:eastAsia="宋体" w:cs="Times New Roman"/>
                      <w:b/>
                      <w:color w:val="auto"/>
                      <w:spacing w:val="0"/>
                      <w:sz w:val="21"/>
                      <w:szCs w:val="21"/>
                      <w:highlight w:val="none"/>
                      <w:lang w:bidi="ar"/>
                    </w:rPr>
                    <w:t>排放口名称</w:t>
                  </w:r>
                </w:p>
              </w:tc>
              <w:tc>
                <w:tcPr>
                  <w:tcW w:w="871" w:type="pct"/>
                  <w:vMerge w:val="restart"/>
                  <w:tcBorders>
                    <w:top w:val="single" w:color="auto" w:sz="12" w:space="0"/>
                    <w:left w:val="single" w:color="auto" w:sz="4" w:space="0"/>
                    <w:right w:val="single" w:color="auto" w:sz="4" w:space="0"/>
                  </w:tcBorders>
                  <w:noWrap w:val="0"/>
                  <w:vAlign w:val="center"/>
                </w:tcPr>
                <w:p w14:paraId="33C2A6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r>
                    <w:rPr>
                      <w:rFonts w:hint="default" w:ascii="Times New Roman" w:hAnsi="Times New Roman" w:eastAsia="宋体" w:cs="Times New Roman"/>
                      <w:b/>
                      <w:color w:val="auto"/>
                      <w:spacing w:val="0"/>
                      <w:sz w:val="21"/>
                      <w:szCs w:val="21"/>
                      <w:highlight w:val="none"/>
                      <w:lang w:bidi="ar"/>
                    </w:rPr>
                    <w:t>污染物种类</w:t>
                  </w:r>
                </w:p>
              </w:tc>
              <w:tc>
                <w:tcPr>
                  <w:tcW w:w="1430" w:type="pct"/>
                  <w:gridSpan w:val="2"/>
                  <w:tcBorders>
                    <w:top w:val="single" w:color="auto" w:sz="12" w:space="0"/>
                    <w:left w:val="single" w:color="auto" w:sz="4" w:space="0"/>
                    <w:right w:val="single" w:color="auto" w:sz="4" w:space="0"/>
                  </w:tcBorders>
                  <w:noWrap w:val="0"/>
                  <w:vAlign w:val="center"/>
                </w:tcPr>
                <w:p w14:paraId="4E5615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r>
                    <w:rPr>
                      <w:rFonts w:hint="default" w:ascii="Times New Roman" w:hAnsi="Times New Roman" w:eastAsia="宋体" w:cs="Times New Roman"/>
                      <w:b/>
                      <w:color w:val="auto"/>
                      <w:spacing w:val="0"/>
                      <w:sz w:val="21"/>
                      <w:szCs w:val="21"/>
                      <w:highlight w:val="none"/>
                      <w:lang w:bidi="ar"/>
                    </w:rPr>
                    <w:t>排放口地理坐标/°</w:t>
                  </w:r>
                </w:p>
              </w:tc>
              <w:tc>
                <w:tcPr>
                  <w:tcW w:w="350" w:type="pct"/>
                  <w:vMerge w:val="restart"/>
                  <w:tcBorders>
                    <w:top w:val="single" w:color="auto" w:sz="12" w:space="0"/>
                    <w:left w:val="single" w:color="auto" w:sz="4" w:space="0"/>
                    <w:right w:val="single" w:color="auto" w:sz="4" w:space="0"/>
                  </w:tcBorders>
                  <w:noWrap w:val="0"/>
                  <w:vAlign w:val="center"/>
                </w:tcPr>
                <w:p w14:paraId="38146A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r>
                    <w:rPr>
                      <w:rFonts w:hint="default" w:ascii="Times New Roman" w:hAnsi="Times New Roman" w:eastAsia="宋体" w:cs="Times New Roman"/>
                      <w:b/>
                      <w:color w:val="auto"/>
                      <w:spacing w:val="0"/>
                      <w:sz w:val="21"/>
                      <w:szCs w:val="21"/>
                      <w:highlight w:val="none"/>
                      <w:lang w:bidi="ar"/>
                    </w:rPr>
                    <w:t>排气筒高度</w:t>
                  </w:r>
                </w:p>
                <w:p w14:paraId="115B4B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r>
                    <w:rPr>
                      <w:rFonts w:hint="default" w:ascii="Times New Roman" w:hAnsi="Times New Roman" w:eastAsia="宋体" w:cs="Times New Roman"/>
                      <w:b/>
                      <w:color w:val="auto"/>
                      <w:spacing w:val="0"/>
                      <w:sz w:val="21"/>
                      <w:szCs w:val="21"/>
                      <w:highlight w:val="none"/>
                      <w:lang w:bidi="ar"/>
                    </w:rPr>
                    <w:t>m</w:t>
                  </w:r>
                </w:p>
              </w:tc>
              <w:tc>
                <w:tcPr>
                  <w:tcW w:w="299" w:type="pct"/>
                  <w:vMerge w:val="restart"/>
                  <w:tcBorders>
                    <w:top w:val="single" w:color="auto" w:sz="12" w:space="0"/>
                    <w:left w:val="single" w:color="auto" w:sz="4" w:space="0"/>
                    <w:right w:val="single" w:color="auto" w:sz="4" w:space="0"/>
                  </w:tcBorders>
                  <w:noWrap w:val="0"/>
                  <w:vAlign w:val="center"/>
                </w:tcPr>
                <w:p w14:paraId="4FE7EA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r>
                    <w:rPr>
                      <w:rFonts w:hint="default" w:ascii="Times New Roman" w:hAnsi="Times New Roman" w:eastAsia="宋体" w:cs="Times New Roman"/>
                      <w:b/>
                      <w:color w:val="auto"/>
                      <w:spacing w:val="0"/>
                      <w:sz w:val="21"/>
                      <w:szCs w:val="21"/>
                      <w:highlight w:val="none"/>
                      <w:lang w:bidi="ar"/>
                    </w:rPr>
                    <w:t>排气筒出口内径</w:t>
                  </w:r>
                </w:p>
              </w:tc>
              <w:tc>
                <w:tcPr>
                  <w:tcW w:w="377" w:type="pct"/>
                  <w:vMerge w:val="restart"/>
                  <w:tcBorders>
                    <w:top w:val="single" w:color="auto" w:sz="12" w:space="0"/>
                    <w:left w:val="single" w:color="auto" w:sz="4" w:space="0"/>
                    <w:right w:val="single" w:color="auto" w:sz="4" w:space="0"/>
                  </w:tcBorders>
                  <w:noWrap w:val="0"/>
                  <w:vAlign w:val="center"/>
                </w:tcPr>
                <w:p w14:paraId="24F1B4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r>
                    <w:rPr>
                      <w:rFonts w:hint="default" w:ascii="Times New Roman" w:hAnsi="Times New Roman" w:eastAsia="宋体" w:cs="Times New Roman"/>
                      <w:b/>
                      <w:color w:val="auto"/>
                      <w:spacing w:val="0"/>
                      <w:sz w:val="21"/>
                      <w:szCs w:val="21"/>
                      <w:highlight w:val="none"/>
                      <w:lang w:bidi="ar"/>
                    </w:rPr>
                    <w:t>排气筒温度°C</w:t>
                  </w:r>
                </w:p>
              </w:tc>
              <w:tc>
                <w:tcPr>
                  <w:tcW w:w="1018" w:type="pct"/>
                  <w:gridSpan w:val="3"/>
                  <w:tcBorders>
                    <w:top w:val="single" w:color="auto" w:sz="12" w:space="0"/>
                    <w:left w:val="single" w:color="auto" w:sz="4" w:space="0"/>
                    <w:right w:val="nil"/>
                  </w:tcBorders>
                  <w:noWrap w:val="0"/>
                  <w:vAlign w:val="center"/>
                </w:tcPr>
                <w:p w14:paraId="7F8A83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r>
                    <w:rPr>
                      <w:rFonts w:hint="default" w:ascii="Times New Roman" w:hAnsi="Times New Roman" w:eastAsia="宋体" w:cs="Times New Roman"/>
                      <w:b/>
                      <w:color w:val="auto"/>
                      <w:spacing w:val="0"/>
                      <w:sz w:val="21"/>
                      <w:szCs w:val="21"/>
                      <w:highlight w:val="none"/>
                      <w:lang w:bidi="ar"/>
                    </w:rPr>
                    <w:t>监测要求</w:t>
                  </w:r>
                </w:p>
              </w:tc>
            </w:tr>
            <w:tr w14:paraId="2CBC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exact"/>
                <w:jc w:val="center"/>
              </w:trPr>
              <w:tc>
                <w:tcPr>
                  <w:tcW w:w="323" w:type="pct"/>
                  <w:vMerge w:val="continue"/>
                  <w:tcBorders>
                    <w:left w:val="nil"/>
                    <w:right w:val="single" w:color="auto" w:sz="4" w:space="0"/>
                  </w:tcBorders>
                  <w:noWrap w:val="0"/>
                  <w:vAlign w:val="center"/>
                </w:tcPr>
                <w:p w14:paraId="5C19E9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p>
              </w:tc>
              <w:tc>
                <w:tcPr>
                  <w:tcW w:w="328" w:type="pct"/>
                  <w:vMerge w:val="continue"/>
                  <w:tcBorders>
                    <w:left w:val="single" w:color="auto" w:sz="4" w:space="0"/>
                    <w:right w:val="single" w:color="auto" w:sz="4" w:space="0"/>
                  </w:tcBorders>
                  <w:noWrap w:val="0"/>
                  <w:vAlign w:val="center"/>
                </w:tcPr>
                <w:p w14:paraId="2E7EBF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p>
              </w:tc>
              <w:tc>
                <w:tcPr>
                  <w:tcW w:w="871" w:type="pct"/>
                  <w:vMerge w:val="continue"/>
                  <w:tcBorders>
                    <w:left w:val="single" w:color="auto" w:sz="4" w:space="0"/>
                    <w:right w:val="single" w:color="auto" w:sz="4" w:space="0"/>
                  </w:tcBorders>
                  <w:noWrap w:val="0"/>
                  <w:vAlign w:val="center"/>
                </w:tcPr>
                <w:p w14:paraId="0262FC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p>
              </w:tc>
              <w:tc>
                <w:tcPr>
                  <w:tcW w:w="726" w:type="pct"/>
                  <w:tcBorders>
                    <w:left w:val="single" w:color="auto" w:sz="4" w:space="0"/>
                    <w:right w:val="single" w:color="auto" w:sz="4" w:space="0"/>
                  </w:tcBorders>
                  <w:noWrap w:val="0"/>
                  <w:vAlign w:val="center"/>
                </w:tcPr>
                <w:p w14:paraId="607A90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r>
                    <w:rPr>
                      <w:rFonts w:hint="default" w:ascii="Times New Roman" w:hAnsi="Times New Roman" w:eastAsia="宋体" w:cs="Times New Roman"/>
                      <w:b/>
                      <w:color w:val="auto"/>
                      <w:spacing w:val="0"/>
                      <w:sz w:val="21"/>
                      <w:szCs w:val="21"/>
                      <w:highlight w:val="none"/>
                      <w:lang w:bidi="ar"/>
                    </w:rPr>
                    <w:t>经度</w:t>
                  </w:r>
                </w:p>
              </w:tc>
              <w:tc>
                <w:tcPr>
                  <w:tcW w:w="703" w:type="pct"/>
                  <w:tcBorders>
                    <w:left w:val="single" w:color="auto" w:sz="4" w:space="0"/>
                    <w:right w:val="single" w:color="auto" w:sz="4" w:space="0"/>
                  </w:tcBorders>
                  <w:noWrap w:val="0"/>
                  <w:vAlign w:val="center"/>
                </w:tcPr>
                <w:p w14:paraId="12DD19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r>
                    <w:rPr>
                      <w:rFonts w:hint="default" w:ascii="Times New Roman" w:hAnsi="Times New Roman" w:eastAsia="宋体" w:cs="Times New Roman"/>
                      <w:b/>
                      <w:color w:val="auto"/>
                      <w:spacing w:val="0"/>
                      <w:sz w:val="21"/>
                      <w:szCs w:val="21"/>
                      <w:highlight w:val="none"/>
                      <w:lang w:bidi="ar"/>
                    </w:rPr>
                    <w:t>纬度</w:t>
                  </w:r>
                </w:p>
              </w:tc>
              <w:tc>
                <w:tcPr>
                  <w:tcW w:w="350" w:type="pct"/>
                  <w:vMerge w:val="continue"/>
                  <w:tcBorders>
                    <w:left w:val="single" w:color="auto" w:sz="4" w:space="0"/>
                    <w:right w:val="single" w:color="auto" w:sz="4" w:space="0"/>
                  </w:tcBorders>
                  <w:noWrap w:val="0"/>
                  <w:vAlign w:val="center"/>
                </w:tcPr>
                <w:p w14:paraId="2D7E3E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p>
              </w:tc>
              <w:tc>
                <w:tcPr>
                  <w:tcW w:w="299" w:type="pct"/>
                  <w:vMerge w:val="continue"/>
                  <w:tcBorders>
                    <w:left w:val="single" w:color="auto" w:sz="4" w:space="0"/>
                    <w:right w:val="single" w:color="auto" w:sz="4" w:space="0"/>
                  </w:tcBorders>
                  <w:noWrap w:val="0"/>
                  <w:vAlign w:val="center"/>
                </w:tcPr>
                <w:p w14:paraId="034DCF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p>
              </w:tc>
              <w:tc>
                <w:tcPr>
                  <w:tcW w:w="377" w:type="pct"/>
                  <w:vMerge w:val="continue"/>
                  <w:tcBorders>
                    <w:left w:val="single" w:color="auto" w:sz="4" w:space="0"/>
                    <w:right w:val="single" w:color="auto" w:sz="4" w:space="0"/>
                  </w:tcBorders>
                  <w:noWrap w:val="0"/>
                  <w:vAlign w:val="center"/>
                </w:tcPr>
                <w:p w14:paraId="23AF6B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p>
              </w:tc>
              <w:tc>
                <w:tcPr>
                  <w:tcW w:w="275" w:type="pct"/>
                  <w:tcBorders>
                    <w:left w:val="single" w:color="auto" w:sz="4" w:space="0"/>
                    <w:right w:val="single" w:color="auto" w:sz="4" w:space="0"/>
                  </w:tcBorders>
                  <w:noWrap w:val="0"/>
                  <w:vAlign w:val="center"/>
                </w:tcPr>
                <w:p w14:paraId="195F1F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r>
                    <w:rPr>
                      <w:rFonts w:hint="default" w:ascii="Times New Roman" w:hAnsi="Times New Roman" w:eastAsia="宋体" w:cs="Times New Roman"/>
                      <w:b/>
                      <w:color w:val="auto"/>
                      <w:spacing w:val="0"/>
                      <w:sz w:val="21"/>
                      <w:szCs w:val="21"/>
                      <w:highlight w:val="none"/>
                      <w:lang w:bidi="ar"/>
                    </w:rPr>
                    <w:t>监测点位</w:t>
                  </w:r>
                </w:p>
              </w:tc>
              <w:tc>
                <w:tcPr>
                  <w:tcW w:w="543" w:type="pct"/>
                  <w:tcBorders>
                    <w:left w:val="single" w:color="auto" w:sz="4" w:space="0"/>
                    <w:right w:val="single" w:color="auto" w:sz="4" w:space="0"/>
                  </w:tcBorders>
                  <w:noWrap w:val="0"/>
                  <w:vAlign w:val="center"/>
                </w:tcPr>
                <w:p w14:paraId="3976E8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r>
                    <w:rPr>
                      <w:rFonts w:hint="default" w:ascii="Times New Roman" w:hAnsi="Times New Roman" w:eastAsia="宋体" w:cs="Times New Roman"/>
                      <w:b/>
                      <w:color w:val="auto"/>
                      <w:spacing w:val="0"/>
                      <w:sz w:val="21"/>
                      <w:szCs w:val="21"/>
                      <w:highlight w:val="none"/>
                      <w:lang w:bidi="ar"/>
                    </w:rPr>
                    <w:t>监测因子</w:t>
                  </w:r>
                </w:p>
              </w:tc>
              <w:tc>
                <w:tcPr>
                  <w:tcW w:w="199" w:type="pct"/>
                  <w:tcBorders>
                    <w:left w:val="single" w:color="auto" w:sz="4" w:space="0"/>
                    <w:right w:val="nil"/>
                  </w:tcBorders>
                  <w:noWrap w:val="0"/>
                  <w:vAlign w:val="center"/>
                </w:tcPr>
                <w:p w14:paraId="0F3DDE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lang w:bidi="ar"/>
                    </w:rPr>
                  </w:pPr>
                  <w:r>
                    <w:rPr>
                      <w:rFonts w:hint="default" w:ascii="Times New Roman" w:hAnsi="Times New Roman" w:eastAsia="宋体" w:cs="Times New Roman"/>
                      <w:b/>
                      <w:color w:val="auto"/>
                      <w:spacing w:val="0"/>
                      <w:sz w:val="21"/>
                      <w:szCs w:val="21"/>
                      <w:highlight w:val="none"/>
                      <w:lang w:bidi="ar"/>
                    </w:rPr>
                    <w:t>监测频次</w:t>
                  </w:r>
                </w:p>
              </w:tc>
            </w:tr>
            <w:tr w14:paraId="2AA5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23" w:type="pct"/>
                  <w:vMerge w:val="restart"/>
                  <w:tcBorders>
                    <w:left w:val="nil"/>
                    <w:right w:val="single" w:color="auto" w:sz="4" w:space="0"/>
                  </w:tcBorders>
                  <w:noWrap w:val="0"/>
                  <w:vAlign w:val="center"/>
                </w:tcPr>
                <w:p w14:paraId="2D8966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val="en-US" w:eastAsia="zh-CN" w:bidi="ar"/>
                    </w:rPr>
                    <w:t>DA</w:t>
                  </w:r>
                </w:p>
                <w:p w14:paraId="203BE6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val="en-US" w:eastAsia="zh-CN" w:bidi="ar"/>
                    </w:rPr>
                    <w:t>00</w:t>
                  </w:r>
                  <w:r>
                    <w:rPr>
                      <w:rFonts w:hint="default" w:ascii="Times New Roman" w:hAnsi="Times New Roman" w:cs="Times New Roman"/>
                      <w:bCs/>
                      <w:color w:val="auto"/>
                      <w:spacing w:val="0"/>
                      <w:sz w:val="21"/>
                      <w:szCs w:val="21"/>
                      <w:highlight w:val="none"/>
                      <w:lang w:val="en-US" w:eastAsia="zh-CN" w:bidi="ar"/>
                    </w:rPr>
                    <w:t>4</w:t>
                  </w:r>
                </w:p>
              </w:tc>
              <w:tc>
                <w:tcPr>
                  <w:tcW w:w="328" w:type="pct"/>
                  <w:vMerge w:val="restart"/>
                  <w:tcBorders>
                    <w:left w:val="single" w:color="auto" w:sz="4" w:space="0"/>
                    <w:right w:val="single" w:color="auto" w:sz="4" w:space="0"/>
                  </w:tcBorders>
                  <w:noWrap w:val="0"/>
                  <w:vAlign w:val="center"/>
                </w:tcPr>
                <w:p w14:paraId="4C1498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val="en-US" w:eastAsia="zh-CN" w:bidi="ar"/>
                    </w:rPr>
                    <w:t>锅炉烟囱</w:t>
                  </w:r>
                </w:p>
              </w:tc>
              <w:tc>
                <w:tcPr>
                  <w:tcW w:w="871" w:type="pct"/>
                  <w:vMerge w:val="restart"/>
                  <w:tcBorders>
                    <w:left w:val="single" w:color="auto" w:sz="4" w:space="0"/>
                    <w:right w:val="single" w:color="auto" w:sz="4" w:space="0"/>
                  </w:tcBorders>
                  <w:noWrap w:val="0"/>
                  <w:vAlign w:val="center"/>
                </w:tcPr>
                <w:p w14:paraId="675992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val="en-US" w:eastAsia="zh-CN" w:bidi="ar"/>
                    </w:rPr>
                    <w:t>颗粒物、二氧化硫、氮氧化物、烟气黑度</w:t>
                  </w:r>
                  <w:r>
                    <w:rPr>
                      <w:rFonts w:hint="default" w:ascii="Times New Roman" w:hAnsi="Times New Roman" w:cs="Times New Roman"/>
                      <w:bCs/>
                      <w:color w:val="auto"/>
                      <w:spacing w:val="0"/>
                      <w:sz w:val="21"/>
                      <w:szCs w:val="21"/>
                      <w:highlight w:val="none"/>
                      <w:lang w:val="en-US" w:eastAsia="zh-CN" w:bidi="ar"/>
                    </w:rPr>
                    <w:t>、汞及其化合物</w:t>
                  </w:r>
                </w:p>
              </w:tc>
              <w:tc>
                <w:tcPr>
                  <w:tcW w:w="726" w:type="pct"/>
                  <w:vMerge w:val="restart"/>
                  <w:tcBorders>
                    <w:top w:val="single" w:color="auto" w:sz="4" w:space="0"/>
                    <w:left w:val="single" w:color="auto" w:sz="4" w:space="0"/>
                    <w:right w:val="single" w:color="auto" w:sz="4" w:space="0"/>
                  </w:tcBorders>
                  <w:noWrap w:val="0"/>
                  <w:vAlign w:val="center"/>
                </w:tcPr>
                <w:p w14:paraId="6B1E6982">
                  <w:pPr>
                    <w:pStyle w:val="162"/>
                    <w:widowControl w:val="0"/>
                    <w:jc w:val="center"/>
                    <w:rPr>
                      <w:rFonts w:hint="default" w:ascii="Times New Roman" w:hAnsi="Times New Roman" w:eastAsia="宋体" w:cs="Times New Roman"/>
                      <w:bCs/>
                      <w:color w:val="auto"/>
                      <w:spacing w:val="0"/>
                      <w:sz w:val="21"/>
                      <w:szCs w:val="21"/>
                      <w:highlight w:val="none"/>
                      <w:lang w:val="en-US" w:eastAsia="zh-CN" w:bidi="ar"/>
                    </w:rPr>
                  </w:pPr>
                  <w:r>
                    <w:rPr>
                      <w:rStyle w:val="38"/>
                      <w:rFonts w:hint="default" w:ascii="Times New Roman" w:hAnsi="Times New Roman" w:eastAsia="宋体" w:cs="Times New Roman"/>
                      <w:color w:val="auto"/>
                      <w:kern w:val="2"/>
                      <w:sz w:val="21"/>
                      <w:highlight w:val="none"/>
                      <w:lang w:val="en-US" w:eastAsia="zh-CN" w:bidi="ar-SA"/>
                    </w:rPr>
                    <w:t>132°59′34.84″</w:t>
                  </w:r>
                </w:p>
              </w:tc>
              <w:tc>
                <w:tcPr>
                  <w:tcW w:w="703" w:type="pct"/>
                  <w:vMerge w:val="restart"/>
                  <w:tcBorders>
                    <w:top w:val="single" w:color="auto" w:sz="4" w:space="0"/>
                    <w:left w:val="single" w:color="auto" w:sz="4" w:space="0"/>
                    <w:right w:val="single" w:color="auto" w:sz="4" w:space="0"/>
                  </w:tcBorders>
                  <w:noWrap w:val="0"/>
                  <w:vAlign w:val="center"/>
                </w:tcPr>
                <w:p w14:paraId="12AB5DE5">
                  <w:pPr>
                    <w:pStyle w:val="162"/>
                    <w:widowControl w:val="0"/>
                    <w:jc w:val="center"/>
                    <w:rPr>
                      <w:rFonts w:hint="default" w:ascii="Times New Roman" w:hAnsi="Times New Roman" w:eastAsia="宋体" w:cs="Times New Roman"/>
                      <w:bCs/>
                      <w:color w:val="auto"/>
                      <w:spacing w:val="0"/>
                      <w:sz w:val="21"/>
                      <w:szCs w:val="21"/>
                      <w:highlight w:val="none"/>
                      <w:lang w:val="en-US" w:eastAsia="zh-CN" w:bidi="ar"/>
                    </w:rPr>
                  </w:pPr>
                  <w:r>
                    <w:rPr>
                      <w:rStyle w:val="38"/>
                      <w:rFonts w:hint="default" w:ascii="Times New Roman" w:hAnsi="Times New Roman" w:eastAsia="宋体" w:cs="Times New Roman"/>
                      <w:color w:val="auto"/>
                      <w:kern w:val="2"/>
                      <w:sz w:val="21"/>
                      <w:highlight w:val="none"/>
                      <w:lang w:val="en-US" w:eastAsia="zh-CN" w:bidi="ar-SA"/>
                    </w:rPr>
                    <w:t>45°46′11.03″</w:t>
                  </w:r>
                </w:p>
              </w:tc>
              <w:tc>
                <w:tcPr>
                  <w:tcW w:w="350" w:type="pct"/>
                  <w:vMerge w:val="restart"/>
                  <w:tcBorders>
                    <w:left w:val="single" w:color="auto" w:sz="4" w:space="0"/>
                    <w:right w:val="single" w:color="auto" w:sz="4" w:space="0"/>
                  </w:tcBorders>
                  <w:noWrap w:val="0"/>
                  <w:vAlign w:val="center"/>
                </w:tcPr>
                <w:p w14:paraId="6CFD53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cs="Times New Roman"/>
                      <w:bCs/>
                      <w:color w:val="auto"/>
                      <w:spacing w:val="0"/>
                      <w:sz w:val="21"/>
                      <w:szCs w:val="21"/>
                      <w:highlight w:val="none"/>
                      <w:lang w:val="en-US" w:eastAsia="zh-CN" w:bidi="ar"/>
                    </w:rPr>
                    <w:t>4</w:t>
                  </w:r>
                  <w:r>
                    <w:rPr>
                      <w:rFonts w:hint="default" w:ascii="Times New Roman" w:hAnsi="Times New Roman" w:eastAsia="宋体" w:cs="Times New Roman"/>
                      <w:bCs/>
                      <w:color w:val="auto"/>
                      <w:spacing w:val="0"/>
                      <w:sz w:val="21"/>
                      <w:szCs w:val="21"/>
                      <w:highlight w:val="none"/>
                      <w:lang w:val="en-US" w:eastAsia="zh-CN" w:bidi="ar"/>
                    </w:rPr>
                    <w:t>0</w:t>
                  </w:r>
                </w:p>
              </w:tc>
              <w:tc>
                <w:tcPr>
                  <w:tcW w:w="299" w:type="pct"/>
                  <w:vMerge w:val="restart"/>
                  <w:tcBorders>
                    <w:left w:val="single" w:color="auto" w:sz="4" w:space="0"/>
                    <w:right w:val="single" w:color="auto" w:sz="4" w:space="0"/>
                  </w:tcBorders>
                  <w:noWrap w:val="0"/>
                  <w:vAlign w:val="center"/>
                </w:tcPr>
                <w:p w14:paraId="2D6F65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bidi="ar"/>
                    </w:rPr>
                    <w:t>0.</w:t>
                  </w:r>
                  <w:r>
                    <w:rPr>
                      <w:rFonts w:hint="default" w:ascii="Times New Roman" w:hAnsi="Times New Roman" w:cs="Times New Roman"/>
                      <w:bCs/>
                      <w:color w:val="auto"/>
                      <w:spacing w:val="0"/>
                      <w:sz w:val="21"/>
                      <w:szCs w:val="21"/>
                      <w:highlight w:val="none"/>
                      <w:lang w:val="en-US" w:eastAsia="zh-CN" w:bidi="ar"/>
                    </w:rPr>
                    <w:t>5</w:t>
                  </w:r>
                </w:p>
              </w:tc>
              <w:tc>
                <w:tcPr>
                  <w:tcW w:w="377" w:type="pct"/>
                  <w:vMerge w:val="restart"/>
                  <w:tcBorders>
                    <w:left w:val="single" w:color="auto" w:sz="4" w:space="0"/>
                    <w:right w:val="single" w:color="auto" w:sz="4" w:space="0"/>
                  </w:tcBorders>
                  <w:noWrap w:val="0"/>
                  <w:vAlign w:val="center"/>
                </w:tcPr>
                <w:p w14:paraId="1EA0B2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cs="Times New Roman"/>
                      <w:bCs/>
                      <w:color w:val="auto"/>
                      <w:spacing w:val="0"/>
                      <w:sz w:val="21"/>
                      <w:szCs w:val="21"/>
                      <w:highlight w:val="none"/>
                      <w:lang w:val="en-US" w:eastAsia="zh-CN" w:bidi="ar"/>
                    </w:rPr>
                    <w:t>100</w:t>
                  </w:r>
                </w:p>
              </w:tc>
              <w:tc>
                <w:tcPr>
                  <w:tcW w:w="275" w:type="pct"/>
                  <w:vMerge w:val="restart"/>
                  <w:tcBorders>
                    <w:left w:val="single" w:color="auto" w:sz="4" w:space="0"/>
                    <w:right w:val="single" w:color="auto" w:sz="4" w:space="0"/>
                  </w:tcBorders>
                  <w:noWrap w:val="0"/>
                  <w:vAlign w:val="center"/>
                </w:tcPr>
                <w:p w14:paraId="450061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cs="Times New Roman"/>
                      <w:bCs/>
                      <w:color w:val="auto"/>
                      <w:spacing w:val="0"/>
                      <w:sz w:val="21"/>
                      <w:szCs w:val="21"/>
                      <w:highlight w:val="none"/>
                      <w:lang w:val="en-US" w:eastAsia="zh-CN" w:bidi="ar"/>
                    </w:rPr>
                    <w:t>4</w:t>
                  </w:r>
                  <w:r>
                    <w:rPr>
                      <w:rFonts w:hint="default" w:ascii="Times New Roman" w:hAnsi="Times New Roman" w:eastAsia="宋体" w:cs="Times New Roman"/>
                      <w:bCs/>
                      <w:color w:val="auto"/>
                      <w:spacing w:val="0"/>
                      <w:sz w:val="21"/>
                      <w:szCs w:val="21"/>
                      <w:highlight w:val="none"/>
                      <w:lang w:val="en-US" w:eastAsia="zh-CN" w:bidi="ar"/>
                    </w:rPr>
                    <w:t>0m高烟囱</w:t>
                  </w:r>
                  <w:r>
                    <w:rPr>
                      <w:rFonts w:hint="default" w:ascii="Times New Roman" w:hAnsi="Times New Roman" w:eastAsia="宋体" w:cs="Times New Roman"/>
                      <w:bCs/>
                      <w:color w:val="auto"/>
                      <w:spacing w:val="0"/>
                      <w:sz w:val="21"/>
                      <w:szCs w:val="21"/>
                      <w:highlight w:val="none"/>
                      <w:lang w:bidi="ar"/>
                    </w:rPr>
                    <w:t>出口</w:t>
                  </w:r>
                </w:p>
              </w:tc>
              <w:tc>
                <w:tcPr>
                  <w:tcW w:w="543" w:type="pct"/>
                  <w:tcBorders>
                    <w:left w:val="single" w:color="auto" w:sz="4" w:space="0"/>
                    <w:right w:val="single" w:color="auto" w:sz="4" w:space="0"/>
                  </w:tcBorders>
                  <w:noWrap w:val="0"/>
                  <w:vAlign w:val="center"/>
                </w:tcPr>
                <w:p w14:paraId="762D85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bidi="ar"/>
                    </w:rPr>
                  </w:pPr>
                  <w:r>
                    <w:rPr>
                      <w:rFonts w:hint="default" w:ascii="Times New Roman" w:hAnsi="Times New Roman" w:eastAsia="宋体" w:cs="Times New Roman"/>
                      <w:bCs/>
                      <w:color w:val="auto"/>
                      <w:spacing w:val="0"/>
                      <w:sz w:val="21"/>
                      <w:szCs w:val="21"/>
                      <w:highlight w:val="none"/>
                      <w:lang w:val="en-US" w:eastAsia="zh-CN" w:bidi="ar"/>
                    </w:rPr>
                    <w:t>颗粒物</w:t>
                  </w:r>
                </w:p>
              </w:tc>
              <w:tc>
                <w:tcPr>
                  <w:tcW w:w="199" w:type="pct"/>
                  <w:vMerge w:val="restart"/>
                  <w:tcBorders>
                    <w:left w:val="single" w:color="auto" w:sz="4" w:space="0"/>
                    <w:right w:val="nil"/>
                  </w:tcBorders>
                  <w:noWrap w:val="0"/>
                  <w:vAlign w:val="center"/>
                </w:tcPr>
                <w:p w14:paraId="598EE9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val="en-US" w:eastAsia="zh-CN" w:bidi="ar"/>
                    </w:rPr>
                    <w:t>每月一次</w:t>
                  </w:r>
                </w:p>
              </w:tc>
            </w:tr>
            <w:tr w14:paraId="05CB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23" w:type="pct"/>
                  <w:vMerge w:val="continue"/>
                  <w:tcBorders>
                    <w:left w:val="nil"/>
                    <w:right w:val="single" w:color="auto" w:sz="4" w:space="0"/>
                  </w:tcBorders>
                  <w:noWrap w:val="0"/>
                  <w:vAlign w:val="center"/>
                </w:tcPr>
                <w:p w14:paraId="57C75C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328" w:type="pct"/>
                  <w:vMerge w:val="continue"/>
                  <w:tcBorders>
                    <w:left w:val="single" w:color="auto" w:sz="4" w:space="0"/>
                    <w:right w:val="single" w:color="auto" w:sz="4" w:space="0"/>
                  </w:tcBorders>
                  <w:noWrap w:val="0"/>
                  <w:vAlign w:val="center"/>
                </w:tcPr>
                <w:p w14:paraId="089BEA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871" w:type="pct"/>
                  <w:vMerge w:val="continue"/>
                  <w:tcBorders>
                    <w:left w:val="single" w:color="auto" w:sz="4" w:space="0"/>
                    <w:right w:val="single" w:color="auto" w:sz="4" w:space="0"/>
                  </w:tcBorders>
                  <w:noWrap w:val="0"/>
                  <w:vAlign w:val="center"/>
                </w:tcPr>
                <w:p w14:paraId="1CA679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726" w:type="pct"/>
                  <w:vMerge w:val="continue"/>
                  <w:tcBorders>
                    <w:left w:val="single" w:color="auto" w:sz="4" w:space="0"/>
                    <w:right w:val="single" w:color="auto" w:sz="4" w:space="0"/>
                  </w:tcBorders>
                  <w:noWrap w:val="0"/>
                  <w:vAlign w:val="center"/>
                </w:tcPr>
                <w:p w14:paraId="5B533E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703" w:type="pct"/>
                  <w:vMerge w:val="continue"/>
                  <w:tcBorders>
                    <w:left w:val="single" w:color="auto" w:sz="4" w:space="0"/>
                    <w:right w:val="single" w:color="auto" w:sz="4" w:space="0"/>
                  </w:tcBorders>
                  <w:noWrap w:val="0"/>
                  <w:vAlign w:val="center"/>
                </w:tcPr>
                <w:p w14:paraId="75D1EA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350" w:type="pct"/>
                  <w:vMerge w:val="continue"/>
                  <w:tcBorders>
                    <w:left w:val="single" w:color="auto" w:sz="4" w:space="0"/>
                    <w:right w:val="single" w:color="auto" w:sz="4" w:space="0"/>
                  </w:tcBorders>
                  <w:noWrap w:val="0"/>
                  <w:vAlign w:val="center"/>
                </w:tcPr>
                <w:p w14:paraId="23F510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299" w:type="pct"/>
                  <w:vMerge w:val="continue"/>
                  <w:tcBorders>
                    <w:left w:val="single" w:color="auto" w:sz="4" w:space="0"/>
                    <w:right w:val="single" w:color="auto" w:sz="4" w:space="0"/>
                  </w:tcBorders>
                  <w:noWrap w:val="0"/>
                  <w:vAlign w:val="center"/>
                </w:tcPr>
                <w:p w14:paraId="6545B9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377" w:type="pct"/>
                  <w:vMerge w:val="continue"/>
                  <w:tcBorders>
                    <w:left w:val="single" w:color="auto" w:sz="4" w:space="0"/>
                    <w:right w:val="single" w:color="auto" w:sz="4" w:space="0"/>
                  </w:tcBorders>
                  <w:noWrap w:val="0"/>
                  <w:vAlign w:val="center"/>
                </w:tcPr>
                <w:p w14:paraId="6F6F94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275" w:type="pct"/>
                  <w:vMerge w:val="continue"/>
                  <w:tcBorders>
                    <w:left w:val="single" w:color="auto" w:sz="4" w:space="0"/>
                    <w:right w:val="single" w:color="auto" w:sz="4" w:space="0"/>
                  </w:tcBorders>
                  <w:noWrap w:val="0"/>
                  <w:vAlign w:val="center"/>
                </w:tcPr>
                <w:p w14:paraId="09770F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p>
              </w:tc>
              <w:tc>
                <w:tcPr>
                  <w:tcW w:w="543" w:type="pct"/>
                  <w:tcBorders>
                    <w:left w:val="single" w:color="auto" w:sz="4" w:space="0"/>
                    <w:right w:val="single" w:color="auto" w:sz="4" w:space="0"/>
                  </w:tcBorders>
                  <w:noWrap w:val="0"/>
                  <w:vAlign w:val="center"/>
                </w:tcPr>
                <w:p w14:paraId="14A89A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val="en-US" w:eastAsia="zh-CN" w:bidi="ar"/>
                    </w:rPr>
                    <w:t>二氧化硫</w:t>
                  </w:r>
                </w:p>
              </w:tc>
              <w:tc>
                <w:tcPr>
                  <w:tcW w:w="199" w:type="pct"/>
                  <w:vMerge w:val="continue"/>
                  <w:tcBorders>
                    <w:left w:val="single" w:color="auto" w:sz="4" w:space="0"/>
                    <w:right w:val="nil"/>
                  </w:tcBorders>
                  <w:noWrap w:val="0"/>
                  <w:vAlign w:val="center"/>
                </w:tcPr>
                <w:p w14:paraId="5A50FA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r>
            <w:tr w14:paraId="20B3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23" w:type="pct"/>
                  <w:vMerge w:val="continue"/>
                  <w:tcBorders>
                    <w:left w:val="nil"/>
                    <w:right w:val="single" w:color="auto" w:sz="4" w:space="0"/>
                  </w:tcBorders>
                  <w:noWrap w:val="0"/>
                  <w:vAlign w:val="center"/>
                </w:tcPr>
                <w:p w14:paraId="1E6898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328" w:type="pct"/>
                  <w:vMerge w:val="continue"/>
                  <w:tcBorders>
                    <w:left w:val="single" w:color="auto" w:sz="4" w:space="0"/>
                    <w:right w:val="single" w:color="auto" w:sz="4" w:space="0"/>
                  </w:tcBorders>
                  <w:noWrap w:val="0"/>
                  <w:vAlign w:val="center"/>
                </w:tcPr>
                <w:p w14:paraId="2D7563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871" w:type="pct"/>
                  <w:vMerge w:val="continue"/>
                  <w:tcBorders>
                    <w:left w:val="single" w:color="auto" w:sz="4" w:space="0"/>
                    <w:right w:val="single" w:color="auto" w:sz="4" w:space="0"/>
                  </w:tcBorders>
                  <w:noWrap w:val="0"/>
                  <w:vAlign w:val="center"/>
                </w:tcPr>
                <w:p w14:paraId="31CC67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726" w:type="pct"/>
                  <w:vMerge w:val="continue"/>
                  <w:tcBorders>
                    <w:left w:val="single" w:color="auto" w:sz="4" w:space="0"/>
                    <w:right w:val="single" w:color="auto" w:sz="4" w:space="0"/>
                  </w:tcBorders>
                  <w:noWrap w:val="0"/>
                  <w:vAlign w:val="center"/>
                </w:tcPr>
                <w:p w14:paraId="443B34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703" w:type="pct"/>
                  <w:vMerge w:val="continue"/>
                  <w:tcBorders>
                    <w:left w:val="single" w:color="auto" w:sz="4" w:space="0"/>
                    <w:right w:val="single" w:color="auto" w:sz="4" w:space="0"/>
                  </w:tcBorders>
                  <w:noWrap w:val="0"/>
                  <w:vAlign w:val="center"/>
                </w:tcPr>
                <w:p w14:paraId="2C6324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350" w:type="pct"/>
                  <w:vMerge w:val="continue"/>
                  <w:tcBorders>
                    <w:left w:val="single" w:color="auto" w:sz="4" w:space="0"/>
                    <w:right w:val="single" w:color="auto" w:sz="4" w:space="0"/>
                  </w:tcBorders>
                  <w:noWrap w:val="0"/>
                  <w:vAlign w:val="center"/>
                </w:tcPr>
                <w:p w14:paraId="24FAD2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299" w:type="pct"/>
                  <w:vMerge w:val="continue"/>
                  <w:tcBorders>
                    <w:left w:val="single" w:color="auto" w:sz="4" w:space="0"/>
                    <w:right w:val="single" w:color="auto" w:sz="4" w:space="0"/>
                  </w:tcBorders>
                  <w:noWrap w:val="0"/>
                  <w:vAlign w:val="center"/>
                </w:tcPr>
                <w:p w14:paraId="5E3339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377" w:type="pct"/>
                  <w:vMerge w:val="continue"/>
                  <w:tcBorders>
                    <w:left w:val="single" w:color="auto" w:sz="4" w:space="0"/>
                    <w:right w:val="single" w:color="auto" w:sz="4" w:space="0"/>
                  </w:tcBorders>
                  <w:noWrap w:val="0"/>
                  <w:vAlign w:val="center"/>
                </w:tcPr>
                <w:p w14:paraId="2E1F39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275" w:type="pct"/>
                  <w:vMerge w:val="continue"/>
                  <w:tcBorders>
                    <w:left w:val="single" w:color="auto" w:sz="4" w:space="0"/>
                    <w:right w:val="single" w:color="auto" w:sz="4" w:space="0"/>
                  </w:tcBorders>
                  <w:noWrap w:val="0"/>
                  <w:vAlign w:val="center"/>
                </w:tcPr>
                <w:p w14:paraId="49DED2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543" w:type="pct"/>
                  <w:tcBorders>
                    <w:left w:val="single" w:color="auto" w:sz="4" w:space="0"/>
                    <w:right w:val="single" w:color="auto" w:sz="4" w:space="0"/>
                  </w:tcBorders>
                  <w:noWrap w:val="0"/>
                  <w:vAlign w:val="center"/>
                </w:tcPr>
                <w:p w14:paraId="0ED86B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val="en-US" w:eastAsia="zh-CN" w:bidi="ar"/>
                    </w:rPr>
                    <w:t>烟气黑度</w:t>
                  </w:r>
                </w:p>
              </w:tc>
              <w:tc>
                <w:tcPr>
                  <w:tcW w:w="199" w:type="pct"/>
                  <w:vMerge w:val="continue"/>
                  <w:tcBorders>
                    <w:left w:val="single" w:color="auto" w:sz="4" w:space="0"/>
                    <w:right w:val="nil"/>
                  </w:tcBorders>
                  <w:noWrap w:val="0"/>
                  <w:vAlign w:val="center"/>
                </w:tcPr>
                <w:p w14:paraId="5B6047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r>
            <w:tr w14:paraId="541D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23" w:type="pct"/>
                  <w:vMerge w:val="continue"/>
                  <w:tcBorders>
                    <w:left w:val="nil"/>
                    <w:right w:val="single" w:color="auto" w:sz="4" w:space="0"/>
                  </w:tcBorders>
                  <w:noWrap w:val="0"/>
                  <w:vAlign w:val="center"/>
                </w:tcPr>
                <w:p w14:paraId="57295F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328" w:type="pct"/>
                  <w:vMerge w:val="continue"/>
                  <w:tcBorders>
                    <w:left w:val="single" w:color="auto" w:sz="4" w:space="0"/>
                    <w:right w:val="single" w:color="auto" w:sz="4" w:space="0"/>
                  </w:tcBorders>
                  <w:noWrap w:val="0"/>
                  <w:vAlign w:val="center"/>
                </w:tcPr>
                <w:p w14:paraId="42815F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871" w:type="pct"/>
                  <w:vMerge w:val="continue"/>
                  <w:tcBorders>
                    <w:left w:val="single" w:color="auto" w:sz="4" w:space="0"/>
                    <w:right w:val="single" w:color="auto" w:sz="4" w:space="0"/>
                  </w:tcBorders>
                  <w:noWrap w:val="0"/>
                  <w:vAlign w:val="center"/>
                </w:tcPr>
                <w:p w14:paraId="5F9285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726" w:type="pct"/>
                  <w:vMerge w:val="continue"/>
                  <w:tcBorders>
                    <w:left w:val="single" w:color="auto" w:sz="4" w:space="0"/>
                    <w:right w:val="single" w:color="auto" w:sz="4" w:space="0"/>
                  </w:tcBorders>
                  <w:noWrap w:val="0"/>
                  <w:vAlign w:val="center"/>
                </w:tcPr>
                <w:p w14:paraId="0E8FCE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703" w:type="pct"/>
                  <w:vMerge w:val="continue"/>
                  <w:tcBorders>
                    <w:left w:val="single" w:color="auto" w:sz="4" w:space="0"/>
                    <w:right w:val="single" w:color="auto" w:sz="4" w:space="0"/>
                  </w:tcBorders>
                  <w:noWrap w:val="0"/>
                  <w:vAlign w:val="center"/>
                </w:tcPr>
                <w:p w14:paraId="6B3588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350" w:type="pct"/>
                  <w:vMerge w:val="continue"/>
                  <w:tcBorders>
                    <w:left w:val="single" w:color="auto" w:sz="4" w:space="0"/>
                    <w:right w:val="single" w:color="auto" w:sz="4" w:space="0"/>
                  </w:tcBorders>
                  <w:noWrap w:val="0"/>
                  <w:vAlign w:val="center"/>
                </w:tcPr>
                <w:p w14:paraId="59C8A5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299" w:type="pct"/>
                  <w:vMerge w:val="continue"/>
                  <w:tcBorders>
                    <w:left w:val="single" w:color="auto" w:sz="4" w:space="0"/>
                    <w:right w:val="single" w:color="auto" w:sz="4" w:space="0"/>
                  </w:tcBorders>
                  <w:noWrap w:val="0"/>
                  <w:vAlign w:val="center"/>
                </w:tcPr>
                <w:p w14:paraId="276F0A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377" w:type="pct"/>
                  <w:vMerge w:val="continue"/>
                  <w:tcBorders>
                    <w:left w:val="single" w:color="auto" w:sz="4" w:space="0"/>
                    <w:right w:val="single" w:color="auto" w:sz="4" w:space="0"/>
                  </w:tcBorders>
                  <w:noWrap w:val="0"/>
                  <w:vAlign w:val="center"/>
                </w:tcPr>
                <w:p w14:paraId="2F98FE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275" w:type="pct"/>
                  <w:vMerge w:val="continue"/>
                  <w:tcBorders>
                    <w:left w:val="single" w:color="auto" w:sz="4" w:space="0"/>
                    <w:right w:val="single" w:color="auto" w:sz="4" w:space="0"/>
                  </w:tcBorders>
                  <w:noWrap w:val="0"/>
                  <w:vAlign w:val="center"/>
                </w:tcPr>
                <w:p w14:paraId="6246F1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543" w:type="pct"/>
                  <w:tcBorders>
                    <w:left w:val="single" w:color="auto" w:sz="4" w:space="0"/>
                    <w:right w:val="single" w:color="auto" w:sz="4" w:space="0"/>
                  </w:tcBorders>
                  <w:noWrap w:val="0"/>
                  <w:vAlign w:val="center"/>
                </w:tcPr>
                <w:p w14:paraId="66D5FB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cs="Times New Roman"/>
                      <w:bCs/>
                      <w:color w:val="auto"/>
                      <w:spacing w:val="0"/>
                      <w:sz w:val="21"/>
                      <w:szCs w:val="21"/>
                      <w:highlight w:val="none"/>
                      <w:lang w:val="en-US" w:eastAsia="zh-CN" w:bidi="ar"/>
                    </w:rPr>
                    <w:t>汞及其化合物</w:t>
                  </w:r>
                </w:p>
              </w:tc>
              <w:tc>
                <w:tcPr>
                  <w:tcW w:w="199" w:type="pct"/>
                  <w:vMerge w:val="continue"/>
                  <w:tcBorders>
                    <w:left w:val="single" w:color="auto" w:sz="4" w:space="0"/>
                    <w:right w:val="nil"/>
                  </w:tcBorders>
                  <w:noWrap w:val="0"/>
                  <w:vAlign w:val="center"/>
                </w:tcPr>
                <w:p w14:paraId="536FFE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r>
            <w:tr w14:paraId="651F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23" w:type="pct"/>
                  <w:vMerge w:val="continue"/>
                  <w:tcBorders>
                    <w:left w:val="nil"/>
                    <w:right w:val="single" w:color="auto" w:sz="4" w:space="0"/>
                  </w:tcBorders>
                  <w:noWrap w:val="0"/>
                  <w:vAlign w:val="center"/>
                </w:tcPr>
                <w:p w14:paraId="1C8B48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328" w:type="pct"/>
                  <w:vMerge w:val="continue"/>
                  <w:tcBorders>
                    <w:left w:val="single" w:color="auto" w:sz="4" w:space="0"/>
                    <w:right w:val="single" w:color="auto" w:sz="4" w:space="0"/>
                  </w:tcBorders>
                  <w:noWrap w:val="0"/>
                  <w:vAlign w:val="center"/>
                </w:tcPr>
                <w:p w14:paraId="51238D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871" w:type="pct"/>
                  <w:vMerge w:val="continue"/>
                  <w:tcBorders>
                    <w:left w:val="single" w:color="auto" w:sz="4" w:space="0"/>
                    <w:right w:val="single" w:color="auto" w:sz="4" w:space="0"/>
                  </w:tcBorders>
                  <w:noWrap w:val="0"/>
                  <w:vAlign w:val="center"/>
                </w:tcPr>
                <w:p w14:paraId="17BB61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726" w:type="pct"/>
                  <w:vMerge w:val="continue"/>
                  <w:tcBorders>
                    <w:left w:val="single" w:color="auto" w:sz="4" w:space="0"/>
                    <w:bottom w:val="single" w:color="auto" w:sz="4" w:space="0"/>
                    <w:right w:val="single" w:color="auto" w:sz="4" w:space="0"/>
                  </w:tcBorders>
                  <w:noWrap w:val="0"/>
                  <w:vAlign w:val="center"/>
                </w:tcPr>
                <w:p w14:paraId="1052BD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703" w:type="pct"/>
                  <w:vMerge w:val="continue"/>
                  <w:tcBorders>
                    <w:left w:val="single" w:color="auto" w:sz="4" w:space="0"/>
                    <w:bottom w:val="single" w:color="auto" w:sz="4" w:space="0"/>
                    <w:right w:val="single" w:color="auto" w:sz="4" w:space="0"/>
                  </w:tcBorders>
                  <w:noWrap w:val="0"/>
                  <w:vAlign w:val="center"/>
                </w:tcPr>
                <w:p w14:paraId="37C22C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350" w:type="pct"/>
                  <w:vMerge w:val="continue"/>
                  <w:tcBorders>
                    <w:left w:val="single" w:color="auto" w:sz="4" w:space="0"/>
                    <w:right w:val="single" w:color="auto" w:sz="4" w:space="0"/>
                  </w:tcBorders>
                  <w:noWrap w:val="0"/>
                  <w:vAlign w:val="center"/>
                </w:tcPr>
                <w:p w14:paraId="77B9CD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299" w:type="pct"/>
                  <w:vMerge w:val="continue"/>
                  <w:tcBorders>
                    <w:left w:val="single" w:color="auto" w:sz="4" w:space="0"/>
                    <w:right w:val="single" w:color="auto" w:sz="4" w:space="0"/>
                  </w:tcBorders>
                  <w:noWrap w:val="0"/>
                  <w:vAlign w:val="center"/>
                </w:tcPr>
                <w:p w14:paraId="01A4D7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377" w:type="pct"/>
                  <w:vMerge w:val="continue"/>
                  <w:tcBorders>
                    <w:left w:val="single" w:color="auto" w:sz="4" w:space="0"/>
                    <w:right w:val="single" w:color="auto" w:sz="4" w:space="0"/>
                  </w:tcBorders>
                  <w:noWrap w:val="0"/>
                  <w:vAlign w:val="center"/>
                </w:tcPr>
                <w:p w14:paraId="22B14C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275" w:type="pct"/>
                  <w:vMerge w:val="continue"/>
                  <w:tcBorders>
                    <w:left w:val="single" w:color="auto" w:sz="4" w:space="0"/>
                    <w:right w:val="single" w:color="auto" w:sz="4" w:space="0"/>
                  </w:tcBorders>
                  <w:noWrap w:val="0"/>
                  <w:vAlign w:val="center"/>
                </w:tcPr>
                <w:p w14:paraId="2B9C9B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c>
                <w:tcPr>
                  <w:tcW w:w="543" w:type="pct"/>
                  <w:tcBorders>
                    <w:left w:val="single" w:color="auto" w:sz="4" w:space="0"/>
                    <w:right w:val="single" w:color="auto" w:sz="4" w:space="0"/>
                  </w:tcBorders>
                  <w:noWrap w:val="0"/>
                  <w:vAlign w:val="center"/>
                </w:tcPr>
                <w:p w14:paraId="60B8F6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r>
                    <w:rPr>
                      <w:rFonts w:hint="default" w:ascii="Times New Roman" w:hAnsi="Times New Roman" w:eastAsia="宋体" w:cs="Times New Roman"/>
                      <w:bCs/>
                      <w:color w:val="auto"/>
                      <w:spacing w:val="0"/>
                      <w:sz w:val="21"/>
                      <w:szCs w:val="21"/>
                      <w:highlight w:val="none"/>
                      <w:lang w:val="en-US" w:eastAsia="zh-CN" w:bidi="ar"/>
                    </w:rPr>
                    <w:t>氮氧化物</w:t>
                  </w:r>
                </w:p>
              </w:tc>
              <w:tc>
                <w:tcPr>
                  <w:tcW w:w="199" w:type="pct"/>
                  <w:vMerge w:val="continue"/>
                  <w:tcBorders>
                    <w:left w:val="single" w:color="auto" w:sz="4" w:space="0"/>
                    <w:right w:val="nil"/>
                  </w:tcBorders>
                  <w:noWrap w:val="0"/>
                  <w:vAlign w:val="center"/>
                </w:tcPr>
                <w:p w14:paraId="4E2CBA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sz w:val="21"/>
                      <w:szCs w:val="21"/>
                      <w:highlight w:val="none"/>
                      <w:lang w:val="en-US" w:eastAsia="zh-CN" w:bidi="ar"/>
                    </w:rPr>
                  </w:pPr>
                </w:p>
              </w:tc>
            </w:tr>
          </w:tbl>
          <w:p w14:paraId="577316BC">
            <w:pPr>
              <w:pStyle w:val="46"/>
              <w:rPr>
                <w:rFonts w:hint="default" w:ascii="Times New Roman" w:hAnsi="Times New Roman" w:eastAsia="宋体" w:cs="Times New Roman"/>
                <w:b/>
                <w:bCs w:val="0"/>
                <w:color w:val="auto"/>
                <w:spacing w:val="0"/>
                <w:highlight w:val="none"/>
                <w:lang w:val="en-US" w:eastAsia="zh-CN"/>
              </w:rPr>
            </w:pPr>
            <w:r>
              <w:rPr>
                <w:rFonts w:hint="default" w:ascii="Times New Roman" w:hAnsi="Times New Roman" w:eastAsia="宋体" w:cs="Times New Roman"/>
                <w:b/>
                <w:bCs w:val="0"/>
                <w:color w:val="auto"/>
                <w:spacing w:val="0"/>
                <w:highlight w:val="none"/>
                <w:lang w:val="en-US" w:eastAsia="zh-CN"/>
              </w:rPr>
              <w:t>（2）废气收集措施</w:t>
            </w:r>
          </w:p>
          <w:p w14:paraId="19DA3B90">
            <w:pPr>
              <w:pStyle w:val="46"/>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sz w:val="21"/>
                <w:szCs w:val="21"/>
                <w:highlight w:val="none"/>
                <w:lang w:val="en-US" w:eastAsia="zh-CN"/>
              </w:rPr>
            </w:pPr>
            <w:r>
              <w:rPr>
                <w:rFonts w:hint="default" w:ascii="Times New Roman" w:hAnsi="Times New Roman" w:eastAsia="宋体" w:cs="Times New Roman"/>
                <w:b/>
                <w:bCs w:val="0"/>
                <w:color w:val="auto"/>
                <w:spacing w:val="0"/>
                <w:sz w:val="21"/>
                <w:szCs w:val="21"/>
                <w:highlight w:val="none"/>
                <w:lang w:val="en-US" w:eastAsia="zh-CN"/>
              </w:rPr>
              <w:t>表4-3排气筒设置情况</w:t>
            </w:r>
          </w:p>
          <w:tbl>
            <w:tblPr>
              <w:tblStyle w:val="35"/>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2"/>
              <w:gridCol w:w="789"/>
              <w:gridCol w:w="2006"/>
              <w:gridCol w:w="1033"/>
              <w:gridCol w:w="933"/>
              <w:gridCol w:w="880"/>
              <w:gridCol w:w="884"/>
              <w:gridCol w:w="670"/>
              <w:gridCol w:w="754"/>
            </w:tblGrid>
            <w:tr w14:paraId="7A2729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24" w:type="pct"/>
                  <w:tcBorders>
                    <w:top w:val="single" w:color="auto" w:sz="12" w:space="0"/>
                  </w:tcBorders>
                  <w:noWrap w:val="0"/>
                  <w:vAlign w:val="center"/>
                </w:tcPr>
                <w:p w14:paraId="0A58F9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排气筒编号</w:t>
                  </w:r>
                </w:p>
              </w:tc>
              <w:tc>
                <w:tcPr>
                  <w:tcW w:w="444" w:type="pct"/>
                  <w:tcBorders>
                    <w:top w:val="single" w:color="auto" w:sz="12" w:space="0"/>
                  </w:tcBorders>
                  <w:noWrap w:val="0"/>
                  <w:vAlign w:val="center"/>
                </w:tcPr>
                <w:p w14:paraId="1D3048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废气来源</w:t>
                  </w:r>
                </w:p>
              </w:tc>
              <w:tc>
                <w:tcPr>
                  <w:tcW w:w="1128" w:type="pct"/>
                  <w:tcBorders>
                    <w:top w:val="single" w:color="auto" w:sz="12" w:space="0"/>
                  </w:tcBorders>
                  <w:noWrap w:val="0"/>
                  <w:vAlign w:val="center"/>
                </w:tcPr>
                <w:p w14:paraId="783A40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污染物种类</w:t>
                  </w:r>
                </w:p>
              </w:tc>
              <w:tc>
                <w:tcPr>
                  <w:tcW w:w="581" w:type="pct"/>
                  <w:tcBorders>
                    <w:top w:val="single" w:color="auto" w:sz="12" w:space="0"/>
                  </w:tcBorders>
                  <w:noWrap w:val="0"/>
                  <w:vAlign w:val="center"/>
                </w:tcPr>
                <w:p w14:paraId="700B4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生产设备</w:t>
                  </w:r>
                </w:p>
              </w:tc>
              <w:tc>
                <w:tcPr>
                  <w:tcW w:w="525" w:type="pct"/>
                  <w:tcBorders>
                    <w:top w:val="single" w:color="auto" w:sz="12" w:space="0"/>
                  </w:tcBorders>
                  <w:noWrap w:val="0"/>
                  <w:vAlign w:val="center"/>
                </w:tcPr>
                <w:p w14:paraId="4271A4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环保设备</w:t>
                  </w:r>
                </w:p>
              </w:tc>
              <w:tc>
                <w:tcPr>
                  <w:tcW w:w="495" w:type="pct"/>
                  <w:tcBorders>
                    <w:top w:val="single" w:color="auto" w:sz="12" w:space="0"/>
                  </w:tcBorders>
                  <w:noWrap w:val="0"/>
                  <w:vAlign w:val="center"/>
                </w:tcPr>
                <w:p w14:paraId="736EF4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高度m</w:t>
                  </w:r>
                </w:p>
              </w:tc>
              <w:tc>
                <w:tcPr>
                  <w:tcW w:w="497" w:type="pct"/>
                  <w:tcBorders>
                    <w:top w:val="single" w:color="auto" w:sz="12" w:space="0"/>
                  </w:tcBorders>
                  <w:noWrap w:val="0"/>
                  <w:vAlign w:val="center"/>
                </w:tcPr>
                <w:p w14:paraId="5E2DEB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内径m</w:t>
                  </w:r>
                </w:p>
              </w:tc>
              <w:tc>
                <w:tcPr>
                  <w:tcW w:w="377" w:type="pct"/>
                  <w:tcBorders>
                    <w:top w:val="single" w:color="auto" w:sz="12" w:space="0"/>
                  </w:tcBorders>
                  <w:noWrap w:val="0"/>
                  <w:vAlign w:val="center"/>
                </w:tcPr>
                <w:p w14:paraId="7857B8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温度</w:t>
                  </w:r>
                  <w:r>
                    <w:rPr>
                      <w:rFonts w:hint="default" w:ascii="Times New Roman" w:hAnsi="Times New Roman" w:eastAsia="宋体" w:cs="Times New Roman"/>
                      <w:b/>
                      <w:bCs/>
                      <w:color w:val="auto"/>
                      <w:spacing w:val="0"/>
                      <w:sz w:val="21"/>
                      <w:szCs w:val="21"/>
                      <w:highlight w:val="none"/>
                      <w:lang w:bidi="ar"/>
                    </w:rPr>
                    <w:t>°C</w:t>
                  </w:r>
                </w:p>
              </w:tc>
              <w:tc>
                <w:tcPr>
                  <w:tcW w:w="424" w:type="pct"/>
                  <w:tcBorders>
                    <w:top w:val="single" w:color="auto" w:sz="12" w:space="0"/>
                  </w:tcBorders>
                  <w:noWrap w:val="0"/>
                  <w:vAlign w:val="center"/>
                </w:tcPr>
                <w:p w14:paraId="012D3B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设计风量</w:t>
                  </w:r>
                  <w:r>
                    <w:rPr>
                      <w:rFonts w:hint="default" w:ascii="Times New Roman" w:hAnsi="Times New Roman" w:eastAsia="宋体" w:cs="Times New Roman"/>
                      <w:b/>
                      <w:bCs/>
                      <w:color w:val="auto"/>
                      <w:spacing w:val="0"/>
                      <w:sz w:val="21"/>
                      <w:szCs w:val="21"/>
                      <w:highlight w:val="none"/>
                      <w:lang w:eastAsia="zh-CN"/>
                    </w:rPr>
                    <w:t>m</w:t>
                  </w:r>
                  <w:r>
                    <w:rPr>
                      <w:rFonts w:hint="default" w:ascii="Times New Roman" w:hAnsi="Times New Roman" w:eastAsia="宋体" w:cs="Times New Roman"/>
                      <w:b/>
                      <w:bCs/>
                      <w:caps w:val="0"/>
                      <w:smallCaps w:val="0"/>
                      <w:strike w:val="0"/>
                      <w:dstrike w:val="0"/>
                      <w:vanish w:val="0"/>
                      <w:color w:val="auto"/>
                      <w:spacing w:val="0"/>
                      <w:sz w:val="21"/>
                      <w:szCs w:val="21"/>
                      <w:highlight w:val="none"/>
                      <w:vertAlign w:val="superscript"/>
                      <w:lang w:eastAsia="zh-CN"/>
                    </w:rPr>
                    <w:t>3</w:t>
                  </w:r>
                  <w:r>
                    <w:rPr>
                      <w:rFonts w:hint="default" w:ascii="Times New Roman" w:hAnsi="Times New Roman" w:eastAsia="宋体" w:cs="Times New Roman"/>
                      <w:b/>
                      <w:bCs/>
                      <w:color w:val="auto"/>
                      <w:spacing w:val="0"/>
                      <w:sz w:val="21"/>
                      <w:szCs w:val="21"/>
                      <w:highlight w:val="none"/>
                    </w:rPr>
                    <w:t>/h</w:t>
                  </w:r>
                </w:p>
              </w:tc>
            </w:tr>
            <w:tr w14:paraId="35C03E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24" w:type="pct"/>
                  <w:noWrap w:val="0"/>
                  <w:vAlign w:val="center"/>
                </w:tcPr>
                <w:p w14:paraId="16745A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DA00</w:t>
                  </w:r>
                  <w:r>
                    <w:rPr>
                      <w:rFonts w:hint="default" w:ascii="Times New Roman" w:hAnsi="Times New Roman" w:cs="Times New Roman"/>
                      <w:color w:val="auto"/>
                      <w:spacing w:val="0"/>
                      <w:sz w:val="21"/>
                      <w:szCs w:val="21"/>
                      <w:highlight w:val="none"/>
                      <w:lang w:val="en-US" w:eastAsia="zh-CN"/>
                    </w:rPr>
                    <w:t>4</w:t>
                  </w:r>
                </w:p>
              </w:tc>
              <w:tc>
                <w:tcPr>
                  <w:tcW w:w="444" w:type="pct"/>
                  <w:noWrap w:val="0"/>
                  <w:vAlign w:val="center"/>
                </w:tcPr>
                <w:p w14:paraId="026722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锅炉废气</w:t>
                  </w:r>
                </w:p>
              </w:tc>
              <w:tc>
                <w:tcPr>
                  <w:tcW w:w="1128" w:type="pct"/>
                  <w:noWrap w:val="0"/>
                  <w:vAlign w:val="center"/>
                </w:tcPr>
                <w:p w14:paraId="0CA4E5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kern w:val="2"/>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二氧化硫、氮氧化物、</w:t>
                  </w:r>
                  <w:r>
                    <w:rPr>
                      <w:rFonts w:hint="default" w:ascii="Times New Roman" w:hAnsi="Times New Roman" w:eastAsia="宋体" w:cs="Times New Roman"/>
                      <w:color w:val="auto"/>
                      <w:spacing w:val="0"/>
                      <w:sz w:val="21"/>
                      <w:szCs w:val="21"/>
                      <w:highlight w:val="none"/>
                    </w:rPr>
                    <w:t>颗粒物</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bCs/>
                      <w:color w:val="auto"/>
                      <w:spacing w:val="0"/>
                      <w:sz w:val="21"/>
                      <w:szCs w:val="21"/>
                      <w:highlight w:val="none"/>
                      <w:lang w:val="en-US" w:eastAsia="zh-CN" w:bidi="ar"/>
                    </w:rPr>
                    <w:t>烟气黑度</w:t>
                  </w:r>
                </w:p>
              </w:tc>
              <w:tc>
                <w:tcPr>
                  <w:tcW w:w="581" w:type="pct"/>
                  <w:noWrap w:val="0"/>
                  <w:vAlign w:val="center"/>
                </w:tcPr>
                <w:p w14:paraId="541D52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10t/h燃生物质蒸汽锅炉</w:t>
                  </w:r>
                </w:p>
              </w:tc>
              <w:tc>
                <w:tcPr>
                  <w:tcW w:w="525" w:type="pct"/>
                  <w:noWrap w:val="0"/>
                  <w:vAlign w:val="center"/>
                </w:tcPr>
                <w:p w14:paraId="7ABFDD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布袋除尘器</w:t>
                  </w:r>
                </w:p>
              </w:tc>
              <w:tc>
                <w:tcPr>
                  <w:tcW w:w="495" w:type="pct"/>
                  <w:noWrap w:val="0"/>
                  <w:vAlign w:val="center"/>
                </w:tcPr>
                <w:p w14:paraId="2BD63F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40</w:t>
                  </w:r>
                </w:p>
              </w:tc>
              <w:tc>
                <w:tcPr>
                  <w:tcW w:w="497" w:type="pct"/>
                  <w:noWrap w:val="0"/>
                  <w:vAlign w:val="center"/>
                </w:tcPr>
                <w:p w14:paraId="639359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0.5</w:t>
                  </w:r>
                </w:p>
              </w:tc>
              <w:tc>
                <w:tcPr>
                  <w:tcW w:w="377" w:type="pct"/>
                  <w:noWrap w:val="0"/>
                  <w:vAlign w:val="center"/>
                </w:tcPr>
                <w:p w14:paraId="572231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100</w:t>
                  </w:r>
                </w:p>
              </w:tc>
              <w:tc>
                <w:tcPr>
                  <w:tcW w:w="424" w:type="pct"/>
                  <w:noWrap w:val="0"/>
                  <w:vAlign w:val="center"/>
                </w:tcPr>
                <w:p w14:paraId="7D8A1A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r>
          </w:tbl>
          <w:p w14:paraId="654F15B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1.3、</w:t>
            </w:r>
            <w:r>
              <w:rPr>
                <w:rFonts w:hint="default" w:ascii="Times New Roman" w:hAnsi="Times New Roman" w:eastAsia="宋体" w:cs="Times New Roman"/>
                <w:b/>
                <w:bCs/>
                <w:color w:val="auto"/>
                <w:sz w:val="24"/>
                <w:highlight w:val="none"/>
              </w:rPr>
              <w:t>非正常</w:t>
            </w:r>
            <w:r>
              <w:rPr>
                <w:rFonts w:hint="default" w:ascii="Times New Roman" w:hAnsi="Times New Roman" w:eastAsia="宋体" w:cs="Times New Roman"/>
                <w:b/>
                <w:bCs/>
                <w:color w:val="auto"/>
                <w:sz w:val="24"/>
                <w:highlight w:val="none"/>
                <w:lang w:val="en-US" w:eastAsia="zh-CN"/>
              </w:rPr>
              <w:t>工况</w:t>
            </w:r>
          </w:p>
          <w:p w14:paraId="0CA62828">
            <w:pPr>
              <w:pStyle w:val="153"/>
              <w:adjustRightInd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若项目锅炉配套的布袋除尘器发生故障，会导致除尘效率下降为</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rPr>
              <w:t>，则本项目非正常工况下废气产生及排放情况见表4-</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14:paraId="201D70E3">
            <w:pPr>
              <w:pStyle w:val="154"/>
              <w:adjustRightInd w:val="0"/>
              <w:snapToGrid w:val="0"/>
              <w:spacing w:line="240" w:lineRule="auto"/>
              <w:ind w:firstLine="422" w:firstLineChars="20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表4-</w:t>
            </w:r>
            <w:r>
              <w:rPr>
                <w:rFonts w:hint="default" w:ascii="Times New Roman" w:hAnsi="Times New Roman" w:eastAsia="宋体" w:cs="Times New Roman"/>
                <w:b/>
                <w:bCs w:val="0"/>
                <w:color w:val="auto"/>
                <w:sz w:val="21"/>
                <w:szCs w:val="21"/>
                <w:highlight w:val="none"/>
                <w:lang w:val="en-US" w:eastAsia="zh-CN"/>
              </w:rPr>
              <w:t>4</w:t>
            </w:r>
            <w:r>
              <w:rPr>
                <w:rFonts w:hint="default" w:ascii="Times New Roman" w:hAnsi="Times New Roman" w:eastAsia="宋体" w:cs="Times New Roman"/>
                <w:b/>
                <w:bCs w:val="0"/>
                <w:color w:val="auto"/>
                <w:sz w:val="21"/>
                <w:szCs w:val="21"/>
                <w:highlight w:val="none"/>
              </w:rPr>
              <w:t>非正常工况下废气污染物产生及排放情况</w:t>
            </w:r>
          </w:p>
          <w:tbl>
            <w:tblPr>
              <w:tblStyle w:val="35"/>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605"/>
              <w:gridCol w:w="1061"/>
              <w:gridCol w:w="1431"/>
              <w:gridCol w:w="1198"/>
              <w:gridCol w:w="1271"/>
              <w:gridCol w:w="1269"/>
              <w:gridCol w:w="1046"/>
            </w:tblGrid>
            <w:tr w14:paraId="068E3C4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74" w:hRule="atLeast"/>
              </w:trPr>
              <w:tc>
                <w:tcPr>
                  <w:tcW w:w="903" w:type="pct"/>
                  <w:noWrap w:val="0"/>
                  <w:vAlign w:val="center"/>
                </w:tcPr>
                <w:p w14:paraId="235E2C98">
                  <w:pPr>
                    <w:pStyle w:val="111"/>
                    <w:keepNext w:val="0"/>
                    <w:keepLines w:val="0"/>
                    <w:pageBreakBefore w:val="0"/>
                    <w:widowControl w:val="0"/>
                    <w:kinsoku/>
                    <w:wordWrap/>
                    <w:overflowPunct/>
                    <w:topLinePunct w:val="0"/>
                    <w:autoSpaceDE/>
                    <w:autoSpaceDN/>
                    <w:bidi w:val="0"/>
                    <w:adjustRightInd w:val="0"/>
                    <w:spacing w:before="0" w:after="0" w:line="240" w:lineRule="auto"/>
                    <w:ind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污染源</w:t>
                  </w:r>
                </w:p>
              </w:tc>
              <w:tc>
                <w:tcPr>
                  <w:tcW w:w="597" w:type="pct"/>
                  <w:noWrap w:val="0"/>
                  <w:vAlign w:val="center"/>
                </w:tcPr>
                <w:p w14:paraId="0A593A63">
                  <w:pPr>
                    <w:pStyle w:val="111"/>
                    <w:keepNext w:val="0"/>
                    <w:keepLines w:val="0"/>
                    <w:pageBreakBefore w:val="0"/>
                    <w:widowControl w:val="0"/>
                    <w:kinsoku/>
                    <w:wordWrap/>
                    <w:overflowPunct/>
                    <w:topLinePunct w:val="0"/>
                    <w:autoSpaceDE/>
                    <w:autoSpaceDN/>
                    <w:bidi w:val="0"/>
                    <w:adjustRightInd w:val="0"/>
                    <w:spacing w:before="0" w:after="0" w:line="240" w:lineRule="auto"/>
                    <w:ind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w:t>
                  </w:r>
                </w:p>
              </w:tc>
              <w:tc>
                <w:tcPr>
                  <w:tcW w:w="805" w:type="pct"/>
                  <w:noWrap w:val="0"/>
                  <w:vAlign w:val="center"/>
                </w:tcPr>
                <w:p w14:paraId="7F24C83D">
                  <w:pPr>
                    <w:pStyle w:val="111"/>
                    <w:keepNext w:val="0"/>
                    <w:keepLines w:val="0"/>
                    <w:pageBreakBefore w:val="0"/>
                    <w:widowControl w:val="0"/>
                    <w:kinsoku/>
                    <w:wordWrap/>
                    <w:overflowPunct/>
                    <w:topLinePunct w:val="0"/>
                    <w:autoSpaceDE/>
                    <w:autoSpaceDN/>
                    <w:bidi w:val="0"/>
                    <w:adjustRightInd w:val="0"/>
                    <w:spacing w:before="0" w:after="0" w:line="240" w:lineRule="auto"/>
                    <w:ind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产生速率</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kg/h</w:t>
                  </w:r>
                  <w:r>
                    <w:rPr>
                      <w:rFonts w:hint="default" w:ascii="Times New Roman" w:hAnsi="Times New Roman" w:cs="Times New Roman"/>
                      <w:color w:val="auto"/>
                      <w:sz w:val="21"/>
                      <w:szCs w:val="21"/>
                      <w:highlight w:val="none"/>
                      <w:lang w:val="en-US" w:eastAsia="zh-CN"/>
                    </w:rPr>
                    <w:t>）</w:t>
                  </w:r>
                </w:p>
              </w:tc>
              <w:tc>
                <w:tcPr>
                  <w:tcW w:w="674" w:type="pct"/>
                  <w:noWrap w:val="0"/>
                  <w:vAlign w:val="center"/>
                </w:tcPr>
                <w:p w14:paraId="632EE545">
                  <w:pPr>
                    <w:pStyle w:val="111"/>
                    <w:keepNext w:val="0"/>
                    <w:keepLines w:val="0"/>
                    <w:pageBreakBefore w:val="0"/>
                    <w:widowControl w:val="0"/>
                    <w:kinsoku/>
                    <w:wordWrap/>
                    <w:overflowPunct/>
                    <w:topLinePunct w:val="0"/>
                    <w:autoSpaceDE/>
                    <w:autoSpaceDN/>
                    <w:bidi w:val="0"/>
                    <w:adjustRightInd w:val="0"/>
                    <w:spacing w:before="0" w:after="0" w:line="240" w:lineRule="auto"/>
                    <w:ind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非正常排放原因</w:t>
                  </w:r>
                </w:p>
              </w:tc>
              <w:tc>
                <w:tcPr>
                  <w:tcW w:w="715" w:type="pct"/>
                  <w:noWrap w:val="0"/>
                  <w:vAlign w:val="center"/>
                </w:tcPr>
                <w:p w14:paraId="7F11E185">
                  <w:pPr>
                    <w:pStyle w:val="111"/>
                    <w:keepNext w:val="0"/>
                    <w:keepLines w:val="0"/>
                    <w:pageBreakBefore w:val="0"/>
                    <w:widowControl w:val="0"/>
                    <w:kinsoku/>
                    <w:wordWrap/>
                    <w:overflowPunct/>
                    <w:topLinePunct w:val="0"/>
                    <w:autoSpaceDE/>
                    <w:autoSpaceDN/>
                    <w:bidi w:val="0"/>
                    <w:adjustRightInd w:val="0"/>
                    <w:spacing w:before="0" w:after="0" w:line="240" w:lineRule="auto"/>
                    <w:ind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非正常排放速率</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kg/h</w:t>
                  </w:r>
                  <w:r>
                    <w:rPr>
                      <w:rFonts w:hint="default" w:ascii="Times New Roman" w:hAnsi="Times New Roman" w:cs="Times New Roman"/>
                      <w:color w:val="auto"/>
                      <w:sz w:val="21"/>
                      <w:szCs w:val="21"/>
                      <w:highlight w:val="none"/>
                      <w:lang w:val="en-US" w:eastAsia="zh-CN"/>
                    </w:rPr>
                    <w:t>）</w:t>
                  </w:r>
                </w:p>
              </w:tc>
              <w:tc>
                <w:tcPr>
                  <w:tcW w:w="714" w:type="pct"/>
                  <w:noWrap w:val="0"/>
                  <w:vAlign w:val="center"/>
                </w:tcPr>
                <w:p w14:paraId="6A50CF8D">
                  <w:pPr>
                    <w:pStyle w:val="111"/>
                    <w:keepNext w:val="0"/>
                    <w:keepLines w:val="0"/>
                    <w:pageBreakBefore w:val="0"/>
                    <w:widowControl w:val="0"/>
                    <w:kinsoku/>
                    <w:wordWrap/>
                    <w:overflowPunct/>
                    <w:topLinePunct w:val="0"/>
                    <w:autoSpaceDE/>
                    <w:autoSpaceDN/>
                    <w:bidi w:val="0"/>
                    <w:adjustRightInd w:val="0"/>
                    <w:spacing w:before="0" w:after="0" w:line="240" w:lineRule="auto"/>
                    <w:ind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单次持续时间</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cs="Times New Roman"/>
                      <w:color w:val="auto"/>
                      <w:sz w:val="21"/>
                      <w:szCs w:val="21"/>
                      <w:highlight w:val="none"/>
                      <w:lang w:val="en-US" w:eastAsia="zh-CN"/>
                    </w:rPr>
                    <w:t>）</w:t>
                  </w:r>
                </w:p>
              </w:tc>
              <w:tc>
                <w:tcPr>
                  <w:tcW w:w="588" w:type="pct"/>
                  <w:noWrap w:val="0"/>
                  <w:vAlign w:val="center"/>
                </w:tcPr>
                <w:p w14:paraId="303AAA0F">
                  <w:pPr>
                    <w:keepNext w:val="0"/>
                    <w:keepLines w:val="0"/>
                    <w:pageBreakBefore w:val="0"/>
                    <w:kinsoku/>
                    <w:wordWrap/>
                    <w:overflowPunct/>
                    <w:topLinePunct w:val="0"/>
                    <w:autoSpaceDE/>
                    <w:autoSpaceDN/>
                    <w:bidi w:val="0"/>
                    <w:adjustRightInd w:val="0"/>
                    <w:spacing w:line="240" w:lineRule="auto"/>
                    <w:ind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年发生频次/次</w:t>
                  </w:r>
                </w:p>
              </w:tc>
            </w:tr>
            <w:tr w14:paraId="6FC3DBF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35" w:hRule="atLeast"/>
              </w:trPr>
              <w:tc>
                <w:tcPr>
                  <w:tcW w:w="903" w:type="pct"/>
                  <w:noWrap w:val="0"/>
                  <w:vAlign w:val="center"/>
                </w:tcPr>
                <w:p w14:paraId="379F2F90">
                  <w:pPr>
                    <w:pStyle w:val="111"/>
                    <w:keepNext w:val="0"/>
                    <w:keepLines w:val="0"/>
                    <w:pageBreakBefore w:val="0"/>
                    <w:widowControl w:val="0"/>
                    <w:kinsoku/>
                    <w:wordWrap/>
                    <w:overflowPunct/>
                    <w:topLinePunct w:val="0"/>
                    <w:autoSpaceDE/>
                    <w:autoSpaceDN/>
                    <w:bidi w:val="0"/>
                    <w:adjustRightInd w:val="0"/>
                    <w:spacing w:before="0" w:after="0" w:line="240" w:lineRule="auto"/>
                    <w:ind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燃生物质锅炉</w:t>
                  </w:r>
                </w:p>
              </w:tc>
              <w:tc>
                <w:tcPr>
                  <w:tcW w:w="597" w:type="pct"/>
                  <w:noWrap w:val="0"/>
                  <w:vAlign w:val="center"/>
                </w:tcPr>
                <w:p w14:paraId="51F699E8">
                  <w:pPr>
                    <w:keepNext w:val="0"/>
                    <w:keepLines w:val="0"/>
                    <w:pageBreakBefore w:val="0"/>
                    <w:widowControl/>
                    <w:kinsoku/>
                    <w:wordWrap/>
                    <w:overflowPunct/>
                    <w:topLinePunct w:val="0"/>
                    <w:autoSpaceDE/>
                    <w:autoSpaceDN/>
                    <w:bidi w:val="0"/>
                    <w:adjustRightInd w:val="0"/>
                    <w:spacing w:line="240" w:lineRule="auto"/>
                    <w:ind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805" w:type="pct"/>
                  <w:noWrap w:val="0"/>
                  <w:vAlign w:val="center"/>
                </w:tcPr>
                <w:p w14:paraId="699349D0">
                  <w:pPr>
                    <w:keepNext w:val="0"/>
                    <w:keepLines w:val="0"/>
                    <w:pageBreakBefore w:val="0"/>
                    <w:widowControl/>
                    <w:kinsoku/>
                    <w:wordWrap/>
                    <w:overflowPunct/>
                    <w:topLinePunct w:val="0"/>
                    <w:autoSpaceDE/>
                    <w:autoSpaceDN/>
                    <w:bidi w:val="0"/>
                    <w:adjustRightInd w:val="0"/>
                    <w:spacing w:line="240" w:lineRule="auto"/>
                    <w:ind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155.647</w:t>
                  </w:r>
                </w:p>
              </w:tc>
              <w:tc>
                <w:tcPr>
                  <w:tcW w:w="674" w:type="pct"/>
                  <w:noWrap w:val="0"/>
                  <w:vAlign w:val="center"/>
                </w:tcPr>
                <w:p w14:paraId="43D1D72E">
                  <w:pPr>
                    <w:pStyle w:val="111"/>
                    <w:keepNext w:val="0"/>
                    <w:keepLines w:val="0"/>
                    <w:pageBreakBefore w:val="0"/>
                    <w:widowControl w:val="0"/>
                    <w:kinsoku/>
                    <w:wordWrap/>
                    <w:overflowPunct/>
                    <w:topLinePunct w:val="0"/>
                    <w:autoSpaceDE/>
                    <w:autoSpaceDN/>
                    <w:bidi w:val="0"/>
                    <w:adjustRightInd w:val="0"/>
                    <w:spacing w:before="0" w:after="0" w:line="240" w:lineRule="auto"/>
                    <w:ind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除尘器故障</w:t>
                  </w:r>
                  <w:r>
                    <w:rPr>
                      <w:rFonts w:hint="default" w:ascii="Times New Roman" w:hAnsi="Times New Roman" w:eastAsia="宋体" w:cs="Times New Roman"/>
                      <w:color w:val="auto"/>
                      <w:sz w:val="21"/>
                      <w:szCs w:val="21"/>
                      <w:highlight w:val="none"/>
                    </w:rPr>
                    <w:t>除尘效率</w:t>
                  </w:r>
                  <w:r>
                    <w:rPr>
                      <w:rFonts w:hint="default" w:ascii="Times New Roman" w:hAnsi="Times New Roman" w:eastAsia="宋体" w:cs="Times New Roman"/>
                      <w:color w:val="auto"/>
                      <w:sz w:val="21"/>
                      <w:szCs w:val="21"/>
                      <w:highlight w:val="none"/>
                      <w:lang w:val="en-US" w:eastAsia="zh-CN"/>
                    </w:rPr>
                    <w:t>降低至90%</w:t>
                  </w:r>
                </w:p>
              </w:tc>
              <w:tc>
                <w:tcPr>
                  <w:tcW w:w="715" w:type="pct"/>
                  <w:noWrap w:val="0"/>
                  <w:vAlign w:val="center"/>
                </w:tcPr>
                <w:p w14:paraId="0BC01201">
                  <w:pPr>
                    <w:keepNext w:val="0"/>
                    <w:keepLines w:val="0"/>
                    <w:pageBreakBefore w:val="0"/>
                    <w:widowControl/>
                    <w:kinsoku/>
                    <w:wordWrap/>
                    <w:overflowPunct/>
                    <w:topLinePunct w:val="0"/>
                    <w:autoSpaceDE/>
                    <w:autoSpaceDN/>
                    <w:bidi w:val="0"/>
                    <w:adjustRightInd w:val="0"/>
                    <w:spacing w:line="240" w:lineRule="auto"/>
                    <w:ind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15.565</w:t>
                  </w:r>
                </w:p>
              </w:tc>
              <w:tc>
                <w:tcPr>
                  <w:tcW w:w="714" w:type="pct"/>
                  <w:noWrap w:val="0"/>
                  <w:vAlign w:val="center"/>
                </w:tcPr>
                <w:p w14:paraId="7EE6C75F">
                  <w:pPr>
                    <w:pStyle w:val="111"/>
                    <w:keepNext w:val="0"/>
                    <w:keepLines w:val="0"/>
                    <w:pageBreakBefore w:val="0"/>
                    <w:widowControl w:val="0"/>
                    <w:kinsoku/>
                    <w:wordWrap/>
                    <w:overflowPunct/>
                    <w:topLinePunct w:val="0"/>
                    <w:autoSpaceDE/>
                    <w:autoSpaceDN/>
                    <w:bidi w:val="0"/>
                    <w:adjustRightInd w:val="0"/>
                    <w:spacing w:before="0" w:after="0" w:line="240" w:lineRule="auto"/>
                    <w:ind w:righ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588" w:type="pct"/>
                  <w:noWrap w:val="0"/>
                  <w:vAlign w:val="center"/>
                </w:tcPr>
                <w:p w14:paraId="02437F3B">
                  <w:pPr>
                    <w:keepNext w:val="0"/>
                    <w:keepLines w:val="0"/>
                    <w:pageBreakBefore w:val="0"/>
                    <w:kinsoku/>
                    <w:wordWrap/>
                    <w:overflowPunct/>
                    <w:topLinePunct w:val="0"/>
                    <w:autoSpaceDE/>
                    <w:autoSpaceDN/>
                    <w:bidi w:val="0"/>
                    <w:adjustRightInd w:val="0"/>
                    <w:spacing w:line="240" w:lineRule="auto"/>
                    <w:ind w:right="0" w:firstLine="0" w:firstLineChars="0"/>
                    <w:jc w:val="center"/>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2</w:t>
                  </w:r>
                </w:p>
              </w:tc>
            </w:tr>
          </w:tbl>
          <w:p w14:paraId="083E621E">
            <w:pPr>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因此，本项目非正常工况</w:t>
            </w:r>
            <w:r>
              <w:rPr>
                <w:rFonts w:hint="default" w:ascii="Times New Roman" w:hAnsi="Times New Roman" w:eastAsia="宋体" w:cs="Times New Roman"/>
                <w:color w:val="auto"/>
                <w:kern w:val="0"/>
                <w:sz w:val="24"/>
                <w:szCs w:val="24"/>
                <w:highlight w:val="none"/>
                <w:lang w:eastAsia="zh-CN"/>
              </w:rPr>
              <w:t>时，颗粒物</w:t>
            </w:r>
            <w:r>
              <w:rPr>
                <w:rFonts w:hint="default" w:ascii="Times New Roman" w:hAnsi="Times New Roman" w:eastAsia="宋体" w:cs="Times New Roman"/>
                <w:color w:val="auto"/>
                <w:kern w:val="0"/>
                <w:sz w:val="24"/>
                <w:szCs w:val="24"/>
                <w:highlight w:val="none"/>
                <w:lang w:val="en-US" w:eastAsia="zh-CN"/>
              </w:rPr>
              <w:t>排放量为</w:t>
            </w:r>
            <w:r>
              <w:rPr>
                <w:rFonts w:hint="eastAsia" w:ascii="Times New Roman" w:hAnsi="Times New Roman" w:cs="Times New Roman"/>
                <w:color w:val="auto"/>
                <w:kern w:val="0"/>
                <w:sz w:val="24"/>
                <w:szCs w:val="24"/>
                <w:highlight w:val="none"/>
                <w:lang w:val="en-US" w:eastAsia="zh-CN" w:bidi="ar"/>
              </w:rPr>
              <w:t>15.565</w:t>
            </w:r>
            <w:r>
              <w:rPr>
                <w:rFonts w:hint="default" w:ascii="Times New Roman" w:hAnsi="Times New Roman" w:eastAsia="宋体" w:cs="Times New Roman"/>
                <w:color w:val="auto"/>
                <w:kern w:val="0"/>
                <w:sz w:val="24"/>
                <w:szCs w:val="24"/>
                <w:highlight w:val="none"/>
                <w:lang w:val="en-US" w:eastAsia="zh-CN" w:bidi="ar"/>
              </w:rPr>
              <w:t>kg/h，</w:t>
            </w:r>
            <w:r>
              <w:rPr>
                <w:rFonts w:hint="default" w:ascii="Times New Roman" w:hAnsi="Times New Roman" w:eastAsia="宋体" w:cs="Times New Roman"/>
                <w:color w:val="auto"/>
                <w:kern w:val="0"/>
                <w:sz w:val="24"/>
                <w:szCs w:val="24"/>
                <w:highlight w:val="none"/>
                <w:lang w:eastAsia="zh-CN"/>
              </w:rPr>
              <w:t>排放浓度为</w:t>
            </w:r>
            <w:r>
              <w:rPr>
                <w:rFonts w:hint="default" w:ascii="Times New Roman" w:hAnsi="Times New Roman" w:cs="Times New Roman"/>
                <w:color w:val="auto"/>
                <w:kern w:val="0"/>
                <w:sz w:val="24"/>
                <w:szCs w:val="24"/>
                <w:highlight w:val="none"/>
                <w:lang w:val="en-US" w:eastAsia="zh-CN"/>
              </w:rPr>
              <w:t>1211.8</w:t>
            </w:r>
            <w:r>
              <w:rPr>
                <w:rFonts w:hint="default" w:ascii="Times New Roman" w:hAnsi="Times New Roman" w:eastAsia="宋体" w:cs="Times New Roman"/>
                <w:color w:val="auto"/>
                <w:kern w:val="0"/>
                <w:sz w:val="24"/>
                <w:szCs w:val="24"/>
                <w:highlight w:val="none"/>
                <w:lang w:eastAsia="zh-CN"/>
              </w:rPr>
              <w:t>mg/m</w:t>
            </w:r>
            <w:r>
              <w:rPr>
                <w:rFonts w:hint="default" w:ascii="Times New Roman" w:hAnsi="Times New Roman" w:eastAsia="宋体" w:cs="Times New Roman"/>
                <w:color w:val="auto"/>
                <w:kern w:val="0"/>
                <w:sz w:val="24"/>
                <w:szCs w:val="24"/>
                <w:highlight w:val="none"/>
                <w:vertAlign w:val="superscript"/>
                <w:lang w:eastAsia="zh-CN"/>
              </w:rPr>
              <w:t>3</w:t>
            </w:r>
            <w:r>
              <w:rPr>
                <w:rFonts w:hint="default" w:ascii="Times New Roman" w:hAnsi="Times New Roman" w:eastAsia="宋体" w:cs="Times New Roman"/>
                <w:color w:val="auto"/>
                <w:kern w:val="0"/>
                <w:sz w:val="24"/>
                <w:szCs w:val="24"/>
                <w:highlight w:val="none"/>
                <w:lang w:eastAsia="zh-CN"/>
              </w:rPr>
              <w:t>，非正常工况时颗粒物</w:t>
            </w:r>
            <w:r>
              <w:rPr>
                <w:rFonts w:hint="default" w:ascii="Times New Roman" w:hAnsi="Times New Roman" w:cs="Times New Roman"/>
                <w:color w:val="auto"/>
                <w:kern w:val="0"/>
                <w:sz w:val="24"/>
                <w:szCs w:val="24"/>
                <w:highlight w:val="none"/>
                <w:lang w:eastAsia="zh-CN"/>
              </w:rPr>
              <w:t>排放浓度增大</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会对周边环境产生不良影响，故应</w:t>
            </w:r>
            <w:r>
              <w:rPr>
                <w:rFonts w:hint="default" w:ascii="Times New Roman" w:hAnsi="Times New Roman" w:eastAsia="宋体" w:cs="Times New Roman"/>
                <w:color w:val="auto"/>
                <w:kern w:val="0"/>
                <w:sz w:val="24"/>
                <w:szCs w:val="24"/>
                <w:highlight w:val="none"/>
                <w:lang w:eastAsia="zh-CN"/>
              </w:rPr>
              <w:t>在布袋除尘器发生故障时及时维修</w:t>
            </w:r>
            <w:r>
              <w:rPr>
                <w:rFonts w:hint="default" w:ascii="Times New Roman" w:hAnsi="Times New Roman" w:eastAsia="宋体" w:cs="Times New Roman"/>
                <w:color w:val="auto"/>
                <w:kern w:val="0"/>
                <w:sz w:val="24"/>
                <w:szCs w:val="24"/>
                <w:highlight w:val="none"/>
              </w:rPr>
              <w:t>。</w:t>
            </w:r>
          </w:p>
          <w:p w14:paraId="0EBE318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kern w:val="0"/>
                <w:sz w:val="24"/>
                <w:highlight w:val="none"/>
              </w:rPr>
            </w:pPr>
            <w:r>
              <w:rPr>
                <w:rFonts w:hint="default" w:ascii="Times New Roman" w:hAnsi="Times New Roman" w:eastAsia="宋体" w:cs="Times New Roman"/>
                <w:b/>
                <w:bCs/>
                <w:color w:val="auto"/>
                <w:spacing w:val="0"/>
                <w:kern w:val="0"/>
                <w:sz w:val="24"/>
                <w:highlight w:val="none"/>
                <w:lang w:val="en-US" w:eastAsia="zh-CN"/>
              </w:rPr>
              <w:t>1.4</w:t>
            </w:r>
            <w:r>
              <w:rPr>
                <w:rFonts w:hint="default" w:ascii="Times New Roman" w:hAnsi="Times New Roman" w:eastAsia="宋体" w:cs="Times New Roman"/>
                <w:b/>
                <w:bCs/>
                <w:color w:val="auto"/>
                <w:spacing w:val="0"/>
                <w:kern w:val="0"/>
                <w:sz w:val="24"/>
                <w:highlight w:val="none"/>
              </w:rPr>
              <w:t>有组织废气排放达标分析</w:t>
            </w:r>
          </w:p>
          <w:p w14:paraId="4C9F105D">
            <w:pPr>
              <w:spacing w:line="360" w:lineRule="auto"/>
              <w:ind w:firstLine="480" w:firstLineChars="200"/>
              <w:rPr>
                <w:rFonts w:hint="default" w:ascii="Times New Roman" w:hAnsi="Times New Roman" w:eastAsia="宋体" w:cs="Times New Roman"/>
                <w:color w:val="auto"/>
                <w:spacing w:val="0"/>
                <w:kern w:val="0"/>
                <w:sz w:val="24"/>
                <w:highlight w:val="none"/>
              </w:rPr>
            </w:pPr>
            <w:r>
              <w:rPr>
                <w:rFonts w:hint="default" w:ascii="Times New Roman" w:hAnsi="Times New Roman" w:eastAsia="宋体" w:cs="Times New Roman"/>
                <w:color w:val="auto"/>
                <w:spacing w:val="0"/>
                <w:kern w:val="0"/>
                <w:sz w:val="24"/>
                <w:highlight w:val="none"/>
              </w:rPr>
              <w:t>根据工程分析，本项目各排气筒污染物达标排放情况见下表。</w:t>
            </w:r>
          </w:p>
          <w:p w14:paraId="38346B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pacing w:val="0"/>
                <w:kern w:val="0"/>
                <w:sz w:val="21"/>
                <w:szCs w:val="21"/>
                <w:highlight w:val="none"/>
              </w:rPr>
            </w:pPr>
            <w:r>
              <w:rPr>
                <w:rFonts w:hint="default" w:ascii="Times New Roman" w:hAnsi="Times New Roman" w:eastAsia="宋体" w:cs="Times New Roman"/>
                <w:b/>
                <w:bCs/>
                <w:color w:val="auto"/>
                <w:spacing w:val="0"/>
                <w:kern w:val="0"/>
                <w:sz w:val="21"/>
                <w:szCs w:val="21"/>
                <w:highlight w:val="none"/>
              </w:rPr>
              <w:t>表4-</w:t>
            </w:r>
            <w:r>
              <w:rPr>
                <w:rFonts w:hint="default" w:ascii="Times New Roman" w:hAnsi="Times New Roman" w:eastAsia="宋体" w:cs="Times New Roman"/>
                <w:b/>
                <w:bCs/>
                <w:color w:val="auto"/>
                <w:spacing w:val="0"/>
                <w:kern w:val="0"/>
                <w:sz w:val="21"/>
                <w:szCs w:val="21"/>
                <w:highlight w:val="none"/>
                <w:lang w:val="en-US" w:eastAsia="zh-CN"/>
              </w:rPr>
              <w:t>5</w:t>
            </w:r>
            <w:r>
              <w:rPr>
                <w:rFonts w:hint="default" w:ascii="Times New Roman" w:hAnsi="Times New Roman" w:eastAsia="宋体" w:cs="Times New Roman"/>
                <w:b/>
                <w:bCs/>
                <w:color w:val="auto"/>
                <w:spacing w:val="0"/>
                <w:kern w:val="0"/>
                <w:sz w:val="21"/>
                <w:szCs w:val="21"/>
                <w:highlight w:val="none"/>
              </w:rPr>
              <w:t>本项目废气达标排放情况汇总表</w:t>
            </w:r>
          </w:p>
          <w:tbl>
            <w:tblPr>
              <w:tblStyle w:val="35"/>
              <w:tblW w:w="49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457"/>
              <w:gridCol w:w="1040"/>
              <w:gridCol w:w="1207"/>
              <w:gridCol w:w="1168"/>
              <w:gridCol w:w="1104"/>
              <w:gridCol w:w="1171"/>
              <w:gridCol w:w="1043"/>
            </w:tblGrid>
            <w:tr w14:paraId="5CBB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22" w:type="dxa"/>
                  <w:vMerge w:val="restart"/>
                  <w:tcBorders>
                    <w:top w:val="single" w:color="auto" w:sz="12" w:space="0"/>
                    <w:left w:val="nil"/>
                    <w:bottom w:val="single" w:color="auto" w:sz="4" w:space="0"/>
                    <w:right w:val="single" w:color="auto" w:sz="4" w:space="0"/>
                  </w:tcBorders>
                  <w:noWrap w:val="0"/>
                  <w:vAlign w:val="center"/>
                </w:tcPr>
                <w:p w14:paraId="5AAB18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污染源</w:t>
                  </w:r>
                </w:p>
              </w:tc>
              <w:tc>
                <w:tcPr>
                  <w:tcW w:w="1459" w:type="dxa"/>
                  <w:vMerge w:val="restart"/>
                  <w:tcBorders>
                    <w:top w:val="single" w:color="auto" w:sz="12" w:space="0"/>
                    <w:left w:val="single" w:color="auto" w:sz="4" w:space="0"/>
                    <w:bottom w:val="single" w:color="auto" w:sz="4" w:space="0"/>
                    <w:right w:val="single" w:color="auto" w:sz="4" w:space="0"/>
                  </w:tcBorders>
                  <w:noWrap w:val="0"/>
                  <w:vAlign w:val="center"/>
                </w:tcPr>
                <w:p w14:paraId="3CBF94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污染物</w:t>
                  </w:r>
                </w:p>
              </w:tc>
              <w:tc>
                <w:tcPr>
                  <w:tcW w:w="1041" w:type="dxa"/>
                  <w:vMerge w:val="restart"/>
                  <w:tcBorders>
                    <w:top w:val="single" w:color="auto" w:sz="12" w:space="0"/>
                    <w:left w:val="single" w:color="auto" w:sz="4" w:space="0"/>
                    <w:bottom w:val="single" w:color="auto" w:sz="4" w:space="0"/>
                    <w:right w:val="single" w:color="auto" w:sz="4" w:space="0"/>
                  </w:tcBorders>
                  <w:noWrap w:val="0"/>
                  <w:vAlign w:val="center"/>
                </w:tcPr>
                <w:p w14:paraId="6FA69E4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排气筒高度m</w:t>
                  </w:r>
                </w:p>
              </w:tc>
              <w:tc>
                <w:tcPr>
                  <w:tcW w:w="2378" w:type="dxa"/>
                  <w:gridSpan w:val="2"/>
                  <w:tcBorders>
                    <w:top w:val="single" w:color="auto" w:sz="12" w:space="0"/>
                    <w:left w:val="single" w:color="auto" w:sz="4" w:space="0"/>
                    <w:bottom w:val="single" w:color="auto" w:sz="4" w:space="0"/>
                    <w:right w:val="single" w:color="auto" w:sz="4" w:space="0"/>
                  </w:tcBorders>
                  <w:noWrap w:val="0"/>
                  <w:vAlign w:val="center"/>
                </w:tcPr>
                <w:p w14:paraId="4EE7902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排放情况</w:t>
                  </w:r>
                </w:p>
              </w:tc>
              <w:tc>
                <w:tcPr>
                  <w:tcW w:w="2277" w:type="dxa"/>
                  <w:gridSpan w:val="2"/>
                  <w:tcBorders>
                    <w:top w:val="single" w:color="auto" w:sz="12" w:space="0"/>
                    <w:left w:val="single" w:color="auto" w:sz="4" w:space="0"/>
                    <w:bottom w:val="single" w:color="auto" w:sz="4" w:space="0"/>
                    <w:right w:val="single" w:color="auto" w:sz="4" w:space="0"/>
                  </w:tcBorders>
                  <w:noWrap w:val="0"/>
                  <w:vAlign w:val="center"/>
                </w:tcPr>
                <w:p w14:paraId="655980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排放执行标准</w:t>
                  </w:r>
                </w:p>
              </w:tc>
              <w:tc>
                <w:tcPr>
                  <w:tcW w:w="1044" w:type="dxa"/>
                  <w:vMerge w:val="restart"/>
                  <w:tcBorders>
                    <w:top w:val="single" w:color="auto" w:sz="12" w:space="0"/>
                    <w:left w:val="single" w:color="auto" w:sz="4" w:space="0"/>
                    <w:bottom w:val="single" w:color="auto" w:sz="4" w:space="0"/>
                    <w:right w:val="nil"/>
                  </w:tcBorders>
                  <w:noWrap w:val="0"/>
                  <w:vAlign w:val="center"/>
                </w:tcPr>
                <w:p w14:paraId="4A8A91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是否达标</w:t>
                  </w:r>
                </w:p>
              </w:tc>
            </w:tr>
            <w:tr w14:paraId="4A9D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22" w:type="dxa"/>
                  <w:vMerge w:val="continue"/>
                  <w:tcBorders>
                    <w:top w:val="single" w:color="auto" w:sz="4" w:space="0"/>
                    <w:left w:val="nil"/>
                    <w:bottom w:val="single" w:color="auto" w:sz="4" w:space="0"/>
                    <w:right w:val="single" w:color="auto" w:sz="4" w:space="0"/>
                  </w:tcBorders>
                  <w:noWrap w:val="0"/>
                  <w:vAlign w:val="center"/>
                </w:tcPr>
                <w:p w14:paraId="480552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bCs/>
                      <w:color w:val="auto"/>
                      <w:spacing w:val="0"/>
                      <w:sz w:val="21"/>
                      <w:szCs w:val="21"/>
                      <w:highlight w:val="none"/>
                    </w:rPr>
                  </w:pPr>
                </w:p>
              </w:tc>
              <w:tc>
                <w:tcPr>
                  <w:tcW w:w="1459" w:type="dxa"/>
                  <w:vMerge w:val="continue"/>
                  <w:tcBorders>
                    <w:top w:val="single" w:color="auto" w:sz="4" w:space="0"/>
                    <w:left w:val="single" w:color="auto" w:sz="4" w:space="0"/>
                    <w:bottom w:val="single" w:color="auto" w:sz="4" w:space="0"/>
                    <w:right w:val="single" w:color="auto" w:sz="4" w:space="0"/>
                  </w:tcBorders>
                  <w:noWrap w:val="0"/>
                  <w:vAlign w:val="center"/>
                </w:tcPr>
                <w:p w14:paraId="318105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bCs/>
                      <w:color w:val="auto"/>
                      <w:spacing w:val="0"/>
                      <w:sz w:val="21"/>
                      <w:szCs w:val="21"/>
                      <w:highlight w:val="none"/>
                    </w:rPr>
                  </w:pPr>
                </w:p>
              </w:tc>
              <w:tc>
                <w:tcPr>
                  <w:tcW w:w="1041" w:type="dxa"/>
                  <w:vMerge w:val="continue"/>
                  <w:tcBorders>
                    <w:top w:val="single" w:color="auto" w:sz="4" w:space="0"/>
                    <w:left w:val="single" w:color="auto" w:sz="4" w:space="0"/>
                    <w:bottom w:val="single" w:color="auto" w:sz="4" w:space="0"/>
                    <w:right w:val="single" w:color="auto" w:sz="4" w:space="0"/>
                  </w:tcBorders>
                  <w:noWrap w:val="0"/>
                  <w:vAlign w:val="center"/>
                </w:tcPr>
                <w:p w14:paraId="73D153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bCs/>
                      <w:color w:val="auto"/>
                      <w:spacing w:val="0"/>
                      <w:sz w:val="21"/>
                      <w:szCs w:val="21"/>
                      <w:highlight w:val="none"/>
                    </w:rPr>
                  </w:pPr>
                </w:p>
              </w:tc>
              <w:tc>
                <w:tcPr>
                  <w:tcW w:w="1209" w:type="dxa"/>
                  <w:tcBorders>
                    <w:top w:val="single" w:color="auto" w:sz="4" w:space="0"/>
                    <w:left w:val="single" w:color="auto" w:sz="4" w:space="0"/>
                    <w:bottom w:val="single" w:color="auto" w:sz="4" w:space="0"/>
                    <w:right w:val="single" w:color="auto" w:sz="4" w:space="0"/>
                  </w:tcBorders>
                  <w:noWrap w:val="0"/>
                  <w:vAlign w:val="center"/>
                </w:tcPr>
                <w:p w14:paraId="59CEE7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排放</w:t>
                  </w:r>
                  <w:r>
                    <w:rPr>
                      <w:rFonts w:hint="default" w:ascii="Times New Roman" w:hAnsi="Times New Roman" w:eastAsia="宋体" w:cs="Times New Roman"/>
                      <w:b/>
                      <w:bCs/>
                      <w:color w:val="auto"/>
                      <w:spacing w:val="0"/>
                      <w:sz w:val="21"/>
                      <w:szCs w:val="21"/>
                      <w:highlight w:val="none"/>
                      <w:lang w:val="en-US" w:eastAsia="zh-CN"/>
                    </w:rPr>
                    <w:t>量</w:t>
                  </w:r>
                  <w:r>
                    <w:rPr>
                      <w:rFonts w:hint="default" w:ascii="Times New Roman" w:hAnsi="Times New Roman" w:eastAsia="宋体" w:cs="Times New Roman"/>
                      <w:b/>
                      <w:bCs/>
                      <w:color w:val="auto"/>
                      <w:spacing w:val="0"/>
                      <w:sz w:val="21"/>
                      <w:szCs w:val="21"/>
                      <w:highlight w:val="none"/>
                    </w:rPr>
                    <w:t>t/a</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480C1EA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lang w:eastAsia="zh-CN"/>
                    </w:rPr>
                  </w:pPr>
                  <w:r>
                    <w:rPr>
                      <w:rFonts w:hint="default" w:ascii="Times New Roman" w:hAnsi="Times New Roman" w:eastAsia="宋体" w:cs="Times New Roman"/>
                      <w:b/>
                      <w:bCs/>
                      <w:color w:val="auto"/>
                      <w:spacing w:val="0"/>
                      <w:sz w:val="21"/>
                      <w:szCs w:val="21"/>
                      <w:highlight w:val="none"/>
                    </w:rPr>
                    <w:t>排放浓度mg/</w:t>
                  </w:r>
                  <w:r>
                    <w:rPr>
                      <w:rFonts w:hint="default" w:ascii="Times New Roman" w:hAnsi="Times New Roman" w:eastAsia="宋体" w:cs="Times New Roman"/>
                      <w:b/>
                      <w:bCs/>
                      <w:color w:val="auto"/>
                      <w:spacing w:val="0"/>
                      <w:sz w:val="21"/>
                      <w:szCs w:val="21"/>
                      <w:highlight w:val="none"/>
                      <w:lang w:eastAsia="zh-CN"/>
                    </w:rPr>
                    <w:t>m</w:t>
                  </w:r>
                  <w:r>
                    <w:rPr>
                      <w:rFonts w:hint="default" w:ascii="Times New Roman" w:hAnsi="Times New Roman" w:eastAsia="宋体" w:cs="Times New Roman"/>
                      <w:b/>
                      <w:bCs/>
                      <w:caps w:val="0"/>
                      <w:smallCaps w:val="0"/>
                      <w:strike w:val="0"/>
                      <w:dstrike w:val="0"/>
                      <w:vanish w:val="0"/>
                      <w:color w:val="auto"/>
                      <w:spacing w:val="0"/>
                      <w:sz w:val="21"/>
                      <w:szCs w:val="21"/>
                      <w:highlight w:val="none"/>
                      <w:vertAlign w:val="superscript"/>
                      <w:lang w:eastAsia="zh-CN"/>
                    </w:rPr>
                    <w:t>3</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1AD9F2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排放速率kg/h</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3BD7EB5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lang w:eastAsia="zh-CN"/>
                    </w:rPr>
                  </w:pPr>
                  <w:r>
                    <w:rPr>
                      <w:rFonts w:hint="default" w:ascii="Times New Roman" w:hAnsi="Times New Roman" w:eastAsia="宋体" w:cs="Times New Roman"/>
                      <w:b/>
                      <w:bCs/>
                      <w:color w:val="auto"/>
                      <w:spacing w:val="0"/>
                      <w:sz w:val="21"/>
                      <w:szCs w:val="21"/>
                      <w:highlight w:val="none"/>
                    </w:rPr>
                    <w:t>排放浓度mg/</w:t>
                  </w:r>
                  <w:r>
                    <w:rPr>
                      <w:rFonts w:hint="default" w:ascii="Times New Roman" w:hAnsi="Times New Roman" w:eastAsia="宋体" w:cs="Times New Roman"/>
                      <w:b/>
                      <w:bCs/>
                      <w:color w:val="auto"/>
                      <w:spacing w:val="0"/>
                      <w:sz w:val="21"/>
                      <w:szCs w:val="21"/>
                      <w:highlight w:val="none"/>
                      <w:lang w:eastAsia="zh-CN"/>
                    </w:rPr>
                    <w:t>m</w:t>
                  </w:r>
                  <w:r>
                    <w:rPr>
                      <w:rFonts w:hint="default" w:ascii="Times New Roman" w:hAnsi="Times New Roman" w:eastAsia="宋体" w:cs="Times New Roman"/>
                      <w:b/>
                      <w:bCs/>
                      <w:caps w:val="0"/>
                      <w:smallCaps w:val="0"/>
                      <w:strike w:val="0"/>
                      <w:dstrike w:val="0"/>
                      <w:vanish w:val="0"/>
                      <w:color w:val="auto"/>
                      <w:spacing w:val="0"/>
                      <w:sz w:val="21"/>
                      <w:szCs w:val="21"/>
                      <w:highlight w:val="none"/>
                      <w:vertAlign w:val="superscript"/>
                      <w:lang w:eastAsia="zh-CN"/>
                    </w:rPr>
                    <w:t>3</w:t>
                  </w:r>
                </w:p>
              </w:tc>
              <w:tc>
                <w:tcPr>
                  <w:tcW w:w="1044" w:type="dxa"/>
                  <w:vMerge w:val="continue"/>
                  <w:tcBorders>
                    <w:top w:val="single" w:color="auto" w:sz="4" w:space="0"/>
                    <w:left w:val="single" w:color="auto" w:sz="4" w:space="0"/>
                    <w:bottom w:val="single" w:color="auto" w:sz="4" w:space="0"/>
                    <w:right w:val="nil"/>
                  </w:tcBorders>
                  <w:noWrap w:val="0"/>
                  <w:vAlign w:val="center"/>
                </w:tcPr>
                <w:p w14:paraId="6B50F9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bCs/>
                      <w:color w:val="auto"/>
                      <w:spacing w:val="0"/>
                      <w:sz w:val="21"/>
                      <w:szCs w:val="21"/>
                      <w:highlight w:val="none"/>
                    </w:rPr>
                  </w:pPr>
                </w:p>
              </w:tc>
            </w:tr>
            <w:tr w14:paraId="1FC6E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exact"/>
                <w:jc w:val="center"/>
              </w:trPr>
              <w:tc>
                <w:tcPr>
                  <w:tcW w:w="622" w:type="dxa"/>
                  <w:vMerge w:val="restart"/>
                  <w:tcBorders>
                    <w:top w:val="single" w:color="auto" w:sz="4" w:space="0"/>
                    <w:left w:val="nil"/>
                    <w:right w:val="single" w:color="auto" w:sz="4" w:space="0"/>
                  </w:tcBorders>
                  <w:noWrap w:val="0"/>
                  <w:vAlign w:val="center"/>
                </w:tcPr>
                <w:p w14:paraId="5D01C5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rPr>
                  </w:pPr>
                  <w:r>
                    <w:rPr>
                      <w:rFonts w:hint="default" w:ascii="Times New Roman" w:hAnsi="Times New Roman" w:cs="Times New Roman"/>
                      <w:color w:val="auto"/>
                      <w:spacing w:val="0"/>
                      <w:sz w:val="21"/>
                      <w:szCs w:val="21"/>
                      <w:highlight w:val="none"/>
                      <w:lang w:eastAsia="zh-CN"/>
                    </w:rPr>
                    <w:t>DA004</w:t>
                  </w:r>
                </w:p>
              </w:tc>
              <w:tc>
                <w:tcPr>
                  <w:tcW w:w="1459" w:type="dxa"/>
                  <w:tcBorders>
                    <w:top w:val="single" w:color="auto" w:sz="4" w:space="0"/>
                    <w:left w:val="single" w:color="auto" w:sz="4" w:space="0"/>
                    <w:bottom w:val="single" w:color="auto" w:sz="4" w:space="0"/>
                    <w:right w:val="single" w:color="auto" w:sz="4" w:space="0"/>
                  </w:tcBorders>
                  <w:noWrap w:val="0"/>
                  <w:vAlign w:val="center"/>
                </w:tcPr>
                <w:p w14:paraId="292DCF7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颗粒物</w:t>
                  </w:r>
                </w:p>
              </w:tc>
              <w:tc>
                <w:tcPr>
                  <w:tcW w:w="1041" w:type="dxa"/>
                  <w:vMerge w:val="restart"/>
                  <w:tcBorders>
                    <w:top w:val="single" w:color="auto" w:sz="4" w:space="0"/>
                    <w:left w:val="single" w:color="auto" w:sz="4" w:space="0"/>
                    <w:right w:val="single" w:color="auto" w:sz="4" w:space="0"/>
                  </w:tcBorders>
                  <w:noWrap w:val="0"/>
                  <w:vAlign w:val="center"/>
                </w:tcPr>
                <w:p w14:paraId="303AD0D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40</w:t>
                  </w:r>
                </w:p>
              </w:tc>
              <w:tc>
                <w:tcPr>
                  <w:tcW w:w="12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CE0D5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kern w:val="0"/>
                      <w:sz w:val="21"/>
                      <w:szCs w:val="21"/>
                      <w:highlight w:val="none"/>
                      <w:lang w:val="en-US" w:eastAsia="zh-CN" w:bidi="ar-SA"/>
                    </w:rPr>
                  </w:pPr>
                  <w:r>
                    <w:rPr>
                      <w:rFonts w:hint="default" w:ascii="Times New Roman" w:hAnsi="Times New Roman" w:cs="Times New Roman"/>
                      <w:color w:val="auto"/>
                      <w:spacing w:val="0"/>
                      <w:sz w:val="21"/>
                      <w:szCs w:val="21"/>
                      <w:highlight w:val="none"/>
                      <w:lang w:val="en-US" w:eastAsia="zh-CN"/>
                    </w:rPr>
                    <w:t>0.489</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0687B3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12.119</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6C6AB9A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670B71F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50</w:t>
                  </w:r>
                </w:p>
              </w:tc>
              <w:tc>
                <w:tcPr>
                  <w:tcW w:w="1044" w:type="dxa"/>
                  <w:tcBorders>
                    <w:top w:val="single" w:color="auto" w:sz="4" w:space="0"/>
                    <w:left w:val="single" w:color="auto" w:sz="4" w:space="0"/>
                    <w:bottom w:val="single" w:color="auto" w:sz="4" w:space="0"/>
                    <w:right w:val="nil"/>
                  </w:tcBorders>
                  <w:noWrap w:val="0"/>
                  <w:vAlign w:val="center"/>
                </w:tcPr>
                <w:p w14:paraId="5AA305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是</w:t>
                  </w:r>
                </w:p>
              </w:tc>
            </w:tr>
            <w:tr w14:paraId="7273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22" w:type="dxa"/>
                  <w:vMerge w:val="continue"/>
                  <w:tcBorders>
                    <w:left w:val="nil"/>
                    <w:right w:val="single" w:color="auto" w:sz="4" w:space="0"/>
                  </w:tcBorders>
                  <w:noWrap w:val="0"/>
                  <w:vAlign w:val="center"/>
                </w:tcPr>
                <w:p w14:paraId="5216A3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1CB50DC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二氧化硫</w:t>
                  </w:r>
                </w:p>
              </w:tc>
              <w:tc>
                <w:tcPr>
                  <w:tcW w:w="1041" w:type="dxa"/>
                  <w:vMerge w:val="continue"/>
                  <w:tcBorders>
                    <w:left w:val="single" w:color="auto" w:sz="4" w:space="0"/>
                    <w:right w:val="single" w:color="auto" w:sz="4" w:space="0"/>
                  </w:tcBorders>
                  <w:noWrap w:val="0"/>
                  <w:vAlign w:val="center"/>
                </w:tcPr>
                <w:p w14:paraId="383E7E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2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752E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kern w:val="0"/>
                      <w:sz w:val="21"/>
                      <w:szCs w:val="21"/>
                      <w:highlight w:val="none"/>
                      <w:lang w:val="en-US" w:eastAsia="zh-CN" w:bidi="ar-SA"/>
                    </w:rPr>
                  </w:pPr>
                  <w:r>
                    <w:rPr>
                      <w:rFonts w:hint="eastAsia" w:ascii="Times New Roman" w:hAnsi="Times New Roman" w:cs="Times New Roman"/>
                      <w:color w:val="auto"/>
                      <w:spacing w:val="0"/>
                      <w:sz w:val="21"/>
                      <w:szCs w:val="21"/>
                      <w:highlight w:val="none"/>
                      <w:lang w:val="en-US" w:eastAsia="zh-CN"/>
                    </w:rPr>
                    <w:t>4.388</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107FCF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108.731</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29ADEC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001C8C2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3</w:t>
                  </w:r>
                  <w:r>
                    <w:rPr>
                      <w:rFonts w:hint="default" w:ascii="Times New Roman" w:hAnsi="Times New Roman" w:eastAsia="宋体" w:cs="Times New Roman"/>
                      <w:color w:val="auto"/>
                      <w:spacing w:val="0"/>
                      <w:sz w:val="21"/>
                      <w:szCs w:val="21"/>
                      <w:highlight w:val="none"/>
                      <w:lang w:val="en-US" w:eastAsia="zh-CN"/>
                    </w:rPr>
                    <w:t>00</w:t>
                  </w:r>
                </w:p>
              </w:tc>
              <w:tc>
                <w:tcPr>
                  <w:tcW w:w="1044" w:type="dxa"/>
                  <w:tcBorders>
                    <w:top w:val="single" w:color="auto" w:sz="4" w:space="0"/>
                    <w:left w:val="single" w:color="auto" w:sz="4" w:space="0"/>
                    <w:bottom w:val="single" w:color="auto" w:sz="4" w:space="0"/>
                    <w:right w:val="nil"/>
                  </w:tcBorders>
                  <w:noWrap w:val="0"/>
                  <w:vAlign w:val="center"/>
                </w:tcPr>
                <w:p w14:paraId="16FC7A1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是</w:t>
                  </w:r>
                </w:p>
              </w:tc>
            </w:tr>
            <w:tr w14:paraId="35A1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22" w:type="dxa"/>
                  <w:vMerge w:val="continue"/>
                  <w:tcBorders>
                    <w:left w:val="nil"/>
                    <w:right w:val="single" w:color="auto" w:sz="4" w:space="0"/>
                  </w:tcBorders>
                  <w:noWrap w:val="0"/>
                  <w:vAlign w:val="center"/>
                </w:tcPr>
                <w:p w14:paraId="331D2B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6EB045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氮氧化物</w:t>
                  </w:r>
                </w:p>
              </w:tc>
              <w:tc>
                <w:tcPr>
                  <w:tcW w:w="1041" w:type="dxa"/>
                  <w:vMerge w:val="continue"/>
                  <w:tcBorders>
                    <w:left w:val="single" w:color="auto" w:sz="4" w:space="0"/>
                    <w:right w:val="single" w:color="auto" w:sz="4" w:space="0"/>
                  </w:tcBorders>
                  <w:noWrap w:val="0"/>
                  <w:vAlign w:val="center"/>
                </w:tcPr>
                <w:p w14:paraId="546041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2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6219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0"/>
                      <w:kern w:val="0"/>
                      <w:sz w:val="21"/>
                      <w:szCs w:val="21"/>
                      <w:highlight w:val="none"/>
                      <w:lang w:val="en-US" w:eastAsia="zh-CN" w:bidi="ar-SA"/>
                    </w:rPr>
                  </w:pPr>
                  <w:r>
                    <w:rPr>
                      <w:rFonts w:hint="default" w:ascii="Times New Roman" w:hAnsi="Times New Roman" w:cs="Times New Roman"/>
                      <w:bCs/>
                      <w:color w:val="auto"/>
                      <w:spacing w:val="0"/>
                      <w:kern w:val="0"/>
                      <w:sz w:val="21"/>
                      <w:szCs w:val="21"/>
                      <w:highlight w:val="none"/>
                      <w:lang w:val="en-US" w:eastAsia="zh-CN" w:bidi="ar-SA"/>
                    </w:rPr>
                    <w:t>6.7396</w:t>
                  </w:r>
                </w:p>
              </w:tc>
              <w:tc>
                <w:tcPr>
                  <w:tcW w:w="1169" w:type="dxa"/>
                  <w:tcBorders>
                    <w:top w:val="single" w:color="auto" w:sz="4" w:space="0"/>
                    <w:left w:val="single" w:color="auto" w:sz="4" w:space="0"/>
                    <w:bottom w:val="single" w:color="auto" w:sz="4" w:space="0"/>
                    <w:right w:val="single" w:color="auto" w:sz="4" w:space="0"/>
                  </w:tcBorders>
                  <w:noWrap w:val="0"/>
                  <w:vAlign w:val="center"/>
                </w:tcPr>
                <w:p w14:paraId="2B633F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167</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1679DD3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63E23D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3</w:t>
                  </w:r>
                  <w:r>
                    <w:rPr>
                      <w:rFonts w:hint="default" w:ascii="Times New Roman" w:hAnsi="Times New Roman" w:eastAsia="宋体" w:cs="Times New Roman"/>
                      <w:color w:val="auto"/>
                      <w:spacing w:val="0"/>
                      <w:sz w:val="21"/>
                      <w:szCs w:val="21"/>
                      <w:highlight w:val="none"/>
                      <w:lang w:val="en-US" w:eastAsia="zh-CN"/>
                    </w:rPr>
                    <w:t>00</w:t>
                  </w:r>
                </w:p>
              </w:tc>
              <w:tc>
                <w:tcPr>
                  <w:tcW w:w="1044" w:type="dxa"/>
                  <w:tcBorders>
                    <w:top w:val="single" w:color="auto" w:sz="4" w:space="0"/>
                    <w:left w:val="single" w:color="auto" w:sz="4" w:space="0"/>
                    <w:bottom w:val="single" w:color="auto" w:sz="4" w:space="0"/>
                    <w:right w:val="nil"/>
                  </w:tcBorders>
                  <w:noWrap w:val="0"/>
                  <w:vAlign w:val="center"/>
                </w:tcPr>
                <w:p w14:paraId="4F75D7D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是</w:t>
                  </w:r>
                </w:p>
              </w:tc>
            </w:tr>
            <w:tr w14:paraId="06F9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22" w:type="dxa"/>
                  <w:vMerge w:val="continue"/>
                  <w:tcBorders>
                    <w:left w:val="nil"/>
                    <w:bottom w:val="single" w:color="auto" w:sz="4" w:space="0"/>
                    <w:right w:val="single" w:color="auto" w:sz="4" w:space="0"/>
                  </w:tcBorders>
                  <w:noWrap w:val="0"/>
                  <w:vAlign w:val="center"/>
                </w:tcPr>
                <w:p w14:paraId="71BE92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25ED37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烟气黑度</w:t>
                  </w:r>
                </w:p>
              </w:tc>
              <w:tc>
                <w:tcPr>
                  <w:tcW w:w="1041" w:type="dxa"/>
                  <w:vMerge w:val="continue"/>
                  <w:tcBorders>
                    <w:left w:val="single" w:color="auto" w:sz="4" w:space="0"/>
                    <w:right w:val="single" w:color="auto" w:sz="4" w:space="0"/>
                  </w:tcBorders>
                  <w:noWrap w:val="0"/>
                  <w:vAlign w:val="center"/>
                </w:tcPr>
                <w:p w14:paraId="05AA7D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2378" w:type="dxa"/>
                  <w:gridSpan w:val="2"/>
                  <w:tcBorders>
                    <w:top w:val="single" w:color="auto" w:sz="4" w:space="0"/>
                    <w:left w:val="single" w:color="auto" w:sz="4" w:space="0"/>
                    <w:bottom w:val="single" w:color="auto" w:sz="4" w:space="0"/>
                    <w:right w:val="single" w:color="auto" w:sz="4" w:space="0"/>
                  </w:tcBorders>
                  <w:noWrap w:val="0"/>
                  <w:vAlign w:val="center"/>
                </w:tcPr>
                <w:p w14:paraId="64CB69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＜1（林格曼等级）</w:t>
                  </w:r>
                </w:p>
              </w:tc>
              <w:tc>
                <w:tcPr>
                  <w:tcW w:w="2277" w:type="dxa"/>
                  <w:gridSpan w:val="2"/>
                  <w:tcBorders>
                    <w:top w:val="single" w:color="auto" w:sz="4" w:space="0"/>
                    <w:left w:val="single" w:color="auto" w:sz="4" w:space="0"/>
                    <w:bottom w:val="single" w:color="auto" w:sz="4" w:space="0"/>
                    <w:right w:val="single" w:color="auto" w:sz="4" w:space="0"/>
                  </w:tcBorders>
                  <w:noWrap w:val="0"/>
                  <w:vAlign w:val="center"/>
                </w:tcPr>
                <w:p w14:paraId="3B90B2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bCs w:val="0"/>
                      <w:color w:val="auto"/>
                      <w:spacing w:val="0"/>
                      <w:kern w:val="2"/>
                      <w:sz w:val="21"/>
                      <w:szCs w:val="21"/>
                      <w:highlight w:val="none"/>
                      <w:lang w:val="en-US" w:eastAsia="zh-CN" w:bidi="ar-SA"/>
                    </w:rPr>
                    <w:t>≤</w:t>
                  </w:r>
                  <w:r>
                    <w:rPr>
                      <w:rFonts w:hint="default" w:ascii="Times New Roman" w:hAnsi="Times New Roman" w:eastAsia="宋体" w:cs="Times New Roman"/>
                      <w:color w:val="auto"/>
                      <w:spacing w:val="0"/>
                      <w:sz w:val="21"/>
                      <w:szCs w:val="21"/>
                      <w:highlight w:val="none"/>
                      <w:lang w:val="en-US" w:eastAsia="zh-CN"/>
                    </w:rPr>
                    <w:t>1（林格曼等级）</w:t>
                  </w:r>
                </w:p>
              </w:tc>
              <w:tc>
                <w:tcPr>
                  <w:tcW w:w="1044" w:type="dxa"/>
                  <w:tcBorders>
                    <w:top w:val="single" w:color="auto" w:sz="4" w:space="0"/>
                    <w:left w:val="single" w:color="auto" w:sz="4" w:space="0"/>
                    <w:bottom w:val="single" w:color="auto" w:sz="4" w:space="0"/>
                    <w:right w:val="nil"/>
                  </w:tcBorders>
                  <w:noWrap w:val="0"/>
                  <w:vAlign w:val="center"/>
                </w:tcPr>
                <w:p w14:paraId="3C9D8F1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是</w:t>
                  </w:r>
                </w:p>
              </w:tc>
            </w:tr>
          </w:tbl>
          <w:p w14:paraId="7F4B50F5">
            <w:pPr>
              <w:spacing w:line="360" w:lineRule="auto"/>
              <w:rPr>
                <w:rFonts w:hint="default" w:ascii="Times New Roman" w:hAnsi="Times New Roman" w:eastAsia="宋体" w:cs="Times New Roman"/>
                <w:color w:val="auto"/>
                <w:spacing w:val="0"/>
                <w:sz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由上表可知，本项目废气满足</w:t>
            </w:r>
            <w:r>
              <w:rPr>
                <w:rFonts w:hint="default" w:ascii="Times New Roman" w:hAnsi="Times New Roman" w:eastAsia="宋体" w:cs="Times New Roman"/>
                <w:color w:val="auto"/>
                <w:spacing w:val="0"/>
                <w:sz w:val="24"/>
                <w:highlight w:val="none"/>
              </w:rPr>
              <w:t>《</w:t>
            </w:r>
            <w:r>
              <w:rPr>
                <w:rFonts w:hint="default" w:ascii="Times New Roman" w:hAnsi="Times New Roman" w:eastAsia="宋体" w:cs="Times New Roman"/>
                <w:color w:val="auto"/>
                <w:spacing w:val="0"/>
                <w:sz w:val="24"/>
                <w:highlight w:val="none"/>
                <w:lang w:val="en-US" w:eastAsia="zh-CN"/>
              </w:rPr>
              <w:t>锅炉大气污染物排放标准</w:t>
            </w:r>
            <w:r>
              <w:rPr>
                <w:rFonts w:hint="default" w:ascii="Times New Roman" w:hAnsi="Times New Roman" w:eastAsia="宋体" w:cs="Times New Roman"/>
                <w:color w:val="auto"/>
                <w:spacing w:val="0"/>
                <w:sz w:val="24"/>
                <w:highlight w:val="none"/>
              </w:rPr>
              <w:t>》（GB</w:t>
            </w:r>
            <w:r>
              <w:rPr>
                <w:rFonts w:hint="default" w:ascii="Times New Roman" w:hAnsi="Times New Roman" w:eastAsia="宋体" w:cs="Times New Roman"/>
                <w:color w:val="auto"/>
                <w:spacing w:val="0"/>
                <w:sz w:val="24"/>
                <w:highlight w:val="none"/>
                <w:lang w:val="en-US" w:eastAsia="zh-CN"/>
              </w:rPr>
              <w:t>13271</w:t>
            </w:r>
            <w:r>
              <w:rPr>
                <w:rFonts w:hint="default" w:ascii="Times New Roman" w:hAnsi="Times New Roman" w:eastAsia="宋体" w:cs="Times New Roman"/>
                <w:color w:val="auto"/>
                <w:spacing w:val="0"/>
                <w:sz w:val="24"/>
                <w:highlight w:val="none"/>
              </w:rPr>
              <w:t>-</w:t>
            </w:r>
            <w:r>
              <w:rPr>
                <w:rFonts w:hint="default" w:ascii="Times New Roman" w:hAnsi="Times New Roman" w:eastAsia="宋体" w:cs="Times New Roman"/>
                <w:color w:val="auto"/>
                <w:spacing w:val="0"/>
                <w:sz w:val="24"/>
                <w:highlight w:val="none"/>
                <w:lang w:val="en-US" w:eastAsia="zh-CN"/>
              </w:rPr>
              <w:t>2014</w:t>
            </w:r>
            <w:r>
              <w:rPr>
                <w:rFonts w:hint="default" w:ascii="Times New Roman" w:hAnsi="Times New Roman" w:eastAsia="宋体" w:cs="Times New Roman"/>
                <w:color w:val="auto"/>
                <w:spacing w:val="0"/>
                <w:sz w:val="24"/>
                <w:highlight w:val="none"/>
              </w:rPr>
              <w:t>）</w:t>
            </w:r>
            <w:r>
              <w:rPr>
                <w:rFonts w:hint="default" w:ascii="Times New Roman" w:hAnsi="Times New Roman" w:eastAsia="宋体" w:cs="Times New Roman"/>
                <w:bCs/>
                <w:color w:val="auto"/>
                <w:spacing w:val="0"/>
                <w:sz w:val="24"/>
                <w:szCs w:val="24"/>
                <w:highlight w:val="none"/>
                <w:lang w:val="en-US" w:eastAsia="zh-CN"/>
              </w:rPr>
              <w:t>表</w:t>
            </w:r>
            <w:r>
              <w:rPr>
                <w:rFonts w:hint="default" w:ascii="Times New Roman" w:hAnsi="Times New Roman" w:cs="Times New Roman"/>
                <w:bCs/>
                <w:color w:val="auto"/>
                <w:spacing w:val="0"/>
                <w:sz w:val="24"/>
                <w:szCs w:val="24"/>
                <w:highlight w:val="none"/>
                <w:lang w:val="en-US" w:eastAsia="zh-CN"/>
              </w:rPr>
              <w:t>2</w:t>
            </w:r>
            <w:r>
              <w:rPr>
                <w:rFonts w:hint="default" w:ascii="Times New Roman" w:hAnsi="Times New Roman" w:eastAsia="宋体" w:cs="Times New Roman"/>
                <w:bCs/>
                <w:color w:val="auto"/>
                <w:spacing w:val="0"/>
                <w:sz w:val="24"/>
                <w:szCs w:val="24"/>
                <w:highlight w:val="none"/>
                <w:lang w:val="en-US" w:eastAsia="zh-CN"/>
              </w:rPr>
              <w:t>燃煤锅炉排放限值。</w:t>
            </w:r>
          </w:p>
          <w:p w14:paraId="20C86DE5">
            <w:pPr>
              <w:pStyle w:val="46"/>
              <w:rPr>
                <w:rFonts w:hint="default" w:ascii="Times New Roman" w:hAnsi="Times New Roman" w:eastAsia="宋体" w:cs="Times New Roman"/>
                <w:b/>
                <w:bCs w:val="0"/>
                <w:color w:val="auto"/>
                <w:spacing w:val="0"/>
                <w:highlight w:val="none"/>
                <w:lang w:val="en-US" w:eastAsia="zh-CN"/>
              </w:rPr>
            </w:pPr>
            <w:r>
              <w:rPr>
                <w:rFonts w:hint="default" w:ascii="Times New Roman" w:hAnsi="Times New Roman" w:eastAsia="宋体" w:cs="Times New Roman"/>
                <w:b/>
                <w:bCs w:val="0"/>
                <w:color w:val="auto"/>
                <w:spacing w:val="0"/>
                <w:highlight w:val="none"/>
                <w:lang w:val="en-US" w:eastAsia="zh-CN"/>
              </w:rPr>
              <w:t>1.5</w:t>
            </w:r>
            <w:r>
              <w:rPr>
                <w:rFonts w:hint="default" w:ascii="Times New Roman" w:hAnsi="Times New Roman" w:cs="Times New Roman"/>
                <w:b/>
                <w:bCs w:val="0"/>
                <w:color w:val="auto"/>
                <w:spacing w:val="0"/>
                <w:highlight w:val="none"/>
                <w:lang w:val="en-US" w:eastAsia="zh-CN"/>
              </w:rPr>
              <w:t>排气筒</w:t>
            </w:r>
            <w:r>
              <w:rPr>
                <w:rFonts w:hint="default" w:ascii="Times New Roman" w:hAnsi="Times New Roman" w:eastAsia="宋体" w:cs="Times New Roman"/>
                <w:b/>
                <w:bCs w:val="0"/>
                <w:color w:val="auto"/>
                <w:spacing w:val="0"/>
                <w:highlight w:val="none"/>
                <w:lang w:val="en-US" w:eastAsia="zh-CN"/>
              </w:rPr>
              <w:t>高度设置合理性分析</w:t>
            </w:r>
          </w:p>
          <w:p w14:paraId="1C04ACAF">
            <w:pPr>
              <w:pStyle w:val="4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 w:val="0"/>
                <w:bCs w:val="0"/>
                <w:color w:val="auto"/>
                <w:spacing w:val="0"/>
                <w:kern w:val="0"/>
                <w:sz w:val="24"/>
                <w:szCs w:val="24"/>
                <w:highlight w:val="none"/>
                <w:lang w:val="en-US" w:eastAsia="zh-CN" w:bidi="ar-SA"/>
              </w:rPr>
            </w:pPr>
            <w:r>
              <w:rPr>
                <w:rFonts w:hint="default" w:ascii="Times New Roman" w:hAnsi="Times New Roman" w:eastAsia="宋体" w:cs="Times New Roman"/>
                <w:b w:val="0"/>
                <w:bCs/>
                <w:color w:val="auto"/>
                <w:spacing w:val="0"/>
                <w:sz w:val="24"/>
                <w:highlight w:val="none"/>
                <w:lang w:val="en-US" w:eastAsia="zh-CN"/>
              </w:rPr>
              <w:t>本项目</w:t>
            </w:r>
            <w:r>
              <w:rPr>
                <w:rFonts w:hint="default" w:ascii="Times New Roman" w:hAnsi="Times New Roman" w:cs="Times New Roman"/>
                <w:b w:val="0"/>
                <w:bCs/>
                <w:color w:val="auto"/>
                <w:spacing w:val="0"/>
                <w:sz w:val="24"/>
                <w:highlight w:val="none"/>
                <w:lang w:val="en-US" w:eastAsia="zh-CN"/>
              </w:rPr>
              <w:t>排气筒</w:t>
            </w:r>
            <w:r>
              <w:rPr>
                <w:rFonts w:hint="default" w:ascii="Times New Roman" w:hAnsi="Times New Roman" w:eastAsia="宋体" w:cs="Times New Roman"/>
                <w:b w:val="0"/>
                <w:bCs/>
                <w:color w:val="auto"/>
                <w:spacing w:val="0"/>
                <w:sz w:val="24"/>
                <w:highlight w:val="none"/>
                <w:lang w:val="en-US" w:eastAsia="zh-CN"/>
              </w:rPr>
              <w:t>建设高度</w:t>
            </w:r>
            <w:r>
              <w:rPr>
                <w:rFonts w:hint="default" w:ascii="Times New Roman" w:hAnsi="Times New Roman" w:cs="Times New Roman"/>
                <w:b w:val="0"/>
                <w:bCs/>
                <w:color w:val="auto"/>
                <w:spacing w:val="0"/>
                <w:sz w:val="24"/>
                <w:highlight w:val="none"/>
                <w:lang w:val="en-US" w:eastAsia="zh-CN"/>
              </w:rPr>
              <w:t>4</w:t>
            </w:r>
            <w:r>
              <w:rPr>
                <w:rFonts w:hint="default" w:ascii="Times New Roman" w:hAnsi="Times New Roman" w:eastAsia="宋体" w:cs="Times New Roman"/>
                <w:b w:val="0"/>
                <w:bCs/>
                <w:color w:val="auto"/>
                <w:spacing w:val="0"/>
                <w:sz w:val="24"/>
                <w:highlight w:val="none"/>
                <w:lang w:val="en-US" w:eastAsia="zh-CN"/>
              </w:rPr>
              <w:t>0米，满足</w:t>
            </w:r>
            <w:r>
              <w:rPr>
                <w:rFonts w:hint="default" w:ascii="Times New Roman" w:hAnsi="Times New Roman" w:eastAsia="宋体" w:cs="Times New Roman"/>
                <w:color w:val="auto"/>
                <w:spacing w:val="0"/>
                <w:sz w:val="24"/>
                <w:highlight w:val="none"/>
              </w:rPr>
              <w:t>《</w:t>
            </w:r>
            <w:r>
              <w:rPr>
                <w:rFonts w:hint="default" w:ascii="Times New Roman" w:hAnsi="Times New Roman" w:eastAsia="宋体" w:cs="Times New Roman"/>
                <w:color w:val="auto"/>
                <w:spacing w:val="0"/>
                <w:sz w:val="24"/>
                <w:highlight w:val="none"/>
                <w:lang w:val="en-US" w:eastAsia="zh-CN"/>
              </w:rPr>
              <w:t>锅炉大气污染物排放标准</w:t>
            </w:r>
            <w:r>
              <w:rPr>
                <w:rFonts w:hint="default" w:ascii="Times New Roman" w:hAnsi="Times New Roman" w:eastAsia="宋体" w:cs="Times New Roman"/>
                <w:color w:val="auto"/>
                <w:spacing w:val="0"/>
                <w:sz w:val="24"/>
                <w:highlight w:val="none"/>
              </w:rPr>
              <w:t>》（GB</w:t>
            </w:r>
            <w:r>
              <w:rPr>
                <w:rFonts w:hint="default" w:ascii="Times New Roman" w:hAnsi="Times New Roman" w:eastAsia="宋体" w:cs="Times New Roman"/>
                <w:color w:val="auto"/>
                <w:spacing w:val="0"/>
                <w:sz w:val="24"/>
                <w:highlight w:val="none"/>
                <w:lang w:val="en-US" w:eastAsia="zh-CN"/>
              </w:rPr>
              <w:t>13271</w:t>
            </w:r>
            <w:r>
              <w:rPr>
                <w:rFonts w:hint="default" w:ascii="Times New Roman" w:hAnsi="Times New Roman" w:eastAsia="宋体" w:cs="Times New Roman"/>
                <w:color w:val="auto"/>
                <w:spacing w:val="0"/>
                <w:sz w:val="24"/>
                <w:highlight w:val="none"/>
              </w:rPr>
              <w:t>-</w:t>
            </w:r>
            <w:r>
              <w:rPr>
                <w:rFonts w:hint="default" w:ascii="Times New Roman" w:hAnsi="Times New Roman" w:eastAsia="宋体" w:cs="Times New Roman"/>
                <w:color w:val="auto"/>
                <w:spacing w:val="0"/>
                <w:sz w:val="24"/>
                <w:highlight w:val="none"/>
                <w:lang w:val="en-US" w:eastAsia="zh-CN"/>
              </w:rPr>
              <w:t>2014</w:t>
            </w:r>
            <w:r>
              <w:rPr>
                <w:rFonts w:hint="default" w:ascii="Times New Roman" w:hAnsi="Times New Roman" w:eastAsia="宋体" w:cs="Times New Roman"/>
                <w:color w:val="auto"/>
                <w:spacing w:val="0"/>
                <w:sz w:val="24"/>
                <w:highlight w:val="none"/>
              </w:rPr>
              <w:t>）</w:t>
            </w:r>
            <w:r>
              <w:rPr>
                <w:rFonts w:hint="default" w:ascii="Times New Roman" w:hAnsi="Times New Roman" w:eastAsia="宋体" w:cs="Times New Roman"/>
                <w:b w:val="0"/>
                <w:bCs w:val="0"/>
                <w:color w:val="auto"/>
                <w:spacing w:val="0"/>
                <w:kern w:val="0"/>
                <w:sz w:val="24"/>
                <w:szCs w:val="24"/>
                <w:highlight w:val="none"/>
                <w:lang w:val="en-US" w:eastAsia="zh-CN" w:bidi="ar-SA"/>
              </w:rPr>
              <w:t>要求。本项目锅炉房烟囱周围半径200米范围内最高建筑为</w:t>
            </w:r>
            <w:r>
              <w:rPr>
                <w:rFonts w:hint="default" w:ascii="Times New Roman" w:hAnsi="Times New Roman" w:cs="Times New Roman"/>
                <w:b w:val="0"/>
                <w:bCs w:val="0"/>
                <w:color w:val="auto"/>
                <w:spacing w:val="0"/>
                <w:kern w:val="0"/>
                <w:sz w:val="24"/>
                <w:szCs w:val="24"/>
                <w:highlight w:val="none"/>
                <w:lang w:val="en-US" w:eastAsia="zh-CN" w:bidi="ar-SA"/>
              </w:rPr>
              <w:t>粮库</w:t>
            </w:r>
            <w:r>
              <w:rPr>
                <w:rFonts w:hint="default" w:ascii="Times New Roman" w:hAnsi="Times New Roman" w:cs="Times New Roman"/>
                <w:color w:val="auto"/>
                <w:spacing w:val="-2"/>
                <w:sz w:val="24"/>
                <w:szCs w:val="24"/>
                <w:highlight w:val="none"/>
              </w:rPr>
              <w:t>筒仓</w:t>
            </w:r>
            <w:r>
              <w:rPr>
                <w:rFonts w:hint="default" w:ascii="Times New Roman" w:hAnsi="Times New Roman" w:cs="Times New Roman"/>
                <w:color w:val="auto"/>
                <w:spacing w:val="-7"/>
                <w:sz w:val="24"/>
                <w:szCs w:val="24"/>
                <w:highlight w:val="none"/>
              </w:rPr>
              <w:t>，</w:t>
            </w:r>
            <w:r>
              <w:rPr>
                <w:rFonts w:hint="default" w:ascii="Times New Roman" w:hAnsi="Times New Roman" w:cs="Times New Roman"/>
                <w:color w:val="auto"/>
                <w:spacing w:val="-3"/>
                <w:sz w:val="24"/>
                <w:szCs w:val="24"/>
                <w:highlight w:val="none"/>
              </w:rPr>
              <w:t>建筑高度为</w:t>
            </w:r>
            <w:r>
              <w:rPr>
                <w:rFonts w:hint="default" w:ascii="Times New Roman" w:hAnsi="Times New Roman" w:eastAsia="Times New Roman" w:cs="Times New Roman"/>
                <w:color w:val="auto"/>
                <w:spacing w:val="-3"/>
                <w:sz w:val="24"/>
                <w:szCs w:val="24"/>
                <w:highlight w:val="none"/>
              </w:rPr>
              <w:t>22m</w:t>
            </w:r>
            <w:r>
              <w:rPr>
                <w:rFonts w:hint="default" w:ascii="Times New Roman" w:hAnsi="Times New Roman" w:cs="Times New Roman"/>
                <w:color w:val="auto"/>
                <w:spacing w:val="-3"/>
                <w:sz w:val="24"/>
                <w:szCs w:val="24"/>
                <w:highlight w:val="none"/>
              </w:rPr>
              <w:t>，</w:t>
            </w:r>
            <w:r>
              <w:rPr>
                <w:rFonts w:hint="default" w:ascii="Times New Roman" w:hAnsi="Times New Roman" w:cs="Times New Roman"/>
                <w:color w:val="auto"/>
                <w:spacing w:val="-3"/>
                <w:sz w:val="24"/>
                <w:szCs w:val="24"/>
                <w:highlight w:val="none"/>
                <w:lang w:val="en-US" w:eastAsia="zh-CN"/>
              </w:rPr>
              <w:t>本项目排气筒</w:t>
            </w:r>
            <w:r>
              <w:rPr>
                <w:rFonts w:hint="default" w:ascii="Times New Roman" w:hAnsi="Times New Roman" w:cs="Times New Roman"/>
                <w:color w:val="auto"/>
                <w:spacing w:val="-3"/>
                <w:sz w:val="24"/>
                <w:szCs w:val="24"/>
                <w:highlight w:val="none"/>
              </w:rPr>
              <w:t>设置高</w:t>
            </w:r>
            <w:r>
              <w:rPr>
                <w:rFonts w:hint="default" w:ascii="Times New Roman" w:hAnsi="Times New Roman" w:cs="Times New Roman"/>
                <w:color w:val="auto"/>
                <w:spacing w:val="-4"/>
                <w:sz w:val="24"/>
                <w:szCs w:val="24"/>
                <w:highlight w:val="none"/>
              </w:rPr>
              <w:t>度为</w:t>
            </w:r>
            <w:r>
              <w:rPr>
                <w:rFonts w:hint="default" w:ascii="Times New Roman" w:hAnsi="Times New Roman" w:eastAsia="宋体" w:cs="Times New Roman"/>
                <w:color w:val="auto"/>
                <w:spacing w:val="-4"/>
                <w:sz w:val="24"/>
                <w:szCs w:val="24"/>
                <w:highlight w:val="none"/>
                <w:lang w:val="en-US" w:eastAsia="zh-CN"/>
              </w:rPr>
              <w:t>40</w:t>
            </w:r>
            <w:r>
              <w:rPr>
                <w:rFonts w:hint="default" w:ascii="Times New Roman" w:hAnsi="Times New Roman" w:eastAsia="Times New Roman" w:cs="Times New Roman"/>
                <w:color w:val="auto"/>
                <w:spacing w:val="-4"/>
                <w:sz w:val="24"/>
                <w:szCs w:val="24"/>
                <w:highlight w:val="none"/>
              </w:rPr>
              <w:t>m</w:t>
            </w:r>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b w:val="0"/>
                <w:bCs w:val="0"/>
                <w:color w:val="auto"/>
                <w:spacing w:val="0"/>
                <w:kern w:val="0"/>
                <w:sz w:val="24"/>
                <w:szCs w:val="24"/>
                <w:highlight w:val="none"/>
                <w:lang w:val="en-US" w:eastAsia="zh-CN" w:bidi="ar-SA"/>
              </w:rPr>
              <w:t>满足高出最高建筑物3m以上要求。</w:t>
            </w:r>
          </w:p>
          <w:p w14:paraId="54655F0A">
            <w:pPr>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1.6污染防治技术可行性分析</w:t>
            </w:r>
          </w:p>
          <w:p w14:paraId="2738E8E3">
            <w:pPr>
              <w:adjustRightInd w:val="0"/>
              <w:snapToGrid w:val="0"/>
              <w:spacing w:line="360" w:lineRule="auto"/>
              <w:ind w:firstLine="480" w:firstLineChars="200"/>
              <w:rPr>
                <w:rFonts w:hint="default" w:ascii="Times New Roman" w:hAnsi="Times New Roman" w:eastAsia="宋体" w:cs="Times New Roman"/>
                <w:bCs/>
                <w:snapToGrid w:val="0"/>
                <w:color w:val="auto"/>
                <w:kern w:val="0"/>
                <w:sz w:val="24"/>
                <w:szCs w:val="21"/>
                <w:highlight w:val="none"/>
              </w:rPr>
            </w:pPr>
            <w:r>
              <w:rPr>
                <w:rFonts w:hint="default" w:ascii="Times New Roman" w:hAnsi="Times New Roman" w:eastAsia="宋体" w:cs="Times New Roman"/>
                <w:bCs/>
                <w:snapToGrid w:val="0"/>
                <w:color w:val="auto"/>
                <w:kern w:val="0"/>
                <w:sz w:val="24"/>
                <w:szCs w:val="21"/>
                <w:highlight w:val="none"/>
              </w:rPr>
              <w:t>①大气污染物符合排放标准的有关规定的分析及结论：</w:t>
            </w:r>
          </w:p>
          <w:p w14:paraId="6AC0A27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生物质</w:t>
            </w:r>
            <w:r>
              <w:rPr>
                <w:rFonts w:hint="default" w:ascii="Times New Roman" w:hAnsi="Times New Roman" w:eastAsia="宋体" w:cs="Times New Roman"/>
                <w:color w:val="auto"/>
                <w:sz w:val="24"/>
                <w:highlight w:val="none"/>
                <w:lang w:val="en-US" w:eastAsia="zh-CN"/>
              </w:rPr>
              <w:t>蒸汽</w:t>
            </w:r>
            <w:r>
              <w:rPr>
                <w:rFonts w:hint="default" w:ascii="Times New Roman" w:hAnsi="Times New Roman" w:eastAsia="宋体" w:cs="Times New Roman"/>
                <w:color w:val="auto"/>
                <w:sz w:val="24"/>
                <w:highlight w:val="none"/>
              </w:rPr>
              <w:t>锅炉烟气</w:t>
            </w:r>
            <w:r>
              <w:rPr>
                <w:rFonts w:hint="default" w:ascii="Times New Roman" w:hAnsi="Times New Roman" w:eastAsia="宋体" w:cs="Times New Roman"/>
                <w:color w:val="auto"/>
                <w:sz w:val="24"/>
                <w:highlight w:val="none"/>
                <w:lang w:val="en-US" w:eastAsia="zh-CN"/>
              </w:rPr>
              <w:t>经</w:t>
            </w:r>
            <w:r>
              <w:rPr>
                <w:rFonts w:hint="default" w:ascii="Times New Roman" w:hAnsi="Times New Roman" w:eastAsia="宋体" w:cs="Times New Roman"/>
                <w:color w:val="auto"/>
                <w:sz w:val="24"/>
                <w:highlight w:val="none"/>
              </w:rPr>
              <w:t>布袋除尘器</w:t>
            </w:r>
            <w:r>
              <w:rPr>
                <w:rFonts w:hint="default" w:ascii="Times New Roman" w:hAnsi="Times New Roman" w:eastAsia="宋体" w:cs="Times New Roman"/>
                <w:color w:val="auto"/>
                <w:sz w:val="24"/>
                <w:highlight w:val="none"/>
                <w:lang w:val="en-US" w:eastAsia="zh-CN"/>
              </w:rPr>
              <w:t>处理后</w:t>
            </w:r>
            <w:r>
              <w:rPr>
                <w:rFonts w:hint="default" w:ascii="Times New Roman" w:hAnsi="Times New Roman" w:eastAsia="宋体" w:cs="Times New Roman"/>
                <w:color w:val="auto"/>
                <w:sz w:val="24"/>
                <w:highlight w:val="none"/>
              </w:rPr>
              <w:t>经1根</w:t>
            </w:r>
            <w:r>
              <w:rPr>
                <w:rFonts w:hint="default" w:ascii="Times New Roman" w:hAnsi="Times New Roman" w:cs="Times New Roman"/>
                <w:color w:val="auto"/>
                <w:sz w:val="24"/>
                <w:highlight w:val="none"/>
                <w:lang w:val="en-US" w:eastAsia="zh-CN"/>
              </w:rPr>
              <w:t>40</w:t>
            </w:r>
            <w:r>
              <w:rPr>
                <w:rFonts w:hint="default" w:ascii="Times New Roman" w:hAnsi="Times New Roman" w:eastAsia="宋体" w:cs="Times New Roman"/>
                <w:color w:val="auto"/>
                <w:sz w:val="24"/>
                <w:highlight w:val="none"/>
              </w:rPr>
              <w:t>m高烟囱排放，除尘效率</w:t>
            </w:r>
            <w:r>
              <w:rPr>
                <w:rFonts w:hint="default" w:ascii="Times New Roman" w:hAnsi="Times New Roman" w:cs="Times New Roman"/>
                <w:color w:val="auto"/>
                <w:sz w:val="24"/>
                <w:highlight w:val="none"/>
                <w:lang w:eastAsia="zh-CN"/>
              </w:rPr>
              <w:t>99.9%</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rPr>
              <w:t>锅炉</w:t>
            </w:r>
            <w:r>
              <w:rPr>
                <w:rFonts w:hint="default" w:ascii="Times New Roman" w:hAnsi="Times New Roman" w:eastAsia="宋体" w:cs="Times New Roman"/>
                <w:b w:val="0"/>
                <w:bCs/>
                <w:color w:val="auto"/>
                <w:highlight w:val="none"/>
              </w:rPr>
              <w:t>颗粒物</w:t>
            </w:r>
            <w:r>
              <w:rPr>
                <w:rFonts w:hint="default" w:ascii="Times New Roman" w:hAnsi="Times New Roman" w:eastAsia="宋体" w:cs="Times New Roman"/>
                <w:color w:val="auto"/>
                <w:sz w:val="24"/>
                <w:szCs w:val="24"/>
                <w:highlight w:val="none"/>
                <w:lang w:val="en-US" w:eastAsia="zh-CN"/>
              </w:rPr>
              <w:t>排放</w:t>
            </w:r>
            <w:r>
              <w:rPr>
                <w:rFonts w:hint="default" w:ascii="Times New Roman" w:hAnsi="Times New Roman" w:eastAsia="宋体" w:cs="Times New Roman"/>
                <w:color w:val="auto"/>
                <w:sz w:val="24"/>
                <w:szCs w:val="24"/>
                <w:highlight w:val="none"/>
              </w:rPr>
              <w:t>量为</w:t>
            </w:r>
            <w:r>
              <w:rPr>
                <w:rFonts w:hint="default" w:ascii="Times New Roman" w:hAnsi="Times New Roman" w:cs="Times New Roman"/>
                <w:color w:val="auto"/>
                <w:sz w:val="24"/>
                <w:szCs w:val="24"/>
                <w:highlight w:val="none"/>
                <w:lang w:val="en-US" w:eastAsia="zh-CN"/>
              </w:rPr>
              <w:t>0.489</w:t>
            </w:r>
            <w:r>
              <w:rPr>
                <w:rFonts w:hint="default" w:ascii="Times New Roman" w:hAnsi="Times New Roman" w:eastAsia="宋体" w:cs="Times New Roman"/>
                <w:b w:val="0"/>
                <w:bCs/>
                <w:color w:val="auto"/>
                <w:highlight w:val="none"/>
                <w:lang w:val="en-US" w:eastAsia="zh-CN"/>
              </w:rPr>
              <w:t>t/a，</w:t>
            </w:r>
            <w:r>
              <w:rPr>
                <w:rFonts w:hint="default" w:ascii="Times New Roman" w:hAnsi="Times New Roman" w:eastAsia="宋体" w:cs="Times New Roman"/>
                <w:b w:val="0"/>
                <w:bCs/>
                <w:color w:val="auto"/>
                <w:highlight w:val="none"/>
                <w:lang w:eastAsia="zh-CN"/>
              </w:rPr>
              <w:t>排放</w:t>
            </w:r>
            <w:r>
              <w:rPr>
                <w:rFonts w:hint="default" w:ascii="Times New Roman" w:hAnsi="Times New Roman" w:eastAsia="宋体" w:cs="Times New Roman"/>
                <w:b w:val="0"/>
                <w:bCs/>
                <w:color w:val="auto"/>
                <w:highlight w:val="none"/>
              </w:rPr>
              <w:t>浓度</w:t>
            </w:r>
            <w:r>
              <w:rPr>
                <w:rFonts w:hint="default" w:ascii="Times New Roman" w:hAnsi="Times New Roman" w:eastAsia="宋体" w:cs="Times New Roman"/>
                <w:b w:val="0"/>
                <w:bCs/>
                <w:color w:val="auto"/>
                <w:highlight w:val="none"/>
                <w:lang w:val="en-US" w:eastAsia="zh-CN"/>
              </w:rPr>
              <w:t>为</w:t>
            </w:r>
            <w:r>
              <w:rPr>
                <w:rFonts w:hint="default" w:ascii="Times New Roman" w:hAnsi="Times New Roman" w:cs="Times New Roman"/>
                <w:b w:val="0"/>
                <w:bCs/>
                <w:color w:val="auto"/>
                <w:highlight w:val="none"/>
                <w:lang w:val="en-US" w:eastAsia="zh-CN"/>
              </w:rPr>
              <w:t>12.119</w:t>
            </w:r>
            <w:r>
              <w:rPr>
                <w:rFonts w:hint="default" w:ascii="Times New Roman" w:hAnsi="Times New Roman" w:eastAsia="宋体" w:cs="Times New Roman"/>
                <w:b w:val="0"/>
                <w:bCs/>
                <w:color w:val="auto"/>
                <w:highlight w:val="none"/>
              </w:rPr>
              <w:t>mg/m</w:t>
            </w:r>
            <w:r>
              <w:rPr>
                <w:rFonts w:hint="default" w:ascii="Times New Roman" w:hAnsi="Times New Roman" w:eastAsia="宋体" w:cs="Times New Roman"/>
                <w:b w:val="0"/>
                <w:bCs/>
                <w:color w:val="auto"/>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b w:val="0"/>
                <w:bCs/>
                <w:color w:val="auto"/>
                <w:highlight w:val="none"/>
              </w:rPr>
              <w:t>二氧化硫</w:t>
            </w:r>
            <w:r>
              <w:rPr>
                <w:rFonts w:hint="default" w:ascii="Times New Roman" w:hAnsi="Times New Roman" w:eastAsia="宋体" w:cs="Times New Roman"/>
                <w:b w:val="0"/>
                <w:bCs/>
                <w:color w:val="auto"/>
                <w:highlight w:val="none"/>
                <w:lang w:eastAsia="zh-CN"/>
              </w:rPr>
              <w:t>排放</w:t>
            </w:r>
            <w:r>
              <w:rPr>
                <w:rFonts w:hint="default" w:ascii="Times New Roman" w:hAnsi="Times New Roman" w:eastAsia="宋体" w:cs="Times New Roman"/>
                <w:b w:val="0"/>
                <w:bCs/>
                <w:color w:val="auto"/>
                <w:highlight w:val="none"/>
              </w:rPr>
              <w:t>量为</w:t>
            </w:r>
            <w:r>
              <w:rPr>
                <w:rFonts w:hint="eastAsia" w:ascii="Times New Roman" w:hAnsi="Times New Roman" w:cs="Times New Roman"/>
                <w:color w:val="auto"/>
                <w:highlight w:val="none"/>
                <w:vertAlign w:val="baseline"/>
                <w:lang w:val="en-US" w:eastAsia="zh-CN"/>
              </w:rPr>
              <w:t>4.388</w:t>
            </w:r>
            <w:r>
              <w:rPr>
                <w:rFonts w:hint="default" w:ascii="Times New Roman" w:hAnsi="Times New Roman" w:eastAsia="宋体" w:cs="Times New Roman"/>
                <w:b w:val="0"/>
                <w:bCs/>
                <w:color w:val="auto"/>
                <w:highlight w:val="none"/>
                <w:lang w:eastAsia="zh-CN"/>
              </w:rPr>
              <w:t>t/</w:t>
            </w:r>
            <w:r>
              <w:rPr>
                <w:rFonts w:hint="default" w:ascii="Times New Roman" w:hAnsi="Times New Roman" w:eastAsia="宋体" w:cs="Times New Roman"/>
                <w:b w:val="0"/>
                <w:bCs/>
                <w:color w:val="auto"/>
                <w:highlight w:val="none"/>
                <w:lang w:val="en-US" w:eastAsia="zh-CN"/>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color w:val="auto"/>
                <w:highlight w:val="none"/>
              </w:rPr>
              <w:t>二氧化硫</w:t>
            </w:r>
            <w:r>
              <w:rPr>
                <w:rFonts w:hint="default" w:ascii="Times New Roman" w:hAnsi="Times New Roman" w:eastAsia="宋体" w:cs="Times New Roman"/>
                <w:b w:val="0"/>
                <w:bCs/>
                <w:color w:val="auto"/>
                <w:highlight w:val="none"/>
                <w:lang w:eastAsia="zh-CN"/>
              </w:rPr>
              <w:t>排放</w:t>
            </w:r>
            <w:r>
              <w:rPr>
                <w:rFonts w:hint="default" w:ascii="Times New Roman" w:hAnsi="Times New Roman" w:eastAsia="宋体" w:cs="Times New Roman"/>
                <w:b w:val="0"/>
                <w:bCs/>
                <w:color w:val="auto"/>
                <w:highlight w:val="none"/>
              </w:rPr>
              <w:t>浓度</w:t>
            </w:r>
            <w:r>
              <w:rPr>
                <w:rFonts w:hint="eastAsia" w:ascii="Times New Roman" w:hAnsi="Times New Roman" w:cs="Times New Roman"/>
                <w:b w:val="0"/>
                <w:bCs/>
                <w:color w:val="auto"/>
                <w:highlight w:val="none"/>
                <w:lang w:val="en-US" w:eastAsia="zh-CN"/>
              </w:rPr>
              <w:t>108.731</w:t>
            </w:r>
            <w:r>
              <w:rPr>
                <w:rFonts w:hint="default" w:ascii="Times New Roman" w:hAnsi="Times New Roman" w:eastAsia="宋体" w:cs="Times New Roman"/>
                <w:b w:val="0"/>
                <w:bCs/>
                <w:color w:val="auto"/>
                <w:highlight w:val="none"/>
              </w:rPr>
              <w:t>mg/m</w:t>
            </w:r>
            <w:r>
              <w:rPr>
                <w:rFonts w:hint="default" w:ascii="Times New Roman" w:hAnsi="Times New Roman" w:eastAsia="宋体" w:cs="Times New Roman"/>
                <w:b w:val="0"/>
                <w:bCs/>
                <w:color w:val="auto"/>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lang w:val="en-US" w:eastAsia="zh-CN"/>
              </w:rPr>
              <w:t>氮氧化物</w:t>
            </w:r>
            <w:r>
              <w:rPr>
                <w:rFonts w:hint="default" w:ascii="Times New Roman" w:hAnsi="Times New Roman" w:eastAsia="宋体" w:cs="Times New Roman"/>
                <w:color w:val="auto"/>
                <w:sz w:val="24"/>
                <w:szCs w:val="24"/>
                <w:highlight w:val="none"/>
                <w:lang w:eastAsia="zh-CN"/>
              </w:rPr>
              <w:t>排放</w:t>
            </w:r>
            <w:r>
              <w:rPr>
                <w:rFonts w:hint="default" w:ascii="Times New Roman" w:hAnsi="Times New Roman" w:eastAsia="宋体" w:cs="Times New Roman"/>
                <w:color w:val="auto"/>
                <w:sz w:val="24"/>
                <w:szCs w:val="24"/>
                <w:highlight w:val="none"/>
              </w:rPr>
              <w:t>量为</w:t>
            </w:r>
            <w:r>
              <w:rPr>
                <w:rFonts w:hint="default" w:ascii="Times New Roman" w:hAnsi="Times New Roman" w:cs="Times New Roman"/>
                <w:color w:val="auto"/>
                <w:sz w:val="24"/>
                <w:szCs w:val="24"/>
                <w:highlight w:val="none"/>
                <w:lang w:val="en-US" w:eastAsia="zh-CN"/>
              </w:rPr>
              <w:t>6.7396</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val="en-US" w:eastAsia="zh-CN"/>
              </w:rPr>
              <w:t>排放</w:t>
            </w:r>
            <w:r>
              <w:rPr>
                <w:rFonts w:hint="default" w:ascii="Times New Roman" w:hAnsi="Times New Roman" w:eastAsia="宋体" w:cs="Times New Roman"/>
                <w:color w:val="auto"/>
                <w:sz w:val="24"/>
                <w:szCs w:val="24"/>
                <w:highlight w:val="none"/>
              </w:rPr>
              <w:t>浓度为</w:t>
            </w:r>
            <w:r>
              <w:rPr>
                <w:rFonts w:hint="default" w:ascii="Times New Roman" w:hAnsi="Times New Roman" w:cs="Times New Roman"/>
                <w:color w:val="auto"/>
                <w:highlight w:val="none"/>
                <w:vertAlign w:val="baseline"/>
                <w:lang w:val="en-US" w:eastAsia="zh-CN"/>
              </w:rPr>
              <w:t>167</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生物质锅炉污染物排放均满足《锅炉大气污染物排放标准</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 w:val="24"/>
                <w:highlight w:val="none"/>
              </w:rPr>
              <w:t>（GB13271-2014）</w:t>
            </w:r>
            <w:r>
              <w:rPr>
                <w:rFonts w:hint="default" w:ascii="Times New Roman" w:hAnsi="Times New Roman" w:cs="Times New Roman"/>
                <w:color w:val="auto"/>
                <w:sz w:val="24"/>
                <w:highlight w:val="none"/>
                <w:lang w:eastAsia="zh-CN"/>
              </w:rPr>
              <w:t>表2燃煤锅炉大气污染物排放浓度限值要求</w:t>
            </w:r>
            <w:r>
              <w:rPr>
                <w:rFonts w:hint="default" w:ascii="Times New Roman" w:hAnsi="Times New Roman" w:eastAsia="宋体" w:cs="Times New Roman"/>
                <w:color w:val="auto"/>
                <w:sz w:val="24"/>
                <w:highlight w:val="none"/>
              </w:rPr>
              <w:t>。</w:t>
            </w:r>
          </w:p>
          <w:p w14:paraId="1F08DE09">
            <w:pPr>
              <w:adjustRightInd w:val="0"/>
              <w:snapToGrid w:val="0"/>
              <w:spacing w:line="360" w:lineRule="auto"/>
              <w:ind w:firstLine="480" w:firstLineChars="200"/>
              <w:rPr>
                <w:rFonts w:hint="default" w:ascii="Times New Roman" w:hAnsi="Times New Roman" w:eastAsia="宋体" w:cs="Times New Roman"/>
                <w:bCs/>
                <w:snapToGrid w:val="0"/>
                <w:color w:val="auto"/>
                <w:kern w:val="0"/>
                <w:sz w:val="24"/>
                <w:szCs w:val="21"/>
                <w:highlight w:val="none"/>
              </w:rPr>
            </w:pPr>
            <w:r>
              <w:rPr>
                <w:rFonts w:hint="default" w:ascii="Times New Roman" w:hAnsi="Times New Roman" w:eastAsia="宋体" w:cs="Times New Roman"/>
                <w:bCs/>
                <w:snapToGrid w:val="0"/>
                <w:color w:val="auto"/>
                <w:kern w:val="0"/>
                <w:sz w:val="24"/>
                <w:szCs w:val="21"/>
                <w:highlight w:val="none"/>
              </w:rPr>
              <w:t>②经济、技术可行性的分析及结论：</w:t>
            </w:r>
          </w:p>
          <w:p w14:paraId="1B76350D">
            <w:pPr>
              <w:adjustRightInd w:val="0"/>
              <w:snapToGrid w:val="0"/>
              <w:spacing w:line="360" w:lineRule="auto"/>
              <w:ind w:firstLine="480" w:firstLineChars="200"/>
              <w:rPr>
                <w:rFonts w:hint="default" w:ascii="Times New Roman" w:hAnsi="Times New Roman" w:eastAsia="宋体" w:cs="Times New Roman"/>
                <w:bCs/>
                <w:snapToGrid w:val="0"/>
                <w:color w:val="auto"/>
                <w:kern w:val="0"/>
                <w:sz w:val="24"/>
                <w:szCs w:val="21"/>
                <w:highlight w:val="none"/>
                <w:lang w:eastAsia="zh-CN"/>
              </w:rPr>
            </w:pPr>
            <w:r>
              <w:rPr>
                <w:rFonts w:hint="default" w:ascii="Times New Roman" w:hAnsi="Times New Roman" w:eastAsia="宋体" w:cs="Times New Roman"/>
                <w:bCs/>
                <w:snapToGrid w:val="0"/>
                <w:color w:val="auto"/>
                <w:kern w:val="0"/>
                <w:sz w:val="24"/>
                <w:szCs w:val="21"/>
                <w:highlight w:val="none"/>
              </w:rPr>
              <w:t>本项目生物质锅炉烟气采用布袋除尘器处理，根据《排污许可证申请与核发技术规范锅炉》（HJ953-2018），燃生物质锅炉烟气中颗粒物治理措施为袋式除尘器，本项目选用的布袋除尘器除尘效率为99</w:t>
            </w:r>
            <w:r>
              <w:rPr>
                <w:rFonts w:hint="default" w:ascii="Times New Roman" w:hAnsi="Times New Roman" w:cs="Times New Roman"/>
                <w:bCs/>
                <w:snapToGrid w:val="0"/>
                <w:color w:val="auto"/>
                <w:kern w:val="0"/>
                <w:sz w:val="24"/>
                <w:szCs w:val="21"/>
                <w:highlight w:val="none"/>
                <w:lang w:val="en-US" w:eastAsia="zh-CN"/>
              </w:rPr>
              <w:t>.9</w:t>
            </w:r>
            <w:r>
              <w:rPr>
                <w:rFonts w:hint="default" w:ascii="Times New Roman" w:hAnsi="Times New Roman" w:eastAsia="宋体" w:cs="Times New Roman"/>
                <w:bCs/>
                <w:snapToGrid w:val="0"/>
                <w:color w:val="auto"/>
                <w:kern w:val="0"/>
                <w:sz w:val="24"/>
                <w:szCs w:val="21"/>
                <w:highlight w:val="none"/>
              </w:rPr>
              <w:t>%，根据其结构简单，维护操作方便，可以保证高净化效率的同时价格较低，对于经济、技术</w:t>
            </w:r>
            <w:r>
              <w:rPr>
                <w:rFonts w:hint="default" w:ascii="Times New Roman" w:hAnsi="Times New Roman" w:cs="Times New Roman"/>
                <w:bCs/>
                <w:snapToGrid w:val="0"/>
                <w:color w:val="auto"/>
                <w:kern w:val="0"/>
                <w:sz w:val="24"/>
                <w:szCs w:val="21"/>
                <w:highlight w:val="none"/>
                <w:lang w:eastAsia="zh-CN"/>
              </w:rPr>
              <w:t>方面</w:t>
            </w:r>
            <w:r>
              <w:rPr>
                <w:rFonts w:hint="default" w:ascii="Times New Roman" w:hAnsi="Times New Roman" w:eastAsia="宋体" w:cs="Times New Roman"/>
                <w:bCs/>
                <w:snapToGrid w:val="0"/>
                <w:color w:val="auto"/>
                <w:kern w:val="0"/>
                <w:sz w:val="24"/>
                <w:szCs w:val="21"/>
                <w:highlight w:val="none"/>
              </w:rPr>
              <w:t>是可行的</w:t>
            </w:r>
            <w:r>
              <w:rPr>
                <w:rFonts w:hint="default" w:ascii="Times New Roman" w:hAnsi="Times New Roman" w:eastAsia="宋体" w:cs="Times New Roman"/>
                <w:bCs/>
                <w:snapToGrid w:val="0"/>
                <w:color w:val="auto"/>
                <w:kern w:val="0"/>
                <w:sz w:val="24"/>
                <w:szCs w:val="21"/>
                <w:highlight w:val="none"/>
                <w:lang w:eastAsia="zh-CN"/>
              </w:rPr>
              <w:t>。</w:t>
            </w:r>
          </w:p>
          <w:p w14:paraId="3D78C7E9">
            <w:pPr>
              <w:adjustRightInd w:val="0"/>
              <w:snapToGrid w:val="0"/>
              <w:spacing w:line="360" w:lineRule="auto"/>
              <w:ind w:firstLine="480" w:firstLineChars="200"/>
              <w:rPr>
                <w:rFonts w:hint="default" w:ascii="Times New Roman" w:hAnsi="Times New Roman" w:eastAsia="宋体" w:cs="Times New Roman"/>
                <w:bCs/>
                <w:snapToGrid w:val="0"/>
                <w:color w:val="auto"/>
                <w:kern w:val="0"/>
                <w:sz w:val="24"/>
                <w:szCs w:val="21"/>
                <w:highlight w:val="none"/>
              </w:rPr>
            </w:pPr>
            <w:r>
              <w:rPr>
                <w:rFonts w:hint="default" w:ascii="Times New Roman" w:hAnsi="Times New Roman" w:eastAsia="宋体" w:cs="Times New Roman"/>
                <w:bCs/>
                <w:snapToGrid w:val="0"/>
                <w:color w:val="auto"/>
                <w:kern w:val="0"/>
                <w:sz w:val="24"/>
                <w:szCs w:val="21"/>
                <w:highlight w:val="none"/>
                <w:lang w:val="en-US" w:eastAsia="zh-CN"/>
              </w:rPr>
              <w:t>根据</w:t>
            </w:r>
            <w:r>
              <w:rPr>
                <w:rFonts w:hint="default" w:ascii="Times New Roman" w:hAnsi="Times New Roman" w:eastAsia="宋体" w:cs="Times New Roman"/>
                <w:color w:val="auto"/>
                <w:spacing w:val="-4"/>
                <w:sz w:val="24"/>
                <w:szCs w:val="24"/>
                <w:highlight w:val="none"/>
              </w:rPr>
              <w:t>《排污许可证申请与核发技术规范锅炉》（HJ953-2018）中要求，</w:t>
            </w:r>
            <w:r>
              <w:rPr>
                <w:rFonts w:hint="default" w:ascii="Times New Roman" w:hAnsi="Times New Roman" w:eastAsia="宋体" w:cs="Times New Roman"/>
                <w:color w:val="auto"/>
                <w:spacing w:val="-4"/>
                <w:sz w:val="24"/>
                <w:szCs w:val="24"/>
                <w:highlight w:val="none"/>
                <w:lang w:val="en-US" w:eastAsia="zh-CN"/>
              </w:rPr>
              <w:t>本项目无组织废气</w:t>
            </w:r>
            <w:r>
              <w:rPr>
                <w:rFonts w:hint="default" w:ascii="Times New Roman" w:hAnsi="Times New Roman" w:eastAsia="宋体" w:cs="Times New Roman"/>
                <w:color w:val="auto"/>
                <w:spacing w:val="-8"/>
                <w:sz w:val="24"/>
                <w:szCs w:val="24"/>
                <w:highlight w:val="none"/>
              </w:rPr>
              <w:t>排放均满足相关标准要求</w:t>
            </w:r>
            <w:r>
              <w:rPr>
                <w:rFonts w:hint="default" w:ascii="Times New Roman" w:hAnsi="Times New Roman" w:eastAsia="宋体" w:cs="Times New Roman"/>
                <w:bCs/>
                <w:snapToGrid w:val="0"/>
                <w:color w:val="auto"/>
                <w:kern w:val="0"/>
                <w:sz w:val="24"/>
                <w:szCs w:val="21"/>
                <w:highlight w:val="none"/>
              </w:rPr>
              <w:t>。</w:t>
            </w:r>
            <w:r>
              <w:rPr>
                <w:rFonts w:hint="default" w:ascii="Times New Roman" w:hAnsi="Times New Roman" w:eastAsia="宋体" w:cs="Times New Roman"/>
                <w:color w:val="auto"/>
                <w:spacing w:val="-4"/>
                <w:sz w:val="24"/>
                <w:szCs w:val="24"/>
                <w:highlight w:val="none"/>
              </w:rPr>
              <w:t>本项</w:t>
            </w:r>
            <w:r>
              <w:rPr>
                <w:rFonts w:hint="default" w:ascii="Times New Roman" w:hAnsi="Times New Roman" w:eastAsia="宋体" w:cs="Times New Roman"/>
                <w:color w:val="auto"/>
                <w:spacing w:val="-8"/>
                <w:sz w:val="24"/>
                <w:szCs w:val="24"/>
                <w:highlight w:val="none"/>
              </w:rPr>
              <w:t>目</w:t>
            </w:r>
            <w:bookmarkStart w:id="14" w:name="OLE_LINK1"/>
            <w:r>
              <w:rPr>
                <w:rFonts w:hint="default" w:ascii="Times New Roman" w:hAnsi="Times New Roman" w:eastAsia="宋体" w:cs="Times New Roman"/>
                <w:color w:val="auto"/>
                <w:spacing w:val="-8"/>
                <w:sz w:val="24"/>
                <w:szCs w:val="24"/>
                <w:highlight w:val="none"/>
              </w:rPr>
              <w:t>无组织废气</w:t>
            </w:r>
            <w:r>
              <w:rPr>
                <w:rFonts w:hint="default" w:ascii="Times New Roman" w:hAnsi="Times New Roman" w:eastAsia="宋体" w:cs="Times New Roman"/>
                <w:color w:val="auto"/>
                <w:spacing w:val="-8"/>
                <w:sz w:val="24"/>
                <w:szCs w:val="24"/>
                <w:highlight w:val="none"/>
                <w:lang w:val="en-US" w:eastAsia="zh-CN"/>
              </w:rPr>
              <w:t>处理措施</w:t>
            </w:r>
            <w:bookmarkEnd w:id="14"/>
            <w:r>
              <w:rPr>
                <w:rFonts w:hint="default" w:ascii="Times New Roman" w:hAnsi="Times New Roman" w:eastAsia="宋体" w:cs="Times New Roman"/>
                <w:color w:val="auto"/>
                <w:spacing w:val="-8"/>
                <w:sz w:val="24"/>
                <w:szCs w:val="24"/>
                <w:highlight w:val="none"/>
                <w:lang w:val="en-US" w:eastAsia="zh-CN"/>
              </w:rPr>
              <w:t>可行性见下表</w:t>
            </w:r>
            <w:r>
              <w:rPr>
                <w:rFonts w:hint="default" w:ascii="Times New Roman" w:hAnsi="Times New Roman" w:cs="Times New Roman"/>
                <w:color w:val="auto"/>
                <w:spacing w:val="-8"/>
                <w:sz w:val="24"/>
                <w:szCs w:val="24"/>
                <w:highlight w:val="none"/>
                <w:lang w:val="en-US" w:eastAsia="zh-CN"/>
              </w:rPr>
              <w:t>。</w:t>
            </w:r>
          </w:p>
          <w:p w14:paraId="0D38FCC0">
            <w:pPr>
              <w:adjustRightInd w:val="0"/>
              <w:snapToGrid w:val="0"/>
              <w:spacing w:line="360" w:lineRule="auto"/>
              <w:ind w:left="0" w:leftChars="0" w:firstLine="0" w:firstLineChars="0"/>
              <w:jc w:val="center"/>
              <w:rPr>
                <w:rFonts w:hint="default" w:ascii="Times New Roman" w:hAnsi="Times New Roman" w:eastAsia="宋体" w:cs="Times New Roman"/>
                <w:b/>
                <w:bCs/>
                <w:color w:val="auto"/>
                <w:spacing w:val="3"/>
                <w:sz w:val="21"/>
                <w:szCs w:val="21"/>
                <w:highlight w:val="none"/>
              </w:rPr>
            </w:pPr>
          </w:p>
          <w:p w14:paraId="38189A85">
            <w:pPr>
              <w:adjustRightInd w:val="0"/>
              <w:snapToGrid w:val="0"/>
              <w:spacing w:line="360" w:lineRule="auto"/>
              <w:ind w:left="0" w:leftChars="0" w:firstLine="0" w:firstLineChars="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
                <w:bCs/>
                <w:color w:val="auto"/>
                <w:spacing w:val="3"/>
                <w:sz w:val="21"/>
                <w:szCs w:val="21"/>
                <w:highlight w:val="none"/>
              </w:rPr>
              <w:t>表4-</w:t>
            </w:r>
            <w:r>
              <w:rPr>
                <w:rFonts w:hint="default" w:ascii="Times New Roman" w:hAnsi="Times New Roman" w:eastAsia="宋体" w:cs="Times New Roman"/>
                <w:b/>
                <w:bCs/>
                <w:color w:val="auto"/>
                <w:spacing w:val="3"/>
                <w:sz w:val="21"/>
                <w:szCs w:val="21"/>
                <w:highlight w:val="none"/>
                <w:lang w:val="en-US" w:eastAsia="zh-CN"/>
              </w:rPr>
              <w:t>6</w:t>
            </w:r>
            <w:r>
              <w:rPr>
                <w:rFonts w:hint="default" w:ascii="Times New Roman" w:hAnsi="Times New Roman" w:eastAsia="宋体" w:cs="Times New Roman"/>
                <w:b/>
                <w:bCs/>
                <w:color w:val="auto"/>
                <w:spacing w:val="3"/>
                <w:sz w:val="21"/>
                <w:szCs w:val="21"/>
                <w:highlight w:val="none"/>
              </w:rPr>
              <w:t>无组织废气处理措施可行性分析</w:t>
            </w:r>
          </w:p>
          <w:tbl>
            <w:tblPr>
              <w:tblStyle w:val="148"/>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5"/>
              <w:gridCol w:w="756"/>
              <w:gridCol w:w="641"/>
              <w:gridCol w:w="4757"/>
              <w:gridCol w:w="1302"/>
              <w:gridCol w:w="794"/>
            </w:tblGrid>
            <w:tr w14:paraId="7C687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1" w:hRule="atLeast"/>
              </w:trPr>
              <w:tc>
                <w:tcPr>
                  <w:tcW w:w="815" w:type="dxa"/>
                  <w:vAlign w:val="center"/>
                </w:tcPr>
                <w:p w14:paraId="7F82E32E">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序号</w:t>
                  </w:r>
                </w:p>
              </w:tc>
              <w:tc>
                <w:tcPr>
                  <w:tcW w:w="756" w:type="dxa"/>
                  <w:vAlign w:val="center"/>
                </w:tcPr>
                <w:p w14:paraId="79F8E252">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6"/>
                      <w:sz w:val="21"/>
                      <w:szCs w:val="21"/>
                      <w:highlight w:val="none"/>
                    </w:rPr>
                    <w:t>生产工</w:t>
                  </w:r>
                  <w:r>
                    <w:rPr>
                      <w:rFonts w:hint="default" w:ascii="Times New Roman" w:hAnsi="Times New Roman" w:eastAsia="宋体" w:cs="Times New Roman"/>
                      <w:color w:val="auto"/>
                      <w:spacing w:val="6"/>
                      <w:sz w:val="21"/>
                      <w:szCs w:val="21"/>
                      <w:highlight w:val="none"/>
                      <w:lang w:val="en-US" w:eastAsia="zh-CN"/>
                    </w:rPr>
                    <w:t>艺</w:t>
                  </w:r>
                </w:p>
              </w:tc>
              <w:tc>
                <w:tcPr>
                  <w:tcW w:w="641" w:type="dxa"/>
                  <w:vAlign w:val="center"/>
                </w:tcPr>
                <w:p w14:paraId="791327EE">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6"/>
                      <w:sz w:val="21"/>
                      <w:szCs w:val="21"/>
                      <w:highlight w:val="none"/>
                    </w:rPr>
                    <w:t>主要污染</w:t>
                  </w:r>
                  <w:r>
                    <w:rPr>
                      <w:rFonts w:hint="default" w:ascii="Times New Roman" w:hAnsi="Times New Roman" w:eastAsia="宋体" w:cs="Times New Roman"/>
                      <w:color w:val="auto"/>
                      <w:spacing w:val="6"/>
                      <w:sz w:val="21"/>
                      <w:szCs w:val="21"/>
                      <w:highlight w:val="none"/>
                      <w:lang w:val="en-US" w:eastAsia="zh-CN"/>
                    </w:rPr>
                    <w:t>物</w:t>
                  </w:r>
                </w:p>
              </w:tc>
              <w:tc>
                <w:tcPr>
                  <w:tcW w:w="4757" w:type="dxa"/>
                  <w:vAlign w:val="center"/>
                </w:tcPr>
                <w:p w14:paraId="2C8E79C6">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相关规范标准要求</w:t>
                  </w:r>
                </w:p>
              </w:tc>
              <w:tc>
                <w:tcPr>
                  <w:tcW w:w="1302" w:type="dxa"/>
                  <w:vAlign w:val="center"/>
                </w:tcPr>
                <w:p w14:paraId="3DE1E4F9">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本项目情况</w:t>
                  </w:r>
                </w:p>
              </w:tc>
              <w:tc>
                <w:tcPr>
                  <w:tcW w:w="794" w:type="dxa"/>
                  <w:vAlign w:val="center"/>
                </w:tcPr>
                <w:p w14:paraId="6B11CE42">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符合性</w:t>
                  </w:r>
                </w:p>
              </w:tc>
            </w:tr>
            <w:tr w14:paraId="1B8B7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9" w:hRule="atLeast"/>
              </w:trPr>
              <w:tc>
                <w:tcPr>
                  <w:tcW w:w="815" w:type="dxa"/>
                  <w:vMerge w:val="restart"/>
                  <w:tcBorders>
                    <w:bottom w:val="nil"/>
                  </w:tcBorders>
                  <w:vAlign w:val="center"/>
                </w:tcPr>
                <w:p w14:paraId="6A41A4B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position w:val="1"/>
                      <w:sz w:val="21"/>
                      <w:szCs w:val="21"/>
                      <w:highlight w:val="none"/>
                      <w:lang w:val="en-US" w:eastAsia="zh-CN"/>
                    </w:rPr>
                    <w:t>1</w:t>
                  </w:r>
                </w:p>
              </w:tc>
              <w:tc>
                <w:tcPr>
                  <w:tcW w:w="756" w:type="dxa"/>
                  <w:vAlign w:val="center"/>
                </w:tcPr>
                <w:p w14:paraId="191008A7">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贮存系</w:t>
                  </w:r>
                  <w:r>
                    <w:rPr>
                      <w:rFonts w:hint="default" w:ascii="Times New Roman" w:hAnsi="Times New Roman" w:eastAsia="宋体" w:cs="Times New Roman"/>
                      <w:color w:val="auto"/>
                      <w:sz w:val="21"/>
                      <w:szCs w:val="21"/>
                      <w:highlight w:val="none"/>
                    </w:rPr>
                    <w:t>统</w:t>
                  </w:r>
                </w:p>
              </w:tc>
              <w:tc>
                <w:tcPr>
                  <w:tcW w:w="641" w:type="dxa"/>
                  <w:vMerge w:val="restart"/>
                  <w:tcBorders>
                    <w:bottom w:val="nil"/>
                  </w:tcBorders>
                  <w:vAlign w:val="center"/>
                </w:tcPr>
                <w:p w14:paraId="2EFF72B6">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颗粒物</w:t>
                  </w:r>
                </w:p>
              </w:tc>
              <w:tc>
                <w:tcPr>
                  <w:tcW w:w="4757" w:type="dxa"/>
                  <w:vAlign w:val="center"/>
                </w:tcPr>
                <w:p w14:paraId="0F418C31">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（1）储煤场应采用半封闭或全封闭形式。</w:t>
                  </w:r>
                  <w:r>
                    <w:rPr>
                      <w:rFonts w:hint="default" w:ascii="Times New Roman" w:hAnsi="Times New Roman" w:eastAsia="宋体" w:cs="Times New Roman"/>
                      <w:color w:val="auto"/>
                      <w:spacing w:val="8"/>
                      <w:sz w:val="21"/>
                      <w:szCs w:val="21"/>
                      <w:highlight w:val="none"/>
                    </w:rPr>
                    <w:t>粉煤灰应采用密闭的灰仓储存，卸灰管道出</w:t>
                  </w:r>
                  <w:r>
                    <w:rPr>
                      <w:rFonts w:hint="default" w:ascii="Times New Roman" w:hAnsi="Times New Roman" w:eastAsia="宋体" w:cs="Times New Roman"/>
                      <w:color w:val="auto"/>
                      <w:spacing w:val="11"/>
                      <w:sz w:val="21"/>
                      <w:szCs w:val="21"/>
                      <w:highlight w:val="none"/>
                    </w:rPr>
                    <w:t>口应有防尘措施。（2）储罐区应合理地选</w:t>
                  </w:r>
                  <w:r>
                    <w:rPr>
                      <w:rFonts w:hint="default" w:ascii="Times New Roman" w:hAnsi="Times New Roman" w:eastAsia="宋体" w:cs="Times New Roman"/>
                      <w:color w:val="auto"/>
                      <w:spacing w:val="14"/>
                      <w:sz w:val="21"/>
                      <w:szCs w:val="21"/>
                      <w:highlight w:val="none"/>
                    </w:rPr>
                    <w:t>择储罐类型；应采取储罐表面喷涂浅色涂</w:t>
                  </w:r>
                  <w:r>
                    <w:rPr>
                      <w:rFonts w:hint="default" w:ascii="Times New Roman" w:hAnsi="Times New Roman" w:eastAsia="宋体" w:cs="Times New Roman"/>
                      <w:color w:val="auto"/>
                      <w:spacing w:val="8"/>
                      <w:sz w:val="21"/>
                      <w:szCs w:val="21"/>
                      <w:highlight w:val="none"/>
                    </w:rPr>
                    <w:t>层，高温天气采用水喷淋，采用地埋式储罐等措施降低储罐温度；应采用氮气作为保护</w:t>
                  </w:r>
                  <w:r>
                    <w:rPr>
                      <w:rFonts w:hint="default" w:ascii="Times New Roman" w:hAnsi="Times New Roman" w:eastAsia="宋体" w:cs="Times New Roman"/>
                      <w:color w:val="auto"/>
                      <w:spacing w:val="7"/>
                      <w:sz w:val="21"/>
                      <w:szCs w:val="21"/>
                      <w:highlight w:val="none"/>
                    </w:rPr>
                    <w:t>介质。储罐呼吸口应设置呼吸气收集装置。</w:t>
                  </w:r>
                  <w:r>
                    <w:rPr>
                      <w:rFonts w:hint="default" w:ascii="Times New Roman" w:hAnsi="Times New Roman" w:eastAsia="宋体" w:cs="Times New Roman"/>
                      <w:color w:val="auto"/>
                      <w:spacing w:val="9"/>
                      <w:sz w:val="21"/>
                      <w:szCs w:val="21"/>
                      <w:highlight w:val="none"/>
                    </w:rPr>
                    <w:t>（3）灰场、渣场应及时覆盖并定期洒水。</w:t>
                  </w:r>
                  <w:r>
                    <w:rPr>
                      <w:rFonts w:hint="default" w:ascii="Times New Roman" w:hAnsi="Times New Roman" w:eastAsia="宋体" w:cs="Times New Roman"/>
                      <w:color w:val="auto"/>
                      <w:spacing w:val="8"/>
                      <w:sz w:val="21"/>
                      <w:szCs w:val="21"/>
                      <w:highlight w:val="none"/>
                    </w:rPr>
                    <w:t>设有灰仓的应采用密闭措施，卸灰管道出口</w:t>
                  </w:r>
                  <w:r>
                    <w:rPr>
                      <w:rFonts w:hint="default" w:ascii="Times New Roman" w:hAnsi="Times New Roman" w:eastAsia="宋体" w:cs="Times New Roman"/>
                      <w:color w:val="auto"/>
                      <w:spacing w:val="14"/>
                      <w:sz w:val="21"/>
                      <w:szCs w:val="21"/>
                      <w:highlight w:val="none"/>
                    </w:rPr>
                    <w:t>应有防尘措施。设有渣库的应采用挡尘卷</w:t>
                  </w:r>
                  <w:r>
                    <w:rPr>
                      <w:rFonts w:hint="default" w:ascii="Times New Roman" w:hAnsi="Times New Roman" w:eastAsia="宋体" w:cs="Times New Roman"/>
                      <w:color w:val="auto"/>
                      <w:spacing w:val="11"/>
                      <w:sz w:val="21"/>
                      <w:szCs w:val="21"/>
                      <w:highlight w:val="none"/>
                    </w:rPr>
                    <w:t>帘、围挡等形式的防尘措施。（4）无独立</w:t>
                  </w:r>
                  <w:r>
                    <w:rPr>
                      <w:rFonts w:hint="default" w:ascii="Times New Roman" w:hAnsi="Times New Roman" w:eastAsia="宋体" w:cs="Times New Roman"/>
                      <w:color w:val="auto"/>
                      <w:spacing w:val="7"/>
                      <w:sz w:val="21"/>
                      <w:szCs w:val="21"/>
                      <w:highlight w:val="none"/>
                    </w:rPr>
                    <w:t>包装脱硫剂粉应使用罐车运输、密闭储存。</w:t>
                  </w:r>
                </w:p>
              </w:tc>
              <w:tc>
                <w:tcPr>
                  <w:tcW w:w="1302" w:type="dxa"/>
                  <w:vMerge w:val="restart"/>
                  <w:tcBorders>
                    <w:bottom w:val="nil"/>
                  </w:tcBorders>
                  <w:vAlign w:val="center"/>
                </w:tcPr>
                <w:p w14:paraId="513E38BB">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本项目使用生</w:t>
                  </w:r>
                  <w:r>
                    <w:rPr>
                      <w:rFonts w:hint="default" w:ascii="Times New Roman" w:hAnsi="Times New Roman" w:eastAsia="宋体" w:cs="Times New Roman"/>
                      <w:color w:val="auto"/>
                      <w:spacing w:val="7"/>
                      <w:sz w:val="21"/>
                      <w:szCs w:val="21"/>
                      <w:highlight w:val="none"/>
                    </w:rPr>
                    <w:t>物质成型燃料</w:t>
                  </w:r>
                  <w:r>
                    <w:rPr>
                      <w:rFonts w:hint="default" w:ascii="Times New Roman" w:hAnsi="Times New Roman" w:eastAsia="宋体" w:cs="Times New Roman"/>
                      <w:color w:val="auto"/>
                      <w:spacing w:val="-6"/>
                      <w:sz w:val="21"/>
                      <w:szCs w:val="21"/>
                      <w:highlight w:val="none"/>
                    </w:rPr>
                    <w:t>颗粒，不涉及燃煤；生物质颗粒燃料采用袋装，</w:t>
                  </w:r>
                  <w:r>
                    <w:rPr>
                      <w:rFonts w:hint="default" w:ascii="Times New Roman" w:hAnsi="Times New Roman" w:eastAsia="宋体" w:cs="Times New Roman"/>
                      <w:color w:val="auto"/>
                      <w:spacing w:val="-1"/>
                      <w:sz w:val="21"/>
                      <w:szCs w:val="21"/>
                      <w:highlight w:val="none"/>
                    </w:rPr>
                    <w:t>并</w:t>
                  </w:r>
                  <w:r>
                    <w:rPr>
                      <w:rFonts w:hint="default" w:ascii="Times New Roman" w:hAnsi="Times New Roman" w:cs="Times New Roman"/>
                      <w:color w:val="auto"/>
                      <w:spacing w:val="-1"/>
                      <w:sz w:val="21"/>
                      <w:szCs w:val="21"/>
                      <w:highlight w:val="none"/>
                      <w:lang w:eastAsia="zh-CN"/>
                    </w:rPr>
                    <w:t>储存</w:t>
                  </w:r>
                  <w:r>
                    <w:rPr>
                      <w:rFonts w:hint="default" w:ascii="Times New Roman" w:hAnsi="Times New Roman" w:eastAsia="宋体" w:cs="Times New Roman"/>
                      <w:color w:val="auto"/>
                      <w:spacing w:val="-1"/>
                      <w:sz w:val="21"/>
                      <w:szCs w:val="21"/>
                      <w:highlight w:val="none"/>
                    </w:rPr>
                    <w:t>至</w:t>
                  </w:r>
                  <w:r>
                    <w:rPr>
                      <w:rFonts w:hint="default" w:ascii="Times New Roman" w:hAnsi="Times New Roman" w:eastAsia="宋体" w:cs="Times New Roman"/>
                      <w:color w:val="auto"/>
                      <w:spacing w:val="7"/>
                      <w:sz w:val="21"/>
                      <w:szCs w:val="21"/>
                      <w:highlight w:val="none"/>
                    </w:rPr>
                    <w:t>厂区现有库房</w:t>
                  </w:r>
                  <w:r>
                    <w:rPr>
                      <w:rFonts w:hint="default" w:ascii="Times New Roman" w:hAnsi="Times New Roman" w:eastAsia="宋体" w:cs="Times New Roman"/>
                      <w:color w:val="auto"/>
                      <w:spacing w:val="-11"/>
                      <w:sz w:val="21"/>
                      <w:szCs w:val="21"/>
                      <w:highlight w:val="none"/>
                    </w:rPr>
                    <w:t>内</w:t>
                  </w:r>
                  <w:r>
                    <w:rPr>
                      <w:rFonts w:hint="default" w:ascii="Times New Roman" w:hAnsi="Times New Roman" w:eastAsia="宋体" w:cs="Times New Roman"/>
                      <w:color w:val="auto"/>
                      <w:spacing w:val="-10"/>
                      <w:sz w:val="21"/>
                      <w:szCs w:val="21"/>
                      <w:highlight w:val="none"/>
                    </w:rPr>
                    <w:t>；炉渣和布</w:t>
                  </w:r>
                  <w:r>
                    <w:rPr>
                      <w:rFonts w:hint="default" w:ascii="Times New Roman" w:hAnsi="Times New Roman" w:eastAsia="宋体" w:cs="Times New Roman"/>
                      <w:color w:val="auto"/>
                      <w:spacing w:val="-9"/>
                      <w:sz w:val="21"/>
                      <w:szCs w:val="21"/>
                      <w:highlight w:val="none"/>
                    </w:rPr>
                    <w:t>袋</w:t>
                  </w:r>
                  <w:r>
                    <w:rPr>
                      <w:rFonts w:hint="default" w:ascii="Times New Roman" w:hAnsi="Times New Roman" w:eastAsia="宋体" w:cs="Times New Roman"/>
                      <w:color w:val="auto"/>
                      <w:spacing w:val="12"/>
                      <w:sz w:val="21"/>
                      <w:szCs w:val="21"/>
                      <w:highlight w:val="none"/>
                    </w:rPr>
                    <w:t>除尘器收尘灰</w:t>
                  </w:r>
                  <w:r>
                    <w:rPr>
                      <w:rFonts w:hint="default" w:ascii="Times New Roman" w:hAnsi="Times New Roman" w:eastAsia="宋体" w:cs="Times New Roman"/>
                      <w:color w:val="auto"/>
                      <w:spacing w:val="7"/>
                      <w:sz w:val="21"/>
                      <w:szCs w:val="21"/>
                      <w:highlight w:val="none"/>
                    </w:rPr>
                    <w:t>收集后暂存至</w:t>
                  </w:r>
                  <w:r>
                    <w:rPr>
                      <w:rFonts w:hint="default" w:ascii="Times New Roman" w:hAnsi="Times New Roman" w:cs="Times New Roman"/>
                      <w:color w:val="auto"/>
                      <w:spacing w:val="4"/>
                      <w:sz w:val="21"/>
                      <w:szCs w:val="21"/>
                      <w:highlight w:val="none"/>
                      <w:lang w:eastAsia="zh-CN"/>
                    </w:rPr>
                    <w:t>灰渣库</w:t>
                  </w:r>
                  <w:r>
                    <w:rPr>
                      <w:rFonts w:hint="default" w:ascii="Times New Roman" w:hAnsi="Times New Roman" w:eastAsia="宋体" w:cs="Times New Roman"/>
                      <w:color w:val="auto"/>
                      <w:spacing w:val="4"/>
                      <w:sz w:val="21"/>
                      <w:szCs w:val="21"/>
                      <w:highlight w:val="none"/>
                    </w:rPr>
                    <w:t>。</w:t>
                  </w:r>
                </w:p>
              </w:tc>
              <w:tc>
                <w:tcPr>
                  <w:tcW w:w="794" w:type="dxa"/>
                  <w:vAlign w:val="center"/>
                </w:tcPr>
                <w:p w14:paraId="48B708D4">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符合</w:t>
                  </w:r>
                </w:p>
              </w:tc>
            </w:tr>
            <w:tr w14:paraId="556F7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815" w:type="dxa"/>
                  <w:vMerge w:val="continue"/>
                  <w:tcBorders>
                    <w:top w:val="nil"/>
                    <w:bottom w:val="single" w:color="000000" w:sz="10" w:space="0"/>
                  </w:tcBorders>
                  <w:vAlign w:val="center"/>
                </w:tcPr>
                <w:p w14:paraId="321CBBC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756" w:type="dxa"/>
                  <w:tcBorders>
                    <w:bottom w:val="single" w:color="000000" w:sz="10" w:space="0"/>
                  </w:tcBorders>
                  <w:vAlign w:val="center"/>
                </w:tcPr>
                <w:p w14:paraId="7A7A4DD6">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输送系</w:t>
                  </w:r>
                  <w:r>
                    <w:rPr>
                      <w:rFonts w:hint="default" w:ascii="Times New Roman" w:hAnsi="Times New Roman" w:eastAsia="宋体" w:cs="Times New Roman"/>
                      <w:color w:val="auto"/>
                      <w:sz w:val="21"/>
                      <w:szCs w:val="21"/>
                      <w:highlight w:val="none"/>
                    </w:rPr>
                    <w:t>统</w:t>
                  </w:r>
                </w:p>
              </w:tc>
              <w:tc>
                <w:tcPr>
                  <w:tcW w:w="641" w:type="dxa"/>
                  <w:vMerge w:val="continue"/>
                  <w:tcBorders>
                    <w:top w:val="nil"/>
                    <w:bottom w:val="single" w:color="000000" w:sz="10" w:space="0"/>
                  </w:tcBorders>
                  <w:vAlign w:val="center"/>
                </w:tcPr>
                <w:p w14:paraId="43DF06F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4757" w:type="dxa"/>
                  <w:tcBorders>
                    <w:bottom w:val="single" w:color="000000" w:sz="10" w:space="0"/>
                  </w:tcBorders>
                  <w:vAlign w:val="center"/>
                </w:tcPr>
                <w:p w14:paraId="7C1D4D24">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储煤场卸煤过程应采取喷淋等抑尘措施。煤</w:t>
                  </w:r>
                  <w:r>
                    <w:rPr>
                      <w:rFonts w:hint="default" w:ascii="Times New Roman" w:hAnsi="Times New Roman" w:eastAsia="宋体" w:cs="Times New Roman"/>
                      <w:color w:val="auto"/>
                      <w:spacing w:val="9"/>
                      <w:sz w:val="21"/>
                      <w:szCs w:val="21"/>
                      <w:highlight w:val="none"/>
                    </w:rPr>
                    <w:t>炭输运过程中使用皮带机输送的应在输煤</w:t>
                  </w:r>
                  <w:r>
                    <w:rPr>
                      <w:rFonts w:hint="default" w:ascii="Times New Roman" w:hAnsi="Times New Roman" w:eastAsia="宋体" w:cs="Times New Roman"/>
                      <w:color w:val="auto"/>
                      <w:spacing w:val="8"/>
                      <w:sz w:val="21"/>
                      <w:szCs w:val="21"/>
                      <w:highlight w:val="none"/>
                    </w:rPr>
                    <w:t>栈桥等封闭环境中进行，并对落煤点采用喷淋或密闭等防尘措施。煤仓进料口应设置集气罩。粉煤灰运输应使用专用罐车。</w:t>
                  </w:r>
                </w:p>
              </w:tc>
              <w:tc>
                <w:tcPr>
                  <w:tcW w:w="1302" w:type="dxa"/>
                  <w:vMerge w:val="continue"/>
                  <w:tcBorders>
                    <w:top w:val="nil"/>
                    <w:bottom w:val="single" w:color="000000" w:sz="10" w:space="0"/>
                  </w:tcBorders>
                  <w:vAlign w:val="center"/>
                </w:tcPr>
                <w:p w14:paraId="01B4A85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p>
              </w:tc>
              <w:tc>
                <w:tcPr>
                  <w:tcW w:w="794" w:type="dxa"/>
                  <w:tcBorders>
                    <w:bottom w:val="single" w:color="000000" w:sz="10" w:space="0"/>
                  </w:tcBorders>
                  <w:vAlign w:val="center"/>
                </w:tcPr>
                <w:p w14:paraId="516053A0">
                  <w:pPr>
                    <w:pStyle w:val="14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符合</w:t>
                  </w:r>
                </w:p>
              </w:tc>
            </w:tr>
          </w:tbl>
          <w:p w14:paraId="54DD32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sz w:val="24"/>
                <w:highlight w:val="none"/>
                <w:lang w:val="en-US" w:eastAsia="zh-CN"/>
              </w:rPr>
            </w:pPr>
            <w:r>
              <w:rPr>
                <w:rFonts w:hint="default" w:ascii="Times New Roman" w:hAnsi="Times New Roman" w:cs="Times New Roman"/>
                <w:b w:val="0"/>
                <w:bCs w:val="0"/>
                <w:color w:val="auto"/>
                <w:spacing w:val="0"/>
                <w:sz w:val="24"/>
                <w:highlight w:val="none"/>
                <w:lang w:val="en-US" w:eastAsia="zh-CN"/>
              </w:rPr>
              <w:t>由上表可知，本项目</w:t>
            </w:r>
            <w:r>
              <w:rPr>
                <w:rFonts w:hint="default" w:ascii="Times New Roman" w:hAnsi="Times New Roman" w:eastAsia="宋体" w:cs="Times New Roman"/>
                <w:b w:val="0"/>
                <w:bCs w:val="0"/>
                <w:color w:val="auto"/>
                <w:spacing w:val="-8"/>
                <w:sz w:val="24"/>
                <w:szCs w:val="24"/>
                <w:highlight w:val="none"/>
              </w:rPr>
              <w:t>无组织废气</w:t>
            </w:r>
            <w:r>
              <w:rPr>
                <w:rFonts w:hint="default" w:ascii="Times New Roman" w:hAnsi="Times New Roman" w:eastAsia="宋体" w:cs="Times New Roman"/>
                <w:b w:val="0"/>
                <w:bCs w:val="0"/>
                <w:color w:val="auto"/>
                <w:spacing w:val="-8"/>
                <w:sz w:val="24"/>
                <w:szCs w:val="24"/>
                <w:highlight w:val="none"/>
                <w:lang w:val="en-US" w:eastAsia="zh-CN"/>
              </w:rPr>
              <w:t>处理措施</w:t>
            </w:r>
            <w:r>
              <w:rPr>
                <w:rFonts w:hint="default" w:ascii="Times New Roman" w:hAnsi="Times New Roman" w:cs="Times New Roman"/>
                <w:b w:val="0"/>
                <w:bCs w:val="0"/>
                <w:color w:val="auto"/>
                <w:spacing w:val="-8"/>
                <w:sz w:val="24"/>
                <w:szCs w:val="24"/>
                <w:highlight w:val="none"/>
                <w:lang w:val="en-US" w:eastAsia="zh-CN"/>
              </w:rPr>
              <w:t>可行。</w:t>
            </w:r>
          </w:p>
          <w:p w14:paraId="43ED604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pacing w:val="0"/>
                <w:sz w:val="24"/>
                <w:highlight w:val="none"/>
              </w:rPr>
            </w:pPr>
            <w:r>
              <w:rPr>
                <w:rFonts w:hint="default" w:ascii="Times New Roman" w:hAnsi="Times New Roman" w:eastAsia="宋体" w:cs="Times New Roman"/>
                <w:b/>
                <w:color w:val="auto"/>
                <w:spacing w:val="0"/>
                <w:sz w:val="24"/>
                <w:highlight w:val="none"/>
                <w:lang w:val="en-US" w:eastAsia="zh-CN"/>
              </w:rPr>
              <w:t>1.7</w:t>
            </w:r>
            <w:r>
              <w:rPr>
                <w:rFonts w:hint="default" w:ascii="Times New Roman" w:hAnsi="Times New Roman" w:eastAsia="宋体" w:cs="Times New Roman"/>
                <w:b/>
                <w:bCs/>
                <w:color w:val="auto"/>
                <w:spacing w:val="0"/>
                <w:sz w:val="24"/>
                <w:highlight w:val="none"/>
              </w:rPr>
              <w:t>大气污染源监测计划</w:t>
            </w:r>
          </w:p>
          <w:p w14:paraId="6450A9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依据《排污单位自行监测技术指南火力发电及锅炉》</w:t>
            </w:r>
            <w:r>
              <w:rPr>
                <w:rFonts w:hint="default" w:ascii="Times New Roman" w:hAnsi="Times New Roman"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HJ820-2017</w:t>
            </w:r>
            <w:r>
              <w:rPr>
                <w:rFonts w:hint="default" w:ascii="Times New Roman" w:hAnsi="Times New Roman"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中表1的相关内容，</w:t>
            </w:r>
            <w:r>
              <w:rPr>
                <w:rFonts w:hint="default" w:ascii="Times New Roman" w:hAnsi="Times New Roman" w:eastAsia="宋体" w:cs="Times New Roman"/>
                <w:color w:val="auto"/>
                <w:spacing w:val="0"/>
                <w:sz w:val="24"/>
                <w:highlight w:val="none"/>
                <w:lang w:eastAsia="zh-CN"/>
              </w:rPr>
              <w:t>及</w:t>
            </w:r>
            <w:r>
              <w:rPr>
                <w:rFonts w:hint="default" w:ascii="Times New Roman" w:hAnsi="Times New Roman" w:eastAsia="宋体" w:cs="Times New Roman"/>
                <w:color w:val="auto"/>
                <w:spacing w:val="0"/>
                <w:sz w:val="24"/>
                <w:highlight w:val="none"/>
                <w:lang w:val="en-US" w:eastAsia="zh-CN"/>
              </w:rPr>
              <w:t>《排污许可证申请与核发技术规范锅炉》</w:t>
            </w:r>
            <w:r>
              <w:rPr>
                <w:rFonts w:hint="default" w:ascii="Times New Roman" w:hAnsi="Times New Roman" w:cs="Times New Roman"/>
                <w:color w:val="auto"/>
                <w:spacing w:val="0"/>
                <w:sz w:val="24"/>
                <w:highlight w:val="none"/>
                <w:lang w:val="en-US" w:eastAsia="zh-CN"/>
              </w:rPr>
              <w:t>（</w:t>
            </w:r>
            <w:r>
              <w:rPr>
                <w:rFonts w:hint="default" w:ascii="Times New Roman" w:hAnsi="Times New Roman" w:eastAsia="宋体" w:cs="Times New Roman"/>
                <w:color w:val="auto"/>
                <w:spacing w:val="0"/>
                <w:sz w:val="24"/>
                <w:highlight w:val="none"/>
                <w:lang w:val="en-US" w:eastAsia="zh-CN"/>
              </w:rPr>
              <w:t>HJ953—2018</w:t>
            </w:r>
            <w:r>
              <w:rPr>
                <w:rFonts w:hint="default" w:ascii="Times New Roman" w:hAnsi="Times New Roman" w:cs="Times New Roman"/>
                <w:color w:val="auto"/>
                <w:spacing w:val="0"/>
                <w:sz w:val="24"/>
                <w:highlight w:val="none"/>
                <w:lang w:val="en-US" w:eastAsia="zh-CN"/>
              </w:rPr>
              <w:t>）</w:t>
            </w:r>
            <w:r>
              <w:rPr>
                <w:rFonts w:hint="default" w:ascii="Times New Roman" w:hAnsi="Times New Roman" w:eastAsia="宋体" w:cs="Times New Roman"/>
                <w:color w:val="auto"/>
                <w:spacing w:val="0"/>
                <w:sz w:val="24"/>
                <w:highlight w:val="none"/>
              </w:rPr>
              <w:t>建议项目运营期大气污染源监测计划如下。</w:t>
            </w:r>
          </w:p>
          <w:p w14:paraId="5CB9AD8C">
            <w:pPr>
              <w:pStyle w:val="7"/>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表4-7大气污染源监测计划</w:t>
            </w:r>
          </w:p>
          <w:tbl>
            <w:tblPr>
              <w:tblStyle w:val="35"/>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857"/>
              <w:gridCol w:w="825"/>
              <w:gridCol w:w="901"/>
              <w:gridCol w:w="3948"/>
            </w:tblGrid>
            <w:tr w14:paraId="363B8A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0" w:type="pct"/>
                  <w:tcBorders>
                    <w:top w:val="single" w:color="auto" w:sz="12" w:space="0"/>
                  </w:tcBorders>
                  <w:noWrap w:val="0"/>
                  <w:vAlign w:val="center"/>
                </w:tcPr>
                <w:p w14:paraId="7B9A98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监测点位</w:t>
                  </w:r>
                </w:p>
              </w:tc>
              <w:tc>
                <w:tcPr>
                  <w:tcW w:w="1045" w:type="pct"/>
                  <w:tcBorders>
                    <w:top w:val="single" w:color="auto" w:sz="12" w:space="0"/>
                  </w:tcBorders>
                  <w:noWrap w:val="0"/>
                  <w:vAlign w:val="center"/>
                </w:tcPr>
                <w:p w14:paraId="4024D4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监测指标</w:t>
                  </w:r>
                </w:p>
              </w:tc>
              <w:tc>
                <w:tcPr>
                  <w:tcW w:w="464" w:type="pct"/>
                  <w:tcBorders>
                    <w:top w:val="single" w:color="auto" w:sz="12" w:space="0"/>
                  </w:tcBorders>
                  <w:noWrap w:val="0"/>
                  <w:vAlign w:val="center"/>
                </w:tcPr>
                <w:p w14:paraId="10709F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最低监测频次</w:t>
                  </w:r>
                </w:p>
              </w:tc>
              <w:tc>
                <w:tcPr>
                  <w:tcW w:w="507" w:type="pct"/>
                  <w:tcBorders>
                    <w:top w:val="single" w:color="auto" w:sz="12" w:space="0"/>
                  </w:tcBorders>
                  <w:noWrap w:val="0"/>
                  <w:vAlign w:val="center"/>
                </w:tcPr>
                <w:p w14:paraId="1C4F38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监测设施</w:t>
                  </w:r>
                </w:p>
              </w:tc>
              <w:tc>
                <w:tcPr>
                  <w:tcW w:w="2222" w:type="pct"/>
                  <w:tcBorders>
                    <w:top w:val="single" w:color="auto" w:sz="12" w:space="0"/>
                  </w:tcBorders>
                  <w:noWrap w:val="0"/>
                  <w:vAlign w:val="center"/>
                </w:tcPr>
                <w:p w14:paraId="4050D625">
                  <w:pPr>
                    <w:ind w:firstLine="420" w:firstLineChars="200"/>
                    <w:jc w:val="center"/>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Cs/>
                      <w:color w:val="auto"/>
                      <w:sz w:val="21"/>
                      <w:szCs w:val="21"/>
                      <w:highlight w:val="none"/>
                    </w:rPr>
                    <w:t>执行标准</w:t>
                  </w:r>
                </w:p>
              </w:tc>
            </w:tr>
            <w:tr w14:paraId="622526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760" w:type="pct"/>
                  <w:noWrap w:val="0"/>
                  <w:vAlign w:val="center"/>
                </w:tcPr>
                <w:p w14:paraId="61237E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DA00</w:t>
                  </w:r>
                  <w:r>
                    <w:rPr>
                      <w:rFonts w:hint="default" w:ascii="Times New Roman" w:hAnsi="Times New Roman" w:cs="Times New Roman"/>
                      <w:color w:val="auto"/>
                      <w:spacing w:val="0"/>
                      <w:sz w:val="21"/>
                      <w:szCs w:val="21"/>
                      <w:highlight w:val="none"/>
                      <w:lang w:val="en-US" w:eastAsia="zh-CN"/>
                    </w:rPr>
                    <w:t>4</w:t>
                  </w:r>
                  <w:r>
                    <w:rPr>
                      <w:rStyle w:val="38"/>
                      <w:rFonts w:hint="default" w:ascii="Times New Roman" w:hAnsi="Times New Roman" w:eastAsia="宋体" w:cs="Times New Roman"/>
                      <w:color w:val="auto"/>
                      <w:kern w:val="2"/>
                      <w:sz w:val="21"/>
                      <w:lang w:val="en-US" w:eastAsia="zh-CN" w:bidi="ar-SA"/>
                    </w:rPr>
                    <w:t>锅炉烟囱</w:t>
                  </w:r>
                </w:p>
              </w:tc>
              <w:tc>
                <w:tcPr>
                  <w:tcW w:w="1045" w:type="pct"/>
                  <w:noWrap w:val="0"/>
                  <w:vAlign w:val="center"/>
                </w:tcPr>
                <w:p w14:paraId="024256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颗粒物、二氧化硫、烟气黑度</w:t>
                  </w:r>
                  <w:r>
                    <w:rPr>
                      <w:rFonts w:hint="default" w:ascii="Times New Roman" w:hAnsi="Times New Roman" w:cs="Times New Roman"/>
                      <w:color w:val="auto"/>
                      <w:spacing w:val="0"/>
                      <w:sz w:val="21"/>
                      <w:szCs w:val="21"/>
                      <w:highlight w:val="none"/>
                      <w:lang w:val="en-US" w:eastAsia="zh-CN"/>
                    </w:rPr>
                    <w:t>、汞及其化合物</w:t>
                  </w:r>
                </w:p>
                <w:p w14:paraId="7B7AA6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氮氧化物</w:t>
                  </w:r>
                </w:p>
              </w:tc>
              <w:tc>
                <w:tcPr>
                  <w:tcW w:w="464" w:type="pct"/>
                  <w:noWrap w:val="0"/>
                  <w:vAlign w:val="center"/>
                </w:tcPr>
                <w:p w14:paraId="1759B6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1次/月</w:t>
                  </w:r>
                </w:p>
              </w:tc>
              <w:tc>
                <w:tcPr>
                  <w:tcW w:w="507" w:type="pct"/>
                  <w:noWrap w:val="0"/>
                  <w:vAlign w:val="center"/>
                </w:tcPr>
                <w:p w14:paraId="5C68B2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手工监测</w:t>
                  </w:r>
                </w:p>
              </w:tc>
              <w:tc>
                <w:tcPr>
                  <w:tcW w:w="2222" w:type="pct"/>
                  <w:noWrap w:val="0"/>
                  <w:vAlign w:val="center"/>
                </w:tcPr>
                <w:p w14:paraId="57B07E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《锅炉大气污染物排放标准》（GB13271-2014）表</w:t>
                  </w:r>
                  <w:r>
                    <w:rPr>
                      <w:rFonts w:hint="eastAsia" w:ascii="Times New Roman" w:hAnsi="Times New Roman" w:cs="Times New Roman"/>
                      <w:color w:val="auto"/>
                      <w:spacing w:val="0"/>
                      <w:sz w:val="21"/>
                      <w:szCs w:val="21"/>
                      <w:highlight w:val="none"/>
                      <w:lang w:val="en-US" w:eastAsia="zh-CN"/>
                    </w:rPr>
                    <w:t>2</w:t>
                  </w:r>
                  <w:r>
                    <w:rPr>
                      <w:rFonts w:hint="default" w:ascii="Times New Roman" w:hAnsi="Times New Roman" w:eastAsia="宋体" w:cs="Times New Roman"/>
                      <w:color w:val="auto"/>
                      <w:spacing w:val="0"/>
                      <w:sz w:val="21"/>
                      <w:szCs w:val="21"/>
                      <w:highlight w:val="none"/>
                      <w:lang w:val="en-US" w:eastAsia="zh-CN"/>
                    </w:rPr>
                    <w:t>新建锅炉大气污染物排放限值</w:t>
                  </w:r>
                </w:p>
              </w:tc>
            </w:tr>
            <w:tr w14:paraId="3480D7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0" w:type="pct"/>
                  <w:noWrap w:val="0"/>
                  <w:vAlign w:val="center"/>
                </w:tcPr>
                <w:p w14:paraId="455DE2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厂界</w:t>
                  </w:r>
                </w:p>
              </w:tc>
              <w:tc>
                <w:tcPr>
                  <w:tcW w:w="1045" w:type="pct"/>
                  <w:noWrap w:val="0"/>
                  <w:vAlign w:val="center"/>
                </w:tcPr>
                <w:p w14:paraId="228016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颗粒物</w:t>
                  </w:r>
                </w:p>
              </w:tc>
              <w:tc>
                <w:tcPr>
                  <w:tcW w:w="464" w:type="pct"/>
                  <w:noWrap w:val="0"/>
                  <w:vAlign w:val="center"/>
                </w:tcPr>
                <w:p w14:paraId="787A9E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1</w:t>
                  </w:r>
                  <w:r>
                    <w:rPr>
                      <w:rFonts w:hint="default" w:ascii="Times New Roman" w:hAnsi="Times New Roman" w:eastAsia="宋体" w:cs="Times New Roman"/>
                      <w:color w:val="auto"/>
                      <w:spacing w:val="0"/>
                      <w:sz w:val="21"/>
                      <w:szCs w:val="21"/>
                      <w:highlight w:val="none"/>
                      <w:lang w:val="en-US" w:eastAsia="zh-CN"/>
                    </w:rPr>
                    <w:t>年/次</w:t>
                  </w:r>
                </w:p>
              </w:tc>
              <w:tc>
                <w:tcPr>
                  <w:tcW w:w="507" w:type="pct"/>
                  <w:noWrap w:val="0"/>
                  <w:vAlign w:val="center"/>
                </w:tcPr>
                <w:p w14:paraId="7479C0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手工监测</w:t>
                  </w:r>
                </w:p>
              </w:tc>
              <w:tc>
                <w:tcPr>
                  <w:tcW w:w="2222" w:type="pct"/>
                  <w:noWrap w:val="0"/>
                  <w:vAlign w:val="center"/>
                </w:tcPr>
                <w:p w14:paraId="40415B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《大气污染物综合排放标准》（GB16297-1996）表2新污染源大气污染物排放限值中无组织排放监控浓度限值</w:t>
                  </w:r>
                </w:p>
              </w:tc>
            </w:tr>
          </w:tbl>
          <w:p w14:paraId="6EE266F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pacing w:val="0"/>
                <w:sz w:val="24"/>
                <w:highlight w:val="none"/>
                <w:lang w:val="en-US" w:eastAsia="zh-CN"/>
              </w:rPr>
            </w:pPr>
            <w:r>
              <w:rPr>
                <w:rFonts w:hint="default" w:ascii="Times New Roman" w:hAnsi="Times New Roman" w:eastAsia="宋体" w:cs="Times New Roman"/>
                <w:b/>
                <w:color w:val="auto"/>
                <w:spacing w:val="0"/>
                <w:sz w:val="24"/>
                <w:highlight w:val="none"/>
                <w:lang w:val="en-US" w:eastAsia="zh-CN"/>
              </w:rPr>
              <w:t>1.8废气排放环境影响分析</w:t>
            </w:r>
          </w:p>
          <w:p w14:paraId="75DC9EAB">
            <w:pPr>
              <w:pStyle w:val="32"/>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sz w:val="24"/>
                <w:szCs w:val="24"/>
                <w:highlight w:val="none"/>
              </w:rPr>
              <w:t>本项目各</w:t>
            </w:r>
            <w:r>
              <w:rPr>
                <w:rFonts w:hint="default" w:ascii="Times New Roman" w:hAnsi="Times New Roman" w:eastAsia="宋体" w:cs="Times New Roman"/>
                <w:color w:val="auto"/>
                <w:spacing w:val="0"/>
                <w:sz w:val="24"/>
                <w:szCs w:val="24"/>
                <w:highlight w:val="none"/>
                <w:lang w:val="en-US" w:eastAsia="zh-CN"/>
              </w:rPr>
              <w:t>污染物</w:t>
            </w:r>
            <w:r>
              <w:rPr>
                <w:rFonts w:hint="default" w:ascii="Times New Roman" w:hAnsi="Times New Roman" w:eastAsia="宋体" w:cs="Times New Roman"/>
                <w:color w:val="auto"/>
                <w:spacing w:val="0"/>
                <w:sz w:val="24"/>
                <w:szCs w:val="24"/>
                <w:highlight w:val="none"/>
              </w:rPr>
              <w:t>采取了有效的污染治理措施，有组织达标排放。此外，本项目周边环境保护目标数量较少，预计项目建成后不会对其产生明显不利影响。综上，本项目大气环境影响可接受。</w:t>
            </w:r>
          </w:p>
          <w:p w14:paraId="23368616">
            <w:pPr>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2、废水</w:t>
            </w:r>
          </w:p>
          <w:p w14:paraId="0D2B46B5">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本项目调用原有员工，无新增生活废水产生。本项目废水主要为</w:t>
            </w:r>
            <w:r>
              <w:rPr>
                <w:rFonts w:hint="default" w:ascii="Times New Roman" w:hAnsi="Times New Roman" w:eastAsia="宋体" w:cs="Times New Roman"/>
                <w:color w:val="auto"/>
                <w:kern w:val="0"/>
                <w:sz w:val="24"/>
                <w:szCs w:val="24"/>
                <w:highlight w:val="none"/>
              </w:rPr>
              <w:t>锅炉排污水及软化处理废水</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根据前文</w:t>
            </w:r>
            <w:r>
              <w:rPr>
                <w:rFonts w:hint="default" w:ascii="Times New Roman" w:hAnsi="Times New Roman" w:eastAsia="宋体" w:cs="Times New Roman"/>
                <w:color w:val="auto"/>
                <w:kern w:val="0"/>
                <w:sz w:val="24"/>
                <w:szCs w:val="24"/>
                <w:highlight w:val="none"/>
                <w:lang w:val="en-US" w:eastAsia="zh-CN"/>
              </w:rPr>
              <w:t>本项目</w:t>
            </w:r>
            <w:r>
              <w:rPr>
                <w:rFonts w:hint="default" w:ascii="Times New Roman" w:hAnsi="Times New Roman" w:eastAsia="宋体" w:cs="Times New Roman"/>
                <w:color w:val="auto"/>
                <w:kern w:val="0"/>
                <w:sz w:val="24"/>
                <w:szCs w:val="24"/>
                <w:highlight w:val="none"/>
              </w:rPr>
              <w:t>锅炉排污水及软化处理废水</w:t>
            </w:r>
            <w:r>
              <w:rPr>
                <w:rFonts w:hint="default" w:ascii="Times New Roman" w:hAnsi="Times New Roman" w:cs="Times New Roman"/>
                <w:color w:val="auto"/>
                <w:kern w:val="0"/>
                <w:sz w:val="24"/>
                <w:szCs w:val="24"/>
                <w:highlight w:val="none"/>
                <w:lang w:val="en-US" w:eastAsia="zh-CN"/>
              </w:rPr>
              <w:t>总量为1158.9t/a。</w:t>
            </w:r>
            <w:r>
              <w:rPr>
                <w:rFonts w:hint="default" w:ascii="Times New Roman" w:hAnsi="Times New Roman" w:eastAsia="宋体" w:cs="Times New Roman"/>
                <w:color w:val="auto"/>
                <w:kern w:val="0"/>
                <w:sz w:val="24"/>
                <w:szCs w:val="24"/>
                <w:highlight w:val="none"/>
              </w:rPr>
              <w:t>项目锅炉排污水及软化处理废水水质比较清洁，污染物浓度较低，为清净下水，主要成分为CaCl</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、MgCl</w:t>
            </w:r>
            <w:r>
              <w:rPr>
                <w:rFonts w:hint="default" w:ascii="Times New Roman" w:hAnsi="Times New Roman" w:eastAsia="宋体" w:cs="Times New Roman"/>
                <w:color w:val="auto"/>
                <w:kern w:val="0"/>
                <w:sz w:val="24"/>
                <w:szCs w:val="24"/>
                <w:highlight w:val="none"/>
                <w:vertAlign w:val="subscript"/>
              </w:rPr>
              <w:t>2</w:t>
            </w:r>
            <w:r>
              <w:rPr>
                <w:rFonts w:hint="default" w:ascii="Times New Roman" w:hAnsi="Times New Roman" w:eastAsia="宋体" w:cs="Times New Roman"/>
                <w:color w:val="auto"/>
                <w:kern w:val="0"/>
                <w:sz w:val="24"/>
                <w:szCs w:val="24"/>
                <w:highlight w:val="none"/>
              </w:rPr>
              <w:t>等可溶性盐类。根据</w:t>
            </w:r>
            <w:r>
              <w:rPr>
                <w:rFonts w:hint="default" w:ascii="Times New Roman" w:hAnsi="Times New Roman" w:eastAsia="宋体" w:cs="Times New Roman"/>
                <w:color w:val="auto"/>
                <w:sz w:val="24"/>
                <w:szCs w:val="24"/>
                <w:highlight w:val="none"/>
              </w:rPr>
              <w:t>《排放源统计调查产排污核算方法和系数手册》中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4430工业锅炉（热力供应）行业系数手册</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中产污系数</w:t>
            </w:r>
            <w:r>
              <w:rPr>
                <w:rFonts w:hint="default" w:ascii="Times New Roman" w:hAnsi="Times New Roman" w:eastAsia="宋体" w:cs="Times New Roman"/>
                <w:color w:val="auto"/>
                <w:kern w:val="0"/>
                <w:sz w:val="24"/>
                <w:szCs w:val="24"/>
                <w:highlight w:val="none"/>
              </w:rPr>
              <w:t>，燃生物质锅炉（锅外水处理）COD产生系数为30克/吨-原料，</w:t>
            </w:r>
            <w:r>
              <w:rPr>
                <w:rFonts w:hint="default" w:ascii="Times New Roman" w:hAnsi="Times New Roman" w:cs="Times New Roman"/>
                <w:color w:val="auto"/>
                <w:kern w:val="0"/>
                <w:sz w:val="24"/>
                <w:szCs w:val="24"/>
                <w:highlight w:val="none"/>
                <w:lang w:val="en-US" w:eastAsia="zh-CN"/>
              </w:rPr>
              <w:t>则</w:t>
            </w:r>
            <w:r>
              <w:rPr>
                <w:rFonts w:hint="default" w:ascii="Times New Roman" w:hAnsi="Times New Roman" w:eastAsia="宋体" w:cs="Times New Roman"/>
                <w:color w:val="auto"/>
                <w:kern w:val="0"/>
                <w:sz w:val="24"/>
                <w:szCs w:val="24"/>
                <w:highlight w:val="none"/>
                <w:lang w:val="en-US" w:eastAsia="zh-CN"/>
              </w:rPr>
              <w:t>COD产生浓度</w:t>
            </w:r>
            <w:r>
              <w:rPr>
                <w:rFonts w:hint="default" w:ascii="Times New Roman" w:hAnsi="Times New Roman" w:cs="Times New Roman"/>
                <w:color w:val="auto"/>
                <w:kern w:val="0"/>
                <w:sz w:val="24"/>
                <w:szCs w:val="24"/>
                <w:highlight w:val="none"/>
                <w:lang w:val="en-US" w:eastAsia="zh-CN"/>
              </w:rPr>
              <w:t>约</w:t>
            </w:r>
            <w:r>
              <w:rPr>
                <w:rFonts w:hint="default" w:ascii="Times New Roman" w:hAnsi="Times New Roman" w:eastAsia="宋体" w:cs="Times New Roman"/>
                <w:color w:val="auto"/>
                <w:kern w:val="0"/>
                <w:sz w:val="24"/>
                <w:szCs w:val="24"/>
                <w:highlight w:val="none"/>
                <w:lang w:val="en-US" w:eastAsia="zh-CN"/>
              </w:rPr>
              <w:t>为30mg/L，</w:t>
            </w:r>
            <w:r>
              <w:rPr>
                <w:rFonts w:hint="default" w:ascii="Times New Roman" w:hAnsi="Times New Roman" w:cs="Times New Roman"/>
                <w:color w:val="auto"/>
                <w:kern w:val="0"/>
                <w:sz w:val="24"/>
                <w:szCs w:val="24"/>
                <w:highlight w:val="none"/>
                <w:lang w:val="en-US" w:eastAsia="zh-CN"/>
              </w:rPr>
              <w:t>锅炉废水中溶解性总固体含量约为500mg/L。</w:t>
            </w:r>
          </w:p>
          <w:p w14:paraId="7F9E88DF">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本项目</w:t>
            </w:r>
            <w:r>
              <w:rPr>
                <w:rFonts w:hint="default" w:ascii="Times New Roman" w:hAnsi="Times New Roman" w:eastAsia="宋体" w:cs="Times New Roman"/>
                <w:color w:val="auto"/>
                <w:kern w:val="0"/>
                <w:sz w:val="24"/>
                <w:szCs w:val="24"/>
                <w:highlight w:val="none"/>
              </w:rPr>
              <w:t>锅炉排污水及软化处理废水</w:t>
            </w:r>
            <w:r>
              <w:rPr>
                <w:rFonts w:hint="default" w:ascii="Times New Roman" w:hAnsi="Times New Roman" w:eastAsia="宋体" w:cs="Times New Roman"/>
                <w:color w:val="auto"/>
                <w:kern w:val="0"/>
                <w:sz w:val="24"/>
                <w:szCs w:val="24"/>
                <w:highlight w:val="none"/>
                <w:lang w:val="en-US" w:eastAsia="zh-CN"/>
              </w:rPr>
              <w:t>回用于</w:t>
            </w:r>
            <w:r>
              <w:rPr>
                <w:rFonts w:hint="default" w:ascii="Times New Roman" w:hAnsi="Times New Roman" w:eastAsia="宋体" w:cs="Times New Roman"/>
                <w:color w:val="auto"/>
                <w:sz w:val="24"/>
                <w:szCs w:val="24"/>
                <w:highlight w:val="none"/>
              </w:rPr>
              <w:t>锅炉除渣</w:t>
            </w:r>
            <w:r>
              <w:rPr>
                <w:rFonts w:hint="default" w:ascii="Times New Roman" w:hAnsi="Times New Roman" w:eastAsia="宋体" w:cs="Times New Roman"/>
                <w:color w:val="auto"/>
                <w:sz w:val="24"/>
                <w:szCs w:val="24"/>
                <w:highlight w:val="none"/>
                <w:lang w:val="en-US" w:eastAsia="zh-CN"/>
              </w:rPr>
              <w:t>加湿</w:t>
            </w:r>
            <w:r>
              <w:rPr>
                <w:rFonts w:hint="default" w:ascii="Times New Roman" w:hAnsi="Times New Roman" w:eastAsia="宋体" w:cs="Times New Roman"/>
                <w:color w:val="auto"/>
                <w:sz w:val="24"/>
                <w:szCs w:val="24"/>
                <w:highlight w:val="none"/>
              </w:rPr>
              <w:t>和锅炉间地面洒水降尘，不外排</w:t>
            </w:r>
            <w:r>
              <w:rPr>
                <w:rFonts w:hint="default" w:ascii="Times New Roman" w:hAnsi="Times New Roman" w:eastAsia="宋体" w:cs="Times New Roman"/>
                <w:color w:val="auto"/>
                <w:kern w:val="0"/>
                <w:sz w:val="24"/>
                <w:szCs w:val="24"/>
                <w:highlight w:val="none"/>
              </w:rPr>
              <w:t>。</w:t>
            </w:r>
          </w:p>
          <w:p w14:paraId="507945AE">
            <w:pPr>
              <w:adjustRightInd w:val="0"/>
              <w:snapToGrid w:val="0"/>
              <w:spacing w:line="360" w:lineRule="auto"/>
              <w:ind w:firstLine="480" w:firstLineChars="200"/>
              <w:rPr>
                <w:rFonts w:hint="default" w:ascii="Times New Roman" w:hAnsi="Times New Roman" w:eastAsia="宋体" w:cs="Times New Roman"/>
                <w:color w:val="auto"/>
                <w:kern w:val="0"/>
                <w:sz w:val="28"/>
                <w:highlight w:val="none"/>
              </w:rPr>
            </w:pPr>
            <w:r>
              <w:rPr>
                <w:rFonts w:hint="default" w:ascii="Times New Roman" w:hAnsi="Times New Roman" w:eastAsia="宋体" w:cs="Times New Roman"/>
                <w:color w:val="auto"/>
                <w:kern w:val="0"/>
                <w:sz w:val="24"/>
                <w:szCs w:val="24"/>
                <w:highlight w:val="none"/>
              </w:rPr>
              <w:t>根据《污染源源强核算技术指南准则》</w:t>
            </w:r>
            <w:r>
              <w:rPr>
                <w:rFonts w:hint="eastAsia"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HJ884—2018</w:t>
            </w:r>
            <w:r>
              <w:rPr>
                <w:rFonts w:hint="eastAsia" w:ascii="Times New Roman" w:hAnsi="Times New Roman"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，本项目废水的污染源源强核算结果及相关参数一览表见表4-</w:t>
            </w:r>
            <w:r>
              <w:rPr>
                <w:rFonts w:hint="default" w:ascii="Times New Roman" w:hAnsi="Times New Roman" w:eastAsia="宋体" w:cs="Times New Roman"/>
                <w:color w:val="auto"/>
                <w:kern w:val="0"/>
                <w:sz w:val="24"/>
                <w:szCs w:val="24"/>
                <w:highlight w:val="none"/>
                <w:lang w:val="en-US" w:eastAsia="zh-CN"/>
              </w:rPr>
              <w:t>8</w:t>
            </w:r>
            <w:r>
              <w:rPr>
                <w:rFonts w:hint="default" w:ascii="Times New Roman" w:hAnsi="Times New Roman" w:eastAsia="宋体" w:cs="Times New Roman"/>
                <w:color w:val="auto"/>
                <w:kern w:val="0"/>
                <w:sz w:val="24"/>
                <w:szCs w:val="24"/>
                <w:highlight w:val="none"/>
              </w:rPr>
              <w:t>。</w:t>
            </w:r>
          </w:p>
          <w:p w14:paraId="7C36ECD7">
            <w:pPr>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废水污染源源强核算结果及相关参数一览表</w:t>
            </w:r>
          </w:p>
          <w:tbl>
            <w:tblPr>
              <w:tblStyle w:val="3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7"/>
              <w:gridCol w:w="697"/>
              <w:gridCol w:w="450"/>
              <w:gridCol w:w="792"/>
              <w:gridCol w:w="900"/>
              <w:gridCol w:w="720"/>
              <w:gridCol w:w="516"/>
              <w:gridCol w:w="452"/>
              <w:gridCol w:w="710"/>
              <w:gridCol w:w="729"/>
              <w:gridCol w:w="902"/>
              <w:gridCol w:w="651"/>
              <w:gridCol w:w="450"/>
              <w:gridCol w:w="450"/>
            </w:tblGrid>
            <w:tr w14:paraId="121D9B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62" w:type="pct"/>
                  <w:vMerge w:val="restart"/>
                  <w:noWrap w:val="0"/>
                  <w:vAlign w:val="center"/>
                </w:tcPr>
                <w:p w14:paraId="2DF69C78">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排放源</w:t>
                  </w:r>
                </w:p>
              </w:tc>
              <w:tc>
                <w:tcPr>
                  <w:tcW w:w="392" w:type="pct"/>
                  <w:vMerge w:val="restart"/>
                  <w:noWrap w:val="0"/>
                  <w:vAlign w:val="center"/>
                </w:tcPr>
                <w:p w14:paraId="0C277CDA">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610" w:type="pct"/>
                  <w:gridSpan w:val="4"/>
                  <w:noWrap w:val="0"/>
                  <w:vAlign w:val="center"/>
                </w:tcPr>
                <w:p w14:paraId="2AD2927E">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污染物产生</w:t>
                  </w:r>
                </w:p>
              </w:tc>
              <w:tc>
                <w:tcPr>
                  <w:tcW w:w="544" w:type="pct"/>
                  <w:gridSpan w:val="2"/>
                  <w:noWrap w:val="0"/>
                  <w:vAlign w:val="center"/>
                </w:tcPr>
                <w:p w14:paraId="5B19BFE6">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治理措施</w:t>
                  </w:r>
                </w:p>
              </w:tc>
              <w:tc>
                <w:tcPr>
                  <w:tcW w:w="809" w:type="pct"/>
                  <w:gridSpan w:val="2"/>
                  <w:noWrap w:val="0"/>
                  <w:vAlign w:val="center"/>
                </w:tcPr>
                <w:p w14:paraId="3A1DE6B4">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w:t>
                  </w:r>
                </w:p>
              </w:tc>
              <w:tc>
                <w:tcPr>
                  <w:tcW w:w="507" w:type="pct"/>
                  <w:vMerge w:val="restart"/>
                  <w:noWrap w:val="0"/>
                  <w:vAlign w:val="center"/>
                </w:tcPr>
                <w:p w14:paraId="4D9FCF0D">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污染物排放方式</w:t>
                  </w:r>
                </w:p>
              </w:tc>
              <w:tc>
                <w:tcPr>
                  <w:tcW w:w="366" w:type="pct"/>
                  <w:vMerge w:val="restart"/>
                  <w:noWrap w:val="0"/>
                  <w:vAlign w:val="center"/>
                </w:tcPr>
                <w:p w14:paraId="3FFB5DEB">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排放标准</w:t>
                  </w:r>
                </w:p>
              </w:tc>
              <w:tc>
                <w:tcPr>
                  <w:tcW w:w="253" w:type="pct"/>
                  <w:vMerge w:val="restart"/>
                  <w:noWrap w:val="0"/>
                  <w:vAlign w:val="center"/>
                </w:tcPr>
                <w:p w14:paraId="681FC9BC">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排放去向</w:t>
                  </w:r>
                </w:p>
              </w:tc>
              <w:tc>
                <w:tcPr>
                  <w:tcW w:w="253" w:type="pct"/>
                  <w:vMerge w:val="restart"/>
                  <w:noWrap w:val="0"/>
                  <w:vAlign w:val="center"/>
                </w:tcPr>
                <w:p w14:paraId="0E2FC4B5">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排放规律</w:t>
                  </w:r>
                </w:p>
              </w:tc>
            </w:tr>
            <w:tr w14:paraId="7B83D0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62" w:type="pct"/>
                  <w:vMerge w:val="continue"/>
                  <w:noWrap w:val="0"/>
                  <w:vAlign w:val="center"/>
                </w:tcPr>
                <w:p w14:paraId="0B634409">
                  <w:pPr>
                    <w:keepNext w:val="0"/>
                    <w:keepLines w:val="0"/>
                    <w:pageBreakBefore w:val="0"/>
                    <w:widowControl/>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392" w:type="pct"/>
                  <w:vMerge w:val="continue"/>
                  <w:noWrap w:val="0"/>
                  <w:vAlign w:val="center"/>
                </w:tcPr>
                <w:p w14:paraId="5C6E9D97">
                  <w:pPr>
                    <w:keepNext w:val="0"/>
                    <w:keepLines w:val="0"/>
                    <w:pageBreakBefore w:val="0"/>
                    <w:widowControl/>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p>
              </w:tc>
              <w:tc>
                <w:tcPr>
                  <w:tcW w:w="253" w:type="pct"/>
                  <w:noWrap w:val="0"/>
                  <w:vAlign w:val="center"/>
                </w:tcPr>
                <w:p w14:paraId="6A341074">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核算方法</w:t>
                  </w:r>
                </w:p>
              </w:tc>
              <w:tc>
                <w:tcPr>
                  <w:tcW w:w="445" w:type="pct"/>
                  <w:noWrap w:val="0"/>
                  <w:vAlign w:val="center"/>
                </w:tcPr>
                <w:p w14:paraId="2BC4EF41">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废水量</w:t>
                  </w:r>
                  <w:r>
                    <w:rPr>
                      <w:rFonts w:hint="default" w:ascii="Times New Roman" w:hAnsi="Times New Roman" w:eastAsia="宋体" w:cs="Times New Roman"/>
                      <w:color w:val="auto"/>
                      <w:sz w:val="21"/>
                      <w:szCs w:val="21"/>
                      <w:highlight w:val="none"/>
                      <w:lang w:val="en-US" w:eastAsia="zh-CN"/>
                    </w:rPr>
                    <w:t>t</w:t>
                  </w:r>
                  <w:r>
                    <w:rPr>
                      <w:rFonts w:hint="default" w:ascii="Times New Roman" w:hAnsi="Times New Roman" w:eastAsia="宋体" w:cs="Times New Roman"/>
                      <w:color w:val="auto"/>
                      <w:sz w:val="21"/>
                      <w:szCs w:val="21"/>
                      <w:highlight w:val="none"/>
                    </w:rPr>
                    <w:t>/a</w:t>
                  </w:r>
                </w:p>
              </w:tc>
              <w:tc>
                <w:tcPr>
                  <w:tcW w:w="506" w:type="pct"/>
                  <w:noWrap w:val="0"/>
                  <w:vAlign w:val="center"/>
                </w:tcPr>
                <w:p w14:paraId="31399D65">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产生浓度</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g/L</w:t>
                  </w:r>
                </w:p>
              </w:tc>
              <w:tc>
                <w:tcPr>
                  <w:tcW w:w="405" w:type="pct"/>
                  <w:noWrap w:val="0"/>
                  <w:vAlign w:val="center"/>
                </w:tcPr>
                <w:p w14:paraId="754E8DF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产生量</w:t>
                  </w:r>
                  <w:r>
                    <w:rPr>
                      <w:rFonts w:hint="default" w:ascii="Times New Roman" w:hAnsi="Times New Roman" w:eastAsia="宋体" w:cs="Times New Roman"/>
                      <w:color w:val="auto"/>
                      <w:sz w:val="21"/>
                      <w:szCs w:val="21"/>
                      <w:highlight w:val="none"/>
                      <w:lang w:val="en-US" w:eastAsia="zh-CN"/>
                    </w:rPr>
                    <w:t>t/a</w:t>
                  </w:r>
                </w:p>
              </w:tc>
              <w:tc>
                <w:tcPr>
                  <w:tcW w:w="290" w:type="pct"/>
                  <w:noWrap w:val="0"/>
                  <w:vAlign w:val="center"/>
                </w:tcPr>
                <w:p w14:paraId="5E8DBFA4">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工艺</w:t>
                  </w:r>
                </w:p>
              </w:tc>
              <w:tc>
                <w:tcPr>
                  <w:tcW w:w="254" w:type="pct"/>
                  <w:noWrap w:val="0"/>
                  <w:vAlign w:val="center"/>
                </w:tcPr>
                <w:p w14:paraId="1DC42122">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效率</w:t>
                  </w:r>
                </w:p>
                <w:p w14:paraId="591A44EF">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399" w:type="pct"/>
                  <w:noWrap w:val="0"/>
                  <w:vAlign w:val="center"/>
                </w:tcPr>
                <w:p w14:paraId="03DE1ADF">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g/L</w:t>
                  </w:r>
                </w:p>
              </w:tc>
              <w:tc>
                <w:tcPr>
                  <w:tcW w:w="410" w:type="pct"/>
                  <w:noWrap w:val="0"/>
                  <w:vAlign w:val="center"/>
                </w:tcPr>
                <w:p w14:paraId="2BC5EAE5">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排放量</w:t>
                  </w:r>
                  <w:r>
                    <w:rPr>
                      <w:rFonts w:hint="default" w:ascii="Times New Roman" w:hAnsi="Times New Roman" w:eastAsia="宋体" w:cs="Times New Roman"/>
                      <w:color w:val="auto"/>
                      <w:sz w:val="21"/>
                      <w:szCs w:val="21"/>
                      <w:highlight w:val="none"/>
                      <w:lang w:val="en-US" w:eastAsia="zh-CN"/>
                    </w:rPr>
                    <w:t>t/a</w:t>
                  </w:r>
                </w:p>
              </w:tc>
              <w:tc>
                <w:tcPr>
                  <w:tcW w:w="507" w:type="pct"/>
                  <w:vMerge w:val="continue"/>
                  <w:noWrap w:val="0"/>
                  <w:vAlign w:val="center"/>
                </w:tcPr>
                <w:p w14:paraId="55A18F45">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366" w:type="pct"/>
                  <w:vMerge w:val="continue"/>
                  <w:noWrap w:val="0"/>
                  <w:vAlign w:val="center"/>
                </w:tcPr>
                <w:p w14:paraId="6B1A8D6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53" w:type="pct"/>
                  <w:vMerge w:val="continue"/>
                  <w:noWrap w:val="0"/>
                  <w:vAlign w:val="center"/>
                </w:tcPr>
                <w:p w14:paraId="2D66D4FF">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253" w:type="pct"/>
                  <w:vMerge w:val="continue"/>
                  <w:noWrap w:val="0"/>
                  <w:vAlign w:val="center"/>
                </w:tcPr>
                <w:p w14:paraId="7EF9195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00A21C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62" w:type="pct"/>
                  <w:vMerge w:val="restart"/>
                  <w:noWrap w:val="0"/>
                  <w:vAlign w:val="center"/>
                </w:tcPr>
                <w:p w14:paraId="04E18ACC">
                  <w:pPr>
                    <w:keepNext w:val="0"/>
                    <w:keepLines w:val="0"/>
                    <w:pageBreakBefore w:val="0"/>
                    <w:widowControl/>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rPr>
                    <w:t>锅炉排污水及软化处理废水</w:t>
                  </w:r>
                </w:p>
              </w:tc>
              <w:tc>
                <w:tcPr>
                  <w:tcW w:w="392" w:type="pct"/>
                  <w:noWrap w:val="0"/>
                  <w:vAlign w:val="center"/>
                </w:tcPr>
                <w:p w14:paraId="29AD3B87">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253" w:type="pct"/>
                  <w:vMerge w:val="restart"/>
                  <w:noWrap w:val="0"/>
                  <w:vAlign w:val="center"/>
                </w:tcPr>
                <w:p w14:paraId="0C7A3ABC">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系数法</w:t>
                  </w:r>
                </w:p>
              </w:tc>
              <w:tc>
                <w:tcPr>
                  <w:tcW w:w="445" w:type="pct"/>
                  <w:vMerge w:val="restart"/>
                  <w:noWrap w:val="0"/>
                  <w:vAlign w:val="center"/>
                </w:tcPr>
                <w:p w14:paraId="6F37EC35">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1158.9</w:t>
                  </w:r>
                </w:p>
              </w:tc>
              <w:tc>
                <w:tcPr>
                  <w:tcW w:w="506" w:type="pct"/>
                  <w:noWrap w:val="0"/>
                  <w:vAlign w:val="center"/>
                </w:tcPr>
                <w:p w14:paraId="4FCA08E5">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405" w:type="pct"/>
                  <w:noWrap w:val="0"/>
                  <w:vAlign w:val="center"/>
                </w:tcPr>
                <w:p w14:paraId="05718B21">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both"/>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0.035</w:t>
                  </w:r>
                </w:p>
              </w:tc>
              <w:tc>
                <w:tcPr>
                  <w:tcW w:w="290" w:type="pct"/>
                  <w:vMerge w:val="restart"/>
                  <w:noWrap w:val="0"/>
                  <w:vAlign w:val="center"/>
                </w:tcPr>
                <w:p w14:paraId="05674129">
                  <w:pPr>
                    <w:keepNext w:val="0"/>
                    <w:keepLines w:val="0"/>
                    <w:pageBreakBefore w:val="0"/>
                    <w:widowControl/>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暂存于</w:t>
                  </w:r>
                  <w:r>
                    <w:rPr>
                      <w:rFonts w:hint="eastAsia" w:ascii="Times New Roman" w:hAnsi="Times New Roman" w:cs="Times New Roman"/>
                      <w:color w:val="auto"/>
                      <w:kern w:val="0"/>
                      <w:sz w:val="21"/>
                      <w:szCs w:val="21"/>
                      <w:highlight w:val="none"/>
                      <w:lang w:val="en-US" w:eastAsia="zh-CN"/>
                    </w:rPr>
                    <w:t>厂区原有</w:t>
                  </w:r>
                  <w:r>
                    <w:rPr>
                      <w:rFonts w:hint="default" w:ascii="Times New Roman" w:hAnsi="Times New Roman" w:eastAsia="宋体" w:cs="Times New Roman"/>
                      <w:color w:val="auto"/>
                      <w:kern w:val="0"/>
                      <w:sz w:val="21"/>
                      <w:szCs w:val="21"/>
                      <w:highlight w:val="none"/>
                      <w:lang w:val="en-US" w:eastAsia="zh-CN"/>
                    </w:rPr>
                    <w:t>储水池</w:t>
                  </w:r>
                </w:p>
              </w:tc>
              <w:tc>
                <w:tcPr>
                  <w:tcW w:w="254" w:type="pct"/>
                  <w:noWrap w:val="0"/>
                  <w:vAlign w:val="center"/>
                </w:tcPr>
                <w:p w14:paraId="7CF05A63">
                  <w:pPr>
                    <w:keepNext w:val="0"/>
                    <w:keepLines w:val="0"/>
                    <w:pageBreakBefore w:val="0"/>
                    <w:widowControl/>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399" w:type="pct"/>
                  <w:noWrap w:val="0"/>
                  <w:vAlign w:val="center"/>
                </w:tcPr>
                <w:p w14:paraId="0A8F1679">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410" w:type="pct"/>
                  <w:noWrap w:val="0"/>
                  <w:vAlign w:val="center"/>
                </w:tcPr>
                <w:p w14:paraId="16A40CA7">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both"/>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kern w:val="0"/>
                      <w:sz w:val="21"/>
                      <w:szCs w:val="21"/>
                      <w:highlight w:val="none"/>
                      <w:lang w:val="en-US" w:eastAsia="zh-CN"/>
                    </w:rPr>
                    <w:t>0.035</w:t>
                  </w:r>
                </w:p>
              </w:tc>
              <w:tc>
                <w:tcPr>
                  <w:tcW w:w="507" w:type="pct"/>
                  <w:vMerge w:val="restart"/>
                  <w:noWrap w:val="0"/>
                  <w:vAlign w:val="center"/>
                </w:tcPr>
                <w:p w14:paraId="1C7D6FCF">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用于锅炉除渣、除灰和锅炉间地面洒水降尘</w:t>
                  </w:r>
                </w:p>
              </w:tc>
              <w:tc>
                <w:tcPr>
                  <w:tcW w:w="366" w:type="pct"/>
                  <w:noWrap w:val="0"/>
                  <w:vAlign w:val="center"/>
                </w:tcPr>
                <w:p w14:paraId="08B1D7F6">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53" w:type="pct"/>
                  <w:vMerge w:val="restart"/>
                  <w:noWrap w:val="0"/>
                  <w:vAlign w:val="center"/>
                </w:tcPr>
                <w:p w14:paraId="5E569C0F">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不外排</w:t>
                  </w:r>
                </w:p>
              </w:tc>
              <w:tc>
                <w:tcPr>
                  <w:tcW w:w="253" w:type="pct"/>
                  <w:noWrap w:val="0"/>
                  <w:vAlign w:val="center"/>
                </w:tcPr>
                <w:p w14:paraId="4F2122FE">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64564B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62" w:type="pct"/>
                  <w:vMerge w:val="continue"/>
                  <w:noWrap w:val="0"/>
                  <w:vAlign w:val="center"/>
                </w:tcPr>
                <w:p w14:paraId="7D75419A">
                  <w:pPr>
                    <w:keepNext w:val="0"/>
                    <w:keepLines w:val="0"/>
                    <w:pageBreakBefore w:val="0"/>
                    <w:widowControl/>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p>
              </w:tc>
              <w:tc>
                <w:tcPr>
                  <w:tcW w:w="392" w:type="pct"/>
                  <w:noWrap w:val="0"/>
                  <w:vAlign w:val="center"/>
                </w:tcPr>
                <w:p w14:paraId="46C235FD">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溶解性总固体</w:t>
                  </w:r>
                </w:p>
              </w:tc>
              <w:tc>
                <w:tcPr>
                  <w:tcW w:w="253" w:type="pct"/>
                  <w:vMerge w:val="continue"/>
                  <w:noWrap w:val="0"/>
                  <w:vAlign w:val="center"/>
                </w:tcPr>
                <w:p w14:paraId="09B452A3">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445" w:type="pct"/>
                  <w:vMerge w:val="continue"/>
                  <w:noWrap w:val="0"/>
                  <w:vAlign w:val="center"/>
                </w:tcPr>
                <w:p w14:paraId="0715F152">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p>
              </w:tc>
              <w:tc>
                <w:tcPr>
                  <w:tcW w:w="506" w:type="pct"/>
                  <w:noWrap w:val="0"/>
                  <w:vAlign w:val="center"/>
                </w:tcPr>
                <w:p w14:paraId="49BD252F">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500</w:t>
                  </w:r>
                </w:p>
              </w:tc>
              <w:tc>
                <w:tcPr>
                  <w:tcW w:w="405" w:type="pct"/>
                  <w:noWrap w:val="0"/>
                  <w:vAlign w:val="center"/>
                </w:tcPr>
                <w:p w14:paraId="27C67102">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both"/>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0.579</w:t>
                  </w:r>
                </w:p>
              </w:tc>
              <w:tc>
                <w:tcPr>
                  <w:tcW w:w="290" w:type="pct"/>
                  <w:vMerge w:val="continue"/>
                  <w:noWrap w:val="0"/>
                  <w:vAlign w:val="center"/>
                </w:tcPr>
                <w:p w14:paraId="34A5DC27">
                  <w:pPr>
                    <w:keepNext w:val="0"/>
                    <w:keepLines w:val="0"/>
                    <w:pageBreakBefore w:val="0"/>
                    <w:widowControl/>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254" w:type="pct"/>
                  <w:noWrap w:val="0"/>
                  <w:vAlign w:val="center"/>
                </w:tcPr>
                <w:p w14:paraId="3FB966B2">
                  <w:pPr>
                    <w:keepNext w:val="0"/>
                    <w:keepLines w:val="0"/>
                    <w:pageBreakBefore w:val="0"/>
                    <w:widowControl/>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99" w:type="pct"/>
                  <w:noWrap w:val="0"/>
                  <w:vAlign w:val="center"/>
                </w:tcPr>
                <w:p w14:paraId="7439B895">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500</w:t>
                  </w:r>
                </w:p>
              </w:tc>
              <w:tc>
                <w:tcPr>
                  <w:tcW w:w="410" w:type="pct"/>
                  <w:noWrap w:val="0"/>
                  <w:vAlign w:val="center"/>
                </w:tcPr>
                <w:p w14:paraId="5E76BE6B">
                  <w:pPr>
                    <w:keepNext w:val="0"/>
                    <w:keepLines w:val="0"/>
                    <w:pageBreakBefore w:val="0"/>
                    <w:widowControl/>
                    <w:suppressLineNumbers w:val="0"/>
                    <w:kinsoku/>
                    <w:wordWrap/>
                    <w:overflowPunct/>
                    <w:topLinePunct w:val="0"/>
                    <w:autoSpaceDE/>
                    <w:autoSpaceDN/>
                    <w:bidi w:val="0"/>
                    <w:spacing w:line="240" w:lineRule="auto"/>
                    <w:ind w:left="0" w:leftChars="0" w:right="0" w:rightChars="0" w:firstLine="0" w:firstLineChars="0"/>
                    <w:jc w:val="both"/>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0.579</w:t>
                  </w:r>
                </w:p>
              </w:tc>
              <w:tc>
                <w:tcPr>
                  <w:tcW w:w="507" w:type="pct"/>
                  <w:vMerge w:val="continue"/>
                  <w:noWrap w:val="0"/>
                  <w:vAlign w:val="center"/>
                </w:tcPr>
                <w:p w14:paraId="1274C167">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366" w:type="pct"/>
                  <w:noWrap w:val="0"/>
                  <w:vAlign w:val="center"/>
                </w:tcPr>
                <w:p w14:paraId="1D6859FE">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53" w:type="pct"/>
                  <w:vMerge w:val="continue"/>
                  <w:noWrap w:val="0"/>
                  <w:vAlign w:val="center"/>
                </w:tcPr>
                <w:p w14:paraId="228743AA">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253" w:type="pct"/>
                  <w:noWrap w:val="0"/>
                  <w:vAlign w:val="center"/>
                </w:tcPr>
                <w:p w14:paraId="30590FB9">
                  <w:pPr>
                    <w:keepNext w:val="0"/>
                    <w:keepLines w:val="0"/>
                    <w:pageBreakBefore w:val="0"/>
                    <w:suppressLineNumbers w:val="0"/>
                    <w:shd w:val="clear" w:color="auto" w:fill="auto"/>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bl>
          <w:p w14:paraId="3D1A32F0">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0"/>
              <w:textAlignment w:val="auto"/>
              <w:rPr>
                <w:rFonts w:hint="default" w:ascii="Times New Roman" w:hAnsi="Times New Roman" w:eastAsia="宋体" w:cs="Times New Roman"/>
                <w:color w:val="auto"/>
                <w:spacing w:val="0"/>
                <w:sz w:val="24"/>
                <w:szCs w:val="24"/>
                <w:highlight w:val="none"/>
                <w:lang w:eastAsia="zh-CN"/>
              </w:rPr>
            </w:pPr>
          </w:p>
        </w:tc>
      </w:tr>
    </w:tbl>
    <w:p w14:paraId="64623C80">
      <w:pPr>
        <w:rPr>
          <w:rFonts w:hint="default" w:ascii="Times New Roman" w:hAnsi="Times New Roman" w:eastAsia="宋体" w:cs="Times New Roman"/>
          <w:color w:val="auto"/>
          <w:spacing w:val="0"/>
          <w:highlight w:val="none"/>
        </w:rPr>
        <w:sectPr>
          <w:pgSz w:w="11907" w:h="16840"/>
          <w:pgMar w:top="1440" w:right="1803" w:bottom="1440" w:left="1803"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tbl>
      <w:tblPr>
        <w:tblStyle w:val="35"/>
        <w:tblW w:w="56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49"/>
        <w:gridCol w:w="9100"/>
      </w:tblGrid>
      <w:tr w14:paraId="508507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64" w:hRule="atLeast"/>
          <w:jc w:val="center"/>
        </w:trPr>
        <w:tc>
          <w:tcPr>
            <w:tcW w:w="346" w:type="dxa"/>
            <w:noWrap w:val="0"/>
            <w:tcMar>
              <w:left w:w="28" w:type="dxa"/>
              <w:right w:w="28" w:type="dxa"/>
            </w:tcMar>
            <w:vAlign w:val="center"/>
          </w:tcPr>
          <w:p w14:paraId="2C0D6FE4">
            <w:pPr>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9014" w:type="dxa"/>
            <w:tcBorders>
              <w:top w:val="single" w:color="auto" w:sz="4" w:space="0"/>
              <w:bottom w:val="single" w:color="auto" w:sz="4" w:space="0"/>
            </w:tcBorders>
            <w:noWrap w:val="0"/>
            <w:vAlign w:val="top"/>
          </w:tcPr>
          <w:p w14:paraId="38E352F8">
            <w:pPr>
              <w:ind w:left="0" w:leftChars="0" w:firstLine="0" w:firstLineChars="0"/>
              <w:jc w:val="both"/>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3、噪声</w:t>
            </w:r>
          </w:p>
          <w:p w14:paraId="163132FC">
            <w:pPr>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b w:val="0"/>
                <w:bCs/>
                <w:color w:val="auto"/>
                <w:spacing w:val="0"/>
                <w:highlight w:val="none"/>
                <w:lang w:val="en-US" w:eastAsia="zh-CN"/>
              </w:rPr>
            </w:pPr>
            <w:r>
              <w:rPr>
                <w:rFonts w:hint="default" w:ascii="Times New Roman" w:hAnsi="Times New Roman" w:eastAsia="宋体" w:cs="Times New Roman"/>
                <w:b w:val="0"/>
                <w:bCs/>
                <w:color w:val="auto"/>
                <w:spacing w:val="0"/>
                <w:highlight w:val="none"/>
                <w:lang w:val="en-US" w:eastAsia="zh-CN"/>
              </w:rPr>
              <w:t>根据《环境影响评价技术导则声环境》（HJ2.4-2021），声环境影响评价工作等级为三级。厂界周边50m范围内不存在声环境保护敏感目标，</w:t>
            </w:r>
            <w:r>
              <w:rPr>
                <w:rFonts w:hint="default" w:ascii="Times New Roman" w:hAnsi="Times New Roman" w:cs="Times New Roman"/>
                <w:b w:val="0"/>
                <w:bCs/>
                <w:color w:val="auto"/>
                <w:spacing w:val="0"/>
                <w:highlight w:val="none"/>
                <w:lang w:val="en-US" w:eastAsia="zh-CN"/>
              </w:rPr>
              <w:t>故仅对</w:t>
            </w:r>
            <w:r>
              <w:rPr>
                <w:rFonts w:hint="default" w:ascii="Times New Roman" w:hAnsi="Times New Roman" w:eastAsia="宋体" w:cs="Times New Roman"/>
                <w:b w:val="0"/>
                <w:bCs/>
                <w:color w:val="auto"/>
                <w:spacing w:val="0"/>
                <w:highlight w:val="none"/>
                <w:lang w:val="en-US" w:eastAsia="zh-CN"/>
              </w:rPr>
              <w:t>厂界进行达标分析。</w:t>
            </w:r>
          </w:p>
          <w:p w14:paraId="56F823D4">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firstLine="482" w:firstLineChars="200"/>
              <w:jc w:val="both"/>
              <w:textAlignment w:val="auto"/>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3.1噪声预测方法</w:t>
            </w:r>
          </w:p>
          <w:p w14:paraId="717A5F16">
            <w:pPr>
              <w:pStyle w:val="46"/>
              <w:jc w:val="both"/>
              <w:rPr>
                <w:rFonts w:hint="default" w:ascii="Times New Roman" w:hAnsi="Times New Roman" w:eastAsia="宋体" w:cs="Times New Roman"/>
                <w:b w:val="0"/>
                <w:bCs/>
                <w:color w:val="auto"/>
                <w:spacing w:val="0"/>
                <w:highlight w:val="none"/>
                <w:lang w:val="en-US" w:eastAsia="zh-CN"/>
              </w:rPr>
            </w:pPr>
            <w:r>
              <w:rPr>
                <w:rFonts w:hint="default" w:ascii="Times New Roman" w:hAnsi="Times New Roman" w:eastAsia="宋体" w:cs="Times New Roman"/>
                <w:b w:val="0"/>
                <w:bCs/>
                <w:color w:val="auto"/>
                <w:spacing w:val="0"/>
                <w:highlight w:val="none"/>
                <w:lang w:val="en-US" w:eastAsia="zh-CN"/>
              </w:rPr>
              <w:t>本评价采用《环境影响评价技术导则声环境》（HJ2.4-2021）中的噪声距离衰减和叠加模式进行预测，具体预测公式如下：</w:t>
            </w:r>
          </w:p>
          <w:p w14:paraId="5D2510C0">
            <w:pPr>
              <w:pStyle w:val="47"/>
              <w:keepNext w:val="0"/>
              <w:keepLines w:val="0"/>
              <w:pageBreakBefore w:val="0"/>
              <w:widowControl w:val="0"/>
              <w:numPr>
                <w:ilvl w:val="0"/>
                <w:numId w:val="10"/>
              </w:numPr>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噪声距离衰减公式：</w:t>
            </w:r>
          </w:p>
          <w:p w14:paraId="3014BFD7">
            <w:pPr>
              <w:pStyle w:val="47"/>
              <w:keepNext w:val="0"/>
              <w:keepLines w:val="0"/>
              <w:pageBreakBefore w:val="0"/>
              <w:widowControl w:val="0"/>
              <w:numPr>
                <w:ilvl w:val="0"/>
                <w:numId w:val="0"/>
              </w:numPr>
              <w:kinsoku/>
              <w:wordWrap/>
              <w:overflowPunct/>
              <w:topLinePunct w:val="0"/>
              <w:autoSpaceDE/>
              <w:autoSpaceDN/>
              <w:bidi w:val="0"/>
              <w:adjustRightInd w:val="0"/>
              <w:snapToGrid w:val="0"/>
              <w:ind w:left="2400" w:leftChars="10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LP</w:t>
            </w:r>
            <w:r>
              <w:rPr>
                <w:rFonts w:hint="default"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r</w:t>
            </w:r>
            <w:r>
              <w:rPr>
                <w:rFonts w:hint="default"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=LP(r0)-20lg(r/r0)-a(r-r0)</w:t>
            </w:r>
          </w:p>
          <w:p w14:paraId="56B70493">
            <w:pPr>
              <w:pStyle w:val="47"/>
              <w:keepNext w:val="0"/>
              <w:keepLines w:val="0"/>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式中</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LP（r）—预测点所接受的声压级，dB(A</w:t>
            </w:r>
            <w:r>
              <w:rPr>
                <w:rFonts w:hint="default"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w:t>
            </w:r>
          </w:p>
          <w:p w14:paraId="014F6B73">
            <w:pPr>
              <w:pStyle w:val="47"/>
              <w:keepNext w:val="0"/>
              <w:keepLines w:val="0"/>
              <w:pageBreakBefore w:val="0"/>
              <w:widowControl w:val="0"/>
              <w:numPr>
                <w:ilvl w:val="0"/>
                <w:numId w:val="0"/>
              </w:numPr>
              <w:kinsoku/>
              <w:wordWrap/>
              <w:overflowPunct/>
              <w:topLinePunct w:val="0"/>
              <w:autoSpaceDE/>
              <w:autoSpaceDN/>
              <w:bidi w:val="0"/>
              <w:adjustRightInd w:val="0"/>
              <w:snapToGrid w:val="0"/>
              <w:ind w:leftChars="0" w:firstLine="720" w:firstLineChars="3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LP(r0)—参考位置r0的声压级，dB(A</w:t>
            </w:r>
            <w:r>
              <w:rPr>
                <w:rFonts w:hint="default"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w:t>
            </w:r>
          </w:p>
          <w:p w14:paraId="31EA13AF">
            <w:pPr>
              <w:pStyle w:val="47"/>
              <w:keepNext w:val="0"/>
              <w:keepLines w:val="0"/>
              <w:pageBreakBefore w:val="0"/>
              <w:widowControl w:val="0"/>
              <w:numPr>
                <w:ilvl w:val="0"/>
                <w:numId w:val="0"/>
              </w:numPr>
              <w:kinsoku/>
              <w:wordWrap/>
              <w:overflowPunct/>
              <w:topLinePunct w:val="0"/>
              <w:autoSpaceDE/>
              <w:autoSpaceDN/>
              <w:bidi w:val="0"/>
              <w:adjustRightInd w:val="0"/>
              <w:snapToGrid w:val="0"/>
              <w:ind w:leftChars="0" w:firstLine="720" w:firstLineChars="3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r—预测点至声源的距离，m；</w:t>
            </w:r>
          </w:p>
          <w:p w14:paraId="621D0CA0">
            <w:pPr>
              <w:pStyle w:val="47"/>
              <w:keepNext w:val="0"/>
              <w:keepLines w:val="0"/>
              <w:pageBreakBefore w:val="0"/>
              <w:widowControl w:val="0"/>
              <w:numPr>
                <w:ilvl w:val="0"/>
                <w:numId w:val="0"/>
              </w:numPr>
              <w:kinsoku/>
              <w:wordWrap/>
              <w:overflowPunct/>
              <w:topLinePunct w:val="0"/>
              <w:autoSpaceDE/>
              <w:autoSpaceDN/>
              <w:bidi w:val="0"/>
              <w:adjustRightInd w:val="0"/>
              <w:snapToGrid w:val="0"/>
              <w:ind w:leftChars="0" w:firstLine="720" w:firstLineChars="3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r0—参考位置距声源的距离；</w:t>
            </w:r>
          </w:p>
          <w:p w14:paraId="622E8DCD">
            <w:pPr>
              <w:pStyle w:val="47"/>
              <w:keepNext w:val="0"/>
              <w:keepLines w:val="0"/>
              <w:pageBreakBefore w:val="0"/>
              <w:widowControl w:val="0"/>
              <w:numPr>
                <w:ilvl w:val="0"/>
                <w:numId w:val="0"/>
              </w:numPr>
              <w:kinsoku/>
              <w:wordWrap/>
              <w:overflowPunct/>
              <w:topLinePunct w:val="0"/>
              <w:autoSpaceDE/>
              <w:autoSpaceDN/>
              <w:bidi w:val="0"/>
              <w:adjustRightInd w:val="0"/>
              <w:snapToGrid w:val="0"/>
              <w:ind w:leftChars="0" w:firstLine="720" w:firstLineChars="300"/>
              <w:jc w:val="both"/>
              <w:textAlignment w:val="auto"/>
              <w:rPr>
                <w:rFonts w:hint="default" w:ascii="Times New Roman" w:hAnsi="Times New Roman" w:eastAsia="宋体" w:cs="Times New Roman"/>
                <w:b/>
                <w:bCs w:val="0"/>
                <w:color w:val="auto"/>
                <w:spacing w:val="0"/>
                <w:highlight w:val="none"/>
                <w:lang w:val="en-US" w:eastAsia="zh-CN"/>
              </w:rPr>
            </w:pPr>
            <w:r>
              <w:rPr>
                <w:rFonts w:hint="default" w:ascii="Times New Roman" w:hAnsi="Times New Roman" w:eastAsia="宋体" w:cs="Times New Roman"/>
                <w:color w:val="auto"/>
                <w:spacing w:val="0"/>
                <w:sz w:val="24"/>
                <w:szCs w:val="24"/>
                <w:highlight w:val="none"/>
              </w:rPr>
              <w:t>a—大气对声波的吸收系数，dB(A)/m，平均值为0.008dB(A)/m；</w:t>
            </w:r>
          </w:p>
          <w:p w14:paraId="7F5412E1">
            <w:pPr>
              <w:keepNext w:val="0"/>
              <w:keepLines w:val="0"/>
              <w:pageBreakBefore w:val="0"/>
              <w:widowControl w:val="0"/>
              <w:numPr>
                <w:ilvl w:val="0"/>
                <w:numId w:val="10"/>
              </w:numPr>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噪声叠加模式：</w:t>
            </w:r>
          </w:p>
          <w:p w14:paraId="353BFE12">
            <w:pPr>
              <w:pStyle w:val="7"/>
              <w:numPr>
                <w:ilvl w:val="0"/>
                <w:numId w:val="0"/>
              </w:numPr>
              <w:ind w:leftChars="200" w:right="113" w:rightChars="0"/>
              <w:jc w:val="both"/>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pacing w:val="0"/>
                <w:highlight w:val="none"/>
              </w:rPr>
              <w:drawing>
                <wp:inline distT="0" distB="0" distL="114300" distR="114300">
                  <wp:extent cx="1676400" cy="628650"/>
                  <wp:effectExtent l="0" t="0" r="0" b="0"/>
                  <wp:docPr id="21"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55"/>
                          <pic:cNvPicPr>
                            <a:picLocks noChangeAspect="1"/>
                          </pic:cNvPicPr>
                        </pic:nvPicPr>
                        <pic:blipFill>
                          <a:blip r:embed="rId37"/>
                          <a:srcRect l="25424"/>
                          <a:stretch>
                            <a:fillRect/>
                          </a:stretch>
                        </pic:blipFill>
                        <pic:spPr>
                          <a:xfrm>
                            <a:off x="0" y="0"/>
                            <a:ext cx="1676400" cy="628650"/>
                          </a:xfrm>
                          <a:prstGeom prst="rect">
                            <a:avLst/>
                          </a:prstGeom>
                          <a:noFill/>
                          <a:ln>
                            <a:noFill/>
                          </a:ln>
                        </pic:spPr>
                      </pic:pic>
                    </a:graphicData>
                  </a:graphic>
                </wp:inline>
              </w:drawing>
            </w:r>
          </w:p>
          <w:p w14:paraId="2E39348C">
            <w:pPr>
              <w:pStyle w:val="46"/>
              <w:ind w:left="0" w:leftChars="0" w:firstLine="0" w:firstLineChars="0"/>
              <w:jc w:val="both"/>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式中：L－为n个噪声源的声级，dB（A）；</w:t>
            </w:r>
          </w:p>
          <w:p w14:paraId="1A226E86">
            <w:pPr>
              <w:pStyle w:val="46"/>
              <w:keepNext w:val="0"/>
              <w:keepLines w:val="0"/>
              <w:pageBreakBefore w:val="0"/>
              <w:kinsoku/>
              <w:wordWrap/>
              <w:overflowPunct/>
              <w:topLinePunct w:val="0"/>
              <w:autoSpaceDE/>
              <w:autoSpaceDN/>
              <w:bidi w:val="0"/>
              <w:adjustRightInd w:val="0"/>
              <w:snapToGrid w:val="0"/>
              <w:ind w:firstLine="720" w:firstLineChars="300"/>
              <w:jc w:val="both"/>
              <w:textAlignment w:val="auto"/>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highlight w:val="none"/>
                <w:lang w:val="en-US" w:eastAsia="zh-CN"/>
              </w:rPr>
              <w:t>Li－第i个噪声源的声级，dB(A</w:t>
            </w:r>
            <w:r>
              <w:rPr>
                <w:rFonts w:hint="default" w:ascii="Times New Roman" w:hAnsi="Times New Roman" w:cs="Times New Roman"/>
                <w:color w:val="auto"/>
                <w:spacing w:val="0"/>
                <w:highlight w:val="none"/>
                <w:lang w:val="en-US" w:eastAsia="zh-CN"/>
              </w:rPr>
              <w:t>）</w:t>
            </w:r>
            <w:r>
              <w:rPr>
                <w:rFonts w:hint="default" w:ascii="Times New Roman" w:hAnsi="Times New Roman" w:eastAsia="宋体" w:cs="Times New Roman"/>
                <w:color w:val="auto"/>
                <w:spacing w:val="0"/>
                <w:highlight w:val="none"/>
                <w:lang w:val="en-US" w:eastAsia="zh-CN"/>
              </w:rPr>
              <w:t>；</w:t>
            </w:r>
          </w:p>
          <w:p w14:paraId="6022E5AA">
            <w:pPr>
              <w:pStyle w:val="47"/>
              <w:keepNext w:val="0"/>
              <w:keepLines w:val="0"/>
              <w:pageBreakBefore w:val="0"/>
              <w:widowControl w:val="0"/>
              <w:kinsoku/>
              <w:wordWrap/>
              <w:overflowPunct/>
              <w:topLinePunct w:val="0"/>
              <w:autoSpaceDE/>
              <w:autoSpaceDN/>
              <w:bidi w:val="0"/>
              <w:adjustRightInd w:val="0"/>
              <w:snapToGrid w:val="0"/>
              <w:ind w:left="0" w:leftChars="0" w:firstLine="720" w:firstLineChars="300"/>
              <w:jc w:val="both"/>
              <w:textAlignment w:val="auto"/>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sz w:val="24"/>
                <w:szCs w:val="24"/>
                <w:highlight w:val="none"/>
              </w:rPr>
              <w:t>n—为噪声源的个数。</w:t>
            </w:r>
          </w:p>
          <w:p w14:paraId="2653A784">
            <w:pPr>
              <w:keepNext w:val="0"/>
              <w:keepLines w:val="0"/>
              <w:pageBreakBefore w:val="0"/>
              <w:widowControl w:val="0"/>
              <w:kinsoku/>
              <w:wordWrap/>
              <w:overflowPunct/>
              <w:topLinePunct w:val="0"/>
              <w:autoSpaceDE/>
              <w:autoSpaceDN/>
              <w:bidi w:val="0"/>
              <w:adjustRightInd w:val="0"/>
              <w:snapToGrid w:val="0"/>
              <w:ind w:left="0" w:leftChars="0" w:firstLine="482" w:firstLineChars="200"/>
              <w:jc w:val="both"/>
              <w:textAlignment w:val="auto"/>
              <w:rPr>
                <w:rFonts w:hint="default" w:ascii="Times New Roman" w:hAnsi="Times New Roman" w:eastAsia="宋体" w:cs="Times New Roman"/>
                <w:b/>
                <w:bCs w:val="0"/>
                <w:color w:val="auto"/>
                <w:spacing w:val="0"/>
                <w:highlight w:val="none"/>
                <w:lang w:val="en-US" w:eastAsia="zh-CN"/>
              </w:rPr>
            </w:pPr>
            <w:r>
              <w:rPr>
                <w:rFonts w:hint="default" w:ascii="Times New Roman" w:hAnsi="Times New Roman" w:eastAsia="宋体" w:cs="Times New Roman"/>
                <w:b/>
                <w:bCs w:val="0"/>
                <w:color w:val="auto"/>
                <w:spacing w:val="0"/>
                <w:sz w:val="24"/>
                <w:szCs w:val="24"/>
                <w:highlight w:val="none"/>
              </w:rPr>
              <w:t>3.2噪声源强及治理措施</w:t>
            </w:r>
          </w:p>
          <w:p w14:paraId="1353D58E">
            <w:pPr>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项目噪声源主要是厂房内各生产设备及</w:t>
            </w:r>
            <w:r>
              <w:rPr>
                <w:rFonts w:hint="default" w:ascii="Times New Roman" w:hAnsi="Times New Roman" w:eastAsia="宋体" w:cs="Times New Roman"/>
                <w:color w:val="auto"/>
                <w:spacing w:val="0"/>
                <w:sz w:val="24"/>
                <w:szCs w:val="24"/>
                <w:highlight w:val="none"/>
                <w:lang w:val="en-US" w:eastAsia="zh-CN"/>
              </w:rPr>
              <w:t>锅炉</w:t>
            </w:r>
            <w:r>
              <w:rPr>
                <w:rFonts w:hint="default" w:ascii="Times New Roman" w:hAnsi="Times New Roman" w:eastAsia="宋体" w:cs="Times New Roman"/>
                <w:color w:val="auto"/>
                <w:spacing w:val="0"/>
                <w:sz w:val="24"/>
                <w:szCs w:val="24"/>
                <w:highlight w:val="none"/>
              </w:rPr>
              <w:t>运行过程中产生的噪声，噪声源强在</w:t>
            </w:r>
            <w:r>
              <w:rPr>
                <w:rFonts w:hint="default" w:ascii="Times New Roman" w:hAnsi="Times New Roman" w:eastAsia="宋体" w:cs="Times New Roman"/>
                <w:color w:val="auto"/>
                <w:spacing w:val="0"/>
                <w:sz w:val="24"/>
                <w:szCs w:val="24"/>
                <w:highlight w:val="none"/>
                <w:lang w:val="en-US" w:eastAsia="zh-CN"/>
              </w:rPr>
              <w:t>70</w:t>
            </w:r>
            <w:r>
              <w:rPr>
                <w:rFonts w:hint="default" w:ascii="Times New Roman" w:hAnsi="Times New Roman" w:eastAsia="宋体" w:cs="Times New Roman"/>
                <w:color w:val="auto"/>
                <w:spacing w:val="0"/>
                <w:sz w:val="24"/>
                <w:szCs w:val="24"/>
                <w:highlight w:val="none"/>
              </w:rPr>
              <w:t>～8</w:t>
            </w:r>
            <w:r>
              <w:rPr>
                <w:rFonts w:hint="default" w:ascii="Times New Roman" w:hAnsi="Times New Roman" w:eastAsia="宋体" w:cs="Times New Roman"/>
                <w:color w:val="auto"/>
                <w:spacing w:val="0"/>
                <w:sz w:val="24"/>
                <w:szCs w:val="24"/>
                <w:highlight w:val="none"/>
                <w:lang w:val="en-US" w:eastAsia="zh-CN"/>
              </w:rPr>
              <w:t>0</w:t>
            </w:r>
            <w:r>
              <w:rPr>
                <w:rFonts w:hint="default" w:ascii="Times New Roman" w:hAnsi="Times New Roman" w:eastAsia="宋体" w:cs="Times New Roman"/>
                <w:color w:val="auto"/>
                <w:spacing w:val="0"/>
                <w:sz w:val="24"/>
                <w:szCs w:val="24"/>
                <w:highlight w:val="none"/>
              </w:rPr>
              <w:t>dB（A）之间。</w:t>
            </w:r>
            <w:r>
              <w:rPr>
                <w:rFonts w:hint="default" w:ascii="Times New Roman" w:hAnsi="Times New Roman" w:eastAsia="宋体" w:cs="Times New Roman"/>
                <w:color w:val="auto"/>
                <w:spacing w:val="0"/>
                <w:sz w:val="24"/>
                <w:szCs w:val="24"/>
                <w:highlight w:val="none"/>
                <w:lang w:val="en-US" w:eastAsia="zh-CN"/>
              </w:rPr>
              <w:t>现有工程的高噪声设备主要为设备噪声，噪声源强在70-90dB（A）之间。</w:t>
            </w:r>
            <w:r>
              <w:rPr>
                <w:rFonts w:hint="default" w:ascii="Times New Roman" w:hAnsi="Times New Roman" w:eastAsia="宋体" w:cs="Times New Roman"/>
                <w:color w:val="auto"/>
                <w:spacing w:val="0"/>
                <w:sz w:val="24"/>
                <w:szCs w:val="24"/>
                <w:highlight w:val="none"/>
              </w:rPr>
              <w:t>根据工程分析，本项目主要声源设备通过采</w:t>
            </w:r>
            <w:r>
              <w:rPr>
                <w:rFonts w:hint="default" w:ascii="Times New Roman" w:hAnsi="Times New Roman" w:eastAsia="宋体" w:cs="Times New Roman"/>
                <w:color w:val="auto"/>
                <w:spacing w:val="0"/>
                <w:sz w:val="24"/>
                <w:szCs w:val="24"/>
                <w:highlight w:val="none"/>
                <w:lang w:val="en-US" w:eastAsia="zh-CN"/>
              </w:rPr>
              <w:t>用</w:t>
            </w:r>
            <w:r>
              <w:rPr>
                <w:rFonts w:hint="default" w:ascii="Times New Roman" w:hAnsi="Times New Roman" w:cs="Times New Roman"/>
                <w:color w:val="auto"/>
                <w:spacing w:val="0"/>
                <w:sz w:val="24"/>
                <w:szCs w:val="24"/>
                <w:highlight w:val="none"/>
                <w:lang w:val="en-US" w:eastAsia="zh-CN"/>
              </w:rPr>
              <w:t>低噪声设备、</w:t>
            </w:r>
            <w:r>
              <w:rPr>
                <w:rFonts w:hint="default" w:ascii="Times New Roman" w:hAnsi="Times New Roman" w:eastAsia="宋体" w:cs="Times New Roman"/>
                <w:color w:val="auto"/>
                <w:spacing w:val="0"/>
                <w:sz w:val="24"/>
                <w:szCs w:val="24"/>
                <w:highlight w:val="none"/>
              </w:rPr>
              <w:t>基础减振、安装隔声罩、厂房隔声等措施，各噪声源调查信息汇总见下表。</w:t>
            </w:r>
          </w:p>
        </w:tc>
      </w:tr>
    </w:tbl>
    <w:p w14:paraId="60FFC673">
      <w:pPr>
        <w:rPr>
          <w:rFonts w:hint="default" w:ascii="Times New Roman" w:hAnsi="Times New Roman" w:eastAsia="宋体" w:cs="Times New Roman"/>
          <w:color w:val="auto"/>
          <w:spacing w:val="0"/>
          <w:kern w:val="0"/>
          <w:highlight w:val="none"/>
        </w:rPr>
        <w:sectPr>
          <w:pgSz w:w="11907" w:h="16840"/>
          <w:pgMar w:top="1440" w:right="1803" w:bottom="1440" w:left="1803"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6FBC499A">
      <w:pPr>
        <w:pStyle w:val="7"/>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表4-</w:t>
      </w:r>
      <w:r>
        <w:rPr>
          <w:rFonts w:hint="default" w:ascii="Times New Roman" w:hAnsi="Times New Roman" w:cs="Times New Roman"/>
          <w:b/>
          <w:bCs/>
          <w:color w:val="auto"/>
          <w:spacing w:val="0"/>
          <w:sz w:val="21"/>
          <w:szCs w:val="21"/>
          <w:highlight w:val="none"/>
          <w:lang w:val="en-US" w:eastAsia="zh-CN"/>
        </w:rPr>
        <w:t>9</w:t>
      </w:r>
      <w:r>
        <w:rPr>
          <w:rFonts w:hint="default" w:ascii="Times New Roman" w:hAnsi="Times New Roman" w:cs="Times New Roman"/>
          <w:b/>
          <w:bCs/>
          <w:color w:val="auto"/>
          <w:sz w:val="21"/>
          <w:szCs w:val="21"/>
          <w:lang w:val="en-US" w:eastAsia="zh-CN"/>
        </w:rPr>
        <w:t>本项目主要</w:t>
      </w:r>
      <w:r>
        <w:rPr>
          <w:rFonts w:hint="default" w:ascii="Times New Roman" w:hAnsi="Times New Roman" w:eastAsia="宋体" w:cs="Times New Roman"/>
          <w:b/>
          <w:bCs/>
          <w:color w:val="auto"/>
          <w:spacing w:val="0"/>
          <w:sz w:val="21"/>
          <w:szCs w:val="21"/>
          <w:highlight w:val="none"/>
          <w:lang w:val="en-US" w:eastAsia="zh-CN"/>
        </w:rPr>
        <w:t>噪声源强调查清单（室内声源）</w:t>
      </w:r>
    </w:p>
    <w:tbl>
      <w:tblPr>
        <w:tblStyle w:val="36"/>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468"/>
        <w:gridCol w:w="980"/>
        <w:gridCol w:w="1104"/>
        <w:gridCol w:w="829"/>
        <w:gridCol w:w="765"/>
        <w:gridCol w:w="607"/>
        <w:gridCol w:w="607"/>
        <w:gridCol w:w="607"/>
        <w:gridCol w:w="555"/>
        <w:gridCol w:w="555"/>
        <w:gridCol w:w="555"/>
        <w:gridCol w:w="567"/>
        <w:gridCol w:w="702"/>
        <w:gridCol w:w="702"/>
        <w:gridCol w:w="702"/>
        <w:gridCol w:w="709"/>
        <w:gridCol w:w="582"/>
        <w:gridCol w:w="650"/>
        <w:gridCol w:w="530"/>
        <w:gridCol w:w="579"/>
        <w:gridCol w:w="471"/>
        <w:gridCol w:w="549"/>
        <w:gridCol w:w="450"/>
      </w:tblGrid>
      <w:tr w14:paraId="3F314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8" w:type="pct"/>
            <w:vMerge w:val="restart"/>
            <w:noWrap w:val="0"/>
            <w:vAlign w:val="center"/>
          </w:tcPr>
          <w:p w14:paraId="4E2F0F1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序号</w:t>
            </w:r>
          </w:p>
        </w:tc>
        <w:tc>
          <w:tcPr>
            <w:tcW w:w="151" w:type="pct"/>
            <w:vMerge w:val="restart"/>
            <w:noWrap w:val="0"/>
            <w:vAlign w:val="center"/>
          </w:tcPr>
          <w:p w14:paraId="5997E26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建筑物名称</w:t>
            </w:r>
          </w:p>
        </w:tc>
        <w:tc>
          <w:tcPr>
            <w:tcW w:w="318" w:type="pct"/>
            <w:vMerge w:val="restart"/>
            <w:noWrap w:val="0"/>
            <w:vAlign w:val="center"/>
          </w:tcPr>
          <w:p w14:paraId="2561E66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声源名称</w:t>
            </w:r>
          </w:p>
        </w:tc>
        <w:tc>
          <w:tcPr>
            <w:tcW w:w="358" w:type="pct"/>
            <w:vMerge w:val="restart"/>
            <w:noWrap w:val="0"/>
            <w:vAlign w:val="center"/>
          </w:tcPr>
          <w:p w14:paraId="1F9F727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型号</w:t>
            </w:r>
          </w:p>
        </w:tc>
        <w:tc>
          <w:tcPr>
            <w:tcW w:w="268" w:type="pct"/>
            <w:noWrap w:val="0"/>
            <w:vAlign w:val="center"/>
          </w:tcPr>
          <w:p w14:paraId="372C456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声源源强（任选一种）</w:t>
            </w:r>
          </w:p>
        </w:tc>
        <w:tc>
          <w:tcPr>
            <w:tcW w:w="248" w:type="pct"/>
            <w:vMerge w:val="restart"/>
            <w:noWrap w:val="0"/>
            <w:vAlign w:val="center"/>
          </w:tcPr>
          <w:p w14:paraId="1B746BB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声源控制措施</w:t>
            </w:r>
          </w:p>
        </w:tc>
        <w:tc>
          <w:tcPr>
            <w:tcW w:w="591" w:type="pct"/>
            <w:gridSpan w:val="3"/>
            <w:noWrap w:val="0"/>
            <w:vAlign w:val="center"/>
          </w:tcPr>
          <w:p w14:paraId="2B5DAA5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空间相对位置/m</w:t>
            </w:r>
          </w:p>
        </w:tc>
        <w:tc>
          <w:tcPr>
            <w:tcW w:w="724" w:type="pct"/>
            <w:gridSpan w:val="4"/>
            <w:noWrap w:val="0"/>
            <w:vAlign w:val="center"/>
          </w:tcPr>
          <w:p w14:paraId="6EEC1BA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距室内边界距离/m</w:t>
            </w:r>
          </w:p>
        </w:tc>
        <w:tc>
          <w:tcPr>
            <w:tcW w:w="913" w:type="pct"/>
            <w:gridSpan w:val="4"/>
            <w:noWrap w:val="0"/>
            <w:vAlign w:val="center"/>
          </w:tcPr>
          <w:p w14:paraId="49C3F96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室内边界</w:t>
            </w:r>
            <w:r>
              <w:rPr>
                <w:rFonts w:hint="default" w:ascii="Times New Roman" w:hAnsi="Times New Roman" w:cs="Times New Roman"/>
                <w:b/>
                <w:bCs/>
                <w:color w:val="auto"/>
                <w:spacing w:val="0"/>
                <w:sz w:val="21"/>
                <w:szCs w:val="21"/>
                <w:highlight w:val="none"/>
                <w:vertAlign w:val="baseline"/>
                <w:lang w:val="en-US" w:eastAsia="zh-CN"/>
              </w:rPr>
              <w:t>声</w:t>
            </w:r>
            <w:r>
              <w:rPr>
                <w:rFonts w:hint="default" w:ascii="Times New Roman" w:hAnsi="Times New Roman" w:eastAsia="宋体" w:cs="Times New Roman"/>
                <w:b/>
                <w:bCs/>
                <w:color w:val="auto"/>
                <w:spacing w:val="0"/>
                <w:sz w:val="21"/>
                <w:szCs w:val="21"/>
                <w:highlight w:val="none"/>
                <w:vertAlign w:val="baseline"/>
                <w:lang w:val="en-US" w:eastAsia="zh-CN"/>
              </w:rPr>
              <w:t>级/dB（A）</w:t>
            </w:r>
          </w:p>
        </w:tc>
        <w:tc>
          <w:tcPr>
            <w:tcW w:w="188" w:type="pct"/>
            <w:vMerge w:val="restart"/>
            <w:noWrap w:val="0"/>
            <w:vAlign w:val="center"/>
          </w:tcPr>
          <w:p w14:paraId="4ACC478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运行时段</w:t>
            </w:r>
          </w:p>
        </w:tc>
        <w:tc>
          <w:tcPr>
            <w:tcW w:w="210" w:type="pct"/>
            <w:vMerge w:val="restart"/>
            <w:noWrap w:val="0"/>
            <w:vAlign w:val="center"/>
          </w:tcPr>
          <w:p w14:paraId="6DA3368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建筑物插入损失/dB（A）</w:t>
            </w:r>
          </w:p>
        </w:tc>
        <w:tc>
          <w:tcPr>
            <w:tcW w:w="836" w:type="pct"/>
            <w:gridSpan w:val="5"/>
            <w:noWrap w:val="0"/>
            <w:vAlign w:val="center"/>
          </w:tcPr>
          <w:p w14:paraId="0D47B82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建筑物外噪声</w:t>
            </w:r>
          </w:p>
        </w:tc>
      </w:tr>
      <w:tr w14:paraId="4E5C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88" w:type="pct"/>
            <w:vMerge w:val="continue"/>
            <w:noWrap w:val="0"/>
            <w:vAlign w:val="center"/>
          </w:tcPr>
          <w:p w14:paraId="6C5BFA3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rPr>
            </w:pPr>
          </w:p>
        </w:tc>
        <w:tc>
          <w:tcPr>
            <w:tcW w:w="151" w:type="pct"/>
            <w:vMerge w:val="continue"/>
            <w:noWrap w:val="0"/>
            <w:vAlign w:val="center"/>
          </w:tcPr>
          <w:p w14:paraId="4DC0A16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rPr>
            </w:pPr>
          </w:p>
        </w:tc>
        <w:tc>
          <w:tcPr>
            <w:tcW w:w="318" w:type="pct"/>
            <w:vMerge w:val="continue"/>
            <w:noWrap w:val="0"/>
            <w:vAlign w:val="center"/>
          </w:tcPr>
          <w:p w14:paraId="09318BF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rPr>
            </w:pPr>
          </w:p>
        </w:tc>
        <w:tc>
          <w:tcPr>
            <w:tcW w:w="358" w:type="pct"/>
            <w:vMerge w:val="continue"/>
            <w:noWrap w:val="0"/>
            <w:vAlign w:val="center"/>
          </w:tcPr>
          <w:p w14:paraId="6BE7425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rPr>
            </w:pPr>
          </w:p>
        </w:tc>
        <w:tc>
          <w:tcPr>
            <w:tcW w:w="268" w:type="pct"/>
            <w:vMerge w:val="restart"/>
            <w:noWrap w:val="0"/>
            <w:vAlign w:val="center"/>
          </w:tcPr>
          <w:p w14:paraId="60A6242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声功率级/dB（A）</w:t>
            </w:r>
          </w:p>
        </w:tc>
        <w:tc>
          <w:tcPr>
            <w:tcW w:w="248" w:type="pct"/>
            <w:vMerge w:val="continue"/>
            <w:noWrap w:val="0"/>
            <w:vAlign w:val="center"/>
          </w:tcPr>
          <w:p w14:paraId="5DB11BB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rPr>
            </w:pPr>
          </w:p>
        </w:tc>
        <w:tc>
          <w:tcPr>
            <w:tcW w:w="197" w:type="pct"/>
            <w:vMerge w:val="restart"/>
            <w:noWrap w:val="0"/>
            <w:vAlign w:val="center"/>
          </w:tcPr>
          <w:p w14:paraId="68FCEF0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X</w:t>
            </w:r>
          </w:p>
        </w:tc>
        <w:tc>
          <w:tcPr>
            <w:tcW w:w="197" w:type="pct"/>
            <w:vMerge w:val="restart"/>
            <w:noWrap w:val="0"/>
            <w:vAlign w:val="center"/>
          </w:tcPr>
          <w:p w14:paraId="49FC7FF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Y</w:t>
            </w:r>
          </w:p>
        </w:tc>
        <w:tc>
          <w:tcPr>
            <w:tcW w:w="197" w:type="pct"/>
            <w:vMerge w:val="restart"/>
            <w:noWrap w:val="0"/>
            <w:vAlign w:val="center"/>
          </w:tcPr>
          <w:p w14:paraId="0FDDC1F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Z</w:t>
            </w:r>
          </w:p>
        </w:tc>
        <w:tc>
          <w:tcPr>
            <w:tcW w:w="180" w:type="pct"/>
            <w:vMerge w:val="restart"/>
            <w:noWrap w:val="0"/>
            <w:vAlign w:val="center"/>
          </w:tcPr>
          <w:p w14:paraId="0838F1A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pacing w:val="0"/>
                <w:sz w:val="21"/>
                <w:szCs w:val="21"/>
                <w:highlight w:val="none"/>
                <w:vertAlign w:val="baseline"/>
                <w:lang w:val="en-US" w:eastAsia="zh-CN" w:bidi="zh-CN"/>
              </w:rPr>
            </w:pPr>
            <w:r>
              <w:rPr>
                <w:rFonts w:hint="default" w:ascii="Times New Roman" w:hAnsi="Times New Roman" w:eastAsia="宋体" w:cs="Times New Roman"/>
                <w:color w:val="auto"/>
                <w:spacing w:val="0"/>
                <w:sz w:val="21"/>
                <w:szCs w:val="21"/>
                <w:highlight w:val="none"/>
                <w:vertAlign w:val="baseline"/>
                <w:lang w:val="en-US" w:eastAsia="zh-CN"/>
              </w:rPr>
              <w:t>东</w:t>
            </w:r>
          </w:p>
        </w:tc>
        <w:tc>
          <w:tcPr>
            <w:tcW w:w="180" w:type="pct"/>
            <w:vMerge w:val="restart"/>
            <w:noWrap w:val="0"/>
            <w:vAlign w:val="center"/>
          </w:tcPr>
          <w:p w14:paraId="1A5229A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pacing w:val="0"/>
                <w:sz w:val="21"/>
                <w:szCs w:val="21"/>
                <w:highlight w:val="none"/>
                <w:vertAlign w:val="baseline"/>
                <w:lang w:val="en-US" w:eastAsia="zh-CN" w:bidi="zh-CN"/>
              </w:rPr>
            </w:pPr>
            <w:r>
              <w:rPr>
                <w:rFonts w:hint="default" w:ascii="Times New Roman" w:hAnsi="Times New Roman" w:eastAsia="宋体" w:cs="Times New Roman"/>
                <w:color w:val="auto"/>
                <w:spacing w:val="0"/>
                <w:sz w:val="21"/>
                <w:szCs w:val="21"/>
                <w:highlight w:val="none"/>
                <w:vertAlign w:val="baseline"/>
                <w:lang w:val="en-US" w:eastAsia="zh-CN"/>
              </w:rPr>
              <w:t>南</w:t>
            </w:r>
          </w:p>
        </w:tc>
        <w:tc>
          <w:tcPr>
            <w:tcW w:w="180" w:type="pct"/>
            <w:vMerge w:val="restart"/>
            <w:noWrap w:val="0"/>
            <w:vAlign w:val="center"/>
          </w:tcPr>
          <w:p w14:paraId="4DC9055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pacing w:val="0"/>
                <w:sz w:val="21"/>
                <w:szCs w:val="21"/>
                <w:highlight w:val="none"/>
                <w:vertAlign w:val="baseline"/>
                <w:lang w:val="en-US" w:eastAsia="zh-CN" w:bidi="zh-CN"/>
              </w:rPr>
            </w:pPr>
            <w:r>
              <w:rPr>
                <w:rFonts w:hint="default" w:ascii="Times New Roman" w:hAnsi="Times New Roman" w:eastAsia="宋体" w:cs="Times New Roman"/>
                <w:color w:val="auto"/>
                <w:spacing w:val="0"/>
                <w:sz w:val="21"/>
                <w:szCs w:val="21"/>
                <w:highlight w:val="none"/>
                <w:vertAlign w:val="baseline"/>
                <w:lang w:val="en-US" w:eastAsia="zh-CN"/>
              </w:rPr>
              <w:t>西</w:t>
            </w:r>
          </w:p>
        </w:tc>
        <w:tc>
          <w:tcPr>
            <w:tcW w:w="184" w:type="pct"/>
            <w:vMerge w:val="restart"/>
            <w:noWrap w:val="0"/>
            <w:vAlign w:val="center"/>
          </w:tcPr>
          <w:p w14:paraId="6C05FD1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pacing w:val="0"/>
                <w:sz w:val="21"/>
                <w:szCs w:val="21"/>
                <w:highlight w:val="none"/>
                <w:vertAlign w:val="baseline"/>
                <w:lang w:val="en-US" w:eastAsia="zh-CN" w:bidi="zh-CN"/>
              </w:rPr>
            </w:pPr>
            <w:r>
              <w:rPr>
                <w:rFonts w:hint="default" w:ascii="Times New Roman" w:hAnsi="Times New Roman" w:eastAsia="宋体" w:cs="Times New Roman"/>
                <w:color w:val="auto"/>
                <w:spacing w:val="0"/>
                <w:sz w:val="21"/>
                <w:szCs w:val="21"/>
                <w:highlight w:val="none"/>
                <w:vertAlign w:val="baseline"/>
                <w:lang w:val="en-US" w:eastAsia="zh-CN"/>
              </w:rPr>
              <w:t>北</w:t>
            </w:r>
          </w:p>
        </w:tc>
        <w:tc>
          <w:tcPr>
            <w:tcW w:w="227" w:type="pct"/>
            <w:vMerge w:val="restart"/>
            <w:noWrap w:val="0"/>
            <w:vAlign w:val="center"/>
          </w:tcPr>
          <w:p w14:paraId="3960F3E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pacing w:val="0"/>
                <w:sz w:val="21"/>
                <w:szCs w:val="21"/>
                <w:highlight w:val="none"/>
                <w:vertAlign w:val="baseline"/>
                <w:lang w:val="en-US" w:eastAsia="zh-CN" w:bidi="zh-CN"/>
              </w:rPr>
            </w:pPr>
            <w:r>
              <w:rPr>
                <w:rFonts w:hint="default" w:ascii="Times New Roman" w:hAnsi="Times New Roman" w:eastAsia="宋体" w:cs="Times New Roman"/>
                <w:color w:val="auto"/>
                <w:spacing w:val="0"/>
                <w:sz w:val="21"/>
                <w:szCs w:val="21"/>
                <w:highlight w:val="none"/>
                <w:vertAlign w:val="baseline"/>
                <w:lang w:val="en-US" w:eastAsia="zh-CN"/>
              </w:rPr>
              <w:t>东</w:t>
            </w:r>
          </w:p>
        </w:tc>
        <w:tc>
          <w:tcPr>
            <w:tcW w:w="227" w:type="pct"/>
            <w:vMerge w:val="restart"/>
            <w:noWrap w:val="0"/>
            <w:vAlign w:val="center"/>
          </w:tcPr>
          <w:p w14:paraId="1BB3FC7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pacing w:val="0"/>
                <w:sz w:val="21"/>
                <w:szCs w:val="21"/>
                <w:highlight w:val="none"/>
                <w:vertAlign w:val="baseline"/>
                <w:lang w:val="en-US" w:eastAsia="zh-CN" w:bidi="zh-CN"/>
              </w:rPr>
            </w:pPr>
            <w:r>
              <w:rPr>
                <w:rFonts w:hint="default" w:ascii="Times New Roman" w:hAnsi="Times New Roman" w:eastAsia="宋体" w:cs="Times New Roman"/>
                <w:color w:val="auto"/>
                <w:spacing w:val="0"/>
                <w:sz w:val="21"/>
                <w:szCs w:val="21"/>
                <w:highlight w:val="none"/>
                <w:vertAlign w:val="baseline"/>
                <w:lang w:val="en-US" w:eastAsia="zh-CN"/>
              </w:rPr>
              <w:t>南</w:t>
            </w:r>
          </w:p>
        </w:tc>
        <w:tc>
          <w:tcPr>
            <w:tcW w:w="227" w:type="pct"/>
            <w:vMerge w:val="restart"/>
            <w:noWrap w:val="0"/>
            <w:vAlign w:val="center"/>
          </w:tcPr>
          <w:p w14:paraId="4415B8A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pacing w:val="0"/>
                <w:sz w:val="21"/>
                <w:szCs w:val="21"/>
                <w:highlight w:val="none"/>
                <w:vertAlign w:val="baseline"/>
                <w:lang w:val="en-US" w:eastAsia="zh-CN" w:bidi="zh-CN"/>
              </w:rPr>
            </w:pPr>
            <w:r>
              <w:rPr>
                <w:rFonts w:hint="default" w:ascii="Times New Roman" w:hAnsi="Times New Roman" w:eastAsia="宋体" w:cs="Times New Roman"/>
                <w:color w:val="auto"/>
                <w:spacing w:val="0"/>
                <w:sz w:val="21"/>
                <w:szCs w:val="21"/>
                <w:highlight w:val="none"/>
                <w:vertAlign w:val="baseline"/>
                <w:lang w:val="en-US" w:eastAsia="zh-CN"/>
              </w:rPr>
              <w:t>西</w:t>
            </w:r>
          </w:p>
        </w:tc>
        <w:tc>
          <w:tcPr>
            <w:tcW w:w="230" w:type="pct"/>
            <w:vMerge w:val="restart"/>
            <w:noWrap w:val="0"/>
            <w:vAlign w:val="center"/>
          </w:tcPr>
          <w:p w14:paraId="3D29B02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pacing w:val="0"/>
                <w:sz w:val="21"/>
                <w:szCs w:val="21"/>
                <w:highlight w:val="none"/>
                <w:vertAlign w:val="baseline"/>
                <w:lang w:val="en-US" w:eastAsia="zh-CN" w:bidi="zh-CN"/>
              </w:rPr>
            </w:pPr>
            <w:r>
              <w:rPr>
                <w:rFonts w:hint="default" w:ascii="Times New Roman" w:hAnsi="Times New Roman" w:eastAsia="宋体" w:cs="Times New Roman"/>
                <w:color w:val="auto"/>
                <w:spacing w:val="0"/>
                <w:sz w:val="21"/>
                <w:szCs w:val="21"/>
                <w:highlight w:val="none"/>
                <w:vertAlign w:val="baseline"/>
                <w:lang w:val="en-US" w:eastAsia="zh-CN"/>
              </w:rPr>
              <w:t>北</w:t>
            </w:r>
          </w:p>
        </w:tc>
        <w:tc>
          <w:tcPr>
            <w:tcW w:w="188" w:type="pct"/>
            <w:vMerge w:val="continue"/>
            <w:noWrap w:val="0"/>
            <w:vAlign w:val="center"/>
          </w:tcPr>
          <w:p w14:paraId="1B299FD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pacing w:val="0"/>
                <w:sz w:val="21"/>
                <w:szCs w:val="21"/>
                <w:highlight w:val="none"/>
                <w:vertAlign w:val="baseline"/>
              </w:rPr>
            </w:pPr>
          </w:p>
        </w:tc>
        <w:tc>
          <w:tcPr>
            <w:tcW w:w="210" w:type="pct"/>
            <w:vMerge w:val="continue"/>
            <w:noWrap w:val="0"/>
            <w:vAlign w:val="center"/>
          </w:tcPr>
          <w:p w14:paraId="25268E6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pacing w:val="0"/>
                <w:sz w:val="21"/>
                <w:szCs w:val="21"/>
                <w:highlight w:val="none"/>
                <w:vertAlign w:val="baseline"/>
              </w:rPr>
            </w:pPr>
          </w:p>
        </w:tc>
        <w:tc>
          <w:tcPr>
            <w:tcW w:w="690" w:type="pct"/>
            <w:gridSpan w:val="4"/>
            <w:noWrap w:val="0"/>
            <w:vAlign w:val="center"/>
          </w:tcPr>
          <w:p w14:paraId="0AD3992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声压级/dB（A）</w:t>
            </w:r>
          </w:p>
        </w:tc>
        <w:tc>
          <w:tcPr>
            <w:tcW w:w="146" w:type="pct"/>
            <w:vMerge w:val="restart"/>
            <w:noWrap w:val="0"/>
            <w:vAlign w:val="center"/>
          </w:tcPr>
          <w:p w14:paraId="661CDD7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pacing w:val="0"/>
                <w:sz w:val="21"/>
                <w:szCs w:val="21"/>
                <w:highlight w:val="none"/>
                <w:vertAlign w:val="baseline"/>
                <w:lang w:val="en-US" w:eastAsia="zh-CN"/>
              </w:rPr>
            </w:pPr>
            <w:r>
              <w:rPr>
                <w:rFonts w:hint="default" w:ascii="Times New Roman" w:hAnsi="Times New Roman" w:eastAsia="宋体" w:cs="Times New Roman"/>
                <w:b/>
                <w:bCs/>
                <w:color w:val="auto"/>
                <w:spacing w:val="0"/>
                <w:sz w:val="21"/>
                <w:szCs w:val="21"/>
                <w:highlight w:val="none"/>
                <w:vertAlign w:val="baseline"/>
                <w:lang w:val="en-US" w:eastAsia="zh-CN"/>
              </w:rPr>
              <w:t>建筑物外距离m</w:t>
            </w:r>
          </w:p>
        </w:tc>
      </w:tr>
      <w:tr w14:paraId="30D0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88" w:type="pct"/>
            <w:vMerge w:val="continue"/>
            <w:noWrap w:val="0"/>
            <w:vAlign w:val="center"/>
          </w:tcPr>
          <w:p w14:paraId="5020035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151" w:type="pct"/>
            <w:vMerge w:val="continue"/>
            <w:noWrap w:val="0"/>
            <w:vAlign w:val="center"/>
          </w:tcPr>
          <w:p w14:paraId="2A110F3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318" w:type="pct"/>
            <w:vMerge w:val="continue"/>
            <w:noWrap w:val="0"/>
            <w:vAlign w:val="center"/>
          </w:tcPr>
          <w:p w14:paraId="2963948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358" w:type="pct"/>
            <w:vMerge w:val="continue"/>
            <w:noWrap w:val="0"/>
            <w:vAlign w:val="center"/>
          </w:tcPr>
          <w:p w14:paraId="3BF2853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268" w:type="pct"/>
            <w:vMerge w:val="continue"/>
            <w:noWrap w:val="0"/>
            <w:vAlign w:val="center"/>
          </w:tcPr>
          <w:p w14:paraId="70F88E3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248" w:type="pct"/>
            <w:vMerge w:val="continue"/>
            <w:noWrap w:val="0"/>
            <w:vAlign w:val="center"/>
          </w:tcPr>
          <w:p w14:paraId="4D56068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197" w:type="pct"/>
            <w:vMerge w:val="continue"/>
            <w:noWrap w:val="0"/>
            <w:vAlign w:val="center"/>
          </w:tcPr>
          <w:p w14:paraId="787A1BC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197" w:type="pct"/>
            <w:vMerge w:val="continue"/>
            <w:noWrap w:val="0"/>
            <w:vAlign w:val="center"/>
          </w:tcPr>
          <w:p w14:paraId="274F0CD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197" w:type="pct"/>
            <w:vMerge w:val="continue"/>
            <w:noWrap w:val="0"/>
            <w:vAlign w:val="center"/>
          </w:tcPr>
          <w:p w14:paraId="7034E62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180" w:type="pct"/>
            <w:vMerge w:val="continue"/>
            <w:noWrap w:val="0"/>
            <w:vAlign w:val="center"/>
          </w:tcPr>
          <w:p w14:paraId="4463B97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180" w:type="pct"/>
            <w:vMerge w:val="continue"/>
            <w:noWrap w:val="0"/>
            <w:vAlign w:val="center"/>
          </w:tcPr>
          <w:p w14:paraId="675DDD5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180" w:type="pct"/>
            <w:vMerge w:val="continue"/>
            <w:noWrap w:val="0"/>
            <w:vAlign w:val="center"/>
          </w:tcPr>
          <w:p w14:paraId="607AA53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184" w:type="pct"/>
            <w:vMerge w:val="continue"/>
            <w:noWrap w:val="0"/>
            <w:vAlign w:val="center"/>
          </w:tcPr>
          <w:p w14:paraId="3DC6F99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227" w:type="pct"/>
            <w:vMerge w:val="continue"/>
            <w:noWrap w:val="0"/>
            <w:vAlign w:val="center"/>
          </w:tcPr>
          <w:p w14:paraId="4C73DDA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227" w:type="pct"/>
            <w:vMerge w:val="continue"/>
            <w:noWrap w:val="0"/>
            <w:vAlign w:val="center"/>
          </w:tcPr>
          <w:p w14:paraId="60193B12">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227" w:type="pct"/>
            <w:vMerge w:val="continue"/>
            <w:noWrap w:val="0"/>
            <w:vAlign w:val="center"/>
          </w:tcPr>
          <w:p w14:paraId="73CF01D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230" w:type="pct"/>
            <w:vMerge w:val="continue"/>
            <w:noWrap w:val="0"/>
            <w:vAlign w:val="center"/>
          </w:tcPr>
          <w:p w14:paraId="16EF3C1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188" w:type="pct"/>
            <w:vMerge w:val="continue"/>
            <w:noWrap w:val="0"/>
            <w:vAlign w:val="center"/>
          </w:tcPr>
          <w:p w14:paraId="36DC494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210" w:type="pct"/>
            <w:vMerge w:val="continue"/>
            <w:noWrap w:val="0"/>
            <w:vAlign w:val="center"/>
          </w:tcPr>
          <w:p w14:paraId="664C969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rPr>
            </w:pPr>
          </w:p>
        </w:tc>
        <w:tc>
          <w:tcPr>
            <w:tcW w:w="171" w:type="pct"/>
            <w:noWrap w:val="0"/>
            <w:vAlign w:val="center"/>
          </w:tcPr>
          <w:p w14:paraId="5DFA1F9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pacing w:val="0"/>
                <w:sz w:val="21"/>
                <w:szCs w:val="21"/>
                <w:highlight w:val="none"/>
                <w:vertAlign w:val="baseline"/>
                <w:lang w:val="en-US" w:eastAsia="zh-CN" w:bidi="zh-CN"/>
              </w:rPr>
            </w:pPr>
            <w:r>
              <w:rPr>
                <w:rFonts w:hint="default" w:ascii="Times New Roman" w:hAnsi="Times New Roman" w:eastAsia="宋体" w:cs="Times New Roman"/>
                <w:color w:val="auto"/>
                <w:spacing w:val="0"/>
                <w:sz w:val="21"/>
                <w:szCs w:val="21"/>
                <w:highlight w:val="none"/>
                <w:vertAlign w:val="baseline"/>
                <w:lang w:val="en-US" w:eastAsia="zh-CN"/>
              </w:rPr>
              <w:t>东</w:t>
            </w:r>
          </w:p>
        </w:tc>
        <w:tc>
          <w:tcPr>
            <w:tcW w:w="187" w:type="pct"/>
            <w:noWrap w:val="0"/>
            <w:vAlign w:val="center"/>
          </w:tcPr>
          <w:p w14:paraId="35F0361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pacing w:val="0"/>
                <w:sz w:val="21"/>
                <w:szCs w:val="21"/>
                <w:highlight w:val="none"/>
                <w:vertAlign w:val="baseline"/>
                <w:lang w:val="en-US" w:eastAsia="zh-CN" w:bidi="zh-CN"/>
              </w:rPr>
            </w:pPr>
            <w:r>
              <w:rPr>
                <w:rFonts w:hint="default" w:ascii="Times New Roman" w:hAnsi="Times New Roman" w:eastAsia="宋体" w:cs="Times New Roman"/>
                <w:color w:val="auto"/>
                <w:spacing w:val="0"/>
                <w:sz w:val="21"/>
                <w:szCs w:val="21"/>
                <w:highlight w:val="none"/>
                <w:vertAlign w:val="baseline"/>
                <w:lang w:val="en-US" w:eastAsia="zh-CN"/>
              </w:rPr>
              <w:t>南</w:t>
            </w:r>
          </w:p>
        </w:tc>
        <w:tc>
          <w:tcPr>
            <w:tcW w:w="152" w:type="pct"/>
            <w:noWrap w:val="0"/>
            <w:vAlign w:val="center"/>
          </w:tcPr>
          <w:p w14:paraId="2741793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pacing w:val="0"/>
                <w:sz w:val="21"/>
                <w:szCs w:val="21"/>
                <w:highlight w:val="none"/>
                <w:vertAlign w:val="baseline"/>
                <w:lang w:val="en-US" w:eastAsia="zh-CN" w:bidi="zh-CN"/>
              </w:rPr>
            </w:pPr>
            <w:r>
              <w:rPr>
                <w:rFonts w:hint="default" w:ascii="Times New Roman" w:hAnsi="Times New Roman" w:eastAsia="宋体" w:cs="Times New Roman"/>
                <w:color w:val="auto"/>
                <w:spacing w:val="0"/>
                <w:sz w:val="21"/>
                <w:szCs w:val="21"/>
                <w:highlight w:val="none"/>
                <w:vertAlign w:val="baseline"/>
                <w:lang w:val="en-US" w:eastAsia="zh-CN"/>
              </w:rPr>
              <w:t>西</w:t>
            </w:r>
          </w:p>
        </w:tc>
        <w:tc>
          <w:tcPr>
            <w:tcW w:w="178" w:type="pct"/>
            <w:noWrap w:val="0"/>
            <w:vAlign w:val="center"/>
          </w:tcPr>
          <w:p w14:paraId="331D4FE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pacing w:val="0"/>
                <w:sz w:val="21"/>
                <w:szCs w:val="21"/>
                <w:highlight w:val="none"/>
                <w:vertAlign w:val="baseline"/>
                <w:lang w:val="en-US" w:eastAsia="zh-CN" w:bidi="zh-CN"/>
              </w:rPr>
            </w:pPr>
            <w:r>
              <w:rPr>
                <w:rFonts w:hint="default" w:ascii="Times New Roman" w:hAnsi="Times New Roman" w:eastAsia="宋体" w:cs="Times New Roman"/>
                <w:color w:val="auto"/>
                <w:spacing w:val="0"/>
                <w:sz w:val="21"/>
                <w:szCs w:val="21"/>
                <w:highlight w:val="none"/>
                <w:vertAlign w:val="baseline"/>
                <w:lang w:val="en-US" w:eastAsia="zh-CN"/>
              </w:rPr>
              <w:t>北</w:t>
            </w:r>
          </w:p>
        </w:tc>
        <w:tc>
          <w:tcPr>
            <w:tcW w:w="146" w:type="pct"/>
            <w:vMerge w:val="continue"/>
            <w:noWrap w:val="0"/>
            <w:vAlign w:val="center"/>
          </w:tcPr>
          <w:p w14:paraId="3037082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pacing w:val="0"/>
                <w:sz w:val="21"/>
                <w:szCs w:val="21"/>
                <w:highlight w:val="none"/>
                <w:vertAlign w:val="baseline"/>
                <w:lang w:val="en-US" w:eastAsia="zh-CN" w:bidi="zh-CN"/>
              </w:rPr>
            </w:pPr>
          </w:p>
        </w:tc>
      </w:tr>
      <w:tr w14:paraId="0BED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8" w:type="pct"/>
            <w:noWrap w:val="0"/>
            <w:vAlign w:val="center"/>
          </w:tcPr>
          <w:p w14:paraId="6DAA26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1</w:t>
            </w:r>
          </w:p>
        </w:tc>
        <w:tc>
          <w:tcPr>
            <w:tcW w:w="151" w:type="pct"/>
            <w:vMerge w:val="restart"/>
            <w:noWrap w:val="0"/>
            <w:vAlign w:val="center"/>
          </w:tcPr>
          <w:p w14:paraId="31E54C1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锅炉房</w:t>
            </w:r>
          </w:p>
        </w:tc>
        <w:tc>
          <w:tcPr>
            <w:tcW w:w="318" w:type="pct"/>
            <w:noWrap w:val="0"/>
            <w:vAlign w:val="center"/>
          </w:tcPr>
          <w:p w14:paraId="5EF252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135"/>
                <w:rFonts w:hint="default" w:ascii="Times New Roman" w:hAnsi="Times New Roman" w:eastAsia="宋体" w:cs="Times New Roman"/>
                <w:bCs w:val="0"/>
                <w:color w:val="auto"/>
                <w:spacing w:val="0"/>
                <w:sz w:val="21"/>
                <w:szCs w:val="21"/>
                <w:highlight w:val="none"/>
                <w:lang w:val="en-US" w:eastAsia="zh-CN" w:bidi="ar"/>
              </w:rPr>
            </w:pPr>
            <w:r>
              <w:rPr>
                <w:rStyle w:val="135"/>
                <w:rFonts w:hint="default" w:ascii="Times New Roman" w:hAnsi="Times New Roman" w:eastAsia="宋体" w:cs="Times New Roman"/>
                <w:bCs w:val="0"/>
                <w:color w:val="auto"/>
                <w:spacing w:val="0"/>
                <w:sz w:val="21"/>
                <w:szCs w:val="21"/>
                <w:highlight w:val="none"/>
                <w:lang w:val="en-US" w:eastAsia="zh-CN" w:bidi="ar"/>
              </w:rPr>
              <w:t>锅炉</w:t>
            </w:r>
          </w:p>
        </w:tc>
        <w:tc>
          <w:tcPr>
            <w:tcW w:w="358" w:type="pct"/>
            <w:noWrap w:val="0"/>
            <w:vAlign w:val="center"/>
          </w:tcPr>
          <w:p w14:paraId="1A13B1DD">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10t/h</w:t>
            </w:r>
          </w:p>
        </w:tc>
        <w:tc>
          <w:tcPr>
            <w:tcW w:w="268" w:type="pct"/>
            <w:noWrap w:val="0"/>
            <w:vAlign w:val="center"/>
          </w:tcPr>
          <w:p w14:paraId="43C74F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en-US" w:eastAsia="zh-CN" w:bidi="zh-CN"/>
              </w:rPr>
            </w:pPr>
            <w:r>
              <w:rPr>
                <w:rFonts w:hint="default" w:ascii="Times New Roman" w:hAnsi="Times New Roman" w:eastAsia="宋体" w:cs="Times New Roman"/>
                <w:bCs/>
                <w:i w:val="0"/>
                <w:iCs w:val="0"/>
                <w:color w:val="auto"/>
                <w:kern w:val="0"/>
                <w:sz w:val="21"/>
                <w:szCs w:val="21"/>
                <w:highlight w:val="none"/>
                <w:u w:val="none"/>
                <w:lang w:val="en-US" w:eastAsia="zh-CN" w:bidi="ar"/>
              </w:rPr>
              <w:t>80</w:t>
            </w:r>
          </w:p>
        </w:tc>
        <w:tc>
          <w:tcPr>
            <w:tcW w:w="248" w:type="pct"/>
            <w:vMerge w:val="restart"/>
            <w:noWrap w:val="0"/>
            <w:vAlign w:val="center"/>
          </w:tcPr>
          <w:p w14:paraId="3BE12BC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基础减振、厂房隔声</w:t>
            </w:r>
          </w:p>
        </w:tc>
        <w:tc>
          <w:tcPr>
            <w:tcW w:w="197" w:type="pct"/>
            <w:noWrap w:val="0"/>
            <w:vAlign w:val="center"/>
          </w:tcPr>
          <w:p w14:paraId="7189301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18</w:t>
            </w:r>
          </w:p>
        </w:tc>
        <w:tc>
          <w:tcPr>
            <w:tcW w:w="197" w:type="pct"/>
            <w:noWrap w:val="0"/>
            <w:vAlign w:val="center"/>
          </w:tcPr>
          <w:p w14:paraId="4BEDE47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-60</w:t>
            </w:r>
          </w:p>
        </w:tc>
        <w:tc>
          <w:tcPr>
            <w:tcW w:w="197" w:type="pct"/>
            <w:noWrap w:val="0"/>
            <w:vAlign w:val="center"/>
          </w:tcPr>
          <w:p w14:paraId="3456190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2</w:t>
            </w:r>
          </w:p>
        </w:tc>
        <w:tc>
          <w:tcPr>
            <w:tcW w:w="180" w:type="pct"/>
            <w:noWrap w:val="0"/>
            <w:vAlign w:val="center"/>
          </w:tcPr>
          <w:p w14:paraId="6E9B1F5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7</w:t>
            </w:r>
          </w:p>
        </w:tc>
        <w:tc>
          <w:tcPr>
            <w:tcW w:w="180" w:type="pct"/>
            <w:noWrap w:val="0"/>
            <w:vAlign w:val="center"/>
          </w:tcPr>
          <w:p w14:paraId="0C84D85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20</w:t>
            </w:r>
          </w:p>
        </w:tc>
        <w:tc>
          <w:tcPr>
            <w:tcW w:w="180" w:type="pct"/>
            <w:noWrap w:val="0"/>
            <w:vAlign w:val="center"/>
          </w:tcPr>
          <w:p w14:paraId="2D45C1F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11</w:t>
            </w:r>
          </w:p>
        </w:tc>
        <w:tc>
          <w:tcPr>
            <w:tcW w:w="184" w:type="pct"/>
            <w:noWrap w:val="0"/>
            <w:vAlign w:val="center"/>
          </w:tcPr>
          <w:p w14:paraId="68063E8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7</w:t>
            </w:r>
          </w:p>
        </w:tc>
        <w:tc>
          <w:tcPr>
            <w:tcW w:w="227" w:type="pct"/>
            <w:noWrap w:val="0"/>
            <w:vAlign w:val="center"/>
          </w:tcPr>
          <w:p w14:paraId="7E15596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58.9</w:t>
            </w:r>
          </w:p>
        </w:tc>
        <w:tc>
          <w:tcPr>
            <w:tcW w:w="227" w:type="pct"/>
            <w:noWrap w:val="0"/>
            <w:vAlign w:val="center"/>
          </w:tcPr>
          <w:p w14:paraId="12BF258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4</w:t>
            </w:r>
            <w:r>
              <w:rPr>
                <w:rFonts w:hint="default" w:ascii="Times New Roman" w:hAnsi="Times New Roman" w:cs="Times New Roman"/>
                <w:bCs/>
                <w:color w:val="auto"/>
                <w:spacing w:val="0"/>
                <w:kern w:val="0"/>
                <w:sz w:val="21"/>
                <w:szCs w:val="21"/>
                <w:highlight w:val="none"/>
                <w:lang w:val="en-US" w:eastAsia="zh-CN" w:bidi="zh-CN"/>
              </w:rPr>
              <w:t>8</w:t>
            </w:r>
            <w:r>
              <w:rPr>
                <w:rFonts w:hint="default" w:ascii="Times New Roman" w:hAnsi="Times New Roman" w:eastAsia="宋体" w:cs="Times New Roman"/>
                <w:bCs/>
                <w:color w:val="auto"/>
                <w:spacing w:val="0"/>
                <w:kern w:val="0"/>
                <w:sz w:val="21"/>
                <w:szCs w:val="21"/>
                <w:highlight w:val="none"/>
                <w:lang w:val="en-US" w:eastAsia="zh-CN" w:bidi="zh-CN"/>
              </w:rPr>
              <w:t>.5</w:t>
            </w:r>
          </w:p>
        </w:tc>
        <w:tc>
          <w:tcPr>
            <w:tcW w:w="227" w:type="pct"/>
            <w:noWrap w:val="0"/>
            <w:vAlign w:val="center"/>
          </w:tcPr>
          <w:p w14:paraId="3A994E4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54.</w:t>
            </w:r>
            <w:r>
              <w:rPr>
                <w:rFonts w:hint="default" w:ascii="Times New Roman" w:hAnsi="Times New Roman" w:cs="Times New Roman"/>
                <w:bCs/>
                <w:color w:val="auto"/>
                <w:spacing w:val="0"/>
                <w:kern w:val="0"/>
                <w:sz w:val="21"/>
                <w:szCs w:val="21"/>
                <w:highlight w:val="none"/>
                <w:lang w:val="en-US" w:eastAsia="zh-CN" w:bidi="zh-CN"/>
              </w:rPr>
              <w:t>4</w:t>
            </w:r>
          </w:p>
        </w:tc>
        <w:tc>
          <w:tcPr>
            <w:tcW w:w="230" w:type="pct"/>
            <w:noWrap w:val="0"/>
            <w:vAlign w:val="center"/>
          </w:tcPr>
          <w:p w14:paraId="13F44BD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58.9</w:t>
            </w:r>
          </w:p>
        </w:tc>
        <w:tc>
          <w:tcPr>
            <w:tcW w:w="188" w:type="pct"/>
            <w:vMerge w:val="restart"/>
            <w:noWrap w:val="0"/>
            <w:vAlign w:val="center"/>
          </w:tcPr>
          <w:p w14:paraId="6DABFA0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24h</w:t>
            </w:r>
          </w:p>
        </w:tc>
        <w:tc>
          <w:tcPr>
            <w:tcW w:w="210" w:type="pct"/>
            <w:noWrap w:val="0"/>
            <w:vAlign w:val="center"/>
          </w:tcPr>
          <w:p w14:paraId="1D69604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Cs/>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20</w:t>
            </w:r>
          </w:p>
        </w:tc>
        <w:tc>
          <w:tcPr>
            <w:tcW w:w="171" w:type="pct"/>
            <w:noWrap w:val="0"/>
            <w:vAlign w:val="center"/>
          </w:tcPr>
          <w:p w14:paraId="08D271D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38.9</w:t>
            </w:r>
          </w:p>
        </w:tc>
        <w:tc>
          <w:tcPr>
            <w:tcW w:w="187" w:type="pct"/>
            <w:noWrap w:val="0"/>
            <w:vAlign w:val="center"/>
          </w:tcPr>
          <w:p w14:paraId="3A78A71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2</w:t>
            </w:r>
            <w:r>
              <w:rPr>
                <w:rFonts w:hint="default" w:ascii="Times New Roman" w:hAnsi="Times New Roman" w:cs="Times New Roman"/>
                <w:color w:val="auto"/>
                <w:spacing w:val="0"/>
                <w:sz w:val="21"/>
                <w:szCs w:val="21"/>
                <w:highlight w:val="none"/>
                <w:vertAlign w:val="baseline"/>
                <w:lang w:val="en-US" w:eastAsia="zh-CN"/>
              </w:rPr>
              <w:t>8</w:t>
            </w:r>
            <w:r>
              <w:rPr>
                <w:rFonts w:hint="default" w:ascii="Times New Roman" w:hAnsi="Times New Roman" w:eastAsia="宋体" w:cs="Times New Roman"/>
                <w:color w:val="auto"/>
                <w:spacing w:val="0"/>
                <w:sz w:val="21"/>
                <w:szCs w:val="21"/>
                <w:highlight w:val="none"/>
                <w:vertAlign w:val="baseline"/>
                <w:lang w:val="en-US" w:eastAsia="zh-CN"/>
              </w:rPr>
              <w:t>.5</w:t>
            </w:r>
          </w:p>
        </w:tc>
        <w:tc>
          <w:tcPr>
            <w:tcW w:w="152" w:type="pct"/>
            <w:noWrap w:val="0"/>
            <w:vAlign w:val="center"/>
          </w:tcPr>
          <w:p w14:paraId="259232B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34.</w:t>
            </w:r>
            <w:r>
              <w:rPr>
                <w:rFonts w:hint="default" w:ascii="Times New Roman" w:hAnsi="Times New Roman" w:cs="Times New Roman"/>
                <w:color w:val="auto"/>
                <w:spacing w:val="0"/>
                <w:sz w:val="21"/>
                <w:szCs w:val="21"/>
                <w:highlight w:val="none"/>
                <w:vertAlign w:val="baseline"/>
                <w:lang w:val="en-US" w:eastAsia="zh-CN"/>
              </w:rPr>
              <w:t>4</w:t>
            </w:r>
          </w:p>
        </w:tc>
        <w:tc>
          <w:tcPr>
            <w:tcW w:w="178" w:type="pct"/>
            <w:noWrap w:val="0"/>
            <w:vAlign w:val="center"/>
          </w:tcPr>
          <w:p w14:paraId="7CD7DAC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38.9</w:t>
            </w:r>
          </w:p>
        </w:tc>
        <w:tc>
          <w:tcPr>
            <w:tcW w:w="146" w:type="pct"/>
            <w:noWrap w:val="0"/>
            <w:vAlign w:val="center"/>
          </w:tcPr>
          <w:p w14:paraId="323814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Cs/>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1</w:t>
            </w:r>
          </w:p>
        </w:tc>
      </w:tr>
      <w:tr w14:paraId="0387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8" w:type="pct"/>
            <w:noWrap w:val="0"/>
            <w:vAlign w:val="center"/>
          </w:tcPr>
          <w:p w14:paraId="70E55D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2</w:t>
            </w:r>
          </w:p>
        </w:tc>
        <w:tc>
          <w:tcPr>
            <w:tcW w:w="151" w:type="pct"/>
            <w:vMerge w:val="continue"/>
            <w:noWrap w:val="0"/>
            <w:vAlign w:val="center"/>
          </w:tcPr>
          <w:p w14:paraId="1B31F31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p>
        </w:tc>
        <w:tc>
          <w:tcPr>
            <w:tcW w:w="318" w:type="pct"/>
            <w:noWrap w:val="0"/>
            <w:vAlign w:val="center"/>
          </w:tcPr>
          <w:p w14:paraId="6876AE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135"/>
                <w:rFonts w:hint="default" w:ascii="Times New Roman" w:hAnsi="Times New Roman" w:eastAsia="宋体" w:cs="Times New Roman"/>
                <w:bCs w:val="0"/>
                <w:color w:val="auto"/>
                <w:spacing w:val="0"/>
                <w:sz w:val="21"/>
                <w:szCs w:val="21"/>
                <w:highlight w:val="none"/>
                <w:lang w:val="en-US" w:eastAsia="zh-CN" w:bidi="ar"/>
              </w:rPr>
            </w:pPr>
            <w:r>
              <w:rPr>
                <w:rStyle w:val="135"/>
                <w:rFonts w:hint="default" w:ascii="Times New Roman" w:hAnsi="Times New Roman" w:cs="Times New Roman"/>
                <w:bCs w:val="0"/>
                <w:color w:val="auto"/>
                <w:spacing w:val="0"/>
                <w:sz w:val="21"/>
                <w:szCs w:val="21"/>
                <w:highlight w:val="none"/>
                <w:lang w:val="en-US" w:eastAsia="zh-CN" w:bidi="ar"/>
              </w:rPr>
              <w:t>水</w:t>
            </w:r>
            <w:r>
              <w:rPr>
                <w:rStyle w:val="135"/>
                <w:rFonts w:hint="default" w:ascii="Times New Roman" w:hAnsi="Times New Roman" w:eastAsia="宋体" w:cs="Times New Roman"/>
                <w:bCs w:val="0"/>
                <w:color w:val="auto"/>
                <w:spacing w:val="0"/>
                <w:sz w:val="21"/>
                <w:szCs w:val="21"/>
                <w:highlight w:val="none"/>
                <w:lang w:val="en-US" w:eastAsia="zh-CN" w:bidi="ar"/>
              </w:rPr>
              <w:t>泵</w:t>
            </w:r>
          </w:p>
        </w:tc>
        <w:tc>
          <w:tcPr>
            <w:tcW w:w="358" w:type="pct"/>
            <w:noWrap w:val="0"/>
            <w:vAlign w:val="center"/>
          </w:tcPr>
          <w:p w14:paraId="76D7C21F">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c>
          <w:tcPr>
            <w:tcW w:w="268" w:type="pct"/>
            <w:noWrap w:val="0"/>
            <w:vAlign w:val="center"/>
          </w:tcPr>
          <w:p w14:paraId="6D9FCA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en-US" w:eastAsia="zh-CN" w:bidi="zh-CN"/>
              </w:rPr>
            </w:pPr>
            <w:r>
              <w:rPr>
                <w:rFonts w:hint="default" w:ascii="Times New Roman" w:hAnsi="Times New Roman" w:eastAsia="宋体" w:cs="Times New Roman"/>
                <w:color w:val="auto"/>
                <w:spacing w:val="0"/>
                <w:kern w:val="0"/>
                <w:sz w:val="21"/>
                <w:szCs w:val="21"/>
                <w:highlight w:val="none"/>
                <w:lang w:val="en-US" w:eastAsia="zh-CN" w:bidi="zh-CN"/>
              </w:rPr>
              <w:t>75</w:t>
            </w:r>
          </w:p>
        </w:tc>
        <w:tc>
          <w:tcPr>
            <w:tcW w:w="248" w:type="pct"/>
            <w:vMerge w:val="continue"/>
            <w:noWrap w:val="0"/>
            <w:vAlign w:val="center"/>
          </w:tcPr>
          <w:p w14:paraId="2C328CF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rPr>
            </w:pPr>
          </w:p>
        </w:tc>
        <w:tc>
          <w:tcPr>
            <w:tcW w:w="197" w:type="pct"/>
            <w:noWrap w:val="0"/>
            <w:vAlign w:val="center"/>
          </w:tcPr>
          <w:p w14:paraId="2C8A6C9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21</w:t>
            </w:r>
          </w:p>
        </w:tc>
        <w:tc>
          <w:tcPr>
            <w:tcW w:w="197" w:type="pct"/>
            <w:noWrap w:val="0"/>
            <w:vAlign w:val="center"/>
          </w:tcPr>
          <w:p w14:paraId="4FC7250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-62</w:t>
            </w:r>
          </w:p>
        </w:tc>
        <w:tc>
          <w:tcPr>
            <w:tcW w:w="197" w:type="pct"/>
            <w:noWrap w:val="0"/>
            <w:vAlign w:val="center"/>
          </w:tcPr>
          <w:p w14:paraId="352B28C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1.5</w:t>
            </w:r>
          </w:p>
        </w:tc>
        <w:tc>
          <w:tcPr>
            <w:tcW w:w="180" w:type="pct"/>
            <w:noWrap w:val="0"/>
            <w:vAlign w:val="center"/>
          </w:tcPr>
          <w:p w14:paraId="5710761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4</w:t>
            </w:r>
          </w:p>
        </w:tc>
        <w:tc>
          <w:tcPr>
            <w:tcW w:w="180" w:type="pct"/>
            <w:noWrap w:val="0"/>
            <w:vAlign w:val="center"/>
          </w:tcPr>
          <w:p w14:paraId="417211D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18</w:t>
            </w:r>
          </w:p>
        </w:tc>
        <w:tc>
          <w:tcPr>
            <w:tcW w:w="180" w:type="pct"/>
            <w:noWrap w:val="0"/>
            <w:vAlign w:val="center"/>
          </w:tcPr>
          <w:p w14:paraId="22FC723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11</w:t>
            </w:r>
          </w:p>
        </w:tc>
        <w:tc>
          <w:tcPr>
            <w:tcW w:w="184" w:type="pct"/>
            <w:noWrap w:val="0"/>
            <w:vAlign w:val="center"/>
          </w:tcPr>
          <w:p w14:paraId="117553F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7</w:t>
            </w:r>
          </w:p>
        </w:tc>
        <w:tc>
          <w:tcPr>
            <w:tcW w:w="227" w:type="pct"/>
            <w:noWrap w:val="0"/>
            <w:vAlign w:val="center"/>
          </w:tcPr>
          <w:p w14:paraId="0E70EDC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63.0</w:t>
            </w:r>
          </w:p>
        </w:tc>
        <w:tc>
          <w:tcPr>
            <w:tcW w:w="227" w:type="pct"/>
            <w:noWrap w:val="0"/>
            <w:vAlign w:val="center"/>
          </w:tcPr>
          <w:p w14:paraId="77F30BA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49.9</w:t>
            </w:r>
          </w:p>
        </w:tc>
        <w:tc>
          <w:tcPr>
            <w:tcW w:w="227" w:type="pct"/>
            <w:noWrap w:val="0"/>
            <w:vAlign w:val="center"/>
          </w:tcPr>
          <w:p w14:paraId="32E9513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54.2</w:t>
            </w:r>
          </w:p>
        </w:tc>
        <w:tc>
          <w:tcPr>
            <w:tcW w:w="230" w:type="pct"/>
            <w:noWrap w:val="0"/>
            <w:vAlign w:val="center"/>
          </w:tcPr>
          <w:p w14:paraId="379178F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58.1</w:t>
            </w:r>
          </w:p>
        </w:tc>
        <w:tc>
          <w:tcPr>
            <w:tcW w:w="188" w:type="pct"/>
            <w:vMerge w:val="continue"/>
            <w:noWrap w:val="0"/>
            <w:vAlign w:val="center"/>
          </w:tcPr>
          <w:p w14:paraId="3C429EC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rPr>
            </w:pPr>
          </w:p>
        </w:tc>
        <w:tc>
          <w:tcPr>
            <w:tcW w:w="210" w:type="pct"/>
            <w:noWrap w:val="0"/>
            <w:vAlign w:val="center"/>
          </w:tcPr>
          <w:p w14:paraId="2C13986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20</w:t>
            </w:r>
          </w:p>
        </w:tc>
        <w:tc>
          <w:tcPr>
            <w:tcW w:w="171" w:type="pct"/>
            <w:noWrap w:val="0"/>
            <w:vAlign w:val="center"/>
          </w:tcPr>
          <w:p w14:paraId="7E9C4A9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43.0</w:t>
            </w:r>
          </w:p>
        </w:tc>
        <w:tc>
          <w:tcPr>
            <w:tcW w:w="187" w:type="pct"/>
            <w:noWrap w:val="0"/>
            <w:vAlign w:val="center"/>
          </w:tcPr>
          <w:p w14:paraId="46BEF327">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29.9</w:t>
            </w:r>
          </w:p>
        </w:tc>
        <w:tc>
          <w:tcPr>
            <w:tcW w:w="152" w:type="pct"/>
            <w:noWrap w:val="0"/>
            <w:vAlign w:val="center"/>
          </w:tcPr>
          <w:p w14:paraId="115C513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34.2</w:t>
            </w:r>
          </w:p>
        </w:tc>
        <w:tc>
          <w:tcPr>
            <w:tcW w:w="178" w:type="pct"/>
            <w:noWrap w:val="0"/>
            <w:vAlign w:val="center"/>
          </w:tcPr>
          <w:p w14:paraId="4003477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38.1</w:t>
            </w:r>
          </w:p>
        </w:tc>
        <w:tc>
          <w:tcPr>
            <w:tcW w:w="146" w:type="pct"/>
            <w:noWrap w:val="0"/>
            <w:vAlign w:val="center"/>
          </w:tcPr>
          <w:p w14:paraId="66FD940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1</w:t>
            </w:r>
          </w:p>
        </w:tc>
      </w:tr>
      <w:tr w14:paraId="5321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88" w:type="pct"/>
            <w:noWrap w:val="0"/>
            <w:vAlign w:val="center"/>
          </w:tcPr>
          <w:p w14:paraId="7692E4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3</w:t>
            </w:r>
          </w:p>
        </w:tc>
        <w:tc>
          <w:tcPr>
            <w:tcW w:w="151" w:type="pct"/>
            <w:vMerge w:val="continue"/>
            <w:noWrap w:val="0"/>
            <w:vAlign w:val="center"/>
          </w:tcPr>
          <w:p w14:paraId="4F5AB02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p>
        </w:tc>
        <w:tc>
          <w:tcPr>
            <w:tcW w:w="318" w:type="pct"/>
            <w:noWrap w:val="0"/>
            <w:vAlign w:val="center"/>
          </w:tcPr>
          <w:p w14:paraId="5CCF14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Style w:val="135"/>
                <w:rFonts w:hint="default" w:ascii="Times New Roman" w:hAnsi="Times New Roman" w:eastAsia="宋体" w:cs="Times New Roman"/>
                <w:bCs w:val="0"/>
                <w:color w:val="auto"/>
                <w:spacing w:val="0"/>
                <w:sz w:val="21"/>
                <w:szCs w:val="21"/>
                <w:highlight w:val="none"/>
                <w:lang w:val="en-US" w:eastAsia="zh-CN" w:bidi="ar"/>
              </w:rPr>
            </w:pPr>
            <w:r>
              <w:rPr>
                <w:rStyle w:val="135"/>
                <w:rFonts w:hint="default" w:ascii="Times New Roman" w:hAnsi="Times New Roman" w:eastAsia="宋体" w:cs="Times New Roman"/>
                <w:bCs w:val="0"/>
                <w:color w:val="auto"/>
                <w:spacing w:val="0"/>
                <w:sz w:val="21"/>
                <w:szCs w:val="21"/>
                <w:highlight w:val="none"/>
                <w:lang w:val="en-US" w:eastAsia="zh-CN" w:bidi="ar"/>
              </w:rPr>
              <w:t>风机</w:t>
            </w:r>
          </w:p>
        </w:tc>
        <w:tc>
          <w:tcPr>
            <w:tcW w:w="358" w:type="pct"/>
            <w:noWrap w:val="0"/>
            <w:vAlign w:val="center"/>
          </w:tcPr>
          <w:p w14:paraId="52E297C7">
            <w:pPr>
              <w:keepNext w:val="0"/>
              <w:keepLines w:val="0"/>
              <w:pageBreakBefore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c>
          <w:tcPr>
            <w:tcW w:w="268" w:type="pct"/>
            <w:noWrap w:val="0"/>
            <w:vAlign w:val="center"/>
          </w:tcPr>
          <w:p w14:paraId="16B946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color w:val="auto"/>
                <w:spacing w:val="0"/>
                <w:kern w:val="0"/>
                <w:sz w:val="21"/>
                <w:szCs w:val="21"/>
                <w:highlight w:val="none"/>
                <w:lang w:val="en-US" w:eastAsia="zh-CN" w:bidi="zh-CN"/>
              </w:rPr>
            </w:pPr>
            <w:r>
              <w:rPr>
                <w:rFonts w:hint="default" w:ascii="Times New Roman" w:hAnsi="Times New Roman" w:eastAsia="宋体" w:cs="Times New Roman"/>
                <w:color w:val="auto"/>
                <w:spacing w:val="0"/>
                <w:kern w:val="0"/>
                <w:sz w:val="21"/>
                <w:szCs w:val="21"/>
                <w:highlight w:val="none"/>
                <w:lang w:val="en-US" w:eastAsia="zh-CN" w:bidi="zh-CN"/>
              </w:rPr>
              <w:t>75</w:t>
            </w:r>
          </w:p>
        </w:tc>
        <w:tc>
          <w:tcPr>
            <w:tcW w:w="248" w:type="pct"/>
            <w:vMerge w:val="continue"/>
            <w:noWrap w:val="0"/>
            <w:vAlign w:val="center"/>
          </w:tcPr>
          <w:p w14:paraId="25FD475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rPr>
            </w:pPr>
          </w:p>
        </w:tc>
        <w:tc>
          <w:tcPr>
            <w:tcW w:w="197" w:type="pct"/>
            <w:noWrap w:val="0"/>
            <w:vAlign w:val="center"/>
          </w:tcPr>
          <w:p w14:paraId="17064AE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20</w:t>
            </w:r>
          </w:p>
        </w:tc>
        <w:tc>
          <w:tcPr>
            <w:tcW w:w="197" w:type="pct"/>
            <w:noWrap w:val="0"/>
            <w:vAlign w:val="center"/>
          </w:tcPr>
          <w:p w14:paraId="55EC55F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-60</w:t>
            </w:r>
          </w:p>
        </w:tc>
        <w:tc>
          <w:tcPr>
            <w:tcW w:w="197" w:type="pct"/>
            <w:noWrap w:val="0"/>
            <w:vAlign w:val="center"/>
          </w:tcPr>
          <w:p w14:paraId="2EE1C88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1.5</w:t>
            </w:r>
          </w:p>
        </w:tc>
        <w:tc>
          <w:tcPr>
            <w:tcW w:w="180" w:type="pct"/>
            <w:noWrap w:val="0"/>
            <w:vAlign w:val="center"/>
          </w:tcPr>
          <w:p w14:paraId="3839127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5</w:t>
            </w:r>
          </w:p>
        </w:tc>
        <w:tc>
          <w:tcPr>
            <w:tcW w:w="180" w:type="pct"/>
            <w:noWrap w:val="0"/>
            <w:vAlign w:val="center"/>
          </w:tcPr>
          <w:p w14:paraId="2C9DBF9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20</w:t>
            </w:r>
          </w:p>
        </w:tc>
        <w:tc>
          <w:tcPr>
            <w:tcW w:w="180" w:type="pct"/>
            <w:noWrap w:val="0"/>
            <w:vAlign w:val="center"/>
          </w:tcPr>
          <w:p w14:paraId="1619E91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11</w:t>
            </w:r>
          </w:p>
        </w:tc>
        <w:tc>
          <w:tcPr>
            <w:tcW w:w="184" w:type="pct"/>
            <w:noWrap w:val="0"/>
            <w:vAlign w:val="center"/>
          </w:tcPr>
          <w:p w14:paraId="66A6CE8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7</w:t>
            </w:r>
          </w:p>
        </w:tc>
        <w:tc>
          <w:tcPr>
            <w:tcW w:w="227" w:type="pct"/>
            <w:noWrap w:val="0"/>
            <w:vAlign w:val="center"/>
          </w:tcPr>
          <w:p w14:paraId="6ACF460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61.0</w:t>
            </w:r>
          </w:p>
        </w:tc>
        <w:tc>
          <w:tcPr>
            <w:tcW w:w="227" w:type="pct"/>
            <w:noWrap w:val="0"/>
            <w:vAlign w:val="center"/>
          </w:tcPr>
          <w:p w14:paraId="1278AAB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4</w:t>
            </w:r>
            <w:r>
              <w:rPr>
                <w:rFonts w:hint="default" w:ascii="Times New Roman" w:hAnsi="Times New Roman" w:cs="Times New Roman"/>
                <w:bCs/>
                <w:color w:val="auto"/>
                <w:spacing w:val="0"/>
                <w:kern w:val="0"/>
                <w:sz w:val="21"/>
                <w:szCs w:val="21"/>
                <w:highlight w:val="none"/>
                <w:lang w:val="en-US" w:eastAsia="zh-CN" w:bidi="zh-CN"/>
              </w:rPr>
              <w:t>7</w:t>
            </w:r>
            <w:r>
              <w:rPr>
                <w:rFonts w:hint="default" w:ascii="Times New Roman" w:hAnsi="Times New Roman" w:eastAsia="宋体" w:cs="Times New Roman"/>
                <w:bCs/>
                <w:color w:val="auto"/>
                <w:spacing w:val="0"/>
                <w:kern w:val="0"/>
                <w:sz w:val="21"/>
                <w:szCs w:val="21"/>
                <w:highlight w:val="none"/>
                <w:lang w:val="en-US" w:eastAsia="zh-CN" w:bidi="zh-CN"/>
              </w:rPr>
              <w:t>.</w:t>
            </w:r>
            <w:r>
              <w:rPr>
                <w:rFonts w:hint="default" w:ascii="Times New Roman" w:hAnsi="Times New Roman" w:cs="Times New Roman"/>
                <w:bCs/>
                <w:color w:val="auto"/>
                <w:spacing w:val="0"/>
                <w:kern w:val="0"/>
                <w:sz w:val="21"/>
                <w:szCs w:val="21"/>
                <w:highlight w:val="none"/>
                <w:lang w:val="en-US" w:eastAsia="zh-CN" w:bidi="zh-CN"/>
              </w:rPr>
              <w:t>9</w:t>
            </w:r>
          </w:p>
        </w:tc>
        <w:tc>
          <w:tcPr>
            <w:tcW w:w="227" w:type="pct"/>
            <w:noWrap w:val="0"/>
            <w:vAlign w:val="center"/>
          </w:tcPr>
          <w:p w14:paraId="3A9E056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54.2</w:t>
            </w:r>
          </w:p>
        </w:tc>
        <w:tc>
          <w:tcPr>
            <w:tcW w:w="230" w:type="pct"/>
            <w:noWrap w:val="0"/>
            <w:vAlign w:val="center"/>
          </w:tcPr>
          <w:p w14:paraId="58ED31D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bCs/>
                <w:color w:val="auto"/>
                <w:spacing w:val="0"/>
                <w:kern w:val="0"/>
                <w:sz w:val="21"/>
                <w:szCs w:val="21"/>
                <w:highlight w:val="none"/>
                <w:lang w:val="en-US" w:eastAsia="zh-CN" w:bidi="zh-CN"/>
              </w:rPr>
            </w:pPr>
            <w:r>
              <w:rPr>
                <w:rFonts w:hint="default" w:ascii="Times New Roman" w:hAnsi="Times New Roman" w:eastAsia="宋体" w:cs="Times New Roman"/>
                <w:bCs/>
                <w:color w:val="auto"/>
                <w:spacing w:val="0"/>
                <w:kern w:val="0"/>
                <w:sz w:val="21"/>
                <w:szCs w:val="21"/>
                <w:highlight w:val="none"/>
                <w:lang w:val="en-US" w:eastAsia="zh-CN" w:bidi="zh-CN"/>
              </w:rPr>
              <w:t>58.1</w:t>
            </w:r>
          </w:p>
        </w:tc>
        <w:tc>
          <w:tcPr>
            <w:tcW w:w="188" w:type="pct"/>
            <w:vMerge w:val="continue"/>
            <w:noWrap w:val="0"/>
            <w:vAlign w:val="center"/>
          </w:tcPr>
          <w:p w14:paraId="506611F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rPr>
            </w:pPr>
          </w:p>
        </w:tc>
        <w:tc>
          <w:tcPr>
            <w:tcW w:w="210" w:type="pct"/>
            <w:noWrap w:val="0"/>
            <w:vAlign w:val="center"/>
          </w:tcPr>
          <w:p w14:paraId="74C4559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20</w:t>
            </w:r>
          </w:p>
        </w:tc>
        <w:tc>
          <w:tcPr>
            <w:tcW w:w="171" w:type="pct"/>
            <w:noWrap w:val="0"/>
            <w:vAlign w:val="center"/>
          </w:tcPr>
          <w:p w14:paraId="2C7DCC2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41.0</w:t>
            </w:r>
          </w:p>
        </w:tc>
        <w:tc>
          <w:tcPr>
            <w:tcW w:w="187" w:type="pct"/>
            <w:noWrap w:val="0"/>
            <w:vAlign w:val="center"/>
          </w:tcPr>
          <w:p w14:paraId="6D70A66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2</w:t>
            </w:r>
            <w:r>
              <w:rPr>
                <w:rFonts w:hint="default" w:ascii="Times New Roman" w:hAnsi="Times New Roman" w:cs="Times New Roman"/>
                <w:color w:val="auto"/>
                <w:spacing w:val="0"/>
                <w:sz w:val="21"/>
                <w:szCs w:val="21"/>
                <w:highlight w:val="none"/>
                <w:vertAlign w:val="baseline"/>
                <w:lang w:val="en-US" w:eastAsia="zh-CN"/>
              </w:rPr>
              <w:t>7</w:t>
            </w:r>
            <w:r>
              <w:rPr>
                <w:rFonts w:hint="default" w:ascii="Times New Roman" w:hAnsi="Times New Roman" w:eastAsia="宋体" w:cs="Times New Roman"/>
                <w:color w:val="auto"/>
                <w:spacing w:val="0"/>
                <w:sz w:val="21"/>
                <w:szCs w:val="21"/>
                <w:highlight w:val="none"/>
                <w:vertAlign w:val="baseline"/>
                <w:lang w:val="en-US" w:eastAsia="zh-CN"/>
              </w:rPr>
              <w:t>.</w:t>
            </w:r>
            <w:r>
              <w:rPr>
                <w:rFonts w:hint="default" w:ascii="Times New Roman" w:hAnsi="Times New Roman" w:cs="Times New Roman"/>
                <w:color w:val="auto"/>
                <w:spacing w:val="0"/>
                <w:sz w:val="21"/>
                <w:szCs w:val="21"/>
                <w:highlight w:val="none"/>
                <w:vertAlign w:val="baseline"/>
                <w:lang w:val="en-US" w:eastAsia="zh-CN"/>
              </w:rPr>
              <w:t>9</w:t>
            </w:r>
          </w:p>
        </w:tc>
        <w:tc>
          <w:tcPr>
            <w:tcW w:w="152" w:type="pct"/>
            <w:noWrap w:val="0"/>
            <w:vAlign w:val="center"/>
          </w:tcPr>
          <w:p w14:paraId="5EB3CDC0">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34.2</w:t>
            </w:r>
          </w:p>
        </w:tc>
        <w:tc>
          <w:tcPr>
            <w:tcW w:w="178" w:type="pct"/>
            <w:noWrap w:val="0"/>
            <w:vAlign w:val="center"/>
          </w:tcPr>
          <w:p w14:paraId="3BB135A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38.1</w:t>
            </w:r>
          </w:p>
        </w:tc>
        <w:tc>
          <w:tcPr>
            <w:tcW w:w="146" w:type="pct"/>
            <w:noWrap w:val="0"/>
            <w:vAlign w:val="center"/>
          </w:tcPr>
          <w:p w14:paraId="3643B15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1</w:t>
            </w:r>
          </w:p>
        </w:tc>
      </w:tr>
      <w:tr w14:paraId="05B8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853" w:type="pct"/>
            <w:gridSpan w:val="23"/>
            <w:noWrap w:val="0"/>
            <w:vAlign w:val="center"/>
          </w:tcPr>
          <w:p w14:paraId="6358E9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vertAlign w:val="baseline"/>
                <w:lang w:val="en-US" w:eastAsia="zh-CN"/>
              </w:rPr>
              <w:t>以厂区中心位置为坐标原点，东西向为X南北向为Y，高度为Z</w:t>
            </w:r>
          </w:p>
        </w:tc>
        <w:tc>
          <w:tcPr>
            <w:tcW w:w="146" w:type="pct"/>
            <w:noWrap w:val="0"/>
            <w:vAlign w:val="center"/>
          </w:tcPr>
          <w:p w14:paraId="5825ED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vertAlign w:val="baseline"/>
                <w:lang w:val="en-US" w:eastAsia="zh-CN"/>
              </w:rPr>
            </w:pPr>
          </w:p>
        </w:tc>
      </w:tr>
    </w:tbl>
    <w:p w14:paraId="6369BEB9">
      <w:pPr>
        <w:jc w:val="center"/>
        <w:rPr>
          <w:rFonts w:hint="default" w:ascii="Times New Roman" w:hAnsi="Times New Roman" w:eastAsia="宋体" w:cs="Times New Roman"/>
          <w:b/>
          <w:bCs/>
          <w:color w:val="auto"/>
          <w:spacing w:val="0"/>
          <w:sz w:val="21"/>
          <w:szCs w:val="21"/>
          <w:highlight w:val="none"/>
          <w:lang w:val="en-US" w:eastAsia="zh-CN"/>
        </w:rPr>
      </w:pPr>
    </w:p>
    <w:p w14:paraId="12ED8B38">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eastAsia="宋体" w:cs="Times New Roman"/>
          <w:b/>
          <w:bCs/>
          <w:color w:val="auto"/>
          <w:sz w:val="21"/>
          <w:szCs w:val="21"/>
          <w:lang w:val="en-US" w:eastAsia="zh-CN"/>
        </w:rPr>
        <w:sectPr>
          <w:pgSz w:w="16840" w:h="11907" w:orient="landscape"/>
          <w:pgMar w:top="1247" w:right="1247" w:bottom="1134" w:left="1134" w:header="851" w:footer="851" w:gutter="0"/>
          <w:pgBorders w:offsetFrom="page">
            <w:top w:val="none" w:sz="0" w:space="0"/>
            <w:left w:val="none" w:sz="0" w:space="0"/>
            <w:bottom w:val="none" w:sz="0" w:space="0"/>
            <w:right w:val="none" w:sz="0" w:space="0"/>
          </w:pgBorders>
          <w:cols w:space="720" w:num="1"/>
          <w:docGrid w:linePitch="312" w:charSpace="0"/>
        </w:sectPr>
      </w:pPr>
    </w:p>
    <w:p w14:paraId="3310ED40">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表4-10  </w:t>
      </w:r>
      <w:r>
        <w:rPr>
          <w:rFonts w:hint="default" w:ascii="Times New Roman" w:hAnsi="Times New Roman" w:cs="Times New Roman"/>
          <w:b/>
          <w:bCs/>
          <w:color w:val="auto"/>
          <w:sz w:val="21"/>
          <w:szCs w:val="21"/>
          <w:lang w:val="en-US" w:eastAsia="zh-CN"/>
        </w:rPr>
        <w:t>噪声源</w:t>
      </w:r>
      <w:r>
        <w:rPr>
          <w:rFonts w:hint="default" w:ascii="Times New Roman" w:hAnsi="Times New Roman" w:eastAsia="宋体" w:cs="Times New Roman"/>
          <w:b/>
          <w:bCs/>
          <w:color w:val="auto"/>
          <w:sz w:val="21"/>
          <w:szCs w:val="21"/>
          <w:lang w:val="en-US" w:eastAsia="zh-CN"/>
        </w:rPr>
        <w:t>强调查清单（</w:t>
      </w:r>
      <w:r>
        <w:rPr>
          <w:rFonts w:hint="default" w:ascii="Times New Roman" w:hAnsi="Times New Roman" w:eastAsia="宋体" w:cs="Times New Roman"/>
          <w:b/>
          <w:bCs/>
          <w:color w:val="auto"/>
          <w:spacing w:val="0"/>
          <w:sz w:val="21"/>
          <w:szCs w:val="21"/>
          <w:highlight w:val="none"/>
          <w:lang w:val="en-US" w:eastAsia="zh-CN"/>
        </w:rPr>
        <w:t>现状高噪声声源</w:t>
      </w:r>
      <w:r>
        <w:rPr>
          <w:rFonts w:hint="default" w:ascii="Times New Roman" w:hAnsi="Times New Roman" w:eastAsia="宋体" w:cs="Times New Roman"/>
          <w:b/>
          <w:bCs/>
          <w:color w:val="auto"/>
          <w:sz w:val="21"/>
          <w:szCs w:val="21"/>
          <w:lang w:val="en-US" w:eastAsia="zh-CN"/>
        </w:rPr>
        <w:t>）</w:t>
      </w:r>
    </w:p>
    <w:tbl>
      <w:tblPr>
        <w:tblStyle w:val="3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26"/>
        <w:gridCol w:w="791"/>
        <w:gridCol w:w="1146"/>
        <w:gridCol w:w="872"/>
        <w:gridCol w:w="559"/>
        <w:gridCol w:w="887"/>
        <w:gridCol w:w="654"/>
        <w:gridCol w:w="655"/>
        <w:gridCol w:w="545"/>
        <w:gridCol w:w="559"/>
        <w:gridCol w:w="560"/>
        <w:gridCol w:w="518"/>
        <w:gridCol w:w="572"/>
        <w:gridCol w:w="519"/>
        <w:gridCol w:w="518"/>
        <w:gridCol w:w="450"/>
        <w:gridCol w:w="545"/>
        <w:gridCol w:w="600"/>
        <w:gridCol w:w="682"/>
        <w:gridCol w:w="491"/>
        <w:gridCol w:w="518"/>
        <w:gridCol w:w="505"/>
        <w:gridCol w:w="463"/>
        <w:gridCol w:w="563"/>
      </w:tblGrid>
      <w:tr w14:paraId="51D6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 w:type="pct"/>
            <w:vMerge w:val="restart"/>
            <w:noWrap w:val="0"/>
            <w:vAlign w:val="center"/>
          </w:tcPr>
          <w:p w14:paraId="7F3A78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272" w:type="pct"/>
            <w:vMerge w:val="restart"/>
            <w:noWrap w:val="0"/>
            <w:vAlign w:val="center"/>
          </w:tcPr>
          <w:p w14:paraId="766850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建筑物名称</w:t>
            </w:r>
          </w:p>
        </w:tc>
        <w:tc>
          <w:tcPr>
            <w:tcW w:w="395" w:type="pct"/>
            <w:vMerge w:val="restart"/>
            <w:noWrap w:val="0"/>
            <w:vAlign w:val="center"/>
          </w:tcPr>
          <w:p w14:paraId="1A0684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设备名称</w:t>
            </w:r>
          </w:p>
        </w:tc>
        <w:tc>
          <w:tcPr>
            <w:tcW w:w="300" w:type="pct"/>
            <w:vMerge w:val="restart"/>
            <w:noWrap w:val="0"/>
            <w:vAlign w:val="center"/>
          </w:tcPr>
          <w:p w14:paraId="7E60D1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单台噪声源强dB（A）/1m</w:t>
            </w:r>
          </w:p>
        </w:tc>
        <w:tc>
          <w:tcPr>
            <w:tcW w:w="192" w:type="pct"/>
            <w:vMerge w:val="restart"/>
            <w:noWrap w:val="0"/>
            <w:vAlign w:val="center"/>
          </w:tcPr>
          <w:p w14:paraId="321C7D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数量</w:t>
            </w:r>
          </w:p>
        </w:tc>
        <w:tc>
          <w:tcPr>
            <w:tcW w:w="305" w:type="pct"/>
            <w:vMerge w:val="restart"/>
            <w:noWrap w:val="0"/>
            <w:vAlign w:val="center"/>
          </w:tcPr>
          <w:p w14:paraId="47C3EF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声源控制措施</w:t>
            </w:r>
          </w:p>
        </w:tc>
        <w:tc>
          <w:tcPr>
            <w:tcW w:w="639" w:type="pct"/>
            <w:gridSpan w:val="3"/>
            <w:vMerge w:val="restart"/>
            <w:noWrap w:val="0"/>
            <w:vAlign w:val="center"/>
          </w:tcPr>
          <w:p w14:paraId="3DC1D3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空间相对位置（m）</w:t>
            </w:r>
          </w:p>
        </w:tc>
        <w:tc>
          <w:tcPr>
            <w:tcW w:w="761" w:type="pct"/>
            <w:gridSpan w:val="4"/>
            <w:vMerge w:val="restart"/>
            <w:noWrap w:val="0"/>
            <w:vAlign w:val="center"/>
          </w:tcPr>
          <w:p w14:paraId="2B8F9C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距室内边界距离/m</w:t>
            </w:r>
          </w:p>
        </w:tc>
        <w:tc>
          <w:tcPr>
            <w:tcW w:w="700" w:type="pct"/>
            <w:gridSpan w:val="4"/>
            <w:vMerge w:val="restart"/>
            <w:noWrap w:val="0"/>
            <w:vAlign w:val="center"/>
          </w:tcPr>
          <w:p w14:paraId="652DCE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距室内边界声级dB（A）</w:t>
            </w:r>
          </w:p>
        </w:tc>
        <w:tc>
          <w:tcPr>
            <w:tcW w:w="206" w:type="pct"/>
            <w:vMerge w:val="restart"/>
            <w:noWrap w:val="0"/>
            <w:vAlign w:val="center"/>
          </w:tcPr>
          <w:p w14:paraId="616328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运行时段昼</w:t>
            </w:r>
          </w:p>
        </w:tc>
        <w:tc>
          <w:tcPr>
            <w:tcW w:w="235" w:type="pct"/>
            <w:vMerge w:val="restart"/>
            <w:noWrap w:val="0"/>
            <w:vAlign w:val="center"/>
          </w:tcPr>
          <w:p w14:paraId="195188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建筑物插入损失dB（A）</w:t>
            </w:r>
          </w:p>
        </w:tc>
        <w:tc>
          <w:tcPr>
            <w:tcW w:w="875" w:type="pct"/>
            <w:gridSpan w:val="5"/>
            <w:noWrap w:val="0"/>
            <w:vAlign w:val="center"/>
          </w:tcPr>
          <w:p w14:paraId="1836A6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建筑物外损失</w:t>
            </w:r>
          </w:p>
        </w:tc>
      </w:tr>
      <w:tr w14:paraId="6386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 w:type="pct"/>
            <w:vMerge w:val="continue"/>
            <w:noWrap w:val="0"/>
            <w:vAlign w:val="center"/>
          </w:tcPr>
          <w:p w14:paraId="12EE53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p>
        </w:tc>
        <w:tc>
          <w:tcPr>
            <w:tcW w:w="272" w:type="pct"/>
            <w:vMerge w:val="continue"/>
            <w:noWrap w:val="0"/>
            <w:vAlign w:val="center"/>
          </w:tcPr>
          <w:p w14:paraId="357793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p>
        </w:tc>
        <w:tc>
          <w:tcPr>
            <w:tcW w:w="395" w:type="pct"/>
            <w:vMerge w:val="continue"/>
            <w:noWrap w:val="0"/>
            <w:vAlign w:val="center"/>
          </w:tcPr>
          <w:p w14:paraId="7F9116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p>
        </w:tc>
        <w:tc>
          <w:tcPr>
            <w:tcW w:w="300" w:type="pct"/>
            <w:vMerge w:val="continue"/>
            <w:noWrap w:val="0"/>
            <w:vAlign w:val="center"/>
          </w:tcPr>
          <w:p w14:paraId="13C5E8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p>
        </w:tc>
        <w:tc>
          <w:tcPr>
            <w:tcW w:w="192" w:type="pct"/>
            <w:vMerge w:val="continue"/>
            <w:noWrap w:val="0"/>
            <w:vAlign w:val="center"/>
          </w:tcPr>
          <w:p w14:paraId="13B9D2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p>
        </w:tc>
        <w:tc>
          <w:tcPr>
            <w:tcW w:w="305" w:type="pct"/>
            <w:vMerge w:val="continue"/>
            <w:noWrap w:val="0"/>
            <w:vAlign w:val="center"/>
          </w:tcPr>
          <w:p w14:paraId="2ADC1B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p>
        </w:tc>
        <w:tc>
          <w:tcPr>
            <w:tcW w:w="639" w:type="pct"/>
            <w:gridSpan w:val="3"/>
            <w:vMerge w:val="continue"/>
            <w:noWrap w:val="0"/>
            <w:vAlign w:val="center"/>
          </w:tcPr>
          <w:p w14:paraId="0505ED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761" w:type="pct"/>
            <w:gridSpan w:val="4"/>
            <w:vMerge w:val="continue"/>
            <w:noWrap w:val="0"/>
            <w:vAlign w:val="center"/>
          </w:tcPr>
          <w:p w14:paraId="2E86C5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700" w:type="pct"/>
            <w:gridSpan w:val="4"/>
            <w:vMerge w:val="continue"/>
            <w:noWrap w:val="0"/>
            <w:vAlign w:val="center"/>
          </w:tcPr>
          <w:p w14:paraId="096767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206" w:type="pct"/>
            <w:vMerge w:val="continue"/>
            <w:noWrap w:val="0"/>
            <w:vAlign w:val="center"/>
          </w:tcPr>
          <w:p w14:paraId="4C030D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235" w:type="pct"/>
            <w:vMerge w:val="continue"/>
            <w:noWrap w:val="0"/>
            <w:vAlign w:val="center"/>
          </w:tcPr>
          <w:p w14:paraId="2ACD81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681" w:type="pct"/>
            <w:gridSpan w:val="4"/>
            <w:noWrap w:val="0"/>
            <w:vAlign w:val="center"/>
          </w:tcPr>
          <w:p w14:paraId="19BD76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声压级dB（A）</w:t>
            </w:r>
          </w:p>
        </w:tc>
        <w:tc>
          <w:tcPr>
            <w:tcW w:w="194" w:type="pct"/>
            <w:vMerge w:val="restart"/>
            <w:noWrap w:val="0"/>
            <w:vAlign w:val="center"/>
          </w:tcPr>
          <w:p w14:paraId="5830EE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建筑物外距离</w:t>
            </w:r>
          </w:p>
        </w:tc>
      </w:tr>
      <w:tr w14:paraId="033F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 w:type="pct"/>
            <w:vMerge w:val="continue"/>
            <w:noWrap w:val="0"/>
            <w:vAlign w:val="center"/>
          </w:tcPr>
          <w:p w14:paraId="2C4753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72" w:type="pct"/>
            <w:vMerge w:val="continue"/>
            <w:noWrap w:val="0"/>
            <w:vAlign w:val="center"/>
          </w:tcPr>
          <w:p w14:paraId="0D5820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5" w:type="pct"/>
            <w:vMerge w:val="continue"/>
            <w:noWrap w:val="0"/>
            <w:vAlign w:val="center"/>
          </w:tcPr>
          <w:p w14:paraId="29452C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00" w:type="pct"/>
            <w:vMerge w:val="continue"/>
            <w:noWrap w:val="0"/>
            <w:vAlign w:val="center"/>
          </w:tcPr>
          <w:p w14:paraId="11F956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92" w:type="pct"/>
            <w:vMerge w:val="continue"/>
            <w:noWrap w:val="0"/>
            <w:vAlign w:val="center"/>
          </w:tcPr>
          <w:p w14:paraId="46A282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05" w:type="pct"/>
            <w:vMerge w:val="continue"/>
            <w:noWrap w:val="0"/>
            <w:vAlign w:val="center"/>
          </w:tcPr>
          <w:p w14:paraId="68FDD7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5" w:type="pct"/>
            <w:noWrap w:val="0"/>
            <w:vAlign w:val="center"/>
          </w:tcPr>
          <w:p w14:paraId="587FF1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X</w:t>
            </w:r>
          </w:p>
        </w:tc>
        <w:tc>
          <w:tcPr>
            <w:tcW w:w="225" w:type="pct"/>
            <w:noWrap w:val="0"/>
            <w:vAlign w:val="center"/>
          </w:tcPr>
          <w:p w14:paraId="0B2694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Y</w:t>
            </w:r>
          </w:p>
        </w:tc>
        <w:tc>
          <w:tcPr>
            <w:tcW w:w="187" w:type="pct"/>
            <w:noWrap w:val="0"/>
            <w:vAlign w:val="center"/>
          </w:tcPr>
          <w:p w14:paraId="48BECF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Z</w:t>
            </w:r>
          </w:p>
        </w:tc>
        <w:tc>
          <w:tcPr>
            <w:tcW w:w="192" w:type="pct"/>
            <w:noWrap w:val="0"/>
            <w:vAlign w:val="center"/>
          </w:tcPr>
          <w:p w14:paraId="1E7169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E</w:t>
            </w:r>
          </w:p>
        </w:tc>
        <w:tc>
          <w:tcPr>
            <w:tcW w:w="193" w:type="pct"/>
            <w:noWrap w:val="0"/>
            <w:vAlign w:val="center"/>
          </w:tcPr>
          <w:p w14:paraId="6CDF05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w:t>
            </w:r>
          </w:p>
        </w:tc>
        <w:tc>
          <w:tcPr>
            <w:tcW w:w="178" w:type="pct"/>
            <w:noWrap w:val="0"/>
            <w:vAlign w:val="center"/>
          </w:tcPr>
          <w:p w14:paraId="3E2D33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S</w:t>
            </w:r>
          </w:p>
        </w:tc>
        <w:tc>
          <w:tcPr>
            <w:tcW w:w="197" w:type="pct"/>
            <w:noWrap w:val="0"/>
            <w:vAlign w:val="center"/>
          </w:tcPr>
          <w:p w14:paraId="01EE6A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N</w:t>
            </w:r>
          </w:p>
        </w:tc>
        <w:tc>
          <w:tcPr>
            <w:tcW w:w="178" w:type="pct"/>
            <w:noWrap w:val="0"/>
            <w:vAlign w:val="center"/>
          </w:tcPr>
          <w:p w14:paraId="56D625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E</w:t>
            </w:r>
          </w:p>
        </w:tc>
        <w:tc>
          <w:tcPr>
            <w:tcW w:w="178" w:type="pct"/>
            <w:noWrap w:val="0"/>
            <w:vAlign w:val="center"/>
          </w:tcPr>
          <w:p w14:paraId="692D03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W</w:t>
            </w:r>
          </w:p>
        </w:tc>
        <w:tc>
          <w:tcPr>
            <w:tcW w:w="155" w:type="pct"/>
            <w:noWrap w:val="0"/>
            <w:vAlign w:val="center"/>
          </w:tcPr>
          <w:p w14:paraId="69A403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S</w:t>
            </w:r>
          </w:p>
        </w:tc>
        <w:tc>
          <w:tcPr>
            <w:tcW w:w="187" w:type="pct"/>
            <w:noWrap w:val="0"/>
            <w:vAlign w:val="center"/>
          </w:tcPr>
          <w:p w14:paraId="74E6A7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N</w:t>
            </w:r>
          </w:p>
        </w:tc>
        <w:tc>
          <w:tcPr>
            <w:tcW w:w="206" w:type="pct"/>
            <w:vMerge w:val="continue"/>
            <w:noWrap w:val="0"/>
            <w:vAlign w:val="center"/>
          </w:tcPr>
          <w:p w14:paraId="513B6D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235" w:type="pct"/>
            <w:vMerge w:val="continue"/>
            <w:noWrap w:val="0"/>
            <w:vAlign w:val="center"/>
          </w:tcPr>
          <w:p w14:paraId="60195B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c>
          <w:tcPr>
            <w:tcW w:w="169" w:type="pct"/>
            <w:noWrap w:val="0"/>
            <w:vAlign w:val="center"/>
          </w:tcPr>
          <w:p w14:paraId="67312B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E</w:t>
            </w:r>
          </w:p>
        </w:tc>
        <w:tc>
          <w:tcPr>
            <w:tcW w:w="178" w:type="pct"/>
            <w:noWrap w:val="0"/>
            <w:vAlign w:val="center"/>
          </w:tcPr>
          <w:p w14:paraId="5EB2AA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W</w:t>
            </w:r>
          </w:p>
        </w:tc>
        <w:tc>
          <w:tcPr>
            <w:tcW w:w="174" w:type="pct"/>
            <w:noWrap w:val="0"/>
            <w:vAlign w:val="center"/>
          </w:tcPr>
          <w:p w14:paraId="742754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S</w:t>
            </w:r>
          </w:p>
        </w:tc>
        <w:tc>
          <w:tcPr>
            <w:tcW w:w="159" w:type="pct"/>
            <w:noWrap w:val="0"/>
            <w:vAlign w:val="center"/>
          </w:tcPr>
          <w:p w14:paraId="58D64A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N</w:t>
            </w:r>
          </w:p>
        </w:tc>
        <w:tc>
          <w:tcPr>
            <w:tcW w:w="194" w:type="pct"/>
            <w:vMerge w:val="continue"/>
            <w:noWrap w:val="0"/>
            <w:vAlign w:val="center"/>
          </w:tcPr>
          <w:p w14:paraId="031065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p>
        </w:tc>
      </w:tr>
      <w:tr w14:paraId="042A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12" w:type="pct"/>
            <w:noWrap w:val="0"/>
            <w:vAlign w:val="center"/>
          </w:tcPr>
          <w:p w14:paraId="2FA9B0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272" w:type="pct"/>
            <w:vMerge w:val="restart"/>
            <w:noWrap w:val="0"/>
            <w:vAlign w:val="center"/>
          </w:tcPr>
          <w:p w14:paraId="230E2A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预处理车间</w:t>
            </w:r>
          </w:p>
        </w:tc>
        <w:tc>
          <w:tcPr>
            <w:tcW w:w="395" w:type="pct"/>
            <w:noWrap w:val="0"/>
            <w:vAlign w:val="center"/>
          </w:tcPr>
          <w:p w14:paraId="2AF78C26">
            <w:pPr>
              <w:pStyle w:val="164"/>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Style w:val="38"/>
                <w:rFonts w:hint="default" w:ascii="Times New Roman" w:hAnsi="Times New Roman" w:eastAsia="宋体" w:cs="Times New Roman"/>
                <w:color w:val="auto"/>
                <w:kern w:val="2"/>
                <w:sz w:val="21"/>
                <w:szCs w:val="21"/>
                <w:lang w:val="en-US" w:eastAsia="zh-CN" w:bidi="ar-SA"/>
              </w:rPr>
              <w:t>清软化</w:t>
            </w:r>
          </w:p>
        </w:tc>
        <w:tc>
          <w:tcPr>
            <w:tcW w:w="300" w:type="pct"/>
            <w:noWrap w:val="0"/>
            <w:vAlign w:val="center"/>
          </w:tcPr>
          <w:p w14:paraId="076B87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75</w:t>
            </w:r>
          </w:p>
        </w:tc>
        <w:tc>
          <w:tcPr>
            <w:tcW w:w="192" w:type="pct"/>
            <w:noWrap w:val="0"/>
            <w:vAlign w:val="center"/>
          </w:tcPr>
          <w:p w14:paraId="6ECF7E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w:t>
            </w:r>
          </w:p>
        </w:tc>
        <w:tc>
          <w:tcPr>
            <w:tcW w:w="305" w:type="pct"/>
            <w:vMerge w:val="restart"/>
            <w:noWrap w:val="0"/>
            <w:vAlign w:val="center"/>
          </w:tcPr>
          <w:p w14:paraId="11DCB5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厂房隔声、设备基础减震、选用低噪声设备</w:t>
            </w:r>
          </w:p>
        </w:tc>
        <w:tc>
          <w:tcPr>
            <w:tcW w:w="225" w:type="pct"/>
            <w:noWrap w:val="0"/>
            <w:vAlign w:val="center"/>
          </w:tcPr>
          <w:p w14:paraId="1B4EFA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47</w:t>
            </w:r>
          </w:p>
        </w:tc>
        <w:tc>
          <w:tcPr>
            <w:tcW w:w="225" w:type="pct"/>
            <w:noWrap w:val="0"/>
            <w:vAlign w:val="center"/>
          </w:tcPr>
          <w:p w14:paraId="435896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-26</w:t>
            </w:r>
          </w:p>
        </w:tc>
        <w:tc>
          <w:tcPr>
            <w:tcW w:w="187" w:type="pct"/>
            <w:noWrap w:val="0"/>
            <w:vAlign w:val="center"/>
          </w:tcPr>
          <w:p w14:paraId="390710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0.5</w:t>
            </w:r>
          </w:p>
        </w:tc>
        <w:tc>
          <w:tcPr>
            <w:tcW w:w="192" w:type="pct"/>
            <w:noWrap w:val="0"/>
            <w:vAlign w:val="center"/>
          </w:tcPr>
          <w:p w14:paraId="4D55ED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14</w:t>
            </w:r>
          </w:p>
        </w:tc>
        <w:tc>
          <w:tcPr>
            <w:tcW w:w="193" w:type="pct"/>
            <w:noWrap w:val="0"/>
            <w:vAlign w:val="center"/>
          </w:tcPr>
          <w:p w14:paraId="3E1297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21</w:t>
            </w:r>
          </w:p>
        </w:tc>
        <w:tc>
          <w:tcPr>
            <w:tcW w:w="178" w:type="pct"/>
            <w:noWrap w:val="0"/>
            <w:vAlign w:val="center"/>
          </w:tcPr>
          <w:p w14:paraId="5EBE77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w:t>
            </w:r>
          </w:p>
        </w:tc>
        <w:tc>
          <w:tcPr>
            <w:tcW w:w="197" w:type="pct"/>
            <w:noWrap w:val="0"/>
            <w:vAlign w:val="center"/>
          </w:tcPr>
          <w:p w14:paraId="7AD1FA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38.6</w:t>
            </w:r>
          </w:p>
        </w:tc>
        <w:tc>
          <w:tcPr>
            <w:tcW w:w="178" w:type="pct"/>
            <w:noWrap w:val="0"/>
            <w:vAlign w:val="center"/>
          </w:tcPr>
          <w:p w14:paraId="448DB3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52.1</w:t>
            </w:r>
          </w:p>
        </w:tc>
        <w:tc>
          <w:tcPr>
            <w:tcW w:w="178" w:type="pct"/>
            <w:noWrap w:val="0"/>
            <w:vAlign w:val="center"/>
          </w:tcPr>
          <w:p w14:paraId="283374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48.6</w:t>
            </w:r>
          </w:p>
        </w:tc>
        <w:tc>
          <w:tcPr>
            <w:tcW w:w="155" w:type="pct"/>
            <w:noWrap w:val="0"/>
            <w:vAlign w:val="center"/>
          </w:tcPr>
          <w:p w14:paraId="1A52F5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65.5</w:t>
            </w:r>
          </w:p>
        </w:tc>
        <w:tc>
          <w:tcPr>
            <w:tcW w:w="187" w:type="pct"/>
            <w:noWrap w:val="0"/>
            <w:vAlign w:val="center"/>
          </w:tcPr>
          <w:p w14:paraId="3CFA5E2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43.3</w:t>
            </w:r>
          </w:p>
        </w:tc>
        <w:tc>
          <w:tcPr>
            <w:tcW w:w="206" w:type="pct"/>
            <w:vMerge w:val="restart"/>
            <w:noWrap w:val="0"/>
            <w:vAlign w:val="center"/>
          </w:tcPr>
          <w:p w14:paraId="02F6C2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24h</w:t>
            </w:r>
          </w:p>
        </w:tc>
        <w:tc>
          <w:tcPr>
            <w:tcW w:w="235" w:type="pct"/>
            <w:noWrap w:val="0"/>
            <w:vAlign w:val="center"/>
          </w:tcPr>
          <w:p w14:paraId="1A92B3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69" w:type="pct"/>
            <w:noWrap w:val="0"/>
            <w:vAlign w:val="center"/>
          </w:tcPr>
          <w:p w14:paraId="1660A8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32.1</w:t>
            </w:r>
          </w:p>
        </w:tc>
        <w:tc>
          <w:tcPr>
            <w:tcW w:w="178" w:type="pct"/>
            <w:noWrap w:val="0"/>
            <w:vAlign w:val="center"/>
          </w:tcPr>
          <w:p w14:paraId="18D162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28.6</w:t>
            </w:r>
          </w:p>
        </w:tc>
        <w:tc>
          <w:tcPr>
            <w:tcW w:w="174" w:type="pct"/>
            <w:noWrap w:val="0"/>
            <w:vAlign w:val="center"/>
          </w:tcPr>
          <w:p w14:paraId="47949A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45.5</w:t>
            </w:r>
          </w:p>
        </w:tc>
        <w:tc>
          <w:tcPr>
            <w:tcW w:w="159" w:type="pct"/>
            <w:noWrap w:val="0"/>
            <w:vAlign w:val="center"/>
          </w:tcPr>
          <w:p w14:paraId="6333E1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23.3</w:t>
            </w:r>
          </w:p>
        </w:tc>
        <w:tc>
          <w:tcPr>
            <w:tcW w:w="194" w:type="pct"/>
            <w:noWrap w:val="0"/>
            <w:vAlign w:val="center"/>
          </w:tcPr>
          <w:p w14:paraId="38D03C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1m</w:t>
            </w:r>
          </w:p>
        </w:tc>
      </w:tr>
      <w:tr w14:paraId="105F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12" w:type="pct"/>
            <w:noWrap w:val="0"/>
            <w:vAlign w:val="center"/>
          </w:tcPr>
          <w:p w14:paraId="7EF00A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272" w:type="pct"/>
            <w:vMerge w:val="continue"/>
            <w:noWrap w:val="0"/>
            <w:vAlign w:val="center"/>
          </w:tcPr>
          <w:p w14:paraId="7CAF50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5" w:type="pct"/>
            <w:noWrap w:val="0"/>
            <w:vAlign w:val="center"/>
          </w:tcPr>
          <w:p w14:paraId="1C97BA7A">
            <w:pPr>
              <w:pStyle w:val="164"/>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Style w:val="38"/>
                <w:rFonts w:hint="default" w:ascii="Times New Roman" w:hAnsi="Times New Roman" w:eastAsia="宋体" w:cs="Times New Roman"/>
                <w:color w:val="auto"/>
                <w:kern w:val="2"/>
                <w:sz w:val="21"/>
                <w:szCs w:val="21"/>
                <w:lang w:val="en-US" w:eastAsia="zh-CN" w:bidi="ar-SA"/>
              </w:rPr>
              <w:t>清理筛</w:t>
            </w:r>
          </w:p>
        </w:tc>
        <w:tc>
          <w:tcPr>
            <w:tcW w:w="300" w:type="pct"/>
            <w:noWrap w:val="0"/>
            <w:vAlign w:val="center"/>
          </w:tcPr>
          <w:p w14:paraId="752A5A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92" w:type="pct"/>
            <w:noWrap w:val="0"/>
            <w:vAlign w:val="center"/>
          </w:tcPr>
          <w:p w14:paraId="42EFD0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305" w:type="pct"/>
            <w:vMerge w:val="continue"/>
            <w:noWrap w:val="0"/>
            <w:vAlign w:val="center"/>
          </w:tcPr>
          <w:p w14:paraId="7368BC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5" w:type="pct"/>
            <w:noWrap w:val="0"/>
            <w:vAlign w:val="center"/>
          </w:tcPr>
          <w:p w14:paraId="3C2B21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57</w:t>
            </w:r>
          </w:p>
        </w:tc>
        <w:tc>
          <w:tcPr>
            <w:tcW w:w="225" w:type="pct"/>
            <w:noWrap w:val="0"/>
            <w:vAlign w:val="center"/>
          </w:tcPr>
          <w:p w14:paraId="7BDD2E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-27</w:t>
            </w:r>
          </w:p>
        </w:tc>
        <w:tc>
          <w:tcPr>
            <w:tcW w:w="187" w:type="pct"/>
            <w:noWrap w:val="0"/>
            <w:vAlign w:val="center"/>
          </w:tcPr>
          <w:p w14:paraId="1BCBB2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92" w:type="pct"/>
            <w:noWrap w:val="0"/>
            <w:vAlign w:val="center"/>
          </w:tcPr>
          <w:p w14:paraId="7F981C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w:t>
            </w:r>
          </w:p>
        </w:tc>
        <w:tc>
          <w:tcPr>
            <w:tcW w:w="193" w:type="pct"/>
            <w:noWrap w:val="0"/>
            <w:vAlign w:val="center"/>
          </w:tcPr>
          <w:p w14:paraId="1ADF61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30</w:t>
            </w:r>
          </w:p>
        </w:tc>
        <w:tc>
          <w:tcPr>
            <w:tcW w:w="178" w:type="pct"/>
            <w:noWrap w:val="0"/>
            <w:vAlign w:val="center"/>
          </w:tcPr>
          <w:p w14:paraId="5D9AA5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w:t>
            </w:r>
          </w:p>
        </w:tc>
        <w:tc>
          <w:tcPr>
            <w:tcW w:w="197" w:type="pct"/>
            <w:noWrap w:val="0"/>
            <w:vAlign w:val="center"/>
          </w:tcPr>
          <w:p w14:paraId="245757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38.6</w:t>
            </w:r>
          </w:p>
        </w:tc>
        <w:tc>
          <w:tcPr>
            <w:tcW w:w="178" w:type="pct"/>
            <w:noWrap w:val="0"/>
            <w:vAlign w:val="center"/>
          </w:tcPr>
          <w:p w14:paraId="524CA7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70.8</w:t>
            </w:r>
          </w:p>
        </w:tc>
        <w:tc>
          <w:tcPr>
            <w:tcW w:w="178" w:type="pct"/>
            <w:noWrap w:val="0"/>
            <w:vAlign w:val="center"/>
          </w:tcPr>
          <w:p w14:paraId="5C5B2A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55.2</w:t>
            </w:r>
          </w:p>
        </w:tc>
        <w:tc>
          <w:tcPr>
            <w:tcW w:w="155" w:type="pct"/>
            <w:noWrap w:val="0"/>
            <w:vAlign w:val="center"/>
          </w:tcPr>
          <w:p w14:paraId="3DCB58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75.2</w:t>
            </w:r>
          </w:p>
        </w:tc>
        <w:tc>
          <w:tcPr>
            <w:tcW w:w="187" w:type="pct"/>
            <w:noWrap w:val="0"/>
            <w:vAlign w:val="center"/>
          </w:tcPr>
          <w:p w14:paraId="64109F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53.0</w:t>
            </w:r>
          </w:p>
        </w:tc>
        <w:tc>
          <w:tcPr>
            <w:tcW w:w="206" w:type="pct"/>
            <w:vMerge w:val="continue"/>
            <w:noWrap w:val="0"/>
            <w:vAlign w:val="center"/>
          </w:tcPr>
          <w:p w14:paraId="08D125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5" w:type="pct"/>
            <w:noWrap w:val="0"/>
            <w:vAlign w:val="center"/>
          </w:tcPr>
          <w:p w14:paraId="49B4AF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69" w:type="pct"/>
            <w:noWrap w:val="0"/>
            <w:vAlign w:val="center"/>
          </w:tcPr>
          <w:p w14:paraId="1A7A5B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50.8</w:t>
            </w:r>
          </w:p>
        </w:tc>
        <w:tc>
          <w:tcPr>
            <w:tcW w:w="178" w:type="pct"/>
            <w:noWrap w:val="0"/>
            <w:vAlign w:val="center"/>
          </w:tcPr>
          <w:p w14:paraId="1D2C0C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35.2</w:t>
            </w:r>
          </w:p>
        </w:tc>
        <w:tc>
          <w:tcPr>
            <w:tcW w:w="174" w:type="pct"/>
            <w:noWrap w:val="0"/>
            <w:vAlign w:val="center"/>
          </w:tcPr>
          <w:p w14:paraId="43ABDF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55.2</w:t>
            </w:r>
          </w:p>
        </w:tc>
        <w:tc>
          <w:tcPr>
            <w:tcW w:w="159" w:type="pct"/>
            <w:noWrap w:val="0"/>
            <w:vAlign w:val="center"/>
          </w:tcPr>
          <w:p w14:paraId="6E36EC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33.0</w:t>
            </w:r>
          </w:p>
        </w:tc>
        <w:tc>
          <w:tcPr>
            <w:tcW w:w="194" w:type="pct"/>
            <w:noWrap w:val="0"/>
            <w:vAlign w:val="center"/>
          </w:tcPr>
          <w:p w14:paraId="088564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1m</w:t>
            </w:r>
          </w:p>
        </w:tc>
      </w:tr>
      <w:tr w14:paraId="2E45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12" w:type="pct"/>
            <w:shd w:val="clear" w:color="auto" w:fill="auto"/>
            <w:noWrap w:val="0"/>
            <w:vAlign w:val="center"/>
          </w:tcPr>
          <w:p w14:paraId="2E907F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272" w:type="pct"/>
            <w:vMerge w:val="continue"/>
            <w:noWrap w:val="0"/>
            <w:vAlign w:val="center"/>
          </w:tcPr>
          <w:p w14:paraId="0655D9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5" w:type="pct"/>
            <w:noWrap w:val="0"/>
            <w:vAlign w:val="center"/>
          </w:tcPr>
          <w:p w14:paraId="26B81058">
            <w:pPr>
              <w:pStyle w:val="164"/>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Style w:val="38"/>
                <w:rFonts w:hint="default" w:ascii="Times New Roman" w:hAnsi="Times New Roman" w:eastAsia="宋体" w:cs="Times New Roman"/>
                <w:color w:val="auto"/>
                <w:kern w:val="2"/>
                <w:sz w:val="21"/>
                <w:szCs w:val="21"/>
                <w:lang w:val="en-US" w:eastAsia="zh-CN" w:bidi="ar-SA"/>
              </w:rPr>
              <w:t>膨化机</w:t>
            </w:r>
          </w:p>
        </w:tc>
        <w:tc>
          <w:tcPr>
            <w:tcW w:w="300" w:type="pct"/>
            <w:noWrap w:val="0"/>
            <w:vAlign w:val="center"/>
          </w:tcPr>
          <w:p w14:paraId="1D6CFD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92" w:type="pct"/>
            <w:noWrap w:val="0"/>
            <w:vAlign w:val="center"/>
          </w:tcPr>
          <w:p w14:paraId="310BBA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305" w:type="pct"/>
            <w:vMerge w:val="continue"/>
            <w:noWrap w:val="0"/>
            <w:vAlign w:val="center"/>
          </w:tcPr>
          <w:p w14:paraId="717D46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5" w:type="pct"/>
            <w:noWrap w:val="0"/>
            <w:vAlign w:val="center"/>
          </w:tcPr>
          <w:p w14:paraId="0B1531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30</w:t>
            </w:r>
          </w:p>
        </w:tc>
        <w:tc>
          <w:tcPr>
            <w:tcW w:w="225" w:type="pct"/>
            <w:noWrap w:val="0"/>
            <w:vAlign w:val="center"/>
          </w:tcPr>
          <w:p w14:paraId="3D07D8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-23</w:t>
            </w:r>
          </w:p>
        </w:tc>
        <w:tc>
          <w:tcPr>
            <w:tcW w:w="187" w:type="pct"/>
            <w:noWrap w:val="0"/>
            <w:vAlign w:val="center"/>
          </w:tcPr>
          <w:p w14:paraId="2BD987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w:t>
            </w:r>
          </w:p>
        </w:tc>
        <w:tc>
          <w:tcPr>
            <w:tcW w:w="192" w:type="pct"/>
            <w:noWrap w:val="0"/>
            <w:vAlign w:val="center"/>
          </w:tcPr>
          <w:p w14:paraId="2A8985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30</w:t>
            </w:r>
          </w:p>
        </w:tc>
        <w:tc>
          <w:tcPr>
            <w:tcW w:w="193" w:type="pct"/>
            <w:noWrap w:val="0"/>
            <w:vAlign w:val="center"/>
          </w:tcPr>
          <w:p w14:paraId="149AE0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178" w:type="pct"/>
            <w:noWrap w:val="0"/>
            <w:vAlign w:val="center"/>
          </w:tcPr>
          <w:p w14:paraId="3ED151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4</w:t>
            </w:r>
          </w:p>
        </w:tc>
        <w:tc>
          <w:tcPr>
            <w:tcW w:w="197" w:type="pct"/>
            <w:noWrap w:val="0"/>
            <w:vAlign w:val="center"/>
          </w:tcPr>
          <w:p w14:paraId="249BCA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37.6</w:t>
            </w:r>
          </w:p>
        </w:tc>
        <w:tc>
          <w:tcPr>
            <w:tcW w:w="178" w:type="pct"/>
            <w:noWrap w:val="0"/>
            <w:vAlign w:val="center"/>
          </w:tcPr>
          <w:p w14:paraId="18CD03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55.5</w:t>
            </w:r>
          </w:p>
        </w:tc>
        <w:tc>
          <w:tcPr>
            <w:tcW w:w="178" w:type="pct"/>
            <w:noWrap w:val="0"/>
            <w:vAlign w:val="center"/>
          </w:tcPr>
          <w:p w14:paraId="4070B1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71.0</w:t>
            </w:r>
          </w:p>
        </w:tc>
        <w:tc>
          <w:tcPr>
            <w:tcW w:w="155" w:type="pct"/>
            <w:noWrap w:val="0"/>
            <w:vAlign w:val="center"/>
          </w:tcPr>
          <w:p w14:paraId="219BE4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73.0</w:t>
            </w:r>
          </w:p>
        </w:tc>
        <w:tc>
          <w:tcPr>
            <w:tcW w:w="187" w:type="pct"/>
            <w:noWrap w:val="0"/>
            <w:vAlign w:val="center"/>
          </w:tcPr>
          <w:p w14:paraId="366004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53.5</w:t>
            </w:r>
          </w:p>
        </w:tc>
        <w:tc>
          <w:tcPr>
            <w:tcW w:w="206" w:type="pct"/>
            <w:vMerge w:val="continue"/>
            <w:noWrap w:val="0"/>
            <w:vAlign w:val="center"/>
          </w:tcPr>
          <w:p w14:paraId="4454F9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5" w:type="pct"/>
            <w:noWrap w:val="0"/>
            <w:vAlign w:val="center"/>
          </w:tcPr>
          <w:p w14:paraId="50355B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69" w:type="pct"/>
            <w:noWrap w:val="0"/>
            <w:vAlign w:val="center"/>
          </w:tcPr>
          <w:p w14:paraId="7A40DE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35.5</w:t>
            </w:r>
          </w:p>
        </w:tc>
        <w:tc>
          <w:tcPr>
            <w:tcW w:w="178" w:type="pct"/>
            <w:noWrap w:val="0"/>
            <w:vAlign w:val="center"/>
          </w:tcPr>
          <w:p w14:paraId="18560B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51.0</w:t>
            </w:r>
          </w:p>
        </w:tc>
        <w:tc>
          <w:tcPr>
            <w:tcW w:w="174" w:type="pct"/>
            <w:noWrap w:val="0"/>
            <w:vAlign w:val="center"/>
          </w:tcPr>
          <w:p w14:paraId="327B40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53.0</w:t>
            </w:r>
          </w:p>
        </w:tc>
        <w:tc>
          <w:tcPr>
            <w:tcW w:w="159" w:type="pct"/>
            <w:noWrap w:val="0"/>
            <w:vAlign w:val="center"/>
          </w:tcPr>
          <w:p w14:paraId="272952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33.5</w:t>
            </w:r>
          </w:p>
        </w:tc>
        <w:tc>
          <w:tcPr>
            <w:tcW w:w="194" w:type="pct"/>
            <w:noWrap w:val="0"/>
            <w:vAlign w:val="center"/>
          </w:tcPr>
          <w:p w14:paraId="0E663C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1m</w:t>
            </w:r>
          </w:p>
        </w:tc>
      </w:tr>
      <w:tr w14:paraId="75B7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12" w:type="pct"/>
            <w:shd w:val="clear" w:color="auto" w:fill="auto"/>
            <w:noWrap w:val="0"/>
            <w:vAlign w:val="center"/>
          </w:tcPr>
          <w:p w14:paraId="34779B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272" w:type="pct"/>
            <w:vMerge w:val="restart"/>
            <w:noWrap w:val="0"/>
            <w:vAlign w:val="center"/>
          </w:tcPr>
          <w:p w14:paraId="1555EF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浸出车间</w:t>
            </w:r>
          </w:p>
        </w:tc>
        <w:tc>
          <w:tcPr>
            <w:tcW w:w="395" w:type="pct"/>
            <w:noWrap w:val="0"/>
            <w:vAlign w:val="center"/>
          </w:tcPr>
          <w:p w14:paraId="1F394152">
            <w:pPr>
              <w:pStyle w:val="164"/>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Style w:val="38"/>
                <w:rFonts w:hint="default" w:ascii="Times New Roman" w:hAnsi="Times New Roman" w:eastAsia="宋体" w:cs="Times New Roman"/>
                <w:color w:val="auto"/>
                <w:kern w:val="2"/>
                <w:sz w:val="21"/>
                <w:szCs w:val="21"/>
                <w:lang w:val="en-US" w:eastAsia="zh-CN" w:bidi="ar-SA"/>
              </w:rPr>
              <w:t>油渣分离机</w:t>
            </w:r>
          </w:p>
        </w:tc>
        <w:tc>
          <w:tcPr>
            <w:tcW w:w="300" w:type="pct"/>
            <w:noWrap w:val="0"/>
            <w:vAlign w:val="center"/>
          </w:tcPr>
          <w:p w14:paraId="519B94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85</w:t>
            </w:r>
          </w:p>
        </w:tc>
        <w:tc>
          <w:tcPr>
            <w:tcW w:w="192" w:type="pct"/>
            <w:noWrap w:val="0"/>
            <w:vAlign w:val="center"/>
          </w:tcPr>
          <w:p w14:paraId="61308B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w:t>
            </w:r>
          </w:p>
        </w:tc>
        <w:tc>
          <w:tcPr>
            <w:tcW w:w="305" w:type="pct"/>
            <w:vMerge w:val="continue"/>
            <w:noWrap w:val="0"/>
            <w:vAlign w:val="center"/>
          </w:tcPr>
          <w:p w14:paraId="22115F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5" w:type="pct"/>
            <w:noWrap w:val="0"/>
            <w:vAlign w:val="center"/>
          </w:tcPr>
          <w:p w14:paraId="5BBA9A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30</w:t>
            </w:r>
          </w:p>
        </w:tc>
        <w:tc>
          <w:tcPr>
            <w:tcW w:w="225" w:type="pct"/>
            <w:noWrap w:val="0"/>
            <w:vAlign w:val="center"/>
          </w:tcPr>
          <w:p w14:paraId="04E882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-27</w:t>
            </w:r>
          </w:p>
        </w:tc>
        <w:tc>
          <w:tcPr>
            <w:tcW w:w="187" w:type="pct"/>
            <w:noWrap w:val="0"/>
            <w:vAlign w:val="center"/>
          </w:tcPr>
          <w:p w14:paraId="21937E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6</w:t>
            </w:r>
          </w:p>
        </w:tc>
        <w:tc>
          <w:tcPr>
            <w:tcW w:w="192" w:type="pct"/>
            <w:noWrap w:val="0"/>
            <w:vAlign w:val="center"/>
          </w:tcPr>
          <w:p w14:paraId="4DA98B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28</w:t>
            </w:r>
          </w:p>
        </w:tc>
        <w:tc>
          <w:tcPr>
            <w:tcW w:w="193" w:type="pct"/>
            <w:noWrap w:val="0"/>
            <w:vAlign w:val="center"/>
          </w:tcPr>
          <w:p w14:paraId="3364CA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w:t>
            </w:r>
          </w:p>
        </w:tc>
        <w:tc>
          <w:tcPr>
            <w:tcW w:w="178" w:type="pct"/>
            <w:noWrap w:val="0"/>
            <w:vAlign w:val="center"/>
          </w:tcPr>
          <w:p w14:paraId="5CFA9E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9</w:t>
            </w:r>
          </w:p>
        </w:tc>
        <w:tc>
          <w:tcPr>
            <w:tcW w:w="197" w:type="pct"/>
            <w:noWrap w:val="0"/>
            <w:vAlign w:val="center"/>
          </w:tcPr>
          <w:p w14:paraId="4CBB9C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32.6</w:t>
            </w:r>
          </w:p>
        </w:tc>
        <w:tc>
          <w:tcPr>
            <w:tcW w:w="178" w:type="pct"/>
            <w:noWrap w:val="0"/>
            <w:vAlign w:val="center"/>
          </w:tcPr>
          <w:p w14:paraId="65078B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59.1</w:t>
            </w:r>
          </w:p>
        </w:tc>
        <w:tc>
          <w:tcPr>
            <w:tcW w:w="178" w:type="pct"/>
            <w:noWrap w:val="0"/>
            <w:vAlign w:val="center"/>
          </w:tcPr>
          <w:p w14:paraId="70DA4A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71.1</w:t>
            </w:r>
          </w:p>
        </w:tc>
        <w:tc>
          <w:tcPr>
            <w:tcW w:w="155" w:type="pct"/>
            <w:noWrap w:val="0"/>
            <w:vAlign w:val="center"/>
          </w:tcPr>
          <w:p w14:paraId="5BFAB0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68.9</w:t>
            </w:r>
          </w:p>
        </w:tc>
        <w:tc>
          <w:tcPr>
            <w:tcW w:w="187" w:type="pct"/>
            <w:noWrap w:val="0"/>
            <w:vAlign w:val="center"/>
          </w:tcPr>
          <w:p w14:paraId="76821F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57.7</w:t>
            </w:r>
          </w:p>
        </w:tc>
        <w:tc>
          <w:tcPr>
            <w:tcW w:w="206" w:type="pct"/>
            <w:vMerge w:val="continue"/>
            <w:noWrap w:val="0"/>
            <w:vAlign w:val="center"/>
          </w:tcPr>
          <w:p w14:paraId="6190F3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5" w:type="pct"/>
            <w:noWrap w:val="0"/>
            <w:vAlign w:val="center"/>
          </w:tcPr>
          <w:p w14:paraId="30DE84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69" w:type="pct"/>
            <w:noWrap w:val="0"/>
            <w:vAlign w:val="center"/>
          </w:tcPr>
          <w:p w14:paraId="38CBE9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39.1</w:t>
            </w:r>
          </w:p>
        </w:tc>
        <w:tc>
          <w:tcPr>
            <w:tcW w:w="178" w:type="pct"/>
            <w:noWrap w:val="0"/>
            <w:vAlign w:val="center"/>
          </w:tcPr>
          <w:p w14:paraId="3F818E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51.1</w:t>
            </w:r>
          </w:p>
        </w:tc>
        <w:tc>
          <w:tcPr>
            <w:tcW w:w="174" w:type="pct"/>
            <w:noWrap w:val="0"/>
            <w:vAlign w:val="center"/>
          </w:tcPr>
          <w:p w14:paraId="17040E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48.9</w:t>
            </w:r>
          </w:p>
        </w:tc>
        <w:tc>
          <w:tcPr>
            <w:tcW w:w="159" w:type="pct"/>
            <w:noWrap w:val="0"/>
            <w:vAlign w:val="center"/>
          </w:tcPr>
          <w:p w14:paraId="02BAA6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37.7</w:t>
            </w:r>
          </w:p>
        </w:tc>
        <w:tc>
          <w:tcPr>
            <w:tcW w:w="194" w:type="pct"/>
            <w:noWrap w:val="0"/>
            <w:vAlign w:val="center"/>
          </w:tcPr>
          <w:p w14:paraId="0EA159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E56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12" w:type="pct"/>
            <w:shd w:val="clear" w:color="auto" w:fill="auto"/>
            <w:noWrap w:val="0"/>
            <w:vAlign w:val="center"/>
          </w:tcPr>
          <w:p w14:paraId="68834C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6</w:t>
            </w:r>
          </w:p>
        </w:tc>
        <w:tc>
          <w:tcPr>
            <w:tcW w:w="272" w:type="pct"/>
            <w:vMerge w:val="continue"/>
            <w:noWrap w:val="0"/>
            <w:vAlign w:val="center"/>
          </w:tcPr>
          <w:p w14:paraId="3FDFD8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5" w:type="pct"/>
            <w:noWrap w:val="0"/>
            <w:vAlign w:val="center"/>
          </w:tcPr>
          <w:p w14:paraId="60D897FC">
            <w:pPr>
              <w:pStyle w:val="164"/>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Style w:val="38"/>
                <w:rFonts w:hint="default" w:ascii="Times New Roman" w:hAnsi="Times New Roman" w:eastAsia="宋体" w:cs="Times New Roman"/>
                <w:color w:val="auto"/>
                <w:kern w:val="2"/>
                <w:sz w:val="21"/>
                <w:szCs w:val="21"/>
                <w:lang w:val="en-US" w:eastAsia="zh-CN" w:bidi="ar-SA"/>
              </w:rPr>
              <w:t>冷凝器</w:t>
            </w:r>
          </w:p>
        </w:tc>
        <w:tc>
          <w:tcPr>
            <w:tcW w:w="300" w:type="pct"/>
            <w:noWrap w:val="0"/>
            <w:vAlign w:val="center"/>
          </w:tcPr>
          <w:p w14:paraId="1550C9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65</w:t>
            </w:r>
          </w:p>
        </w:tc>
        <w:tc>
          <w:tcPr>
            <w:tcW w:w="192" w:type="pct"/>
            <w:noWrap w:val="0"/>
            <w:vAlign w:val="center"/>
          </w:tcPr>
          <w:p w14:paraId="1E21A2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w:t>
            </w:r>
          </w:p>
        </w:tc>
        <w:tc>
          <w:tcPr>
            <w:tcW w:w="305" w:type="pct"/>
            <w:vMerge w:val="continue"/>
            <w:noWrap w:val="0"/>
            <w:vAlign w:val="center"/>
          </w:tcPr>
          <w:p w14:paraId="35B340F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5" w:type="pct"/>
            <w:noWrap w:val="0"/>
            <w:vAlign w:val="center"/>
          </w:tcPr>
          <w:p w14:paraId="7AD13A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30</w:t>
            </w:r>
          </w:p>
        </w:tc>
        <w:tc>
          <w:tcPr>
            <w:tcW w:w="225" w:type="pct"/>
            <w:noWrap w:val="0"/>
            <w:vAlign w:val="center"/>
          </w:tcPr>
          <w:p w14:paraId="5C64BF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-27</w:t>
            </w:r>
          </w:p>
        </w:tc>
        <w:tc>
          <w:tcPr>
            <w:tcW w:w="187" w:type="pct"/>
            <w:noWrap w:val="0"/>
            <w:vAlign w:val="center"/>
          </w:tcPr>
          <w:p w14:paraId="6F3139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0.5</w:t>
            </w:r>
          </w:p>
        </w:tc>
        <w:tc>
          <w:tcPr>
            <w:tcW w:w="192" w:type="pct"/>
            <w:noWrap w:val="0"/>
            <w:vAlign w:val="center"/>
          </w:tcPr>
          <w:p w14:paraId="0C85C8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28</w:t>
            </w:r>
          </w:p>
        </w:tc>
        <w:tc>
          <w:tcPr>
            <w:tcW w:w="193" w:type="pct"/>
            <w:noWrap w:val="0"/>
            <w:vAlign w:val="center"/>
          </w:tcPr>
          <w:p w14:paraId="24DAA1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w:t>
            </w:r>
          </w:p>
        </w:tc>
        <w:tc>
          <w:tcPr>
            <w:tcW w:w="178" w:type="pct"/>
            <w:noWrap w:val="0"/>
            <w:vAlign w:val="center"/>
          </w:tcPr>
          <w:p w14:paraId="3A006A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9</w:t>
            </w:r>
          </w:p>
        </w:tc>
        <w:tc>
          <w:tcPr>
            <w:tcW w:w="197" w:type="pct"/>
            <w:noWrap w:val="0"/>
            <w:vAlign w:val="center"/>
          </w:tcPr>
          <w:p w14:paraId="23CC2D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32.6</w:t>
            </w:r>
          </w:p>
        </w:tc>
        <w:tc>
          <w:tcPr>
            <w:tcW w:w="178" w:type="pct"/>
            <w:noWrap w:val="0"/>
            <w:vAlign w:val="center"/>
          </w:tcPr>
          <w:p w14:paraId="29E1A3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39.1</w:t>
            </w:r>
          </w:p>
        </w:tc>
        <w:tc>
          <w:tcPr>
            <w:tcW w:w="178" w:type="pct"/>
            <w:noWrap w:val="0"/>
            <w:vAlign w:val="center"/>
          </w:tcPr>
          <w:p w14:paraId="7BF24F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51.1</w:t>
            </w:r>
          </w:p>
        </w:tc>
        <w:tc>
          <w:tcPr>
            <w:tcW w:w="155" w:type="pct"/>
            <w:noWrap w:val="0"/>
            <w:vAlign w:val="center"/>
          </w:tcPr>
          <w:p w14:paraId="537357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48.9</w:t>
            </w:r>
          </w:p>
        </w:tc>
        <w:tc>
          <w:tcPr>
            <w:tcW w:w="187" w:type="pct"/>
            <w:noWrap w:val="0"/>
            <w:vAlign w:val="center"/>
          </w:tcPr>
          <w:p w14:paraId="7C5E54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37.7</w:t>
            </w:r>
          </w:p>
        </w:tc>
        <w:tc>
          <w:tcPr>
            <w:tcW w:w="206" w:type="pct"/>
            <w:vMerge w:val="continue"/>
            <w:noWrap w:val="0"/>
            <w:vAlign w:val="center"/>
          </w:tcPr>
          <w:p w14:paraId="36B40B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5" w:type="pct"/>
            <w:noWrap w:val="0"/>
            <w:vAlign w:val="center"/>
          </w:tcPr>
          <w:p w14:paraId="09EDBC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69" w:type="pct"/>
            <w:noWrap w:val="0"/>
            <w:vAlign w:val="center"/>
          </w:tcPr>
          <w:p w14:paraId="7AF7F2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19.1</w:t>
            </w:r>
          </w:p>
        </w:tc>
        <w:tc>
          <w:tcPr>
            <w:tcW w:w="178" w:type="pct"/>
            <w:noWrap w:val="0"/>
            <w:vAlign w:val="center"/>
          </w:tcPr>
          <w:p w14:paraId="7A7173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31.1</w:t>
            </w:r>
          </w:p>
        </w:tc>
        <w:tc>
          <w:tcPr>
            <w:tcW w:w="174" w:type="pct"/>
            <w:noWrap w:val="0"/>
            <w:vAlign w:val="center"/>
          </w:tcPr>
          <w:p w14:paraId="015B88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28.9</w:t>
            </w:r>
          </w:p>
        </w:tc>
        <w:tc>
          <w:tcPr>
            <w:tcW w:w="159" w:type="pct"/>
            <w:noWrap w:val="0"/>
            <w:vAlign w:val="center"/>
          </w:tcPr>
          <w:p w14:paraId="70E143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17.7</w:t>
            </w:r>
          </w:p>
        </w:tc>
        <w:tc>
          <w:tcPr>
            <w:tcW w:w="194" w:type="pct"/>
            <w:noWrap w:val="0"/>
            <w:vAlign w:val="center"/>
          </w:tcPr>
          <w:p w14:paraId="20ECE6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FBB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12" w:type="pct"/>
            <w:shd w:val="clear" w:color="auto" w:fill="auto"/>
            <w:noWrap w:val="0"/>
            <w:vAlign w:val="center"/>
          </w:tcPr>
          <w:p w14:paraId="1832D3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w:t>
            </w:r>
          </w:p>
        </w:tc>
        <w:tc>
          <w:tcPr>
            <w:tcW w:w="272" w:type="pct"/>
            <w:vMerge w:val="continue"/>
            <w:noWrap w:val="0"/>
            <w:vAlign w:val="center"/>
          </w:tcPr>
          <w:p w14:paraId="4209E3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5" w:type="pct"/>
            <w:noWrap w:val="0"/>
            <w:vAlign w:val="center"/>
          </w:tcPr>
          <w:p w14:paraId="1613044E">
            <w:pPr>
              <w:pStyle w:val="164"/>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Style w:val="38"/>
                <w:rFonts w:hint="default" w:ascii="Times New Roman" w:hAnsi="Times New Roman" w:eastAsia="宋体" w:cs="Times New Roman"/>
                <w:color w:val="auto"/>
                <w:kern w:val="2"/>
                <w:sz w:val="21"/>
                <w:szCs w:val="21"/>
                <w:lang w:val="en-US" w:eastAsia="zh-CN" w:bidi="ar-SA"/>
              </w:rPr>
              <w:t>蒸脱机</w:t>
            </w:r>
          </w:p>
        </w:tc>
        <w:tc>
          <w:tcPr>
            <w:tcW w:w="300" w:type="pct"/>
            <w:noWrap w:val="0"/>
            <w:vAlign w:val="center"/>
          </w:tcPr>
          <w:p w14:paraId="615093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75</w:t>
            </w:r>
          </w:p>
        </w:tc>
        <w:tc>
          <w:tcPr>
            <w:tcW w:w="192" w:type="pct"/>
            <w:noWrap w:val="0"/>
            <w:vAlign w:val="center"/>
          </w:tcPr>
          <w:p w14:paraId="6F8F9E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w:t>
            </w:r>
          </w:p>
        </w:tc>
        <w:tc>
          <w:tcPr>
            <w:tcW w:w="305" w:type="pct"/>
            <w:vMerge w:val="continue"/>
            <w:noWrap w:val="0"/>
            <w:vAlign w:val="center"/>
          </w:tcPr>
          <w:p w14:paraId="1331D8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5" w:type="pct"/>
            <w:noWrap w:val="0"/>
            <w:vAlign w:val="center"/>
          </w:tcPr>
          <w:p w14:paraId="3F3609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34</w:t>
            </w:r>
          </w:p>
        </w:tc>
        <w:tc>
          <w:tcPr>
            <w:tcW w:w="225" w:type="pct"/>
            <w:noWrap w:val="0"/>
            <w:vAlign w:val="center"/>
          </w:tcPr>
          <w:p w14:paraId="291024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w:t>
            </w:r>
          </w:p>
        </w:tc>
        <w:tc>
          <w:tcPr>
            <w:tcW w:w="187" w:type="pct"/>
            <w:noWrap w:val="0"/>
            <w:vAlign w:val="center"/>
          </w:tcPr>
          <w:p w14:paraId="19B80F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1.5</w:t>
            </w:r>
          </w:p>
        </w:tc>
        <w:tc>
          <w:tcPr>
            <w:tcW w:w="192" w:type="pct"/>
            <w:noWrap w:val="0"/>
            <w:vAlign w:val="center"/>
          </w:tcPr>
          <w:p w14:paraId="6F79BA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29</w:t>
            </w:r>
          </w:p>
        </w:tc>
        <w:tc>
          <w:tcPr>
            <w:tcW w:w="193" w:type="pct"/>
            <w:noWrap w:val="0"/>
            <w:vAlign w:val="center"/>
          </w:tcPr>
          <w:p w14:paraId="71D3DF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6</w:t>
            </w:r>
          </w:p>
        </w:tc>
        <w:tc>
          <w:tcPr>
            <w:tcW w:w="178" w:type="pct"/>
            <w:noWrap w:val="0"/>
            <w:vAlign w:val="center"/>
          </w:tcPr>
          <w:p w14:paraId="770925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23.5</w:t>
            </w:r>
          </w:p>
        </w:tc>
        <w:tc>
          <w:tcPr>
            <w:tcW w:w="197" w:type="pct"/>
            <w:noWrap w:val="0"/>
            <w:vAlign w:val="center"/>
          </w:tcPr>
          <w:p w14:paraId="55B887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18.1</w:t>
            </w:r>
          </w:p>
        </w:tc>
        <w:tc>
          <w:tcPr>
            <w:tcW w:w="178" w:type="pct"/>
            <w:noWrap w:val="0"/>
            <w:vAlign w:val="center"/>
          </w:tcPr>
          <w:p w14:paraId="17D93E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52.1</w:t>
            </w:r>
          </w:p>
        </w:tc>
        <w:tc>
          <w:tcPr>
            <w:tcW w:w="178" w:type="pct"/>
            <w:noWrap w:val="0"/>
            <w:vAlign w:val="center"/>
          </w:tcPr>
          <w:p w14:paraId="2B14C5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48.6</w:t>
            </w:r>
          </w:p>
        </w:tc>
        <w:tc>
          <w:tcPr>
            <w:tcW w:w="155" w:type="pct"/>
            <w:noWrap w:val="0"/>
            <w:vAlign w:val="center"/>
          </w:tcPr>
          <w:p w14:paraId="22302B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65.5</w:t>
            </w:r>
          </w:p>
        </w:tc>
        <w:tc>
          <w:tcPr>
            <w:tcW w:w="187" w:type="pct"/>
            <w:noWrap w:val="0"/>
            <w:vAlign w:val="center"/>
          </w:tcPr>
          <w:p w14:paraId="318F22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43.3</w:t>
            </w:r>
          </w:p>
        </w:tc>
        <w:tc>
          <w:tcPr>
            <w:tcW w:w="206" w:type="pct"/>
            <w:vMerge w:val="continue"/>
            <w:noWrap w:val="0"/>
            <w:vAlign w:val="center"/>
          </w:tcPr>
          <w:p w14:paraId="3B9C0E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5" w:type="pct"/>
            <w:noWrap w:val="0"/>
            <w:vAlign w:val="center"/>
          </w:tcPr>
          <w:p w14:paraId="6691FF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69" w:type="pct"/>
            <w:noWrap w:val="0"/>
            <w:vAlign w:val="center"/>
          </w:tcPr>
          <w:p w14:paraId="60F187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25.8</w:t>
            </w:r>
          </w:p>
        </w:tc>
        <w:tc>
          <w:tcPr>
            <w:tcW w:w="178" w:type="pct"/>
            <w:noWrap w:val="0"/>
            <w:vAlign w:val="center"/>
          </w:tcPr>
          <w:p w14:paraId="404D00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39.4</w:t>
            </w:r>
          </w:p>
        </w:tc>
        <w:tc>
          <w:tcPr>
            <w:tcW w:w="174" w:type="pct"/>
            <w:noWrap w:val="0"/>
            <w:vAlign w:val="center"/>
          </w:tcPr>
          <w:p w14:paraId="44535E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27.6</w:t>
            </w:r>
          </w:p>
        </w:tc>
        <w:tc>
          <w:tcPr>
            <w:tcW w:w="159" w:type="pct"/>
            <w:noWrap w:val="0"/>
            <w:vAlign w:val="center"/>
          </w:tcPr>
          <w:p w14:paraId="57CC2E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29.8</w:t>
            </w:r>
          </w:p>
        </w:tc>
        <w:tc>
          <w:tcPr>
            <w:tcW w:w="194" w:type="pct"/>
            <w:noWrap w:val="0"/>
            <w:vAlign w:val="center"/>
          </w:tcPr>
          <w:p w14:paraId="687250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245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12" w:type="pct"/>
            <w:shd w:val="clear" w:color="auto" w:fill="auto"/>
            <w:noWrap w:val="0"/>
            <w:vAlign w:val="center"/>
          </w:tcPr>
          <w:p w14:paraId="533881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72" w:type="pct"/>
            <w:vMerge w:val="restart"/>
            <w:noWrap w:val="0"/>
            <w:vAlign w:val="center"/>
          </w:tcPr>
          <w:p w14:paraId="179809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精炼车间</w:t>
            </w:r>
          </w:p>
        </w:tc>
        <w:tc>
          <w:tcPr>
            <w:tcW w:w="395" w:type="pct"/>
            <w:noWrap w:val="0"/>
            <w:vAlign w:val="center"/>
          </w:tcPr>
          <w:p w14:paraId="6F1CFFC4">
            <w:pPr>
              <w:pStyle w:val="164"/>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Style w:val="38"/>
                <w:rFonts w:hint="default" w:ascii="Times New Roman" w:hAnsi="Times New Roman" w:eastAsia="宋体" w:cs="Times New Roman"/>
                <w:color w:val="auto"/>
                <w:kern w:val="2"/>
                <w:sz w:val="21"/>
                <w:szCs w:val="21"/>
                <w:lang w:val="en-US" w:eastAsia="zh-CN" w:bidi="ar-SA"/>
              </w:rPr>
              <w:t>输运设备</w:t>
            </w:r>
          </w:p>
        </w:tc>
        <w:tc>
          <w:tcPr>
            <w:tcW w:w="300" w:type="pct"/>
            <w:noWrap w:val="0"/>
            <w:vAlign w:val="center"/>
          </w:tcPr>
          <w:p w14:paraId="69E676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192" w:type="pct"/>
            <w:noWrap w:val="0"/>
            <w:vAlign w:val="center"/>
          </w:tcPr>
          <w:p w14:paraId="1A1B31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w:t>
            </w:r>
          </w:p>
        </w:tc>
        <w:tc>
          <w:tcPr>
            <w:tcW w:w="305" w:type="pct"/>
            <w:vMerge w:val="continue"/>
            <w:noWrap w:val="0"/>
            <w:vAlign w:val="center"/>
          </w:tcPr>
          <w:p w14:paraId="402F1B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5" w:type="pct"/>
            <w:noWrap w:val="0"/>
            <w:vAlign w:val="center"/>
          </w:tcPr>
          <w:p w14:paraId="3F7393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5" w:type="pct"/>
            <w:noWrap w:val="0"/>
            <w:vAlign w:val="center"/>
          </w:tcPr>
          <w:p w14:paraId="25FF27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87" w:type="pct"/>
            <w:noWrap w:val="0"/>
            <w:vAlign w:val="center"/>
          </w:tcPr>
          <w:p w14:paraId="5074C1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92" w:type="pct"/>
            <w:noWrap w:val="0"/>
            <w:vAlign w:val="center"/>
          </w:tcPr>
          <w:p w14:paraId="7E407C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93" w:type="pct"/>
            <w:noWrap w:val="0"/>
            <w:vAlign w:val="center"/>
          </w:tcPr>
          <w:p w14:paraId="1BFC64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8" w:type="pct"/>
            <w:noWrap w:val="0"/>
            <w:vAlign w:val="center"/>
          </w:tcPr>
          <w:p w14:paraId="1E754C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97" w:type="pct"/>
            <w:noWrap w:val="0"/>
            <w:vAlign w:val="center"/>
          </w:tcPr>
          <w:p w14:paraId="5D1AD5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8" w:type="pct"/>
            <w:noWrap w:val="0"/>
            <w:vAlign w:val="center"/>
          </w:tcPr>
          <w:p w14:paraId="7BD9DF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78" w:type="pct"/>
            <w:noWrap w:val="0"/>
            <w:vAlign w:val="center"/>
          </w:tcPr>
          <w:p w14:paraId="5D3DC9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55" w:type="pct"/>
            <w:noWrap w:val="0"/>
            <w:vAlign w:val="center"/>
          </w:tcPr>
          <w:p w14:paraId="0E4E0E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87" w:type="pct"/>
            <w:noWrap w:val="0"/>
            <w:vAlign w:val="center"/>
          </w:tcPr>
          <w:p w14:paraId="44437D4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06" w:type="pct"/>
            <w:vMerge w:val="continue"/>
            <w:noWrap w:val="0"/>
            <w:vAlign w:val="center"/>
          </w:tcPr>
          <w:p w14:paraId="66F157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5" w:type="pct"/>
            <w:noWrap w:val="0"/>
            <w:vAlign w:val="center"/>
          </w:tcPr>
          <w:p w14:paraId="6F7D49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69" w:type="pct"/>
            <w:noWrap w:val="0"/>
            <w:vAlign w:val="center"/>
          </w:tcPr>
          <w:p w14:paraId="6118D5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38.1 </w:t>
            </w:r>
          </w:p>
        </w:tc>
        <w:tc>
          <w:tcPr>
            <w:tcW w:w="178" w:type="pct"/>
            <w:noWrap w:val="0"/>
            <w:vAlign w:val="center"/>
          </w:tcPr>
          <w:p w14:paraId="7274318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34.2</w:t>
            </w:r>
          </w:p>
        </w:tc>
        <w:tc>
          <w:tcPr>
            <w:tcW w:w="174" w:type="pct"/>
            <w:noWrap w:val="0"/>
            <w:vAlign w:val="center"/>
          </w:tcPr>
          <w:p w14:paraId="73CE26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31.5</w:t>
            </w:r>
          </w:p>
        </w:tc>
        <w:tc>
          <w:tcPr>
            <w:tcW w:w="159" w:type="pct"/>
            <w:noWrap w:val="0"/>
            <w:vAlign w:val="center"/>
          </w:tcPr>
          <w:p w14:paraId="6AFE95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45.5</w:t>
            </w:r>
          </w:p>
        </w:tc>
        <w:tc>
          <w:tcPr>
            <w:tcW w:w="194" w:type="pct"/>
            <w:noWrap w:val="0"/>
            <w:vAlign w:val="center"/>
          </w:tcPr>
          <w:p w14:paraId="3AFB7D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2CE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12" w:type="pct"/>
            <w:shd w:val="clear" w:color="auto" w:fill="auto"/>
            <w:noWrap w:val="0"/>
            <w:vAlign w:val="center"/>
          </w:tcPr>
          <w:p w14:paraId="5A0176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72" w:type="pct"/>
            <w:vMerge w:val="continue"/>
            <w:noWrap w:val="0"/>
            <w:vAlign w:val="center"/>
          </w:tcPr>
          <w:p w14:paraId="08D7F2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5" w:type="pct"/>
            <w:noWrap w:val="0"/>
            <w:vAlign w:val="center"/>
          </w:tcPr>
          <w:p w14:paraId="5C2390A6">
            <w:pPr>
              <w:pStyle w:val="164"/>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Style w:val="38"/>
                <w:rFonts w:hint="default" w:ascii="Times New Roman" w:hAnsi="Times New Roman" w:eastAsia="宋体" w:cs="Times New Roman"/>
                <w:color w:val="auto"/>
                <w:kern w:val="2"/>
                <w:sz w:val="21"/>
                <w:szCs w:val="21"/>
                <w:lang w:val="en-US" w:eastAsia="zh-CN" w:bidi="ar-SA"/>
              </w:rPr>
              <w:t>过滤机</w:t>
            </w:r>
          </w:p>
        </w:tc>
        <w:tc>
          <w:tcPr>
            <w:tcW w:w="300" w:type="pct"/>
            <w:noWrap w:val="0"/>
            <w:vAlign w:val="center"/>
          </w:tcPr>
          <w:p w14:paraId="4A9F89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75</w:t>
            </w:r>
          </w:p>
        </w:tc>
        <w:tc>
          <w:tcPr>
            <w:tcW w:w="192" w:type="pct"/>
            <w:noWrap w:val="0"/>
            <w:vAlign w:val="center"/>
          </w:tcPr>
          <w:p w14:paraId="7356B7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w:t>
            </w:r>
          </w:p>
        </w:tc>
        <w:tc>
          <w:tcPr>
            <w:tcW w:w="305" w:type="pct"/>
            <w:vMerge w:val="continue"/>
            <w:noWrap w:val="0"/>
            <w:vAlign w:val="center"/>
          </w:tcPr>
          <w:p w14:paraId="6A576F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5" w:type="pct"/>
            <w:noWrap w:val="0"/>
            <w:vAlign w:val="center"/>
          </w:tcPr>
          <w:p w14:paraId="226F21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14</w:t>
            </w:r>
          </w:p>
        </w:tc>
        <w:tc>
          <w:tcPr>
            <w:tcW w:w="225" w:type="pct"/>
            <w:noWrap w:val="0"/>
            <w:vAlign w:val="center"/>
          </w:tcPr>
          <w:p w14:paraId="7E68C2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18</w:t>
            </w:r>
          </w:p>
        </w:tc>
        <w:tc>
          <w:tcPr>
            <w:tcW w:w="187" w:type="pct"/>
            <w:noWrap w:val="0"/>
            <w:vAlign w:val="center"/>
          </w:tcPr>
          <w:p w14:paraId="290102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w:t>
            </w:r>
          </w:p>
        </w:tc>
        <w:tc>
          <w:tcPr>
            <w:tcW w:w="192" w:type="pct"/>
            <w:noWrap w:val="0"/>
            <w:vAlign w:val="center"/>
          </w:tcPr>
          <w:p w14:paraId="09C097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w:t>
            </w:r>
          </w:p>
        </w:tc>
        <w:tc>
          <w:tcPr>
            <w:tcW w:w="193" w:type="pct"/>
            <w:noWrap w:val="0"/>
            <w:vAlign w:val="center"/>
          </w:tcPr>
          <w:p w14:paraId="56DDEE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11</w:t>
            </w:r>
          </w:p>
        </w:tc>
        <w:tc>
          <w:tcPr>
            <w:tcW w:w="178" w:type="pct"/>
            <w:noWrap w:val="0"/>
            <w:vAlign w:val="center"/>
          </w:tcPr>
          <w:p w14:paraId="4BEEAF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15</w:t>
            </w:r>
          </w:p>
        </w:tc>
        <w:tc>
          <w:tcPr>
            <w:tcW w:w="197" w:type="pct"/>
            <w:noWrap w:val="0"/>
            <w:vAlign w:val="center"/>
          </w:tcPr>
          <w:p w14:paraId="4A9160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w:t>
            </w:r>
          </w:p>
        </w:tc>
        <w:tc>
          <w:tcPr>
            <w:tcW w:w="178" w:type="pct"/>
            <w:noWrap w:val="0"/>
            <w:vAlign w:val="center"/>
          </w:tcPr>
          <w:p w14:paraId="7CD58C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45.8</w:t>
            </w:r>
          </w:p>
        </w:tc>
        <w:tc>
          <w:tcPr>
            <w:tcW w:w="178" w:type="pct"/>
            <w:noWrap w:val="0"/>
            <w:vAlign w:val="center"/>
          </w:tcPr>
          <w:p w14:paraId="04D81F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59.4</w:t>
            </w:r>
          </w:p>
        </w:tc>
        <w:tc>
          <w:tcPr>
            <w:tcW w:w="155" w:type="pct"/>
            <w:noWrap w:val="0"/>
            <w:vAlign w:val="center"/>
          </w:tcPr>
          <w:p w14:paraId="031203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47.6</w:t>
            </w:r>
          </w:p>
        </w:tc>
        <w:tc>
          <w:tcPr>
            <w:tcW w:w="187" w:type="pct"/>
            <w:noWrap w:val="0"/>
            <w:vAlign w:val="center"/>
          </w:tcPr>
          <w:p w14:paraId="76AF4C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49.8</w:t>
            </w:r>
          </w:p>
        </w:tc>
        <w:tc>
          <w:tcPr>
            <w:tcW w:w="206" w:type="pct"/>
            <w:vMerge w:val="continue"/>
            <w:noWrap w:val="0"/>
            <w:vAlign w:val="center"/>
          </w:tcPr>
          <w:p w14:paraId="45819F2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5" w:type="pct"/>
            <w:noWrap w:val="0"/>
            <w:vAlign w:val="center"/>
          </w:tcPr>
          <w:p w14:paraId="161EDF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69" w:type="pct"/>
            <w:noWrap w:val="0"/>
            <w:vAlign w:val="center"/>
          </w:tcPr>
          <w:p w14:paraId="44812A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45.5</w:t>
            </w:r>
          </w:p>
        </w:tc>
        <w:tc>
          <w:tcPr>
            <w:tcW w:w="178" w:type="pct"/>
            <w:noWrap w:val="0"/>
            <w:vAlign w:val="center"/>
          </w:tcPr>
          <w:p w14:paraId="353623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31.5</w:t>
            </w:r>
          </w:p>
        </w:tc>
        <w:tc>
          <w:tcPr>
            <w:tcW w:w="174" w:type="pct"/>
            <w:noWrap w:val="0"/>
            <w:vAlign w:val="center"/>
          </w:tcPr>
          <w:p w14:paraId="7223F7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45.5</w:t>
            </w:r>
          </w:p>
        </w:tc>
        <w:tc>
          <w:tcPr>
            <w:tcW w:w="159" w:type="pct"/>
            <w:noWrap w:val="0"/>
            <w:vAlign w:val="center"/>
          </w:tcPr>
          <w:p w14:paraId="3C4A01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31.5</w:t>
            </w:r>
          </w:p>
        </w:tc>
        <w:tc>
          <w:tcPr>
            <w:tcW w:w="194" w:type="pct"/>
            <w:noWrap w:val="0"/>
            <w:vAlign w:val="center"/>
          </w:tcPr>
          <w:p w14:paraId="71DC3E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C6F7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12" w:type="pct"/>
            <w:shd w:val="clear" w:color="auto" w:fill="auto"/>
            <w:noWrap w:val="0"/>
            <w:vAlign w:val="center"/>
          </w:tcPr>
          <w:p w14:paraId="30BAB1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w:t>
            </w:r>
          </w:p>
        </w:tc>
        <w:tc>
          <w:tcPr>
            <w:tcW w:w="272" w:type="pct"/>
            <w:vMerge w:val="continue"/>
            <w:noWrap w:val="0"/>
            <w:vAlign w:val="center"/>
          </w:tcPr>
          <w:p w14:paraId="5C9210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5" w:type="pct"/>
            <w:noWrap w:val="0"/>
            <w:vAlign w:val="center"/>
          </w:tcPr>
          <w:p w14:paraId="1E935B6C">
            <w:pPr>
              <w:pStyle w:val="164"/>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Style w:val="38"/>
                <w:rFonts w:hint="default" w:ascii="Times New Roman" w:hAnsi="Times New Roman" w:eastAsia="宋体" w:cs="Times New Roman"/>
                <w:color w:val="auto"/>
                <w:kern w:val="2"/>
                <w:sz w:val="21"/>
                <w:szCs w:val="21"/>
                <w:lang w:val="en-US" w:eastAsia="zh-CN" w:bidi="ar-SA"/>
              </w:rPr>
              <w:t>脱臭塔</w:t>
            </w:r>
          </w:p>
        </w:tc>
        <w:tc>
          <w:tcPr>
            <w:tcW w:w="300" w:type="pct"/>
            <w:noWrap w:val="0"/>
            <w:vAlign w:val="center"/>
          </w:tcPr>
          <w:p w14:paraId="6EA3C5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75</w:t>
            </w:r>
          </w:p>
        </w:tc>
        <w:tc>
          <w:tcPr>
            <w:tcW w:w="192" w:type="pct"/>
            <w:noWrap w:val="0"/>
            <w:vAlign w:val="center"/>
          </w:tcPr>
          <w:p w14:paraId="74D4CF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w:t>
            </w:r>
          </w:p>
        </w:tc>
        <w:tc>
          <w:tcPr>
            <w:tcW w:w="305" w:type="pct"/>
            <w:vMerge w:val="continue"/>
            <w:noWrap w:val="0"/>
            <w:vAlign w:val="center"/>
          </w:tcPr>
          <w:p w14:paraId="4A812F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5" w:type="pct"/>
            <w:noWrap w:val="0"/>
            <w:vAlign w:val="center"/>
          </w:tcPr>
          <w:p w14:paraId="1ECD7D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17</w:t>
            </w:r>
          </w:p>
        </w:tc>
        <w:tc>
          <w:tcPr>
            <w:tcW w:w="225" w:type="pct"/>
            <w:noWrap w:val="0"/>
            <w:vAlign w:val="center"/>
          </w:tcPr>
          <w:p w14:paraId="3BDB24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w:t>
            </w:r>
          </w:p>
        </w:tc>
        <w:tc>
          <w:tcPr>
            <w:tcW w:w="187" w:type="pct"/>
            <w:noWrap w:val="0"/>
            <w:vAlign w:val="center"/>
          </w:tcPr>
          <w:p w14:paraId="574D5A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w:t>
            </w:r>
          </w:p>
        </w:tc>
        <w:tc>
          <w:tcPr>
            <w:tcW w:w="192" w:type="pct"/>
            <w:noWrap w:val="0"/>
            <w:vAlign w:val="center"/>
          </w:tcPr>
          <w:p w14:paraId="24CF26E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w:t>
            </w:r>
          </w:p>
        </w:tc>
        <w:tc>
          <w:tcPr>
            <w:tcW w:w="193" w:type="pct"/>
            <w:noWrap w:val="0"/>
            <w:vAlign w:val="center"/>
          </w:tcPr>
          <w:p w14:paraId="672C3F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15</w:t>
            </w:r>
          </w:p>
        </w:tc>
        <w:tc>
          <w:tcPr>
            <w:tcW w:w="178" w:type="pct"/>
            <w:noWrap w:val="0"/>
            <w:vAlign w:val="center"/>
          </w:tcPr>
          <w:p w14:paraId="75CB9F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3</w:t>
            </w:r>
          </w:p>
        </w:tc>
        <w:tc>
          <w:tcPr>
            <w:tcW w:w="197" w:type="pct"/>
            <w:noWrap w:val="0"/>
            <w:vAlign w:val="center"/>
          </w:tcPr>
          <w:p w14:paraId="7A189E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15</w:t>
            </w:r>
          </w:p>
        </w:tc>
        <w:tc>
          <w:tcPr>
            <w:tcW w:w="178" w:type="pct"/>
            <w:noWrap w:val="0"/>
            <w:vAlign w:val="center"/>
          </w:tcPr>
          <w:p w14:paraId="653856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58.1</w:t>
            </w:r>
          </w:p>
        </w:tc>
        <w:tc>
          <w:tcPr>
            <w:tcW w:w="178" w:type="pct"/>
            <w:noWrap w:val="0"/>
            <w:vAlign w:val="center"/>
          </w:tcPr>
          <w:p w14:paraId="1FD100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54.2</w:t>
            </w:r>
          </w:p>
        </w:tc>
        <w:tc>
          <w:tcPr>
            <w:tcW w:w="155" w:type="pct"/>
            <w:noWrap w:val="0"/>
            <w:vAlign w:val="center"/>
          </w:tcPr>
          <w:p w14:paraId="7466DF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51.5</w:t>
            </w:r>
          </w:p>
        </w:tc>
        <w:tc>
          <w:tcPr>
            <w:tcW w:w="187" w:type="pct"/>
            <w:noWrap w:val="0"/>
            <w:vAlign w:val="center"/>
          </w:tcPr>
          <w:p w14:paraId="1A5486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65.5</w:t>
            </w:r>
          </w:p>
        </w:tc>
        <w:tc>
          <w:tcPr>
            <w:tcW w:w="206" w:type="pct"/>
            <w:vMerge w:val="continue"/>
            <w:noWrap w:val="0"/>
            <w:vAlign w:val="center"/>
          </w:tcPr>
          <w:p w14:paraId="2E7750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5" w:type="pct"/>
            <w:noWrap w:val="0"/>
            <w:vAlign w:val="center"/>
          </w:tcPr>
          <w:p w14:paraId="718665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69" w:type="pct"/>
            <w:noWrap w:val="0"/>
            <w:vAlign w:val="center"/>
          </w:tcPr>
          <w:p w14:paraId="10E35C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52.0</w:t>
            </w:r>
          </w:p>
        </w:tc>
        <w:tc>
          <w:tcPr>
            <w:tcW w:w="178" w:type="pct"/>
            <w:noWrap w:val="0"/>
            <w:vAlign w:val="center"/>
          </w:tcPr>
          <w:p w14:paraId="7A87145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33.9</w:t>
            </w:r>
          </w:p>
        </w:tc>
        <w:tc>
          <w:tcPr>
            <w:tcW w:w="174" w:type="pct"/>
            <w:noWrap w:val="0"/>
            <w:vAlign w:val="center"/>
          </w:tcPr>
          <w:p w14:paraId="3CC07F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33.9</w:t>
            </w:r>
          </w:p>
        </w:tc>
        <w:tc>
          <w:tcPr>
            <w:tcW w:w="159" w:type="pct"/>
            <w:noWrap w:val="0"/>
            <w:vAlign w:val="center"/>
          </w:tcPr>
          <w:p w14:paraId="476CDD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52.0</w:t>
            </w:r>
          </w:p>
        </w:tc>
        <w:tc>
          <w:tcPr>
            <w:tcW w:w="194" w:type="pct"/>
            <w:noWrap w:val="0"/>
            <w:vAlign w:val="center"/>
          </w:tcPr>
          <w:p w14:paraId="59E768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F67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12" w:type="pct"/>
            <w:shd w:val="clear" w:color="auto" w:fill="auto"/>
            <w:noWrap w:val="0"/>
            <w:vAlign w:val="center"/>
          </w:tcPr>
          <w:p w14:paraId="1C411E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w:t>
            </w:r>
          </w:p>
        </w:tc>
        <w:tc>
          <w:tcPr>
            <w:tcW w:w="272" w:type="pct"/>
            <w:vMerge w:val="continue"/>
            <w:noWrap w:val="0"/>
            <w:vAlign w:val="center"/>
          </w:tcPr>
          <w:p w14:paraId="06E280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5" w:type="pct"/>
            <w:noWrap w:val="0"/>
            <w:vAlign w:val="center"/>
          </w:tcPr>
          <w:p w14:paraId="0E30CEA5">
            <w:pPr>
              <w:pStyle w:val="164"/>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Style w:val="38"/>
                <w:rFonts w:hint="default" w:ascii="Times New Roman" w:hAnsi="Times New Roman" w:eastAsia="宋体" w:cs="Times New Roman"/>
                <w:color w:val="auto"/>
                <w:kern w:val="2"/>
                <w:sz w:val="21"/>
                <w:szCs w:val="21"/>
                <w:lang w:val="en-US" w:eastAsia="zh-CN" w:bidi="ar-SA"/>
              </w:rPr>
              <w:t>脱色塔</w:t>
            </w:r>
          </w:p>
        </w:tc>
        <w:tc>
          <w:tcPr>
            <w:tcW w:w="300" w:type="pct"/>
            <w:noWrap w:val="0"/>
            <w:vAlign w:val="center"/>
          </w:tcPr>
          <w:p w14:paraId="4F0BAE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75</w:t>
            </w:r>
          </w:p>
        </w:tc>
        <w:tc>
          <w:tcPr>
            <w:tcW w:w="192" w:type="pct"/>
            <w:noWrap w:val="0"/>
            <w:vAlign w:val="center"/>
          </w:tcPr>
          <w:p w14:paraId="444554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w:t>
            </w:r>
          </w:p>
        </w:tc>
        <w:tc>
          <w:tcPr>
            <w:tcW w:w="305" w:type="pct"/>
            <w:vMerge w:val="continue"/>
            <w:noWrap w:val="0"/>
            <w:vAlign w:val="center"/>
          </w:tcPr>
          <w:p w14:paraId="211847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5" w:type="pct"/>
            <w:noWrap w:val="0"/>
            <w:vAlign w:val="center"/>
          </w:tcPr>
          <w:p w14:paraId="036580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19.5</w:t>
            </w:r>
          </w:p>
        </w:tc>
        <w:tc>
          <w:tcPr>
            <w:tcW w:w="225" w:type="pct"/>
            <w:noWrap w:val="0"/>
            <w:vAlign w:val="center"/>
          </w:tcPr>
          <w:p w14:paraId="1913AC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17</w:t>
            </w:r>
          </w:p>
        </w:tc>
        <w:tc>
          <w:tcPr>
            <w:tcW w:w="187" w:type="pct"/>
            <w:noWrap w:val="0"/>
            <w:vAlign w:val="center"/>
          </w:tcPr>
          <w:p w14:paraId="7F1161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w:t>
            </w:r>
          </w:p>
        </w:tc>
        <w:tc>
          <w:tcPr>
            <w:tcW w:w="192" w:type="pct"/>
            <w:noWrap w:val="0"/>
            <w:vAlign w:val="center"/>
          </w:tcPr>
          <w:p w14:paraId="405D1B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w:t>
            </w:r>
          </w:p>
        </w:tc>
        <w:tc>
          <w:tcPr>
            <w:tcW w:w="193" w:type="pct"/>
            <w:noWrap w:val="0"/>
            <w:vAlign w:val="center"/>
          </w:tcPr>
          <w:p w14:paraId="530285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16</w:t>
            </w:r>
          </w:p>
        </w:tc>
        <w:tc>
          <w:tcPr>
            <w:tcW w:w="178" w:type="pct"/>
            <w:noWrap w:val="0"/>
            <w:vAlign w:val="center"/>
          </w:tcPr>
          <w:p w14:paraId="488474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16</w:t>
            </w:r>
          </w:p>
        </w:tc>
        <w:tc>
          <w:tcPr>
            <w:tcW w:w="197" w:type="pct"/>
            <w:noWrap w:val="0"/>
            <w:vAlign w:val="center"/>
          </w:tcPr>
          <w:p w14:paraId="10323A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w:t>
            </w:r>
          </w:p>
        </w:tc>
        <w:tc>
          <w:tcPr>
            <w:tcW w:w="178" w:type="pct"/>
            <w:noWrap w:val="0"/>
            <w:vAlign w:val="center"/>
          </w:tcPr>
          <w:p w14:paraId="48F368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65.5</w:t>
            </w:r>
          </w:p>
        </w:tc>
        <w:tc>
          <w:tcPr>
            <w:tcW w:w="178" w:type="pct"/>
            <w:noWrap w:val="0"/>
            <w:vAlign w:val="center"/>
          </w:tcPr>
          <w:p w14:paraId="1D066B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51.5</w:t>
            </w:r>
          </w:p>
        </w:tc>
        <w:tc>
          <w:tcPr>
            <w:tcW w:w="155" w:type="pct"/>
            <w:noWrap w:val="0"/>
            <w:vAlign w:val="center"/>
          </w:tcPr>
          <w:p w14:paraId="1A5BE3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65.5</w:t>
            </w:r>
          </w:p>
        </w:tc>
        <w:tc>
          <w:tcPr>
            <w:tcW w:w="187" w:type="pct"/>
            <w:noWrap w:val="0"/>
            <w:vAlign w:val="center"/>
          </w:tcPr>
          <w:p w14:paraId="6AA70B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51.5</w:t>
            </w:r>
          </w:p>
        </w:tc>
        <w:tc>
          <w:tcPr>
            <w:tcW w:w="206" w:type="pct"/>
            <w:vMerge w:val="continue"/>
            <w:noWrap w:val="0"/>
            <w:vAlign w:val="center"/>
          </w:tcPr>
          <w:p w14:paraId="35822D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5" w:type="pct"/>
            <w:noWrap w:val="0"/>
            <w:vAlign w:val="center"/>
          </w:tcPr>
          <w:p w14:paraId="38A134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69" w:type="pct"/>
            <w:noWrap w:val="0"/>
            <w:vAlign w:val="center"/>
          </w:tcPr>
          <w:p w14:paraId="02113D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43.0</w:t>
            </w:r>
          </w:p>
        </w:tc>
        <w:tc>
          <w:tcPr>
            <w:tcW w:w="178" w:type="pct"/>
            <w:noWrap w:val="0"/>
            <w:vAlign w:val="center"/>
          </w:tcPr>
          <w:p w14:paraId="5B663E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32.1</w:t>
            </w:r>
          </w:p>
        </w:tc>
        <w:tc>
          <w:tcPr>
            <w:tcW w:w="174" w:type="pct"/>
            <w:noWrap w:val="0"/>
            <w:vAlign w:val="center"/>
          </w:tcPr>
          <w:p w14:paraId="26386E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32.7</w:t>
            </w:r>
          </w:p>
        </w:tc>
        <w:tc>
          <w:tcPr>
            <w:tcW w:w="159" w:type="pct"/>
            <w:noWrap w:val="0"/>
            <w:vAlign w:val="center"/>
          </w:tcPr>
          <w:p w14:paraId="656AB9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194" w:type="pct"/>
            <w:noWrap w:val="0"/>
            <w:vAlign w:val="center"/>
          </w:tcPr>
          <w:p w14:paraId="089594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87E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12" w:type="pct"/>
            <w:shd w:val="clear" w:color="auto" w:fill="auto"/>
            <w:noWrap w:val="0"/>
            <w:vAlign w:val="center"/>
          </w:tcPr>
          <w:p w14:paraId="1597F6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w:t>
            </w:r>
          </w:p>
        </w:tc>
        <w:tc>
          <w:tcPr>
            <w:tcW w:w="272" w:type="pct"/>
            <w:vMerge w:val="continue"/>
            <w:noWrap w:val="0"/>
            <w:vAlign w:val="center"/>
          </w:tcPr>
          <w:p w14:paraId="26BBAD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5" w:type="pct"/>
            <w:noWrap w:val="0"/>
            <w:vAlign w:val="center"/>
          </w:tcPr>
          <w:p w14:paraId="4E301B07">
            <w:pPr>
              <w:pStyle w:val="164"/>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Style w:val="38"/>
                <w:rFonts w:hint="default" w:ascii="Times New Roman" w:hAnsi="Times New Roman" w:eastAsia="宋体" w:cs="Times New Roman"/>
                <w:color w:val="auto"/>
                <w:kern w:val="2"/>
                <w:sz w:val="21"/>
                <w:szCs w:val="21"/>
                <w:lang w:val="en-US" w:eastAsia="zh-CN" w:bidi="ar-SA"/>
              </w:rPr>
              <w:t>离心机</w:t>
            </w:r>
          </w:p>
        </w:tc>
        <w:tc>
          <w:tcPr>
            <w:tcW w:w="300" w:type="pct"/>
            <w:noWrap w:val="0"/>
            <w:vAlign w:val="center"/>
          </w:tcPr>
          <w:p w14:paraId="5AC46A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75</w:t>
            </w:r>
          </w:p>
        </w:tc>
        <w:tc>
          <w:tcPr>
            <w:tcW w:w="192" w:type="pct"/>
            <w:noWrap w:val="0"/>
            <w:vAlign w:val="center"/>
          </w:tcPr>
          <w:p w14:paraId="4D76F1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w:t>
            </w:r>
          </w:p>
        </w:tc>
        <w:tc>
          <w:tcPr>
            <w:tcW w:w="305" w:type="pct"/>
            <w:vMerge w:val="continue"/>
            <w:noWrap w:val="0"/>
            <w:vAlign w:val="center"/>
          </w:tcPr>
          <w:p w14:paraId="2C340C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5" w:type="pct"/>
            <w:noWrap w:val="0"/>
            <w:vAlign w:val="center"/>
          </w:tcPr>
          <w:p w14:paraId="720EB6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17</w:t>
            </w:r>
          </w:p>
        </w:tc>
        <w:tc>
          <w:tcPr>
            <w:tcW w:w="225" w:type="pct"/>
            <w:noWrap w:val="0"/>
            <w:vAlign w:val="center"/>
          </w:tcPr>
          <w:p w14:paraId="547B1D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13</w:t>
            </w:r>
          </w:p>
        </w:tc>
        <w:tc>
          <w:tcPr>
            <w:tcW w:w="187" w:type="pct"/>
            <w:noWrap w:val="0"/>
            <w:vAlign w:val="center"/>
          </w:tcPr>
          <w:p w14:paraId="08252C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w:t>
            </w:r>
          </w:p>
        </w:tc>
        <w:tc>
          <w:tcPr>
            <w:tcW w:w="192" w:type="pct"/>
            <w:noWrap w:val="0"/>
            <w:vAlign w:val="center"/>
          </w:tcPr>
          <w:p w14:paraId="5B825F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4</w:t>
            </w:r>
          </w:p>
        </w:tc>
        <w:tc>
          <w:tcPr>
            <w:tcW w:w="193" w:type="pct"/>
            <w:noWrap w:val="0"/>
            <w:vAlign w:val="center"/>
          </w:tcPr>
          <w:p w14:paraId="169744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14</w:t>
            </w:r>
          </w:p>
        </w:tc>
        <w:tc>
          <w:tcPr>
            <w:tcW w:w="178" w:type="pct"/>
            <w:noWrap w:val="0"/>
            <w:vAlign w:val="center"/>
          </w:tcPr>
          <w:p w14:paraId="77F8DF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13</w:t>
            </w:r>
          </w:p>
        </w:tc>
        <w:tc>
          <w:tcPr>
            <w:tcW w:w="197" w:type="pct"/>
            <w:noWrap w:val="0"/>
            <w:vAlign w:val="center"/>
          </w:tcPr>
          <w:p w14:paraId="6BDBAD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w:t>
            </w:r>
          </w:p>
        </w:tc>
        <w:tc>
          <w:tcPr>
            <w:tcW w:w="178" w:type="pct"/>
            <w:noWrap w:val="0"/>
            <w:vAlign w:val="center"/>
          </w:tcPr>
          <w:p w14:paraId="2A26E1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72.0</w:t>
            </w:r>
          </w:p>
        </w:tc>
        <w:tc>
          <w:tcPr>
            <w:tcW w:w="178" w:type="pct"/>
            <w:noWrap w:val="0"/>
            <w:vAlign w:val="center"/>
          </w:tcPr>
          <w:p w14:paraId="0A18FB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53.9</w:t>
            </w:r>
          </w:p>
        </w:tc>
        <w:tc>
          <w:tcPr>
            <w:tcW w:w="155" w:type="pct"/>
            <w:noWrap w:val="0"/>
            <w:vAlign w:val="center"/>
          </w:tcPr>
          <w:p w14:paraId="19409B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53.9</w:t>
            </w:r>
          </w:p>
        </w:tc>
        <w:tc>
          <w:tcPr>
            <w:tcW w:w="187" w:type="pct"/>
            <w:noWrap w:val="0"/>
            <w:vAlign w:val="center"/>
          </w:tcPr>
          <w:p w14:paraId="6A923D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72.0</w:t>
            </w:r>
          </w:p>
        </w:tc>
        <w:tc>
          <w:tcPr>
            <w:tcW w:w="206" w:type="pct"/>
            <w:vMerge w:val="continue"/>
            <w:noWrap w:val="0"/>
            <w:vAlign w:val="center"/>
          </w:tcPr>
          <w:p w14:paraId="3AC660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5" w:type="pct"/>
            <w:noWrap w:val="0"/>
            <w:vAlign w:val="center"/>
          </w:tcPr>
          <w:p w14:paraId="2CD960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69" w:type="pct"/>
            <w:noWrap w:val="0"/>
            <w:vAlign w:val="center"/>
          </w:tcPr>
          <w:p w14:paraId="2ACA97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49.0</w:t>
            </w:r>
          </w:p>
        </w:tc>
        <w:tc>
          <w:tcPr>
            <w:tcW w:w="178" w:type="pct"/>
            <w:noWrap w:val="0"/>
            <w:vAlign w:val="center"/>
          </w:tcPr>
          <w:p w14:paraId="2447CD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30.9</w:t>
            </w:r>
          </w:p>
        </w:tc>
        <w:tc>
          <w:tcPr>
            <w:tcW w:w="174" w:type="pct"/>
            <w:noWrap w:val="0"/>
            <w:vAlign w:val="center"/>
          </w:tcPr>
          <w:p w14:paraId="3436B6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32.7</w:t>
            </w:r>
          </w:p>
        </w:tc>
        <w:tc>
          <w:tcPr>
            <w:tcW w:w="159" w:type="pct"/>
            <w:noWrap w:val="0"/>
            <w:vAlign w:val="center"/>
          </w:tcPr>
          <w:p w14:paraId="36CE2C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41.0</w:t>
            </w:r>
          </w:p>
        </w:tc>
        <w:tc>
          <w:tcPr>
            <w:tcW w:w="194" w:type="pct"/>
            <w:noWrap w:val="0"/>
            <w:vAlign w:val="center"/>
          </w:tcPr>
          <w:p w14:paraId="56FAD2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736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12" w:type="pct"/>
            <w:shd w:val="clear" w:color="auto" w:fill="auto"/>
            <w:noWrap w:val="0"/>
            <w:vAlign w:val="center"/>
          </w:tcPr>
          <w:p w14:paraId="6A868C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w:t>
            </w:r>
          </w:p>
        </w:tc>
        <w:tc>
          <w:tcPr>
            <w:tcW w:w="272" w:type="pct"/>
            <w:vMerge w:val="continue"/>
            <w:noWrap w:val="0"/>
            <w:vAlign w:val="center"/>
          </w:tcPr>
          <w:p w14:paraId="450C9D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5" w:type="pct"/>
            <w:noWrap w:val="0"/>
            <w:vAlign w:val="center"/>
          </w:tcPr>
          <w:p w14:paraId="2F4A392D">
            <w:pPr>
              <w:pStyle w:val="164"/>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Style w:val="38"/>
                <w:rFonts w:hint="default" w:ascii="Times New Roman" w:hAnsi="Times New Roman" w:eastAsia="宋体" w:cs="Times New Roman"/>
                <w:color w:val="auto"/>
                <w:kern w:val="2"/>
                <w:sz w:val="21"/>
                <w:szCs w:val="21"/>
                <w:lang w:val="en-US" w:eastAsia="zh-CN" w:bidi="ar-SA"/>
              </w:rPr>
              <w:t>过滤机</w:t>
            </w:r>
          </w:p>
        </w:tc>
        <w:tc>
          <w:tcPr>
            <w:tcW w:w="300" w:type="pct"/>
            <w:noWrap w:val="0"/>
            <w:vAlign w:val="center"/>
          </w:tcPr>
          <w:p w14:paraId="6C8332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70</w:t>
            </w:r>
          </w:p>
        </w:tc>
        <w:tc>
          <w:tcPr>
            <w:tcW w:w="192" w:type="pct"/>
            <w:noWrap w:val="0"/>
            <w:vAlign w:val="center"/>
          </w:tcPr>
          <w:p w14:paraId="58526F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w:t>
            </w:r>
          </w:p>
        </w:tc>
        <w:tc>
          <w:tcPr>
            <w:tcW w:w="305" w:type="pct"/>
            <w:vMerge w:val="continue"/>
            <w:noWrap w:val="0"/>
            <w:vAlign w:val="center"/>
          </w:tcPr>
          <w:p w14:paraId="34FF4B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5" w:type="pct"/>
            <w:noWrap w:val="0"/>
            <w:vAlign w:val="center"/>
          </w:tcPr>
          <w:p w14:paraId="5EBFF8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w:t>
            </w:r>
          </w:p>
        </w:tc>
        <w:tc>
          <w:tcPr>
            <w:tcW w:w="225" w:type="pct"/>
            <w:noWrap w:val="0"/>
            <w:vAlign w:val="center"/>
          </w:tcPr>
          <w:p w14:paraId="446F4A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w:t>
            </w:r>
          </w:p>
        </w:tc>
        <w:tc>
          <w:tcPr>
            <w:tcW w:w="187" w:type="pct"/>
            <w:noWrap w:val="0"/>
            <w:vAlign w:val="center"/>
          </w:tcPr>
          <w:p w14:paraId="7A6F02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w:t>
            </w:r>
          </w:p>
        </w:tc>
        <w:tc>
          <w:tcPr>
            <w:tcW w:w="192" w:type="pct"/>
            <w:noWrap w:val="0"/>
            <w:vAlign w:val="center"/>
          </w:tcPr>
          <w:p w14:paraId="2B0149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13</w:t>
            </w:r>
          </w:p>
        </w:tc>
        <w:tc>
          <w:tcPr>
            <w:tcW w:w="193" w:type="pct"/>
            <w:noWrap w:val="0"/>
            <w:vAlign w:val="center"/>
          </w:tcPr>
          <w:p w14:paraId="208D18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w:t>
            </w:r>
          </w:p>
        </w:tc>
        <w:tc>
          <w:tcPr>
            <w:tcW w:w="178" w:type="pct"/>
            <w:noWrap w:val="0"/>
            <w:vAlign w:val="center"/>
          </w:tcPr>
          <w:p w14:paraId="0B6F09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8</w:t>
            </w:r>
          </w:p>
        </w:tc>
        <w:tc>
          <w:tcPr>
            <w:tcW w:w="197" w:type="pct"/>
            <w:noWrap w:val="0"/>
            <w:vAlign w:val="center"/>
          </w:tcPr>
          <w:p w14:paraId="3427957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8</w:t>
            </w:r>
          </w:p>
        </w:tc>
        <w:tc>
          <w:tcPr>
            <w:tcW w:w="178" w:type="pct"/>
            <w:noWrap w:val="0"/>
            <w:vAlign w:val="center"/>
          </w:tcPr>
          <w:p w14:paraId="401CD3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60.5</w:t>
            </w:r>
          </w:p>
        </w:tc>
        <w:tc>
          <w:tcPr>
            <w:tcW w:w="178" w:type="pct"/>
            <w:noWrap w:val="0"/>
            <w:vAlign w:val="center"/>
          </w:tcPr>
          <w:p w14:paraId="3DBD099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46.5</w:t>
            </w:r>
          </w:p>
        </w:tc>
        <w:tc>
          <w:tcPr>
            <w:tcW w:w="155" w:type="pct"/>
            <w:noWrap w:val="0"/>
            <w:vAlign w:val="center"/>
          </w:tcPr>
          <w:p w14:paraId="611AB2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51.9</w:t>
            </w:r>
          </w:p>
        </w:tc>
        <w:tc>
          <w:tcPr>
            <w:tcW w:w="187" w:type="pct"/>
            <w:noWrap w:val="0"/>
            <w:vAlign w:val="center"/>
          </w:tcPr>
          <w:p w14:paraId="2C6916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51.9</w:t>
            </w:r>
          </w:p>
        </w:tc>
        <w:tc>
          <w:tcPr>
            <w:tcW w:w="206" w:type="pct"/>
            <w:vMerge w:val="continue"/>
            <w:noWrap w:val="0"/>
            <w:vAlign w:val="center"/>
          </w:tcPr>
          <w:p w14:paraId="28B29A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5" w:type="pct"/>
            <w:noWrap w:val="0"/>
            <w:vAlign w:val="center"/>
          </w:tcPr>
          <w:p w14:paraId="5E80BB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69" w:type="pct"/>
            <w:noWrap w:val="0"/>
            <w:vAlign w:val="center"/>
          </w:tcPr>
          <w:p w14:paraId="57C6C6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27.7</w:t>
            </w:r>
          </w:p>
        </w:tc>
        <w:tc>
          <w:tcPr>
            <w:tcW w:w="178" w:type="pct"/>
            <w:noWrap w:val="0"/>
            <w:vAlign w:val="center"/>
          </w:tcPr>
          <w:p w14:paraId="108EA5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36.0</w:t>
            </w:r>
          </w:p>
        </w:tc>
        <w:tc>
          <w:tcPr>
            <w:tcW w:w="174" w:type="pct"/>
            <w:noWrap w:val="0"/>
            <w:vAlign w:val="center"/>
          </w:tcPr>
          <w:p w14:paraId="15CFD6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28.4</w:t>
            </w:r>
          </w:p>
        </w:tc>
        <w:tc>
          <w:tcPr>
            <w:tcW w:w="159" w:type="pct"/>
            <w:noWrap w:val="0"/>
            <w:vAlign w:val="center"/>
          </w:tcPr>
          <w:p w14:paraId="0672EB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34.4</w:t>
            </w:r>
          </w:p>
        </w:tc>
        <w:tc>
          <w:tcPr>
            <w:tcW w:w="194" w:type="pct"/>
            <w:noWrap w:val="0"/>
            <w:vAlign w:val="center"/>
          </w:tcPr>
          <w:p w14:paraId="552B43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C86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12" w:type="pct"/>
            <w:shd w:val="clear" w:color="auto" w:fill="auto"/>
            <w:noWrap w:val="0"/>
            <w:vAlign w:val="center"/>
          </w:tcPr>
          <w:p w14:paraId="42890C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w:t>
            </w:r>
          </w:p>
        </w:tc>
        <w:tc>
          <w:tcPr>
            <w:tcW w:w="272" w:type="pct"/>
            <w:vMerge w:val="continue"/>
            <w:noWrap w:val="0"/>
            <w:vAlign w:val="center"/>
          </w:tcPr>
          <w:p w14:paraId="6E248C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95" w:type="pct"/>
            <w:noWrap w:val="0"/>
            <w:vAlign w:val="center"/>
          </w:tcPr>
          <w:p w14:paraId="10FFAFF6">
            <w:pPr>
              <w:pStyle w:val="164"/>
              <w:widowControl w:val="0"/>
              <w:jc w:val="center"/>
              <w:rPr>
                <w:rFonts w:hint="default" w:ascii="Times New Roman" w:hAnsi="Times New Roman" w:eastAsia="宋体" w:cs="Times New Roman"/>
                <w:i w:val="0"/>
                <w:iCs w:val="0"/>
                <w:color w:val="auto"/>
                <w:kern w:val="0"/>
                <w:sz w:val="21"/>
                <w:szCs w:val="21"/>
                <w:u w:val="none"/>
                <w:lang w:val="en-US" w:eastAsia="zh-CN" w:bidi="ar"/>
              </w:rPr>
            </w:pPr>
            <w:r>
              <w:rPr>
                <w:rStyle w:val="38"/>
                <w:rFonts w:hint="default" w:ascii="Times New Roman" w:hAnsi="Times New Roman" w:eastAsia="宋体" w:cs="Times New Roman"/>
                <w:color w:val="auto"/>
                <w:kern w:val="2"/>
                <w:sz w:val="21"/>
                <w:szCs w:val="21"/>
                <w:lang w:val="en-US" w:eastAsia="zh-CN" w:bidi="ar-SA"/>
              </w:rPr>
              <w:t>碱练锅</w:t>
            </w:r>
          </w:p>
        </w:tc>
        <w:tc>
          <w:tcPr>
            <w:tcW w:w="300" w:type="pct"/>
            <w:noWrap w:val="0"/>
            <w:vAlign w:val="center"/>
          </w:tcPr>
          <w:p w14:paraId="76A761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70</w:t>
            </w:r>
          </w:p>
        </w:tc>
        <w:tc>
          <w:tcPr>
            <w:tcW w:w="192" w:type="pct"/>
            <w:noWrap w:val="0"/>
            <w:vAlign w:val="center"/>
          </w:tcPr>
          <w:p w14:paraId="4DD315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w:t>
            </w:r>
          </w:p>
        </w:tc>
        <w:tc>
          <w:tcPr>
            <w:tcW w:w="305" w:type="pct"/>
            <w:vMerge w:val="continue"/>
            <w:noWrap w:val="0"/>
            <w:vAlign w:val="center"/>
          </w:tcPr>
          <w:p w14:paraId="2AA2A0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5" w:type="pct"/>
            <w:noWrap w:val="0"/>
            <w:vAlign w:val="center"/>
          </w:tcPr>
          <w:p w14:paraId="014E7F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7.5</w:t>
            </w:r>
          </w:p>
        </w:tc>
        <w:tc>
          <w:tcPr>
            <w:tcW w:w="225" w:type="pct"/>
            <w:noWrap w:val="0"/>
            <w:vAlign w:val="center"/>
          </w:tcPr>
          <w:p w14:paraId="2052A0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12</w:t>
            </w:r>
          </w:p>
        </w:tc>
        <w:tc>
          <w:tcPr>
            <w:tcW w:w="187" w:type="pct"/>
            <w:noWrap w:val="0"/>
            <w:vAlign w:val="center"/>
          </w:tcPr>
          <w:p w14:paraId="2E0826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2</w:t>
            </w:r>
          </w:p>
        </w:tc>
        <w:tc>
          <w:tcPr>
            <w:tcW w:w="192" w:type="pct"/>
            <w:noWrap w:val="0"/>
            <w:vAlign w:val="center"/>
          </w:tcPr>
          <w:p w14:paraId="43BC95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13</w:t>
            </w:r>
          </w:p>
        </w:tc>
        <w:tc>
          <w:tcPr>
            <w:tcW w:w="193" w:type="pct"/>
            <w:noWrap w:val="0"/>
            <w:vAlign w:val="center"/>
          </w:tcPr>
          <w:p w14:paraId="526B6B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5</w:t>
            </w:r>
          </w:p>
        </w:tc>
        <w:tc>
          <w:tcPr>
            <w:tcW w:w="178" w:type="pct"/>
            <w:noWrap w:val="0"/>
            <w:vAlign w:val="center"/>
          </w:tcPr>
          <w:p w14:paraId="52D52B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12</w:t>
            </w:r>
          </w:p>
        </w:tc>
        <w:tc>
          <w:tcPr>
            <w:tcW w:w="197" w:type="pct"/>
            <w:noWrap w:val="0"/>
            <w:vAlign w:val="center"/>
          </w:tcPr>
          <w:p w14:paraId="0ECBD3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6</w:t>
            </w:r>
          </w:p>
        </w:tc>
        <w:tc>
          <w:tcPr>
            <w:tcW w:w="178" w:type="pct"/>
            <w:noWrap w:val="0"/>
            <w:vAlign w:val="center"/>
          </w:tcPr>
          <w:p w14:paraId="03374B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47.7</w:t>
            </w:r>
          </w:p>
        </w:tc>
        <w:tc>
          <w:tcPr>
            <w:tcW w:w="178" w:type="pct"/>
            <w:noWrap w:val="0"/>
            <w:vAlign w:val="center"/>
          </w:tcPr>
          <w:p w14:paraId="271ABD4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56.0</w:t>
            </w:r>
          </w:p>
        </w:tc>
        <w:tc>
          <w:tcPr>
            <w:tcW w:w="155" w:type="pct"/>
            <w:noWrap w:val="0"/>
            <w:vAlign w:val="center"/>
          </w:tcPr>
          <w:p w14:paraId="2D099A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51.9</w:t>
            </w:r>
          </w:p>
        </w:tc>
        <w:tc>
          <w:tcPr>
            <w:tcW w:w="187" w:type="pct"/>
            <w:noWrap w:val="0"/>
            <w:vAlign w:val="center"/>
          </w:tcPr>
          <w:p w14:paraId="307970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51.9</w:t>
            </w:r>
          </w:p>
        </w:tc>
        <w:tc>
          <w:tcPr>
            <w:tcW w:w="206" w:type="pct"/>
            <w:vMerge w:val="continue"/>
            <w:noWrap w:val="0"/>
            <w:vAlign w:val="center"/>
          </w:tcPr>
          <w:p w14:paraId="134B6F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5" w:type="pct"/>
            <w:noWrap w:val="0"/>
            <w:vAlign w:val="center"/>
          </w:tcPr>
          <w:p w14:paraId="16108B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69" w:type="pct"/>
            <w:noWrap w:val="0"/>
            <w:vAlign w:val="center"/>
          </w:tcPr>
          <w:p w14:paraId="41D851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28.1</w:t>
            </w:r>
          </w:p>
        </w:tc>
        <w:tc>
          <w:tcPr>
            <w:tcW w:w="178" w:type="pct"/>
            <w:noWrap w:val="0"/>
            <w:vAlign w:val="center"/>
          </w:tcPr>
          <w:p w14:paraId="43FC9E0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35.2</w:t>
            </w:r>
          </w:p>
        </w:tc>
        <w:tc>
          <w:tcPr>
            <w:tcW w:w="174" w:type="pct"/>
            <w:noWrap w:val="0"/>
            <w:vAlign w:val="center"/>
          </w:tcPr>
          <w:p w14:paraId="7D015C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27.4</w:t>
            </w:r>
          </w:p>
        </w:tc>
        <w:tc>
          <w:tcPr>
            <w:tcW w:w="159" w:type="pct"/>
            <w:noWrap w:val="0"/>
            <w:vAlign w:val="center"/>
          </w:tcPr>
          <w:p w14:paraId="670801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36.9</w:t>
            </w:r>
          </w:p>
        </w:tc>
        <w:tc>
          <w:tcPr>
            <w:tcW w:w="194" w:type="pct"/>
            <w:noWrap w:val="0"/>
            <w:vAlign w:val="center"/>
          </w:tcPr>
          <w:p w14:paraId="2BEEFE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D4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24"/>
            <w:noWrap w:val="0"/>
            <w:vAlign w:val="center"/>
          </w:tcPr>
          <w:p w14:paraId="0E460D06">
            <w:pPr>
              <w:pStyle w:val="163"/>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注：根据声导则，本项目同类型设备有大致相同的源强、尺寸，位于</w:t>
            </w:r>
            <w:r>
              <w:rPr>
                <w:rFonts w:hint="default" w:ascii="Times New Roman" w:hAnsi="Times New Roman" w:cs="Times New Roman"/>
                <w:color w:val="auto"/>
                <w:sz w:val="21"/>
                <w:szCs w:val="21"/>
                <w:lang w:eastAsia="zh-CN"/>
              </w:rPr>
              <w:t>同一</w:t>
            </w:r>
            <w:r>
              <w:rPr>
                <w:rFonts w:hint="default" w:ascii="Times New Roman" w:hAnsi="Times New Roman" w:cs="Times New Roman"/>
                <w:color w:val="auto"/>
                <w:sz w:val="21"/>
                <w:szCs w:val="21"/>
              </w:rPr>
              <w:t>车间内，传播条件相同，且声源至车间各边界距离均大于自身最大几何尺寸的两倍，因此众多相同类型设备同类型等效为一个设备，坐标为等效坐标点位置，其噪声级叠加计算</w:t>
            </w:r>
            <w:r>
              <w:rPr>
                <w:rFonts w:hint="default" w:ascii="Times New Roman" w:hAnsi="Times New Roman" w:cs="Times New Roman"/>
                <w:color w:val="auto"/>
                <w:sz w:val="21"/>
                <w:szCs w:val="21"/>
                <w:lang w:val="en-US" w:eastAsia="zh-CN"/>
              </w:rPr>
              <w:t>。</w:t>
            </w:r>
          </w:p>
        </w:tc>
      </w:tr>
    </w:tbl>
    <w:p w14:paraId="6B31B8DC">
      <w:pPr>
        <w:rPr>
          <w:rFonts w:hint="default" w:ascii="Times New Roman" w:hAnsi="Times New Roman" w:cs="Times New Roman"/>
          <w:color w:val="auto"/>
        </w:rPr>
        <w:sectPr>
          <w:pgSz w:w="16840" w:h="11907" w:orient="landscape"/>
          <w:pgMar w:top="1247" w:right="1247" w:bottom="1134" w:left="1134" w:header="851" w:footer="851" w:gutter="0"/>
          <w:pgBorders w:offsetFrom="page">
            <w:top w:val="none" w:sz="0" w:space="0"/>
            <w:left w:val="none" w:sz="0" w:space="0"/>
            <w:bottom w:val="none" w:sz="0" w:space="0"/>
            <w:right w:val="none" w:sz="0" w:space="0"/>
          </w:pgBorders>
          <w:cols w:space="720" w:num="1"/>
          <w:docGrid w:linePitch="312" w:charSpace="0"/>
        </w:sectPr>
      </w:pP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8295"/>
      </w:tblGrid>
      <w:tr w14:paraId="245B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9" w:hRule="atLeast"/>
          <w:jc w:val="center"/>
        </w:trPr>
        <w:tc>
          <w:tcPr>
            <w:tcW w:w="414" w:type="dxa"/>
            <w:noWrap w:val="0"/>
            <w:vAlign w:val="top"/>
          </w:tcPr>
          <w:p w14:paraId="345BEF9B">
            <w:pPr>
              <w:pStyle w:val="7"/>
              <w:rPr>
                <w:rFonts w:hint="default" w:ascii="Times New Roman" w:hAnsi="Times New Roman" w:eastAsia="宋体" w:cs="Times New Roman"/>
                <w:color w:val="auto"/>
                <w:spacing w:val="0"/>
                <w:highlight w:val="none"/>
                <w:vertAlign w:val="baseline"/>
              </w:rPr>
            </w:pPr>
          </w:p>
        </w:tc>
        <w:tc>
          <w:tcPr>
            <w:tcW w:w="8103" w:type="dxa"/>
            <w:noWrap w:val="0"/>
            <w:vAlign w:val="top"/>
          </w:tcPr>
          <w:p w14:paraId="4ACBEB7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color w:val="auto"/>
                <w:spacing w:val="0"/>
                <w:sz w:val="24"/>
                <w:szCs w:val="24"/>
                <w:highlight w:val="none"/>
              </w:rPr>
            </w:pPr>
            <w:r>
              <w:rPr>
                <w:rFonts w:hint="default" w:ascii="Times New Roman" w:hAnsi="Times New Roman" w:eastAsia="宋体" w:cs="Times New Roman"/>
                <w:b/>
                <w:bCs w:val="0"/>
                <w:color w:val="auto"/>
                <w:spacing w:val="0"/>
                <w:sz w:val="24"/>
                <w:szCs w:val="24"/>
                <w:highlight w:val="none"/>
              </w:rPr>
              <w:t>3.3噪声预测结果</w:t>
            </w:r>
          </w:p>
          <w:p w14:paraId="715FC33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本项目</w:t>
            </w:r>
            <w:r>
              <w:rPr>
                <w:rFonts w:hint="default" w:ascii="Times New Roman" w:hAnsi="Times New Roman" w:eastAsia="宋体" w:cs="Times New Roman"/>
                <w:b w:val="0"/>
                <w:bCs/>
                <w:color w:val="auto"/>
                <w:spacing w:val="0"/>
                <w:highlight w:val="none"/>
                <w:lang w:val="en-US" w:eastAsia="zh-CN"/>
              </w:rPr>
              <w:t>厂界周边50m范围内不存在声环境保护敏感目标</w:t>
            </w:r>
            <w:r>
              <w:rPr>
                <w:rFonts w:hint="default" w:ascii="Times New Roman" w:hAnsi="Times New Roman" w:eastAsia="宋体" w:cs="Times New Roman"/>
                <w:color w:val="auto"/>
                <w:spacing w:val="0"/>
                <w:sz w:val="24"/>
                <w:szCs w:val="24"/>
                <w:highlight w:val="none"/>
              </w:rPr>
              <w:t>，本次评价至项目厂</w:t>
            </w:r>
            <w:r>
              <w:rPr>
                <w:rFonts w:hint="default" w:ascii="Times New Roman" w:hAnsi="Times New Roman" w:eastAsia="宋体" w:cs="Times New Roman"/>
                <w:color w:val="auto"/>
                <w:spacing w:val="0"/>
                <w:sz w:val="24"/>
                <w:szCs w:val="24"/>
                <w:highlight w:val="none"/>
                <w:lang w:val="en-US" w:eastAsia="zh-CN"/>
              </w:rPr>
              <w:t>房</w:t>
            </w:r>
            <w:r>
              <w:rPr>
                <w:rFonts w:hint="default" w:ascii="Times New Roman" w:hAnsi="Times New Roman" w:eastAsia="宋体" w:cs="Times New Roman"/>
                <w:color w:val="auto"/>
                <w:spacing w:val="0"/>
                <w:sz w:val="24"/>
                <w:szCs w:val="24"/>
                <w:highlight w:val="none"/>
              </w:rPr>
              <w:t>外1m，</w:t>
            </w:r>
            <w:r>
              <w:rPr>
                <w:rFonts w:hint="default" w:ascii="Times New Roman" w:hAnsi="Times New Roman" w:eastAsia="宋体" w:cs="Times New Roman"/>
                <w:color w:val="auto"/>
                <w:spacing w:val="0"/>
                <w:sz w:val="24"/>
                <w:szCs w:val="24"/>
                <w:highlight w:val="none"/>
                <w:lang w:val="en-US" w:eastAsia="zh-CN"/>
              </w:rPr>
              <w:t>针对本次扩建设备与现有高噪声设备</w:t>
            </w:r>
            <w:r>
              <w:rPr>
                <w:rFonts w:hint="default" w:ascii="Times New Roman" w:hAnsi="Times New Roman" w:eastAsia="宋体" w:cs="Times New Roman"/>
                <w:color w:val="auto"/>
                <w:spacing w:val="0"/>
                <w:sz w:val="24"/>
                <w:szCs w:val="24"/>
                <w:highlight w:val="none"/>
              </w:rPr>
              <w:t>进行厂界达标论证</w:t>
            </w:r>
            <w:r>
              <w:rPr>
                <w:rFonts w:hint="default" w:ascii="Times New Roman" w:hAnsi="Times New Roman" w:eastAsia="宋体" w:cs="Times New Roman"/>
                <w:color w:val="auto"/>
                <w:spacing w:val="0"/>
                <w:sz w:val="24"/>
                <w:szCs w:val="24"/>
                <w:highlight w:val="none"/>
                <w:lang w:val="en-US" w:eastAsia="zh-CN"/>
              </w:rPr>
              <w:t>分析</w:t>
            </w:r>
            <w:r>
              <w:rPr>
                <w:rFonts w:hint="default" w:ascii="Times New Roman" w:hAnsi="Times New Roman" w:eastAsia="宋体" w:cs="Times New Roman"/>
                <w:color w:val="auto"/>
                <w:spacing w:val="0"/>
                <w:sz w:val="24"/>
                <w:szCs w:val="24"/>
                <w:highlight w:val="none"/>
              </w:rPr>
              <w:t>。采用上述预测方法，拟建项目主要噪声源对厂界噪声贡献值预测计算结果汇总见下表。</w:t>
            </w:r>
          </w:p>
          <w:p w14:paraId="498FDEE2">
            <w:pPr>
              <w:pStyle w:val="7"/>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eastAsia="宋体" w:cs="Times New Roman"/>
                <w:b/>
                <w:bCs/>
                <w:color w:val="auto"/>
                <w:spacing w:val="0"/>
                <w:sz w:val="21"/>
                <w:szCs w:val="21"/>
                <w:highlight w:val="none"/>
              </w:rPr>
            </w:pPr>
            <w:r>
              <w:rPr>
                <w:rFonts w:hint="default" w:ascii="Times New Roman" w:hAnsi="Times New Roman" w:eastAsia="宋体" w:cs="Times New Roman"/>
                <w:b/>
                <w:bCs/>
                <w:color w:val="auto"/>
                <w:spacing w:val="0"/>
                <w:sz w:val="21"/>
                <w:szCs w:val="21"/>
                <w:highlight w:val="none"/>
              </w:rPr>
              <w:t>表4-</w:t>
            </w:r>
            <w:r>
              <w:rPr>
                <w:rFonts w:hint="default" w:ascii="Times New Roman" w:hAnsi="Times New Roman" w:eastAsia="宋体" w:cs="Times New Roman"/>
                <w:b/>
                <w:bCs/>
                <w:color w:val="auto"/>
                <w:spacing w:val="0"/>
                <w:sz w:val="21"/>
                <w:szCs w:val="21"/>
                <w:highlight w:val="none"/>
                <w:lang w:val="en-US" w:eastAsia="zh-CN"/>
              </w:rPr>
              <w:t>1</w:t>
            </w:r>
            <w:r>
              <w:rPr>
                <w:rFonts w:hint="default" w:ascii="Times New Roman" w:hAnsi="Times New Roman" w:cs="Times New Roman"/>
                <w:b/>
                <w:bCs/>
                <w:color w:val="auto"/>
                <w:spacing w:val="0"/>
                <w:sz w:val="21"/>
                <w:szCs w:val="21"/>
                <w:highlight w:val="none"/>
                <w:lang w:val="en-US" w:eastAsia="zh-CN"/>
              </w:rPr>
              <w:t>1</w:t>
            </w:r>
            <w:r>
              <w:rPr>
                <w:rFonts w:hint="default" w:ascii="Times New Roman" w:hAnsi="Times New Roman" w:eastAsia="宋体" w:cs="Times New Roman"/>
                <w:b/>
                <w:bCs/>
                <w:color w:val="auto"/>
                <w:spacing w:val="0"/>
                <w:sz w:val="21"/>
                <w:szCs w:val="21"/>
                <w:highlight w:val="none"/>
              </w:rPr>
              <w:t>噪声预测结果统计表单位dB(A)</w:t>
            </w:r>
          </w:p>
          <w:tbl>
            <w:tblPr>
              <w:tblStyle w:val="3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1101"/>
              <w:gridCol w:w="1225"/>
              <w:gridCol w:w="1553"/>
              <w:gridCol w:w="1553"/>
            </w:tblGrid>
            <w:tr w14:paraId="0657B4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637" w:type="pct"/>
                  <w:vMerge w:val="restart"/>
                  <w:noWrap w:val="0"/>
                  <w:vAlign w:val="center"/>
                </w:tcPr>
                <w:p w14:paraId="3380368D">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预测点</w:t>
                  </w:r>
                </w:p>
              </w:tc>
              <w:tc>
                <w:tcPr>
                  <w:tcW w:w="682" w:type="pct"/>
                  <w:noWrap w:val="0"/>
                  <w:vAlign w:val="center"/>
                </w:tcPr>
                <w:p w14:paraId="30A6E4D5">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时段</w:t>
                  </w:r>
                </w:p>
              </w:tc>
              <w:tc>
                <w:tcPr>
                  <w:tcW w:w="758" w:type="pct"/>
                  <w:noWrap w:val="0"/>
                  <w:vAlign w:val="center"/>
                </w:tcPr>
                <w:p w14:paraId="336C8D9E">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961" w:type="pct"/>
                  <w:noWrap w:val="0"/>
                  <w:vAlign w:val="center"/>
                </w:tcPr>
                <w:p w14:paraId="1553CFD2">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标准值</w:t>
                  </w:r>
                </w:p>
              </w:tc>
              <w:tc>
                <w:tcPr>
                  <w:tcW w:w="961" w:type="pct"/>
                  <w:noWrap w:val="0"/>
                  <w:vAlign w:val="center"/>
                </w:tcPr>
                <w:p w14:paraId="10E20BD8">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14:paraId="14531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7" w:type="pct"/>
                  <w:vMerge w:val="restart"/>
                  <w:noWrap w:val="0"/>
                  <w:vAlign w:val="center"/>
                </w:tcPr>
                <w:p w14:paraId="0997CA80">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r>
                    <w:rPr>
                      <w:rFonts w:hint="default" w:ascii="Times New Roman" w:hAnsi="Times New Roman" w:eastAsia="宋体"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rPr>
                    <w:t>侧1m处</w:t>
                  </w:r>
                </w:p>
              </w:tc>
              <w:tc>
                <w:tcPr>
                  <w:tcW w:w="682" w:type="pct"/>
                  <w:noWrap w:val="0"/>
                  <w:vAlign w:val="center"/>
                </w:tcPr>
                <w:p w14:paraId="696AF9CB">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758" w:type="pct"/>
                  <w:noWrap w:val="0"/>
                  <w:vAlign w:val="center"/>
                </w:tcPr>
                <w:p w14:paraId="0CBAEB51">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9</w:t>
                  </w:r>
                </w:p>
              </w:tc>
              <w:tc>
                <w:tcPr>
                  <w:tcW w:w="961" w:type="pct"/>
                  <w:noWrap w:val="0"/>
                  <w:vAlign w:val="center"/>
                </w:tcPr>
                <w:p w14:paraId="0CF50804">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c>
                <w:tcPr>
                  <w:tcW w:w="961" w:type="pct"/>
                  <w:noWrap w:val="0"/>
                  <w:vAlign w:val="center"/>
                </w:tcPr>
                <w:p w14:paraId="46D76C17">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39886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7" w:type="pct"/>
                  <w:vMerge w:val="continue"/>
                  <w:noWrap w:val="0"/>
                  <w:vAlign w:val="center"/>
                </w:tcPr>
                <w:p w14:paraId="7D726078">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82" w:type="pct"/>
                  <w:noWrap w:val="0"/>
                  <w:vAlign w:val="center"/>
                </w:tcPr>
                <w:p w14:paraId="1F7E5493">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758" w:type="pct"/>
                  <w:noWrap w:val="0"/>
                  <w:vAlign w:val="center"/>
                </w:tcPr>
                <w:p w14:paraId="08F41F00">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9</w:t>
                  </w:r>
                </w:p>
              </w:tc>
              <w:tc>
                <w:tcPr>
                  <w:tcW w:w="961" w:type="pct"/>
                  <w:noWrap w:val="0"/>
                  <w:vAlign w:val="center"/>
                </w:tcPr>
                <w:p w14:paraId="7AA761AE">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961" w:type="pct"/>
                  <w:noWrap w:val="0"/>
                  <w:vAlign w:val="center"/>
                </w:tcPr>
                <w:p w14:paraId="08BF511B">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3DB0D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7" w:type="pct"/>
                  <w:vMerge w:val="restart"/>
                  <w:noWrap w:val="0"/>
                  <w:vAlign w:val="center"/>
                </w:tcPr>
                <w:p w14:paraId="38D89071">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rPr>
                    <w:t>侧1m处</w:t>
                  </w:r>
                </w:p>
              </w:tc>
              <w:tc>
                <w:tcPr>
                  <w:tcW w:w="682" w:type="pct"/>
                  <w:noWrap w:val="0"/>
                  <w:vAlign w:val="center"/>
                </w:tcPr>
                <w:p w14:paraId="33A031EE">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758" w:type="pct"/>
                  <w:noWrap w:val="0"/>
                  <w:vAlign w:val="center"/>
                </w:tcPr>
                <w:p w14:paraId="1C2C56CB">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5</w:t>
                  </w:r>
                </w:p>
              </w:tc>
              <w:tc>
                <w:tcPr>
                  <w:tcW w:w="1553" w:type="dxa"/>
                  <w:noWrap w:val="0"/>
                  <w:vAlign w:val="center"/>
                </w:tcPr>
                <w:p w14:paraId="368F290B">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60</w:t>
                  </w:r>
                </w:p>
              </w:tc>
              <w:tc>
                <w:tcPr>
                  <w:tcW w:w="961" w:type="pct"/>
                  <w:noWrap w:val="0"/>
                  <w:vAlign w:val="center"/>
                </w:tcPr>
                <w:p w14:paraId="1E783FBE">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05254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7" w:type="pct"/>
                  <w:vMerge w:val="continue"/>
                  <w:noWrap w:val="0"/>
                  <w:vAlign w:val="center"/>
                </w:tcPr>
                <w:p w14:paraId="4776112B">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82" w:type="pct"/>
                  <w:noWrap w:val="0"/>
                  <w:vAlign w:val="center"/>
                </w:tcPr>
                <w:p w14:paraId="0CA5FC90">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758" w:type="pct"/>
                  <w:noWrap w:val="0"/>
                  <w:vAlign w:val="center"/>
                </w:tcPr>
                <w:p w14:paraId="4757FCAD">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5</w:t>
                  </w:r>
                </w:p>
              </w:tc>
              <w:tc>
                <w:tcPr>
                  <w:tcW w:w="1553" w:type="dxa"/>
                  <w:noWrap w:val="0"/>
                  <w:vAlign w:val="center"/>
                </w:tcPr>
                <w:p w14:paraId="519FBE34">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50</w:t>
                  </w:r>
                </w:p>
              </w:tc>
              <w:tc>
                <w:tcPr>
                  <w:tcW w:w="961" w:type="pct"/>
                  <w:noWrap w:val="0"/>
                  <w:vAlign w:val="center"/>
                </w:tcPr>
                <w:p w14:paraId="20F503B2">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64697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7" w:type="pct"/>
                  <w:vMerge w:val="restart"/>
                  <w:noWrap w:val="0"/>
                  <w:vAlign w:val="center"/>
                </w:tcPr>
                <w:p w14:paraId="6BC42D9B">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r>
                    <w:rPr>
                      <w:rFonts w:hint="default" w:ascii="Times New Roman" w:hAnsi="Times New Roman"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rPr>
                    <w:t>侧1m处</w:t>
                  </w:r>
                </w:p>
              </w:tc>
              <w:tc>
                <w:tcPr>
                  <w:tcW w:w="682" w:type="pct"/>
                  <w:noWrap w:val="0"/>
                  <w:vAlign w:val="center"/>
                </w:tcPr>
                <w:p w14:paraId="2D89B1AD">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758" w:type="pct"/>
                  <w:noWrap w:val="0"/>
                  <w:vAlign w:val="center"/>
                </w:tcPr>
                <w:p w14:paraId="1065100E">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7</w:t>
                  </w:r>
                </w:p>
              </w:tc>
              <w:tc>
                <w:tcPr>
                  <w:tcW w:w="1553" w:type="dxa"/>
                  <w:noWrap w:val="0"/>
                  <w:vAlign w:val="center"/>
                </w:tcPr>
                <w:p w14:paraId="3244BA75">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60</w:t>
                  </w:r>
                </w:p>
              </w:tc>
              <w:tc>
                <w:tcPr>
                  <w:tcW w:w="961" w:type="pct"/>
                  <w:noWrap w:val="0"/>
                  <w:vAlign w:val="center"/>
                </w:tcPr>
                <w:p w14:paraId="65913E58">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10BBAA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7" w:type="pct"/>
                  <w:vMerge w:val="continue"/>
                  <w:noWrap w:val="0"/>
                  <w:vAlign w:val="center"/>
                </w:tcPr>
                <w:p w14:paraId="32DA6863">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82" w:type="pct"/>
                  <w:noWrap w:val="0"/>
                  <w:vAlign w:val="center"/>
                </w:tcPr>
                <w:p w14:paraId="3E089B70">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758" w:type="pct"/>
                  <w:noWrap w:val="0"/>
                  <w:vAlign w:val="center"/>
                </w:tcPr>
                <w:p w14:paraId="76B41997">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7</w:t>
                  </w:r>
                </w:p>
              </w:tc>
              <w:tc>
                <w:tcPr>
                  <w:tcW w:w="1553" w:type="dxa"/>
                  <w:noWrap w:val="0"/>
                  <w:vAlign w:val="center"/>
                </w:tcPr>
                <w:p w14:paraId="1DC04319">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50</w:t>
                  </w:r>
                </w:p>
              </w:tc>
              <w:tc>
                <w:tcPr>
                  <w:tcW w:w="961" w:type="pct"/>
                  <w:noWrap w:val="0"/>
                  <w:vAlign w:val="center"/>
                </w:tcPr>
                <w:p w14:paraId="4D2BC5E3">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3F72D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7" w:type="pct"/>
                  <w:vMerge w:val="restart"/>
                  <w:noWrap w:val="0"/>
                  <w:vAlign w:val="center"/>
                </w:tcPr>
                <w:p w14:paraId="192DAF08">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rPr>
                    <w:t>侧1m处</w:t>
                  </w:r>
                </w:p>
              </w:tc>
              <w:tc>
                <w:tcPr>
                  <w:tcW w:w="682" w:type="pct"/>
                  <w:noWrap w:val="0"/>
                  <w:vAlign w:val="center"/>
                </w:tcPr>
                <w:p w14:paraId="46994608">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758" w:type="pct"/>
                  <w:noWrap w:val="0"/>
                  <w:vAlign w:val="center"/>
                </w:tcPr>
                <w:p w14:paraId="1CC1954E">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4</w:t>
                  </w:r>
                </w:p>
              </w:tc>
              <w:tc>
                <w:tcPr>
                  <w:tcW w:w="1553" w:type="dxa"/>
                  <w:noWrap w:val="0"/>
                  <w:vAlign w:val="center"/>
                </w:tcPr>
                <w:p w14:paraId="6F1F19C3">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60</w:t>
                  </w:r>
                </w:p>
              </w:tc>
              <w:tc>
                <w:tcPr>
                  <w:tcW w:w="961" w:type="pct"/>
                  <w:noWrap w:val="0"/>
                  <w:vAlign w:val="center"/>
                </w:tcPr>
                <w:p w14:paraId="1E1DA26D">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28F3F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7" w:type="pct"/>
                  <w:vMerge w:val="continue"/>
                  <w:noWrap w:val="0"/>
                  <w:vAlign w:val="center"/>
                </w:tcPr>
                <w:p w14:paraId="77DF130D">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82" w:type="pct"/>
                  <w:noWrap w:val="0"/>
                  <w:vAlign w:val="center"/>
                </w:tcPr>
                <w:p w14:paraId="3D6D8F64">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758" w:type="pct"/>
                  <w:noWrap w:val="0"/>
                  <w:vAlign w:val="center"/>
                </w:tcPr>
                <w:p w14:paraId="2F1B8167">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4</w:t>
                  </w:r>
                </w:p>
              </w:tc>
              <w:tc>
                <w:tcPr>
                  <w:tcW w:w="1553" w:type="dxa"/>
                  <w:noWrap w:val="0"/>
                  <w:vAlign w:val="center"/>
                </w:tcPr>
                <w:p w14:paraId="407B6C8C">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50</w:t>
                  </w:r>
                </w:p>
              </w:tc>
              <w:tc>
                <w:tcPr>
                  <w:tcW w:w="961" w:type="pct"/>
                  <w:noWrap w:val="0"/>
                  <w:vAlign w:val="center"/>
                </w:tcPr>
                <w:p w14:paraId="0B656E27">
                  <w:pPr>
                    <w:pStyle w:val="74"/>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0808533C">
            <w:pPr>
              <w:pStyle w:val="46"/>
              <w:rPr>
                <w:rFonts w:hint="default" w:ascii="Times New Roman" w:hAnsi="Times New Roman" w:eastAsia="宋体" w:cs="Times New Roman"/>
                <w:color w:val="auto"/>
                <w:spacing w:val="0"/>
                <w:highlight w:val="none"/>
              </w:rPr>
            </w:pPr>
            <w:r>
              <w:rPr>
                <w:rFonts w:hint="default" w:ascii="Times New Roman" w:hAnsi="Times New Roman" w:eastAsia="宋体" w:cs="Times New Roman"/>
                <w:color w:val="auto"/>
                <w:sz w:val="24"/>
                <w:highlight w:val="none"/>
              </w:rPr>
              <w:t>由预测结果可知</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kern w:val="0"/>
                <w:sz w:val="24"/>
                <w:highlight w:val="none"/>
              </w:rPr>
              <w:t>本</w:t>
            </w:r>
            <w:r>
              <w:rPr>
                <w:rFonts w:hint="default" w:ascii="Times New Roman" w:hAnsi="Times New Roman" w:eastAsia="宋体" w:cs="Times New Roman"/>
                <w:color w:val="auto"/>
                <w:kern w:val="0"/>
                <w:sz w:val="24"/>
                <w:highlight w:val="none"/>
                <w:lang w:val="en-US" w:eastAsia="zh-CN"/>
              </w:rPr>
              <w:t>项目</w:t>
            </w:r>
            <w:r>
              <w:rPr>
                <w:rFonts w:hint="default" w:ascii="Times New Roman" w:hAnsi="Times New Roman" w:eastAsia="宋体" w:cs="Times New Roman"/>
                <w:color w:val="auto"/>
                <w:kern w:val="0"/>
                <w:sz w:val="24"/>
                <w:highlight w:val="none"/>
              </w:rPr>
              <w:t>选用低噪声设备，经减振、隔声处理</w:t>
            </w:r>
            <w:r>
              <w:rPr>
                <w:rFonts w:hint="default" w:ascii="Times New Roman" w:hAnsi="Times New Roman" w:eastAsia="宋体" w:cs="Times New Roman"/>
                <w:color w:val="auto"/>
                <w:kern w:val="0"/>
                <w:sz w:val="24"/>
                <w:highlight w:val="none"/>
                <w:lang w:eastAsia="zh-CN"/>
              </w:rPr>
              <w:t>等</w:t>
            </w:r>
            <w:r>
              <w:rPr>
                <w:rFonts w:hint="default" w:ascii="Times New Roman" w:hAnsi="Times New Roman" w:eastAsia="宋体" w:cs="Times New Roman"/>
                <w:color w:val="auto"/>
                <w:kern w:val="0"/>
                <w:sz w:val="24"/>
                <w:highlight w:val="none"/>
              </w:rPr>
              <w:t>降噪措施后，厂界</w:t>
            </w:r>
            <w:r>
              <w:rPr>
                <w:rFonts w:hint="default" w:ascii="Times New Roman" w:hAnsi="Times New Roman" w:eastAsia="宋体" w:cs="Times New Roman"/>
                <w:color w:val="auto"/>
                <w:kern w:val="0"/>
                <w:sz w:val="24"/>
                <w:highlight w:val="none"/>
                <w:lang w:val="en-US" w:eastAsia="zh-CN"/>
              </w:rPr>
              <w:t>四周</w:t>
            </w:r>
            <w:r>
              <w:rPr>
                <w:rFonts w:hint="default" w:ascii="Times New Roman" w:hAnsi="Times New Roman" w:eastAsia="宋体" w:cs="Times New Roman"/>
                <w:color w:val="auto"/>
                <w:kern w:val="0"/>
                <w:sz w:val="24"/>
                <w:highlight w:val="none"/>
              </w:rPr>
              <w:t>可满足《工业企业厂界环境噪声排放标准》（GB12348-2008）表1中</w:t>
            </w:r>
            <w:r>
              <w:rPr>
                <w:rFonts w:hint="default" w:ascii="Times New Roman" w:hAnsi="Times New Roman" w:cs="Times New Roman"/>
                <w:color w:val="auto"/>
                <w:kern w:val="0"/>
                <w:sz w:val="24"/>
                <w:highlight w:val="none"/>
                <w:lang w:val="en-US" w:eastAsia="zh-CN"/>
              </w:rPr>
              <w:t>2类</w:t>
            </w:r>
            <w:r>
              <w:rPr>
                <w:rFonts w:hint="default" w:ascii="Times New Roman" w:hAnsi="Times New Roman" w:eastAsia="宋体" w:cs="Times New Roman"/>
                <w:color w:val="auto"/>
                <w:kern w:val="0"/>
                <w:sz w:val="24"/>
                <w:highlight w:val="none"/>
              </w:rPr>
              <w:t>标准要求</w:t>
            </w:r>
            <w:r>
              <w:rPr>
                <w:rFonts w:hint="default" w:ascii="Times New Roman" w:hAnsi="Times New Roman" w:cs="Times New Roman"/>
                <w:color w:val="auto"/>
                <w:kern w:val="0"/>
                <w:sz w:val="24"/>
                <w:highlight w:val="none"/>
                <w:lang w:eastAsia="zh-CN"/>
              </w:rPr>
              <w:t>。</w:t>
            </w:r>
          </w:p>
          <w:p w14:paraId="2A2C28D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color w:val="auto"/>
                <w:spacing w:val="0"/>
                <w:kern w:val="0"/>
                <w:sz w:val="24"/>
                <w:highlight w:val="none"/>
              </w:rPr>
            </w:pPr>
            <w:r>
              <w:rPr>
                <w:rFonts w:hint="default" w:ascii="Times New Roman" w:hAnsi="Times New Roman" w:eastAsia="宋体" w:cs="Times New Roman"/>
                <w:b/>
                <w:color w:val="auto"/>
                <w:spacing w:val="0"/>
                <w:kern w:val="0"/>
                <w:sz w:val="24"/>
                <w:highlight w:val="none"/>
                <w:lang w:val="en-US" w:eastAsia="zh-CN"/>
              </w:rPr>
              <w:t>3.4</w:t>
            </w:r>
            <w:r>
              <w:rPr>
                <w:rFonts w:hint="default" w:ascii="Times New Roman" w:hAnsi="Times New Roman" w:eastAsia="宋体" w:cs="Times New Roman"/>
                <w:b/>
                <w:color w:val="auto"/>
                <w:spacing w:val="0"/>
                <w:kern w:val="0"/>
                <w:sz w:val="24"/>
                <w:highlight w:val="none"/>
              </w:rPr>
              <w:t>噪声监测要求</w:t>
            </w:r>
          </w:p>
          <w:p w14:paraId="30CD9F33">
            <w:pPr>
              <w:adjustRightInd w:val="0"/>
              <w:snapToGrid w:val="0"/>
              <w:spacing w:line="360" w:lineRule="auto"/>
              <w:ind w:firstLine="480" w:firstLineChars="200"/>
              <w:rPr>
                <w:rFonts w:hint="default" w:ascii="Times New Roman" w:hAnsi="Times New Roman" w:eastAsia="宋体" w:cs="Times New Roman"/>
                <w:color w:val="auto"/>
                <w:spacing w:val="0"/>
                <w:sz w:val="24"/>
                <w:szCs w:val="21"/>
                <w:highlight w:val="none"/>
              </w:rPr>
            </w:pPr>
            <w:r>
              <w:rPr>
                <w:rFonts w:hint="default" w:ascii="Times New Roman" w:hAnsi="Times New Roman" w:eastAsia="宋体" w:cs="Times New Roman"/>
                <w:color w:val="auto"/>
                <w:spacing w:val="0"/>
                <w:sz w:val="24"/>
                <w:szCs w:val="21"/>
                <w:highlight w:val="none"/>
              </w:rPr>
              <w:t>依据</w:t>
            </w:r>
            <w:r>
              <w:rPr>
                <w:rFonts w:hint="default" w:ascii="Times New Roman" w:hAnsi="Times New Roman" w:eastAsia="宋体" w:cs="Times New Roman"/>
                <w:color w:val="auto"/>
                <w:spacing w:val="0"/>
                <w:sz w:val="24"/>
                <w:szCs w:val="21"/>
                <w:highlight w:val="none"/>
                <w:lang w:val="en-US" w:eastAsia="zh-CN"/>
              </w:rPr>
              <w:t>《</w:t>
            </w:r>
            <w:r>
              <w:rPr>
                <w:rFonts w:hint="default" w:ascii="Times New Roman" w:hAnsi="Times New Roman" w:cs="Times New Roman"/>
                <w:color w:val="auto"/>
                <w:spacing w:val="0"/>
                <w:sz w:val="24"/>
                <w:szCs w:val="21"/>
                <w:highlight w:val="none"/>
                <w:lang w:val="en-US" w:eastAsia="zh-CN"/>
              </w:rPr>
              <w:t>排污单位自行监测技术指南 总则》</w:t>
            </w:r>
            <w:r>
              <w:rPr>
                <w:rFonts w:hint="default" w:ascii="Times New Roman" w:hAnsi="Times New Roman" w:eastAsia="宋体" w:cs="Times New Roman"/>
                <w:color w:val="auto"/>
                <w:spacing w:val="0"/>
                <w:sz w:val="24"/>
                <w:szCs w:val="21"/>
                <w:highlight w:val="none"/>
              </w:rPr>
              <w:t>要求，运营期噪声监测计划如下：</w:t>
            </w:r>
          </w:p>
          <w:p w14:paraId="298920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表4-</w:t>
            </w:r>
            <w:r>
              <w:rPr>
                <w:rFonts w:hint="default" w:ascii="Times New Roman" w:hAnsi="Times New Roman" w:eastAsia="宋体" w:cs="Times New Roman"/>
                <w:b/>
                <w:color w:val="auto"/>
                <w:spacing w:val="0"/>
                <w:sz w:val="21"/>
                <w:szCs w:val="21"/>
                <w:highlight w:val="none"/>
                <w:lang w:val="en-US" w:eastAsia="zh-CN"/>
              </w:rPr>
              <w:t>1</w:t>
            </w:r>
            <w:r>
              <w:rPr>
                <w:rFonts w:hint="default" w:ascii="Times New Roman" w:hAnsi="Times New Roman" w:cs="Times New Roman"/>
                <w:b/>
                <w:color w:val="auto"/>
                <w:spacing w:val="0"/>
                <w:sz w:val="21"/>
                <w:szCs w:val="21"/>
                <w:highlight w:val="none"/>
                <w:lang w:val="en-US" w:eastAsia="zh-CN"/>
              </w:rPr>
              <w:t>2</w:t>
            </w:r>
            <w:r>
              <w:rPr>
                <w:rFonts w:hint="default" w:ascii="Times New Roman" w:hAnsi="Times New Roman" w:eastAsia="宋体" w:cs="Times New Roman"/>
                <w:b/>
                <w:color w:val="auto"/>
                <w:spacing w:val="0"/>
                <w:sz w:val="21"/>
                <w:szCs w:val="21"/>
                <w:highlight w:val="none"/>
              </w:rPr>
              <w:t>噪声监测要求</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5"/>
              <w:gridCol w:w="2572"/>
              <w:gridCol w:w="1842"/>
            </w:tblGrid>
            <w:tr w14:paraId="59FD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2264" w:type="pct"/>
                  <w:tcBorders>
                    <w:top w:val="single" w:color="auto" w:sz="12" w:space="0"/>
                    <w:left w:val="nil"/>
                    <w:bottom w:val="single" w:color="auto" w:sz="8" w:space="0"/>
                  </w:tcBorders>
                  <w:noWrap w:val="0"/>
                  <w:vAlign w:val="center"/>
                </w:tcPr>
                <w:p w14:paraId="180EFF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kern w:val="2"/>
                      <w:sz w:val="21"/>
                      <w:szCs w:val="21"/>
                      <w:highlight w:val="none"/>
                      <w:lang w:val="en-US" w:eastAsia="zh-CN" w:bidi="ar-SA"/>
                    </w:rPr>
                  </w:pPr>
                  <w:r>
                    <w:rPr>
                      <w:rFonts w:hint="default" w:ascii="Times New Roman" w:hAnsi="Times New Roman" w:eastAsia="宋体" w:cs="Times New Roman"/>
                      <w:b/>
                      <w:color w:val="auto"/>
                      <w:spacing w:val="0"/>
                      <w:sz w:val="21"/>
                      <w:szCs w:val="21"/>
                      <w:highlight w:val="none"/>
                    </w:rPr>
                    <w:t>噪声监测点位</w:t>
                  </w:r>
                </w:p>
              </w:tc>
              <w:tc>
                <w:tcPr>
                  <w:tcW w:w="1593" w:type="pct"/>
                  <w:tcBorders>
                    <w:top w:val="single" w:color="auto" w:sz="12" w:space="0"/>
                    <w:bottom w:val="single" w:color="auto" w:sz="8" w:space="0"/>
                  </w:tcBorders>
                  <w:noWrap w:val="0"/>
                  <w:vAlign w:val="center"/>
                </w:tcPr>
                <w:p w14:paraId="1421A4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kern w:val="2"/>
                      <w:sz w:val="21"/>
                      <w:szCs w:val="21"/>
                      <w:highlight w:val="none"/>
                      <w:lang w:val="en-US" w:eastAsia="zh-CN" w:bidi="ar-SA"/>
                    </w:rPr>
                  </w:pPr>
                  <w:r>
                    <w:rPr>
                      <w:rFonts w:hint="default" w:ascii="Times New Roman" w:hAnsi="Times New Roman" w:eastAsia="宋体" w:cs="Times New Roman"/>
                      <w:b/>
                      <w:color w:val="auto"/>
                      <w:spacing w:val="0"/>
                      <w:sz w:val="21"/>
                      <w:szCs w:val="21"/>
                      <w:highlight w:val="none"/>
                    </w:rPr>
                    <w:t>监测周期</w:t>
                  </w:r>
                </w:p>
              </w:tc>
              <w:tc>
                <w:tcPr>
                  <w:tcW w:w="1141" w:type="pct"/>
                  <w:tcBorders>
                    <w:top w:val="single" w:color="auto" w:sz="12" w:space="0"/>
                    <w:bottom w:val="single" w:color="auto" w:sz="8" w:space="0"/>
                    <w:right w:val="nil"/>
                  </w:tcBorders>
                  <w:noWrap w:val="0"/>
                  <w:vAlign w:val="center"/>
                </w:tcPr>
                <w:p w14:paraId="4A4490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kern w:val="2"/>
                      <w:sz w:val="21"/>
                      <w:szCs w:val="21"/>
                      <w:highlight w:val="none"/>
                      <w:lang w:val="en-US" w:eastAsia="zh-CN" w:bidi="ar-SA"/>
                    </w:rPr>
                  </w:pPr>
                  <w:r>
                    <w:rPr>
                      <w:rFonts w:hint="default" w:ascii="Times New Roman" w:hAnsi="Times New Roman" w:eastAsia="宋体" w:cs="Times New Roman"/>
                      <w:b/>
                      <w:color w:val="auto"/>
                      <w:spacing w:val="0"/>
                      <w:sz w:val="21"/>
                      <w:szCs w:val="21"/>
                      <w:highlight w:val="none"/>
                    </w:rPr>
                    <w:t>监测频次</w:t>
                  </w:r>
                </w:p>
              </w:tc>
            </w:tr>
            <w:tr w14:paraId="7EB6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64" w:type="pct"/>
                  <w:tcBorders>
                    <w:top w:val="single" w:color="auto" w:sz="8" w:space="0"/>
                    <w:left w:val="nil"/>
                    <w:bottom w:val="single" w:color="auto" w:sz="12" w:space="0"/>
                  </w:tcBorders>
                  <w:noWrap w:val="0"/>
                  <w:vAlign w:val="center"/>
                </w:tcPr>
                <w:p w14:paraId="50C593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东侧、南侧、西侧、北侧厂界外1m</w:t>
                  </w:r>
                </w:p>
              </w:tc>
              <w:tc>
                <w:tcPr>
                  <w:tcW w:w="1593" w:type="pct"/>
                  <w:tcBorders>
                    <w:top w:val="single" w:color="auto" w:sz="8" w:space="0"/>
                    <w:bottom w:val="single" w:color="auto" w:sz="12" w:space="0"/>
                  </w:tcBorders>
                  <w:noWrap w:val="0"/>
                  <w:vAlign w:val="center"/>
                </w:tcPr>
                <w:p w14:paraId="28C5FF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1天</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rPr>
                    <w:t>昼、夜间各一次</w:t>
                  </w:r>
                  <w:r>
                    <w:rPr>
                      <w:rFonts w:hint="default" w:ascii="Times New Roman" w:hAnsi="Times New Roman" w:cs="Times New Roman"/>
                      <w:color w:val="auto"/>
                      <w:spacing w:val="0"/>
                      <w:sz w:val="21"/>
                      <w:szCs w:val="21"/>
                      <w:highlight w:val="none"/>
                      <w:lang w:eastAsia="zh-CN"/>
                    </w:rPr>
                    <w:t>）</w:t>
                  </w:r>
                </w:p>
              </w:tc>
              <w:tc>
                <w:tcPr>
                  <w:tcW w:w="1141" w:type="pct"/>
                  <w:tcBorders>
                    <w:top w:val="single" w:color="auto" w:sz="8" w:space="0"/>
                    <w:bottom w:val="single" w:color="auto" w:sz="12" w:space="0"/>
                    <w:right w:val="nil"/>
                  </w:tcBorders>
                  <w:noWrap w:val="0"/>
                  <w:vAlign w:val="center"/>
                </w:tcPr>
                <w:p w14:paraId="25F60D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1次/季度</w:t>
                  </w:r>
                </w:p>
              </w:tc>
            </w:tr>
          </w:tbl>
          <w:p w14:paraId="6F1AF8E3">
            <w:pPr>
              <w:spacing w:line="360" w:lineRule="auto"/>
              <w:ind w:left="0" w:leftChars="0" w:firstLine="0" w:firstLineChars="0"/>
              <w:rPr>
                <w:rFonts w:hint="default" w:ascii="Times New Roman" w:hAnsi="Times New Roman" w:eastAsia="宋体" w:cs="Times New Roman"/>
                <w:b/>
                <w:bCs w:val="0"/>
                <w:color w:val="auto"/>
                <w:spacing w:val="0"/>
                <w:sz w:val="24"/>
                <w:szCs w:val="24"/>
                <w:highlight w:val="none"/>
                <w:lang w:val="en-US" w:eastAsia="zh-CN"/>
              </w:rPr>
            </w:pPr>
            <w:r>
              <w:rPr>
                <w:rFonts w:hint="default" w:ascii="Times New Roman" w:hAnsi="Times New Roman" w:eastAsia="宋体" w:cs="Times New Roman"/>
                <w:b/>
                <w:bCs w:val="0"/>
                <w:color w:val="auto"/>
                <w:spacing w:val="0"/>
                <w:sz w:val="24"/>
                <w:szCs w:val="24"/>
                <w:highlight w:val="none"/>
                <w:lang w:val="en-US" w:eastAsia="zh-CN"/>
              </w:rPr>
              <w:t>4、固体废物</w:t>
            </w:r>
          </w:p>
          <w:p w14:paraId="3B1DC216">
            <w:pPr>
              <w:spacing w:line="360" w:lineRule="auto"/>
              <w:ind w:firstLine="480" w:firstLineChars="200"/>
              <w:rPr>
                <w:rFonts w:hint="default" w:ascii="Times New Roman" w:hAnsi="Times New Roman" w:eastAsia="宋体" w:cs="Times New Roman"/>
                <w:color w:val="auto"/>
                <w:spacing w:val="0"/>
                <w:szCs w:val="21"/>
                <w:highlight w:val="none"/>
                <w:lang w:eastAsia="zh-CN"/>
              </w:rPr>
            </w:pPr>
            <w:r>
              <w:rPr>
                <w:rFonts w:hint="default" w:ascii="Times New Roman" w:hAnsi="Times New Roman" w:eastAsia="宋体" w:cs="Times New Roman"/>
                <w:color w:val="auto"/>
                <w:spacing w:val="0"/>
                <w:sz w:val="24"/>
                <w:highlight w:val="none"/>
              </w:rPr>
              <w:t>本项目营运期产生的固体废物包括一般工业固体废物</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lang w:val="en-US" w:eastAsia="zh-CN"/>
              </w:rPr>
              <w:t>危险废物</w:t>
            </w:r>
            <w:r>
              <w:rPr>
                <w:rFonts w:hint="default" w:ascii="Times New Roman" w:hAnsi="Times New Roman" w:eastAsia="宋体" w:cs="Times New Roman"/>
                <w:color w:val="auto"/>
                <w:spacing w:val="0"/>
                <w:sz w:val="24"/>
                <w:highlight w:val="none"/>
                <w:lang w:eastAsia="zh-CN"/>
              </w:rPr>
              <w:t>。</w:t>
            </w:r>
          </w:p>
          <w:p w14:paraId="0D8A767F">
            <w:pPr>
              <w:keepNext w:val="0"/>
              <w:keepLines w:val="0"/>
              <w:pageBreakBefore w:val="0"/>
              <w:widowControl w:val="0"/>
              <w:kinsoku/>
              <w:wordWrap/>
              <w:overflowPunct/>
              <w:topLinePunct w:val="0"/>
              <w:autoSpaceDE/>
              <w:autoSpaceDN/>
              <w:bidi w:val="0"/>
              <w:adjustRightInd w:val="0"/>
              <w:snapToGrid w:val="0"/>
              <w:spacing w:line="360" w:lineRule="auto"/>
              <w:ind w:left="0" w:leftChars="0" w:right="72" w:rightChars="30" w:firstLine="482" w:firstLineChars="200"/>
              <w:jc w:val="left"/>
              <w:textAlignment w:val="auto"/>
              <w:rPr>
                <w:rFonts w:hint="default" w:ascii="Times New Roman" w:hAnsi="Times New Roman" w:eastAsia="宋体" w:cs="Times New Roman"/>
                <w:b/>
                <w:bCs/>
                <w:color w:val="auto"/>
                <w:spacing w:val="0"/>
                <w:sz w:val="24"/>
                <w:highlight w:val="none"/>
              </w:rPr>
            </w:pPr>
            <w:r>
              <w:rPr>
                <w:rFonts w:hint="default" w:ascii="Times New Roman" w:hAnsi="Times New Roman" w:eastAsia="宋体" w:cs="Times New Roman"/>
                <w:b/>
                <w:bCs/>
                <w:color w:val="auto"/>
                <w:spacing w:val="0"/>
                <w:sz w:val="24"/>
                <w:highlight w:val="none"/>
              </w:rPr>
              <w:t>4.1一般工业固体废物影响分析</w:t>
            </w:r>
          </w:p>
          <w:p w14:paraId="04C4B57B">
            <w:pPr>
              <w:numPr>
                <w:ilvl w:val="0"/>
                <w:numId w:val="0"/>
              </w:numPr>
              <w:spacing w:line="360" w:lineRule="auto"/>
              <w:ind w:right="72" w:rightChars="30" w:firstLine="482" w:firstLineChars="200"/>
              <w:jc w:val="left"/>
              <w:rPr>
                <w:rFonts w:hint="default" w:ascii="Times New Roman" w:hAnsi="Times New Roman" w:eastAsia="宋体" w:cs="Times New Roman"/>
                <w:b/>
                <w:bCs w:val="0"/>
                <w:color w:val="auto"/>
                <w:spacing w:val="0"/>
                <w:sz w:val="24"/>
                <w:highlight w:val="none"/>
              </w:rPr>
            </w:pPr>
            <w:r>
              <w:rPr>
                <w:rFonts w:hint="default" w:ascii="Times New Roman" w:hAnsi="Times New Roman" w:cs="Times New Roman"/>
                <w:b/>
                <w:bCs w:val="0"/>
                <w:color w:val="auto"/>
                <w:spacing w:val="0"/>
                <w:sz w:val="24"/>
                <w:highlight w:val="none"/>
                <w:lang w:val="en-US" w:eastAsia="zh-CN"/>
              </w:rPr>
              <w:t>1、</w:t>
            </w:r>
            <w:r>
              <w:rPr>
                <w:rFonts w:hint="default" w:ascii="Times New Roman" w:hAnsi="Times New Roman" w:eastAsia="宋体" w:cs="Times New Roman"/>
                <w:b/>
                <w:bCs w:val="0"/>
                <w:color w:val="auto"/>
                <w:spacing w:val="0"/>
                <w:sz w:val="24"/>
                <w:highlight w:val="none"/>
              </w:rPr>
              <w:t>一般工业固体废物基本情况</w:t>
            </w:r>
          </w:p>
          <w:p w14:paraId="4B18EDE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rPr>
                <w:rFonts w:hint="default" w:ascii="Times New Roman" w:hAnsi="Times New Roman" w:eastAsia="宋体" w:cs="Times New Roman"/>
                <w:bCs/>
                <w:color w:val="auto"/>
                <w:spacing w:val="0"/>
                <w:kern w:val="2"/>
                <w:sz w:val="24"/>
                <w:szCs w:val="24"/>
                <w:highlight w:val="none"/>
                <w:lang w:val="en-US" w:eastAsia="zh-CN" w:bidi="ar-SA"/>
              </w:rPr>
            </w:pPr>
            <w:r>
              <w:rPr>
                <w:rFonts w:hint="default" w:ascii="Times New Roman" w:hAnsi="Times New Roman" w:cs="Times New Roman"/>
                <w:bCs/>
                <w:color w:val="auto"/>
                <w:spacing w:val="0"/>
                <w:kern w:val="2"/>
                <w:sz w:val="24"/>
                <w:szCs w:val="24"/>
                <w:highlight w:val="none"/>
                <w:lang w:val="en-US" w:eastAsia="zh-CN" w:bidi="ar-SA"/>
              </w:rPr>
              <w:t>（1）废润滑油</w:t>
            </w:r>
            <w:r>
              <w:rPr>
                <w:rFonts w:hint="default" w:ascii="Times New Roman" w:hAnsi="Times New Roman" w:eastAsia="宋体" w:cs="Times New Roman"/>
                <w:bCs/>
                <w:color w:val="auto"/>
                <w:spacing w:val="0"/>
                <w:kern w:val="2"/>
                <w:sz w:val="24"/>
                <w:szCs w:val="24"/>
                <w:highlight w:val="none"/>
                <w:lang w:val="en-US" w:eastAsia="zh-CN" w:bidi="ar-SA"/>
              </w:rPr>
              <w:t>炉炉渣、除尘灰产生量核算</w:t>
            </w:r>
          </w:p>
          <w:p w14:paraId="0AECEFC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Times New Roman" w:hAnsi="Times New Roman" w:eastAsia="宋体" w:cs="Times New Roman"/>
                <w:b/>
                <w:color w:val="auto"/>
                <w:sz w:val="24"/>
                <w:szCs w:val="24"/>
                <w:highlight w:val="none"/>
              </w:rPr>
            </w:pPr>
            <w:r>
              <w:rPr>
                <w:rFonts w:hint="default" w:ascii="Times New Roman" w:hAnsi="Times New Roman" w:cs="Times New Roman"/>
                <w:color w:val="auto"/>
                <w:sz w:val="24"/>
                <w:szCs w:val="24"/>
                <w:highlight w:val="none"/>
              </w:rPr>
              <w:t>参照《污染</w:t>
            </w:r>
            <w:r>
              <w:rPr>
                <w:rFonts w:hint="default" w:ascii="Times New Roman" w:hAnsi="Times New Roman" w:cs="Times New Roman"/>
                <w:color w:val="auto"/>
                <w:sz w:val="24"/>
                <w:szCs w:val="24"/>
                <w:highlight w:val="none"/>
                <w:lang w:val="en-US" w:eastAsia="zh-CN"/>
              </w:rPr>
              <w:t>源</w:t>
            </w:r>
            <w:r>
              <w:rPr>
                <w:rFonts w:hint="default" w:ascii="Times New Roman" w:hAnsi="Times New Roman" w:cs="Times New Roman"/>
                <w:color w:val="auto"/>
                <w:sz w:val="24"/>
                <w:szCs w:val="24"/>
                <w:highlight w:val="none"/>
              </w:rPr>
              <w:t xml:space="preserve">源强核算技术指南 </w:t>
            </w:r>
            <w:r>
              <w:rPr>
                <w:rFonts w:hint="default" w:ascii="Times New Roman" w:hAnsi="Times New Roman" w:cs="Times New Roman"/>
                <w:color w:val="auto"/>
                <w:sz w:val="24"/>
                <w:szCs w:val="24"/>
                <w:highlight w:val="none"/>
                <w:lang w:val="en-US" w:eastAsia="zh-CN"/>
              </w:rPr>
              <w:t>锅炉</w:t>
            </w:r>
            <w:r>
              <w:rPr>
                <w:rFonts w:hint="default" w:ascii="Times New Roman" w:hAnsi="Times New Roman" w:cs="Times New Roman"/>
                <w:color w:val="auto"/>
                <w:sz w:val="24"/>
                <w:szCs w:val="24"/>
                <w:highlight w:val="none"/>
              </w:rPr>
              <w:t>》（HJ</w:t>
            </w:r>
            <w:r>
              <w:rPr>
                <w:rFonts w:hint="default" w:ascii="Times New Roman" w:hAnsi="Times New Roman" w:cs="Times New Roman"/>
                <w:color w:val="auto"/>
                <w:sz w:val="24"/>
                <w:szCs w:val="24"/>
                <w:highlight w:val="none"/>
                <w:lang w:val="en-US" w:eastAsia="zh-CN"/>
              </w:rPr>
              <w:t>991</w:t>
            </w:r>
            <w:r>
              <w:rPr>
                <w:rFonts w:hint="default" w:ascii="Times New Roman" w:hAnsi="Times New Roman" w:cs="Times New Roman"/>
                <w:color w:val="auto"/>
                <w:sz w:val="24"/>
                <w:szCs w:val="24"/>
                <w:highlight w:val="none"/>
              </w:rPr>
              <w:t>-2018），</w:t>
            </w:r>
            <w:r>
              <w:rPr>
                <w:rFonts w:hint="default" w:ascii="Times New Roman" w:hAnsi="Times New Roman" w:cs="Times New Roman"/>
                <w:color w:val="auto"/>
                <w:sz w:val="24"/>
                <w:szCs w:val="24"/>
                <w:highlight w:val="none"/>
                <w:lang w:val="en-US" w:eastAsia="zh-CN"/>
              </w:rPr>
              <w:t>锅炉</w:t>
            </w:r>
            <w:r>
              <w:rPr>
                <w:rFonts w:hint="default" w:ascii="Times New Roman" w:hAnsi="Times New Roman" w:cs="Times New Roman"/>
                <w:color w:val="auto"/>
                <w:sz w:val="24"/>
                <w:szCs w:val="24"/>
                <w:highlight w:val="none"/>
              </w:rPr>
              <w:t>飞灰</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炉渣</w:t>
            </w:r>
            <w:r>
              <w:rPr>
                <w:rFonts w:hint="default" w:ascii="Times New Roman" w:hAnsi="Times New Roman" w:cs="Times New Roman"/>
                <w:color w:val="auto"/>
                <w:sz w:val="24"/>
                <w:szCs w:val="24"/>
                <w:highlight w:val="none"/>
              </w:rPr>
              <w:t>产生量按照如下公式计算：</w:t>
            </w:r>
            <w:r>
              <w:rPr>
                <w:rFonts w:hint="default" w:ascii="Times New Roman" w:hAnsi="Times New Roman" w:cs="Times New Roman"/>
                <w:color w:val="auto"/>
                <w:highlight w:val="none"/>
              </w:rPr>
              <w:drawing>
                <wp:inline distT="0" distB="0" distL="114300" distR="114300">
                  <wp:extent cx="5479415" cy="2099945"/>
                  <wp:effectExtent l="0" t="0" r="6985" b="14605"/>
                  <wp:docPr id="10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5"/>
                          <pic:cNvPicPr>
                            <a:picLocks noChangeAspect="1"/>
                          </pic:cNvPicPr>
                        </pic:nvPicPr>
                        <pic:blipFill>
                          <a:blip r:embed="rId38"/>
                          <a:stretch>
                            <a:fillRect/>
                          </a:stretch>
                        </pic:blipFill>
                        <pic:spPr>
                          <a:xfrm>
                            <a:off x="0" y="0"/>
                            <a:ext cx="5479415" cy="2099945"/>
                          </a:xfrm>
                          <a:prstGeom prst="rect">
                            <a:avLst/>
                          </a:prstGeom>
                          <a:noFill/>
                          <a:ln>
                            <a:noFill/>
                          </a:ln>
                        </pic:spPr>
                      </pic:pic>
                    </a:graphicData>
                  </a:graphic>
                </wp:inline>
              </w:drawing>
            </w:r>
          </w:p>
          <w:p w14:paraId="31259AF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cs="Times New Roman"/>
                <w:b w:val="0"/>
                <w:bCs/>
                <w:color w:val="auto"/>
                <w:sz w:val="24"/>
                <w:szCs w:val="24"/>
                <w:highlight w:val="none"/>
              </w:rPr>
              <w:t>本项目</w:t>
            </w:r>
            <w:r>
              <w:rPr>
                <w:rFonts w:hint="default" w:ascii="Times New Roman" w:hAnsi="Times New Roman" w:eastAsia="宋体" w:cs="Times New Roman"/>
                <w:b w:val="0"/>
                <w:bCs/>
                <w:color w:val="auto"/>
                <w:sz w:val="24"/>
                <w:szCs w:val="24"/>
                <w:highlight w:val="none"/>
              </w:rPr>
              <w:t>锅炉燃料消耗量</w:t>
            </w:r>
            <w:r>
              <w:rPr>
                <w:rFonts w:hint="default" w:ascii="Times New Roman" w:hAnsi="Times New Roman" w:eastAsia="宋体" w:cs="Times New Roman"/>
                <w:b w:val="0"/>
                <w:bCs/>
                <w:color w:val="auto"/>
                <w:sz w:val="24"/>
                <w:szCs w:val="24"/>
                <w:highlight w:val="none"/>
                <w:lang w:val="en-US" w:eastAsia="zh-CN"/>
              </w:rPr>
              <w:t>为</w:t>
            </w:r>
            <w:r>
              <w:rPr>
                <w:rFonts w:hint="default" w:ascii="Times New Roman" w:hAnsi="Times New Roman" w:cs="Times New Roman"/>
                <w:b w:val="0"/>
                <w:bCs/>
                <w:color w:val="auto"/>
                <w:spacing w:val="-1"/>
                <w:sz w:val="24"/>
                <w:szCs w:val="24"/>
                <w:highlight w:val="none"/>
                <w:lang w:val="en-US" w:eastAsia="zh-CN"/>
              </w:rPr>
              <w:t>6598.62t/a</w:t>
            </w: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rPr>
              <w:t>收到基灰分</w:t>
            </w:r>
            <w:r>
              <w:rPr>
                <w:rFonts w:hint="default" w:ascii="Times New Roman" w:hAnsi="Times New Roman" w:cs="Times New Roman"/>
                <w:b w:val="0"/>
                <w:bCs/>
                <w:color w:val="auto"/>
                <w:sz w:val="24"/>
                <w:szCs w:val="24"/>
                <w:highlight w:val="none"/>
                <w:lang w:val="en-US" w:eastAsia="zh-CN"/>
              </w:rPr>
              <w:t>为15.95</w:t>
            </w:r>
            <w:r>
              <w:rPr>
                <w:rFonts w:hint="default" w:ascii="Times New Roman" w:hAnsi="Times New Roman" w:cs="Times New Roman"/>
                <w:b w:val="0"/>
                <w:bCs/>
                <w:color w:val="auto"/>
                <w:sz w:val="24"/>
                <w:szCs w:val="24"/>
                <w:highlight w:val="none"/>
              </w:rPr>
              <w:t>%</w:t>
            </w:r>
            <w:r>
              <w:rPr>
                <w:rFonts w:hint="default" w:ascii="Times New Roman" w:hAnsi="Times New Roman" w:cs="Times New Roman"/>
                <w:b w:val="0"/>
                <w:bCs/>
                <w:color w:val="auto"/>
                <w:sz w:val="24"/>
                <w:szCs w:val="24"/>
                <w:highlight w:val="none"/>
                <w:lang w:eastAsia="zh-CN"/>
              </w:rPr>
              <w:t>，</w:t>
            </w:r>
            <w:r>
              <w:rPr>
                <w:rFonts w:hint="default" w:ascii="Times New Roman" w:hAnsi="Times New Roman" w:cs="Times New Roman"/>
                <w:b w:val="0"/>
                <w:bCs/>
                <w:color w:val="auto"/>
                <w:sz w:val="24"/>
                <w:szCs w:val="24"/>
                <w:highlight w:val="none"/>
              </w:rPr>
              <w:t>锅炉机械</w:t>
            </w:r>
            <w:r>
              <w:rPr>
                <w:rFonts w:hint="eastAsia" w:ascii="Times New Roman" w:hAnsi="Times New Roman" w:cs="Times New Roman"/>
                <w:b w:val="0"/>
                <w:bCs/>
                <w:color w:val="auto"/>
                <w:sz w:val="24"/>
                <w:szCs w:val="24"/>
                <w:highlight w:val="none"/>
                <w:lang w:val="en-US" w:eastAsia="zh-CN"/>
              </w:rPr>
              <w:t>不</w:t>
            </w:r>
            <w:r>
              <w:rPr>
                <w:rFonts w:hint="default" w:ascii="Times New Roman" w:hAnsi="Times New Roman" w:cs="Times New Roman"/>
                <w:b w:val="0"/>
                <w:bCs/>
                <w:color w:val="auto"/>
                <w:sz w:val="24"/>
                <w:szCs w:val="24"/>
                <w:highlight w:val="none"/>
              </w:rPr>
              <w:t>完全燃烧热损失为</w:t>
            </w:r>
            <w:r>
              <w:rPr>
                <w:rFonts w:hint="default" w:ascii="Times New Roman" w:hAnsi="Times New Roman" w:cs="Times New Roman"/>
                <w:b w:val="0"/>
                <w:bCs/>
                <w:color w:val="auto"/>
                <w:sz w:val="24"/>
                <w:szCs w:val="24"/>
                <w:highlight w:val="none"/>
                <w:lang w:val="en-US" w:eastAsia="zh-CN"/>
              </w:rPr>
              <w:t>5</w:t>
            </w:r>
            <w:r>
              <w:rPr>
                <w:rFonts w:hint="default" w:ascii="Times New Roman" w:hAnsi="Times New Roman" w:cs="Times New Roman"/>
                <w:b w:val="0"/>
                <w:bCs/>
                <w:color w:val="auto"/>
                <w:sz w:val="24"/>
                <w:szCs w:val="24"/>
                <w:highlight w:val="none"/>
              </w:rPr>
              <w:t>%，燃料收到基低位发热量</w:t>
            </w:r>
            <w:r>
              <w:rPr>
                <w:rFonts w:hint="default" w:ascii="Times New Roman" w:hAnsi="Times New Roman" w:cs="Times New Roman"/>
                <w:b w:val="0"/>
                <w:bCs/>
                <w:color w:val="auto"/>
                <w:sz w:val="24"/>
                <w:szCs w:val="24"/>
                <w:highlight w:val="none"/>
                <w:lang w:val="en-US" w:eastAsia="zh-CN"/>
              </w:rPr>
              <w:t>12680</w:t>
            </w:r>
            <w:r>
              <w:rPr>
                <w:rFonts w:hint="default" w:ascii="Times New Roman" w:hAnsi="Times New Roman" w:eastAsia="宋体" w:cs="Times New Roman"/>
                <w:b w:val="0"/>
                <w:bCs/>
                <w:color w:val="auto"/>
                <w:sz w:val="24"/>
                <w:szCs w:val="24"/>
                <w:highlight w:val="none"/>
              </w:rPr>
              <w:t>kJ/kg</w:t>
            </w:r>
            <w:r>
              <w:rPr>
                <w:rFonts w:hint="default" w:ascii="Times New Roman" w:hAnsi="Times New Roman" w:cs="Times New Roman"/>
                <w:b w:val="0"/>
                <w:bCs/>
                <w:color w:val="auto"/>
                <w:sz w:val="24"/>
                <w:szCs w:val="24"/>
                <w:highlight w:val="none"/>
              </w:rPr>
              <w:t>，经计算得出</w:t>
            </w:r>
            <w:r>
              <w:rPr>
                <w:rFonts w:hint="default" w:ascii="Times New Roman" w:hAnsi="Times New Roman" w:cs="Times New Roman"/>
                <w:b w:val="0"/>
                <w:bCs/>
                <w:color w:val="auto"/>
                <w:sz w:val="24"/>
                <w:szCs w:val="24"/>
                <w:highlight w:val="none"/>
                <w:lang w:val="en-US" w:eastAsia="zh-CN"/>
              </w:rPr>
              <w:t>生物质锅</w:t>
            </w:r>
            <w:r>
              <w:rPr>
                <w:rFonts w:hint="default" w:ascii="Times New Roman" w:hAnsi="Times New Roman" w:cs="Times New Roman"/>
                <w:b w:val="0"/>
                <w:bCs/>
                <w:color w:val="auto"/>
                <w:sz w:val="24"/>
                <w:szCs w:val="24"/>
                <w:highlight w:val="none"/>
              </w:rPr>
              <w:t>炉燃烧产生的灰渣量为</w:t>
            </w:r>
            <w:r>
              <w:rPr>
                <w:rFonts w:hint="eastAsia" w:ascii="Times New Roman" w:hAnsi="Times New Roman" w:cs="Times New Roman"/>
                <w:b w:val="0"/>
                <w:bCs/>
                <w:color w:val="auto"/>
                <w:sz w:val="24"/>
                <w:szCs w:val="24"/>
                <w:highlight w:val="none"/>
                <w:lang w:val="en-US" w:eastAsia="zh-CN"/>
              </w:rPr>
              <w:t>1175.997</w:t>
            </w:r>
            <w:r>
              <w:rPr>
                <w:rFonts w:hint="default" w:ascii="Times New Roman" w:hAnsi="Times New Roman" w:cs="Times New Roman"/>
                <w:b w:val="0"/>
                <w:bCs/>
                <w:color w:val="auto"/>
                <w:sz w:val="24"/>
                <w:szCs w:val="24"/>
                <w:highlight w:val="none"/>
              </w:rPr>
              <w:t>t/a，灰渣中随烟气排放的飞灰（即烟尘）为</w:t>
            </w:r>
            <w:r>
              <w:rPr>
                <w:rFonts w:hint="default" w:ascii="Times New Roman" w:hAnsi="Times New Roman" w:cs="Times New Roman"/>
                <w:b w:val="0"/>
                <w:bCs/>
                <w:color w:val="auto"/>
                <w:sz w:val="24"/>
                <w:szCs w:val="24"/>
                <w:highlight w:val="none"/>
                <w:lang w:val="en-US" w:eastAsia="zh-CN"/>
              </w:rPr>
              <w:t>0.489</w:t>
            </w:r>
            <w:r>
              <w:rPr>
                <w:rFonts w:hint="default" w:ascii="Times New Roman" w:hAnsi="Times New Roman" w:cs="Times New Roman"/>
                <w:b w:val="0"/>
                <w:bCs/>
                <w:color w:val="auto"/>
                <w:sz w:val="24"/>
                <w:szCs w:val="24"/>
                <w:highlight w:val="none"/>
              </w:rPr>
              <w:t>t/a，由布袋除尘器收集的飞灰为</w:t>
            </w:r>
            <w:r>
              <w:rPr>
                <w:rFonts w:hint="default" w:ascii="Times New Roman" w:hAnsi="Times New Roman" w:cs="Times New Roman"/>
                <w:b w:val="0"/>
                <w:bCs/>
                <w:color w:val="auto"/>
                <w:sz w:val="24"/>
                <w:szCs w:val="24"/>
                <w:highlight w:val="none"/>
                <w:lang w:val="en-US" w:eastAsia="zh-CN"/>
              </w:rPr>
              <w:t>488.585</w:t>
            </w:r>
            <w:r>
              <w:rPr>
                <w:rFonts w:hint="default" w:ascii="Times New Roman" w:hAnsi="Times New Roman" w:cs="Times New Roman"/>
                <w:b w:val="0"/>
                <w:bCs/>
                <w:color w:val="auto"/>
                <w:sz w:val="24"/>
                <w:szCs w:val="24"/>
                <w:highlight w:val="none"/>
              </w:rPr>
              <w:t>t/a，则剩余灰渣量为</w:t>
            </w:r>
            <w:r>
              <w:rPr>
                <w:rFonts w:hint="eastAsia" w:ascii="Times New Roman" w:hAnsi="Times New Roman" w:cs="Times New Roman"/>
                <w:b w:val="0"/>
                <w:bCs/>
                <w:color w:val="auto"/>
                <w:sz w:val="24"/>
                <w:szCs w:val="24"/>
                <w:highlight w:val="none"/>
                <w:lang w:eastAsia="zh-CN"/>
              </w:rPr>
              <w:t>686.923</w:t>
            </w:r>
            <w:r>
              <w:rPr>
                <w:rFonts w:hint="default" w:ascii="Times New Roman" w:hAnsi="Times New Roman" w:cs="Times New Roman"/>
                <w:b w:val="0"/>
                <w:bCs/>
                <w:color w:val="auto"/>
                <w:sz w:val="24"/>
                <w:szCs w:val="24"/>
                <w:highlight w:val="none"/>
              </w:rPr>
              <w:t>t/a。灰渣集中收集后外售综合利用</w:t>
            </w:r>
            <w:r>
              <w:rPr>
                <w:rFonts w:hint="default" w:ascii="Times New Roman" w:hAnsi="Times New Roman" w:cs="Times New Roman"/>
                <w:b w:val="0"/>
                <w:bCs/>
                <w:color w:val="auto"/>
                <w:sz w:val="24"/>
                <w:szCs w:val="24"/>
                <w:highlight w:val="none"/>
                <w:lang w:eastAsia="zh-CN"/>
              </w:rPr>
              <w:t>。</w:t>
            </w:r>
          </w:p>
          <w:p w14:paraId="461B4110">
            <w:pPr>
              <w:pStyle w:val="14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（2）除尘器粉尘</w:t>
            </w:r>
          </w:p>
          <w:p w14:paraId="08279EE7">
            <w:pPr>
              <w:pStyle w:val="14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rPr>
                <w:rFonts w:hint="default" w:ascii="Times New Roman" w:hAnsi="Times New Roman" w:eastAsia="宋体" w:cs="Times New Roman"/>
                <w:b w:val="0"/>
                <w:bCs/>
                <w:color w:val="auto"/>
                <w:spacing w:val="-1"/>
                <w:sz w:val="24"/>
                <w:szCs w:val="24"/>
                <w:highlight w:val="none"/>
              </w:rPr>
            </w:pPr>
            <w:r>
              <w:rPr>
                <w:rFonts w:hint="default" w:ascii="Times New Roman" w:hAnsi="Times New Roman" w:eastAsia="宋体" w:cs="Times New Roman"/>
                <w:b w:val="0"/>
                <w:bCs/>
                <w:color w:val="auto"/>
                <w:sz w:val="24"/>
                <w:szCs w:val="24"/>
                <w:highlight w:val="none"/>
              </w:rPr>
              <w:t>本项目布袋除尘器收尘灰为</w:t>
            </w:r>
            <w:r>
              <w:rPr>
                <w:rFonts w:hint="default" w:ascii="Times New Roman" w:hAnsi="Times New Roman" w:cs="Times New Roman"/>
                <w:b w:val="0"/>
                <w:bCs/>
                <w:color w:val="auto"/>
                <w:sz w:val="24"/>
                <w:szCs w:val="24"/>
                <w:highlight w:val="none"/>
                <w:lang w:val="en-US" w:eastAsia="zh-CN"/>
              </w:rPr>
              <w:t>488.585</w:t>
            </w:r>
            <w:r>
              <w:rPr>
                <w:rFonts w:hint="default" w:ascii="Times New Roman" w:hAnsi="Times New Roman" w:eastAsia="宋体" w:cs="Times New Roman"/>
                <w:b w:val="0"/>
                <w:bCs/>
                <w:color w:val="auto"/>
                <w:sz w:val="24"/>
                <w:szCs w:val="24"/>
                <w:highlight w:val="none"/>
              </w:rPr>
              <w:t>t/a，收集过程由</w:t>
            </w:r>
            <w:r>
              <w:rPr>
                <w:rFonts w:hint="default" w:ascii="Times New Roman" w:hAnsi="Times New Roman" w:eastAsia="宋体" w:cs="Times New Roman"/>
                <w:b w:val="0"/>
                <w:bCs/>
                <w:color w:val="auto"/>
                <w:spacing w:val="-1"/>
                <w:sz w:val="24"/>
                <w:szCs w:val="24"/>
                <w:highlight w:val="none"/>
              </w:rPr>
              <w:t>人工完成利用袋包装，收尘灰经收集后与炉渣一起外售到肥料厂综合利用。</w:t>
            </w:r>
          </w:p>
          <w:p w14:paraId="37D3E0A9">
            <w:pPr>
              <w:pStyle w:val="147"/>
              <w:spacing w:before="19" w:line="359"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position w:val="2"/>
                <w:sz w:val="24"/>
                <w:szCs w:val="24"/>
                <w:highlight w:val="none"/>
              </w:rPr>
              <w:t>（</w:t>
            </w:r>
            <w:r>
              <w:rPr>
                <w:rFonts w:hint="default" w:ascii="Times New Roman" w:hAnsi="Times New Roman" w:cs="Times New Roman"/>
                <w:color w:val="auto"/>
                <w:spacing w:val="-2"/>
                <w:position w:val="2"/>
                <w:sz w:val="24"/>
                <w:szCs w:val="24"/>
                <w:highlight w:val="none"/>
                <w:lang w:val="en-US" w:eastAsia="zh-CN"/>
              </w:rPr>
              <w:t>3</w:t>
            </w:r>
            <w:r>
              <w:rPr>
                <w:rFonts w:hint="default" w:ascii="Times New Roman" w:hAnsi="Times New Roman" w:eastAsia="宋体" w:cs="Times New Roman"/>
                <w:color w:val="auto"/>
                <w:spacing w:val="-2"/>
                <w:position w:val="2"/>
                <w:sz w:val="24"/>
                <w:szCs w:val="24"/>
                <w:highlight w:val="none"/>
              </w:rPr>
              <w:t>）废布袋产生量核算</w:t>
            </w:r>
          </w:p>
          <w:p w14:paraId="2ADC33B6">
            <w:pPr>
              <w:pStyle w:val="147"/>
              <w:spacing w:before="146" w:line="345" w:lineRule="auto"/>
              <w:ind w:left="113" w:right="26"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布袋除尘装置长期工作后，布袋透气性降低影响</w:t>
            </w:r>
            <w:r>
              <w:rPr>
                <w:rFonts w:hint="default" w:ascii="Times New Roman" w:hAnsi="Times New Roman" w:eastAsia="宋体" w:cs="Times New Roman"/>
                <w:color w:val="auto"/>
                <w:spacing w:val="-2"/>
                <w:sz w:val="24"/>
                <w:szCs w:val="24"/>
                <w:highlight w:val="none"/>
              </w:rPr>
              <w:t>系统风量或者布袋损坏时，</w:t>
            </w:r>
            <w:r>
              <w:rPr>
                <w:rFonts w:hint="default" w:ascii="Times New Roman" w:hAnsi="Times New Roman" w:eastAsia="宋体" w:cs="Times New Roman"/>
                <w:color w:val="auto"/>
                <w:spacing w:val="-3"/>
                <w:sz w:val="24"/>
                <w:szCs w:val="24"/>
                <w:highlight w:val="none"/>
              </w:rPr>
              <w:t>应进行更换，更换后的废布袋集中收集后由生产厂家定期回收，产生量为0.</w:t>
            </w:r>
            <w:r>
              <w:rPr>
                <w:rFonts w:hint="default" w:ascii="Times New Roman" w:hAnsi="Times New Roman" w:cs="Times New Roman"/>
                <w:color w:val="auto"/>
                <w:spacing w:val="-3"/>
                <w:sz w:val="24"/>
                <w:szCs w:val="24"/>
                <w:highlight w:val="none"/>
                <w:lang w:val="en-US" w:eastAsia="zh-CN"/>
              </w:rPr>
              <w:t>5</w:t>
            </w:r>
            <w:r>
              <w:rPr>
                <w:rFonts w:hint="default" w:ascii="Times New Roman" w:hAnsi="Times New Roman" w:eastAsia="宋体" w:cs="Times New Roman"/>
                <w:color w:val="auto"/>
                <w:spacing w:val="-3"/>
                <w:sz w:val="24"/>
                <w:szCs w:val="24"/>
                <w:highlight w:val="none"/>
              </w:rPr>
              <w:t>t/a。</w:t>
            </w:r>
          </w:p>
          <w:p w14:paraId="366AD741">
            <w:pPr>
              <w:pStyle w:val="147"/>
              <w:spacing w:line="360" w:lineRule="exac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position w:val="2"/>
                <w:sz w:val="24"/>
                <w:szCs w:val="24"/>
                <w:highlight w:val="none"/>
              </w:rPr>
              <w:t>（</w:t>
            </w:r>
            <w:r>
              <w:rPr>
                <w:rFonts w:hint="default" w:ascii="Times New Roman" w:hAnsi="Times New Roman" w:cs="Times New Roman"/>
                <w:color w:val="auto"/>
                <w:spacing w:val="-2"/>
                <w:position w:val="2"/>
                <w:sz w:val="24"/>
                <w:szCs w:val="24"/>
                <w:highlight w:val="none"/>
                <w:lang w:val="en-US" w:eastAsia="zh-CN"/>
              </w:rPr>
              <w:t>4</w:t>
            </w:r>
            <w:r>
              <w:rPr>
                <w:rFonts w:hint="default" w:ascii="Times New Roman" w:hAnsi="Times New Roman" w:eastAsia="宋体" w:cs="Times New Roman"/>
                <w:color w:val="auto"/>
                <w:spacing w:val="-2"/>
                <w:position w:val="2"/>
                <w:sz w:val="24"/>
                <w:szCs w:val="24"/>
                <w:highlight w:val="none"/>
              </w:rPr>
              <w:t>）废包装物产生量核算</w:t>
            </w:r>
          </w:p>
          <w:p w14:paraId="00CB5D07">
            <w:pPr>
              <w:pStyle w:val="147"/>
              <w:spacing w:before="140" w:line="346" w:lineRule="auto"/>
              <w:ind w:left="113" w:right="26" w:firstLine="488"/>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11"/>
                <w:sz w:val="24"/>
                <w:szCs w:val="24"/>
                <w:highlight w:val="none"/>
              </w:rPr>
              <w:t>改建项目产生的废包材为生物质燃料包装袋。项目生物质燃料使用量为</w:t>
            </w:r>
            <w:r>
              <w:rPr>
                <w:rFonts w:hint="default" w:ascii="Times New Roman" w:hAnsi="Times New Roman" w:cs="Times New Roman"/>
                <w:color w:val="auto"/>
                <w:spacing w:val="5"/>
                <w:sz w:val="24"/>
                <w:szCs w:val="24"/>
                <w:highlight w:val="none"/>
                <w:lang w:val="en-US" w:eastAsia="zh-CN"/>
              </w:rPr>
              <w:t>6598.62t/a</w:t>
            </w:r>
            <w:r>
              <w:rPr>
                <w:rFonts w:hint="default" w:ascii="Times New Roman" w:hAnsi="Times New Roman" w:eastAsia="宋体" w:cs="Times New Roman"/>
                <w:color w:val="auto"/>
                <w:spacing w:val="-8"/>
                <w:sz w:val="24"/>
                <w:szCs w:val="24"/>
                <w:highlight w:val="none"/>
              </w:rPr>
              <w:t>，包装形式20kg/袋，单个包装袋净重按0.01kg计，经核算废包材量约</w:t>
            </w:r>
            <w:r>
              <w:rPr>
                <w:rFonts w:hint="default" w:ascii="Times New Roman" w:hAnsi="Times New Roman" w:cs="Times New Roman"/>
                <w:color w:val="auto"/>
                <w:spacing w:val="-8"/>
                <w:sz w:val="24"/>
                <w:szCs w:val="24"/>
                <w:highlight w:val="none"/>
                <w:lang w:eastAsia="zh-CN"/>
              </w:rPr>
              <w:t>3.299</w:t>
            </w:r>
            <w:r>
              <w:rPr>
                <w:rFonts w:hint="default" w:ascii="Times New Roman" w:hAnsi="Times New Roman" w:eastAsia="宋体" w:cs="Times New Roman"/>
                <w:color w:val="auto"/>
                <w:spacing w:val="-8"/>
                <w:sz w:val="24"/>
                <w:szCs w:val="24"/>
                <w:highlight w:val="none"/>
              </w:rPr>
              <w:t>t/a。</w:t>
            </w:r>
            <w:r>
              <w:rPr>
                <w:rFonts w:hint="default" w:ascii="Times New Roman" w:hAnsi="Times New Roman" w:eastAsia="宋体" w:cs="Times New Roman"/>
                <w:color w:val="auto"/>
                <w:spacing w:val="-1"/>
                <w:sz w:val="24"/>
                <w:szCs w:val="24"/>
                <w:highlight w:val="none"/>
              </w:rPr>
              <w:t>收集后由燃料厂家回收。</w:t>
            </w:r>
          </w:p>
          <w:p w14:paraId="7465759D">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废离子交换树脂</w:t>
            </w:r>
          </w:p>
          <w:p w14:paraId="2C5C6DDC">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软化水制取系统的离子交换树脂会定期更换，从而产生废离子交换树脂。废离子交换树脂产生量约为</w:t>
            </w:r>
            <w:r>
              <w:rPr>
                <w:rFonts w:hint="default" w:ascii="Times New Roman" w:hAnsi="Times New Roman" w:eastAsia="宋体" w:cs="Times New Roman"/>
                <w:color w:val="auto"/>
                <w:kern w:val="0"/>
                <w:sz w:val="24"/>
                <w:szCs w:val="24"/>
                <w:highlight w:val="none"/>
                <w:lang w:val="en-US" w:eastAsia="zh-CN"/>
              </w:rPr>
              <w:t>1.0</w:t>
            </w:r>
            <w:r>
              <w:rPr>
                <w:rFonts w:hint="default" w:ascii="Times New Roman" w:hAnsi="Times New Roman" w:eastAsia="宋体" w:cs="Times New Roman"/>
                <w:color w:val="auto"/>
                <w:kern w:val="0"/>
                <w:sz w:val="24"/>
                <w:szCs w:val="24"/>
                <w:highlight w:val="none"/>
              </w:rPr>
              <w:t>t/a，</w:t>
            </w:r>
            <w:r>
              <w:rPr>
                <w:rFonts w:hint="default" w:ascii="Times New Roman" w:hAnsi="Times New Roman" w:eastAsia="宋体" w:cs="Times New Roman"/>
                <w:color w:val="auto"/>
                <w:sz w:val="24"/>
                <w:szCs w:val="24"/>
                <w:highlight w:val="none"/>
              </w:rPr>
              <w:t>不在厂区内存放，产生后直接返回厂家回收处置</w:t>
            </w:r>
            <w:r>
              <w:rPr>
                <w:rFonts w:hint="default" w:ascii="Times New Roman" w:hAnsi="Times New Roman" w:eastAsia="宋体" w:cs="Times New Roman"/>
                <w:color w:val="auto"/>
                <w:kern w:val="0"/>
                <w:sz w:val="24"/>
                <w:szCs w:val="24"/>
                <w:highlight w:val="none"/>
              </w:rPr>
              <w:t>。</w:t>
            </w:r>
          </w:p>
          <w:p w14:paraId="4FD38512">
            <w:pPr>
              <w:spacing w:line="360" w:lineRule="auto"/>
              <w:ind w:right="72" w:rightChars="30"/>
              <w:jc w:val="left"/>
              <w:rPr>
                <w:rFonts w:hint="default" w:ascii="Times New Roman" w:hAnsi="Times New Roman" w:eastAsia="宋体" w:cs="Times New Roman"/>
                <w:b/>
                <w:bCs w:val="0"/>
                <w:color w:val="auto"/>
                <w:spacing w:val="0"/>
                <w:sz w:val="24"/>
                <w:highlight w:val="none"/>
              </w:rPr>
            </w:pPr>
            <w:r>
              <w:rPr>
                <w:rFonts w:hint="default" w:ascii="Times New Roman" w:hAnsi="Times New Roman" w:cs="Times New Roman"/>
                <w:b/>
                <w:bCs w:val="0"/>
                <w:color w:val="auto"/>
                <w:spacing w:val="0"/>
                <w:sz w:val="24"/>
                <w:highlight w:val="none"/>
                <w:lang w:val="en-US" w:eastAsia="zh-CN"/>
              </w:rPr>
              <w:t>2、</w:t>
            </w:r>
            <w:r>
              <w:rPr>
                <w:rFonts w:hint="default" w:ascii="Times New Roman" w:hAnsi="Times New Roman" w:eastAsia="宋体" w:cs="Times New Roman"/>
                <w:b/>
                <w:bCs w:val="0"/>
                <w:color w:val="auto"/>
                <w:spacing w:val="0"/>
                <w:sz w:val="24"/>
                <w:highlight w:val="none"/>
              </w:rPr>
              <w:t>一般工业固体废物暂存要求</w:t>
            </w:r>
          </w:p>
          <w:p w14:paraId="2B4BE3AD">
            <w:pPr>
              <w:spacing w:line="360" w:lineRule="auto"/>
              <w:ind w:firstLine="480"/>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sz w:val="24"/>
                <w:highlight w:val="none"/>
              </w:rPr>
              <w:t>本项目废布袋</w:t>
            </w:r>
            <w:r>
              <w:rPr>
                <w:rFonts w:hint="default" w:ascii="Times New Roman" w:hAnsi="Times New Roman"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废包装袋</w:t>
            </w:r>
            <w:r>
              <w:rPr>
                <w:rFonts w:hint="default" w:ascii="Times New Roman" w:hAnsi="Times New Roman" w:cs="Times New Roman"/>
                <w:color w:val="auto"/>
                <w:spacing w:val="0"/>
                <w:sz w:val="24"/>
                <w:highlight w:val="none"/>
                <w:lang w:val="en-US" w:eastAsia="zh-CN"/>
              </w:rPr>
              <w:t>暂存</w:t>
            </w:r>
            <w:r>
              <w:rPr>
                <w:rFonts w:hint="default" w:ascii="Times New Roman" w:hAnsi="Times New Roman" w:eastAsia="宋体" w:cs="Times New Roman"/>
                <w:color w:val="auto"/>
                <w:spacing w:val="0"/>
                <w:sz w:val="24"/>
                <w:highlight w:val="none"/>
              </w:rPr>
              <w:t>于</w:t>
            </w:r>
            <w:r>
              <w:rPr>
                <w:rFonts w:hint="default" w:ascii="Times New Roman" w:hAnsi="Times New Roman" w:cs="Times New Roman"/>
                <w:color w:val="auto"/>
                <w:spacing w:val="0"/>
                <w:sz w:val="24"/>
                <w:highlight w:val="none"/>
                <w:lang w:val="en-US" w:eastAsia="zh-CN"/>
              </w:rPr>
              <w:t>灰渣库</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该暂存地面应进行硬化处理，满足防风、防雨、防渗等要求，并设有标识牌，不与生活垃圾混入，有固定的堆放场所；一般工业固体废物暂存场所应严格按照</w:t>
            </w:r>
            <w:r>
              <w:rPr>
                <w:rFonts w:hint="default" w:ascii="Times New Roman" w:hAnsi="Times New Roman" w:eastAsia="宋体" w:cs="Times New Roman"/>
                <w:color w:val="auto"/>
                <w:spacing w:val="0"/>
                <w:sz w:val="24"/>
                <w:highlight w:val="none"/>
              </w:rPr>
              <w:fldChar w:fldCharType="begin"/>
            </w:r>
            <w:r>
              <w:rPr>
                <w:rFonts w:hint="default" w:ascii="Times New Roman" w:hAnsi="Times New Roman" w:eastAsia="宋体" w:cs="Times New Roman"/>
                <w:color w:val="auto"/>
                <w:spacing w:val="0"/>
                <w:sz w:val="24"/>
                <w:highlight w:val="none"/>
              </w:rPr>
              <w:instrText xml:space="preserve"> HYPERLINK "https://www.mee.gov.cn/ywgz/fgbz/bz/bzwb/gthw/gtfwwrkzbz/202012/W020201218695845325455.pdf" </w:instrText>
            </w:r>
            <w:r>
              <w:rPr>
                <w:rFonts w:hint="default" w:ascii="Times New Roman" w:hAnsi="Times New Roman" w:eastAsia="宋体" w:cs="Times New Roman"/>
                <w:color w:val="auto"/>
                <w:spacing w:val="0"/>
                <w:sz w:val="24"/>
                <w:highlight w:val="none"/>
              </w:rPr>
              <w:fldChar w:fldCharType="separate"/>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一般工业固体废物贮存和填埋污染控制标准</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（GB18599-2020）</w:t>
            </w:r>
            <w:r>
              <w:rPr>
                <w:rFonts w:hint="default" w:ascii="Times New Roman" w:hAnsi="Times New Roman" w:eastAsia="宋体" w:cs="Times New Roman"/>
                <w:color w:val="auto"/>
                <w:spacing w:val="0"/>
                <w:sz w:val="24"/>
                <w:highlight w:val="none"/>
              </w:rPr>
              <w:fldChar w:fldCharType="end"/>
            </w:r>
            <w:r>
              <w:rPr>
                <w:rFonts w:hint="default" w:ascii="Times New Roman" w:hAnsi="Times New Roman" w:eastAsia="宋体" w:cs="Times New Roman"/>
                <w:color w:val="auto"/>
                <w:spacing w:val="0"/>
                <w:sz w:val="24"/>
                <w:highlight w:val="none"/>
              </w:rPr>
              <w:t>规定执行。</w:t>
            </w:r>
            <w:r>
              <w:rPr>
                <w:rFonts w:hint="default" w:ascii="Times New Roman" w:hAnsi="Times New Roman" w:cs="Times New Roman"/>
                <w:color w:val="auto"/>
                <w:spacing w:val="0"/>
                <w:sz w:val="24"/>
                <w:highlight w:val="none"/>
                <w:lang w:val="en-US" w:eastAsia="zh-CN"/>
              </w:rPr>
              <w:t>本项目一般固体废物采用密闭袋装方式贮存，</w:t>
            </w:r>
            <w:r>
              <w:rPr>
                <w:rFonts w:hint="default" w:ascii="Times New Roman" w:hAnsi="Times New Roman" w:eastAsia="宋体" w:cs="Times New Roman"/>
                <w:color w:val="auto"/>
                <w:spacing w:val="0"/>
                <w:sz w:val="24"/>
                <w:highlight w:val="none"/>
                <w:lang w:val="en-US" w:eastAsia="zh-CN"/>
              </w:rPr>
              <w:t>避免收集、贮存、转移过程中产生次生污染。</w:t>
            </w:r>
          </w:p>
          <w:p w14:paraId="33F1F0CB">
            <w:pPr>
              <w:spacing w:line="360" w:lineRule="auto"/>
              <w:ind w:firstLine="480" w:firstLineChars="200"/>
              <w:rPr>
                <w:rFonts w:hint="default" w:ascii="Times New Roman" w:hAnsi="Times New Roman" w:eastAsia="宋体" w:cs="Times New Roman"/>
                <w:color w:val="auto"/>
                <w:spacing w:val="0"/>
                <w:szCs w:val="21"/>
                <w:highlight w:val="none"/>
              </w:rPr>
            </w:pPr>
            <w:r>
              <w:rPr>
                <w:rFonts w:hint="default" w:ascii="Times New Roman" w:hAnsi="Times New Roman" w:eastAsia="宋体" w:cs="Times New Roman"/>
                <w:color w:val="auto"/>
                <w:spacing w:val="0"/>
                <w:sz w:val="24"/>
                <w:highlight w:val="none"/>
              </w:rPr>
              <w:t>公司应建立档案制度，应将入场的一般工业固体废物的种类和数量以及各种设施设备的检查维护资料，详细记录在案，长期保存，供随时查阅。</w:t>
            </w:r>
          </w:p>
          <w:p w14:paraId="580366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rPr>
              <w:t>由上述分析可知，项目产生的固体废物得到有效</w:t>
            </w:r>
            <w:r>
              <w:rPr>
                <w:rFonts w:hint="default" w:ascii="Times New Roman" w:hAnsi="Times New Roman" w:cs="Times New Roman"/>
                <w:color w:val="auto"/>
                <w:spacing w:val="0"/>
                <w:sz w:val="24"/>
                <w:szCs w:val="24"/>
                <w:highlight w:val="none"/>
                <w:lang w:eastAsia="zh-CN"/>
              </w:rPr>
              <w:t>地</w:t>
            </w:r>
            <w:r>
              <w:rPr>
                <w:rFonts w:hint="default" w:ascii="Times New Roman" w:hAnsi="Times New Roman" w:eastAsia="宋体" w:cs="Times New Roman"/>
                <w:color w:val="auto"/>
                <w:spacing w:val="0"/>
                <w:sz w:val="24"/>
                <w:szCs w:val="24"/>
                <w:highlight w:val="none"/>
              </w:rPr>
              <w:t>处理处置，对外环境影响较小</w:t>
            </w:r>
            <w:r>
              <w:rPr>
                <w:rFonts w:hint="default" w:ascii="Times New Roman" w:hAnsi="Times New Roman" w:eastAsia="宋体" w:cs="Times New Roman"/>
                <w:color w:val="auto"/>
                <w:spacing w:val="0"/>
                <w:sz w:val="24"/>
                <w:szCs w:val="24"/>
                <w:highlight w:val="none"/>
                <w:lang w:eastAsia="zh-CN"/>
              </w:rPr>
              <w:t>。</w:t>
            </w:r>
          </w:p>
          <w:p w14:paraId="698A69CA">
            <w:pPr>
              <w:adjustRightInd w:val="0"/>
              <w:snapToGrid w:val="0"/>
              <w:spacing w:line="360" w:lineRule="auto"/>
              <w:ind w:left="0" w:leftChars="0" w:firstLine="0" w:firstLineChars="0"/>
              <w:jc w:val="center"/>
              <w:rPr>
                <w:rFonts w:hint="default" w:ascii="Times New Roman" w:hAnsi="Times New Roman" w:eastAsia="宋体" w:cs="Times New Roman"/>
                <w:b/>
                <w:bCs/>
                <w:color w:val="auto"/>
                <w:spacing w:val="6"/>
                <w:sz w:val="21"/>
                <w:szCs w:val="21"/>
                <w:highlight w:val="none"/>
                <w:lang w:eastAsia="zh-CN"/>
              </w:rPr>
            </w:pPr>
            <w:r>
              <w:rPr>
                <w:rFonts w:hint="default" w:ascii="Times New Roman" w:hAnsi="Times New Roman" w:eastAsia="宋体" w:cs="Times New Roman"/>
                <w:b/>
                <w:bCs/>
                <w:color w:val="auto"/>
                <w:spacing w:val="6"/>
                <w:sz w:val="21"/>
                <w:szCs w:val="21"/>
                <w:highlight w:val="none"/>
              </w:rPr>
              <w:t>表4-</w:t>
            </w:r>
            <w:r>
              <w:rPr>
                <w:rFonts w:hint="default" w:ascii="Times New Roman" w:hAnsi="Times New Roman" w:eastAsia="宋体" w:cs="Times New Roman"/>
                <w:b/>
                <w:bCs/>
                <w:color w:val="auto"/>
                <w:spacing w:val="6"/>
                <w:sz w:val="21"/>
                <w:szCs w:val="21"/>
                <w:highlight w:val="none"/>
                <w:lang w:val="en-US" w:eastAsia="zh-CN"/>
              </w:rPr>
              <w:t>1</w:t>
            </w:r>
            <w:r>
              <w:rPr>
                <w:rFonts w:hint="default" w:ascii="Times New Roman" w:hAnsi="Times New Roman" w:cs="Times New Roman"/>
                <w:b/>
                <w:bCs/>
                <w:color w:val="auto"/>
                <w:spacing w:val="6"/>
                <w:sz w:val="21"/>
                <w:szCs w:val="21"/>
                <w:highlight w:val="none"/>
                <w:lang w:val="en-US" w:eastAsia="zh-CN"/>
              </w:rPr>
              <w:t>3</w:t>
            </w:r>
            <w:r>
              <w:rPr>
                <w:rFonts w:hint="default" w:ascii="Times New Roman" w:hAnsi="Times New Roman" w:eastAsia="宋体" w:cs="Times New Roman"/>
                <w:b/>
                <w:bCs/>
                <w:color w:val="auto"/>
                <w:spacing w:val="6"/>
                <w:sz w:val="21"/>
                <w:szCs w:val="21"/>
                <w:highlight w:val="none"/>
              </w:rPr>
              <w:t>一般固废贮存库基本情况表</w:t>
            </w:r>
          </w:p>
          <w:tbl>
            <w:tblPr>
              <w:tblStyle w:val="148"/>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84"/>
              <w:gridCol w:w="737"/>
              <w:gridCol w:w="873"/>
              <w:gridCol w:w="1090"/>
              <w:gridCol w:w="734"/>
              <w:gridCol w:w="735"/>
              <w:gridCol w:w="741"/>
              <w:gridCol w:w="735"/>
              <w:gridCol w:w="736"/>
              <w:gridCol w:w="804"/>
            </w:tblGrid>
            <w:tr w14:paraId="103C3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554" w:type="pct"/>
                  <w:tcBorders>
                    <w:top w:val="single" w:color="000000" w:sz="10" w:space="0"/>
                  </w:tcBorders>
                  <w:vAlign w:val="center"/>
                </w:tcPr>
                <w:p w14:paraId="5CCAF7D9">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贮存设</w:t>
                  </w:r>
                  <w:r>
                    <w:rPr>
                      <w:rFonts w:hint="default" w:ascii="Times New Roman" w:hAnsi="Times New Roman" w:eastAsia="宋体" w:cs="Times New Roman"/>
                      <w:color w:val="auto"/>
                      <w:spacing w:val="7"/>
                      <w:sz w:val="21"/>
                      <w:szCs w:val="21"/>
                      <w:highlight w:val="none"/>
                    </w:rPr>
                    <w:t>施名称</w:t>
                  </w:r>
                </w:p>
              </w:tc>
              <w:tc>
                <w:tcPr>
                  <w:tcW w:w="463" w:type="pct"/>
                  <w:tcBorders>
                    <w:top w:val="single" w:color="000000" w:sz="10" w:space="0"/>
                  </w:tcBorders>
                  <w:vAlign w:val="center"/>
                </w:tcPr>
                <w:p w14:paraId="4F3FAE2B">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废物</w:t>
                  </w:r>
                  <w:r>
                    <w:rPr>
                      <w:rFonts w:hint="default" w:ascii="Times New Roman" w:hAnsi="Times New Roman" w:eastAsia="宋体" w:cs="Times New Roman"/>
                      <w:color w:val="auto"/>
                      <w:spacing w:val="3"/>
                      <w:sz w:val="21"/>
                      <w:szCs w:val="21"/>
                      <w:highlight w:val="none"/>
                    </w:rPr>
                    <w:t>名称</w:t>
                  </w:r>
                </w:p>
              </w:tc>
              <w:tc>
                <w:tcPr>
                  <w:tcW w:w="547" w:type="pct"/>
                  <w:tcBorders>
                    <w:top w:val="single" w:color="000000" w:sz="10" w:space="0"/>
                  </w:tcBorders>
                  <w:vAlign w:val="center"/>
                </w:tcPr>
                <w:p w14:paraId="4FE6356E">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废物</w:t>
                  </w:r>
                  <w:r>
                    <w:rPr>
                      <w:rFonts w:hint="default" w:ascii="Times New Roman" w:hAnsi="Times New Roman" w:eastAsia="宋体" w:cs="Times New Roman"/>
                      <w:color w:val="auto"/>
                      <w:spacing w:val="4"/>
                      <w:sz w:val="21"/>
                      <w:szCs w:val="21"/>
                      <w:highlight w:val="none"/>
                    </w:rPr>
                    <w:t>类别</w:t>
                  </w:r>
                </w:p>
              </w:tc>
              <w:tc>
                <w:tcPr>
                  <w:tcW w:w="617" w:type="pct"/>
                  <w:tcBorders>
                    <w:top w:val="single" w:color="000000" w:sz="10" w:space="0"/>
                  </w:tcBorders>
                  <w:vAlign w:val="center"/>
                </w:tcPr>
                <w:p w14:paraId="6801AD68">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废物代码</w:t>
                  </w:r>
                </w:p>
              </w:tc>
              <w:tc>
                <w:tcPr>
                  <w:tcW w:w="461" w:type="pct"/>
                  <w:tcBorders>
                    <w:top w:val="single" w:color="000000" w:sz="10" w:space="0"/>
                    <w:bottom w:val="single" w:color="auto" w:sz="4" w:space="0"/>
                  </w:tcBorders>
                  <w:vAlign w:val="center"/>
                </w:tcPr>
                <w:p w14:paraId="46527C5A">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lang w:eastAsia="zh-CN"/>
                    </w:rPr>
                  </w:pPr>
                  <w:r>
                    <w:rPr>
                      <w:rFonts w:hint="default" w:ascii="Times New Roman" w:hAnsi="Times New Roman" w:cs="Times New Roman"/>
                      <w:color w:val="auto"/>
                      <w:spacing w:val="4"/>
                      <w:sz w:val="21"/>
                      <w:szCs w:val="21"/>
                      <w:highlight w:val="none"/>
                      <w:lang w:eastAsia="zh-CN"/>
                    </w:rPr>
                    <w:t>产生量</w:t>
                  </w:r>
                </w:p>
              </w:tc>
              <w:tc>
                <w:tcPr>
                  <w:tcW w:w="461" w:type="pct"/>
                  <w:tcBorders>
                    <w:top w:val="single" w:color="000000" w:sz="10" w:space="0"/>
                  </w:tcBorders>
                  <w:vAlign w:val="center"/>
                </w:tcPr>
                <w:p w14:paraId="2DE4E252">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位置</w:t>
                  </w:r>
                </w:p>
              </w:tc>
              <w:tc>
                <w:tcPr>
                  <w:tcW w:w="465" w:type="pct"/>
                  <w:tcBorders>
                    <w:top w:val="single" w:color="000000" w:sz="10" w:space="0"/>
                  </w:tcBorders>
                  <w:vAlign w:val="center"/>
                </w:tcPr>
                <w:p w14:paraId="1E27ABBA">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3"/>
                      <w:sz w:val="21"/>
                      <w:szCs w:val="21"/>
                      <w:highlight w:val="none"/>
                    </w:rPr>
                    <w:t>占地</w:t>
                  </w:r>
                  <w:r>
                    <w:rPr>
                      <w:rFonts w:hint="default" w:ascii="Times New Roman" w:hAnsi="Times New Roman" w:eastAsia="宋体" w:cs="Times New Roman"/>
                      <w:color w:val="auto"/>
                      <w:spacing w:val="4"/>
                      <w:sz w:val="21"/>
                      <w:szCs w:val="21"/>
                      <w:highlight w:val="none"/>
                    </w:rPr>
                    <w:t>面积</w:t>
                  </w:r>
                </w:p>
              </w:tc>
              <w:tc>
                <w:tcPr>
                  <w:tcW w:w="461" w:type="pct"/>
                  <w:tcBorders>
                    <w:top w:val="single" w:color="000000" w:sz="10" w:space="0"/>
                  </w:tcBorders>
                  <w:vAlign w:val="center"/>
                </w:tcPr>
                <w:p w14:paraId="36E3920F">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贮存方式</w:t>
                  </w:r>
                </w:p>
              </w:tc>
              <w:tc>
                <w:tcPr>
                  <w:tcW w:w="462" w:type="pct"/>
                  <w:tcBorders>
                    <w:top w:val="single" w:color="000000" w:sz="10" w:space="0"/>
                  </w:tcBorders>
                  <w:vAlign w:val="center"/>
                </w:tcPr>
                <w:p w14:paraId="231A54D7">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贮存</w:t>
                  </w:r>
                  <w:r>
                    <w:rPr>
                      <w:rFonts w:hint="default" w:ascii="Times New Roman" w:hAnsi="Times New Roman" w:eastAsia="宋体" w:cs="Times New Roman"/>
                      <w:color w:val="auto"/>
                      <w:sz w:val="21"/>
                      <w:szCs w:val="21"/>
                      <w:highlight w:val="none"/>
                    </w:rPr>
                    <w:t>能力</w:t>
                  </w:r>
                </w:p>
              </w:tc>
              <w:tc>
                <w:tcPr>
                  <w:tcW w:w="504" w:type="pct"/>
                  <w:tcBorders>
                    <w:top w:val="single" w:color="000000" w:sz="10" w:space="0"/>
                  </w:tcBorders>
                  <w:vAlign w:val="center"/>
                </w:tcPr>
                <w:p w14:paraId="17E08FB9">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贮存周期</w:t>
                  </w:r>
                </w:p>
              </w:tc>
            </w:tr>
            <w:tr w14:paraId="2D39B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54" w:type="pct"/>
                  <w:vMerge w:val="restart"/>
                  <w:vAlign w:val="center"/>
                </w:tcPr>
                <w:p w14:paraId="54B95F2E">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lang w:val="en-US" w:eastAsia="zh-CN"/>
                    </w:rPr>
                    <w:t>灰</w:t>
                  </w:r>
                  <w:r>
                    <w:rPr>
                      <w:rFonts w:hint="default" w:ascii="Times New Roman" w:hAnsi="Times New Roman" w:eastAsia="宋体" w:cs="Times New Roman"/>
                      <w:color w:val="auto"/>
                      <w:spacing w:val="6"/>
                      <w:sz w:val="21"/>
                      <w:szCs w:val="21"/>
                      <w:highlight w:val="none"/>
                    </w:rPr>
                    <w:t>渣库</w:t>
                  </w:r>
                </w:p>
              </w:tc>
              <w:tc>
                <w:tcPr>
                  <w:tcW w:w="463" w:type="pct"/>
                  <w:vAlign w:val="center"/>
                </w:tcPr>
                <w:p w14:paraId="488784E2">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废布袋</w:t>
                  </w:r>
                </w:p>
              </w:tc>
              <w:tc>
                <w:tcPr>
                  <w:tcW w:w="547" w:type="pct"/>
                  <w:vAlign w:val="center"/>
                </w:tcPr>
                <w:p w14:paraId="18B0B7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position w:val="1"/>
                      <w:sz w:val="21"/>
                      <w:szCs w:val="21"/>
                      <w:highlight w:val="none"/>
                    </w:rPr>
                    <w:t>SW59</w:t>
                  </w:r>
                </w:p>
              </w:tc>
              <w:tc>
                <w:tcPr>
                  <w:tcW w:w="617" w:type="pct"/>
                  <w:tcBorders>
                    <w:right w:val="single" w:color="auto" w:sz="4" w:space="0"/>
                  </w:tcBorders>
                  <w:vAlign w:val="center"/>
                </w:tcPr>
                <w:p w14:paraId="1A1BEB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position w:val="1"/>
                      <w:sz w:val="21"/>
                      <w:szCs w:val="21"/>
                      <w:highlight w:val="none"/>
                    </w:rPr>
                    <w:t>900-099-S</w:t>
                  </w:r>
                  <w:r>
                    <w:rPr>
                      <w:rFonts w:hint="default" w:ascii="Times New Roman" w:hAnsi="Times New Roman" w:eastAsia="宋体" w:cs="Times New Roman"/>
                      <w:color w:val="auto"/>
                      <w:spacing w:val="-4"/>
                      <w:position w:val="1"/>
                      <w:sz w:val="21"/>
                      <w:szCs w:val="21"/>
                      <w:highlight w:val="none"/>
                    </w:rPr>
                    <w:t>59</w:t>
                  </w:r>
                </w:p>
              </w:tc>
              <w:tc>
                <w:tcPr>
                  <w:tcW w:w="461" w:type="pct"/>
                  <w:tcBorders>
                    <w:top w:val="single" w:color="auto" w:sz="4" w:space="0"/>
                    <w:left w:val="single" w:color="auto" w:sz="4" w:space="0"/>
                    <w:bottom w:val="single" w:color="auto" w:sz="4" w:space="0"/>
                    <w:right w:val="single" w:color="auto" w:sz="4" w:space="0"/>
                  </w:tcBorders>
                  <w:vAlign w:val="center"/>
                </w:tcPr>
                <w:p w14:paraId="6CD4B444">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cs="Times New Roman"/>
                      <w:color w:val="auto"/>
                      <w:spacing w:val="3"/>
                      <w:sz w:val="21"/>
                      <w:szCs w:val="21"/>
                      <w:highlight w:val="none"/>
                      <w:lang w:val="en-US" w:eastAsia="zh-CN"/>
                    </w:rPr>
                    <w:t>0.5</w:t>
                  </w:r>
                </w:p>
              </w:tc>
              <w:tc>
                <w:tcPr>
                  <w:tcW w:w="461" w:type="pct"/>
                  <w:vMerge w:val="restart"/>
                  <w:tcBorders>
                    <w:left w:val="single" w:color="auto" w:sz="4" w:space="0"/>
                  </w:tcBorders>
                  <w:vAlign w:val="center"/>
                </w:tcPr>
                <w:p w14:paraId="7F3ED5FA">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pacing w:val="4"/>
                      <w:sz w:val="21"/>
                      <w:szCs w:val="21"/>
                      <w:highlight w:val="none"/>
                      <w:lang w:val="en-US" w:eastAsia="zh-CN"/>
                    </w:rPr>
                    <w:t>灰渣库</w:t>
                  </w:r>
                  <w:r>
                    <w:rPr>
                      <w:rFonts w:hint="default" w:ascii="Times New Roman" w:hAnsi="Times New Roman" w:eastAsia="宋体" w:cs="Times New Roman"/>
                      <w:color w:val="auto"/>
                      <w:spacing w:val="4"/>
                      <w:sz w:val="21"/>
                      <w:szCs w:val="21"/>
                      <w:highlight w:val="none"/>
                      <w:lang w:val="en-US" w:eastAsia="zh-CN"/>
                    </w:rPr>
                    <w:t>内</w:t>
                  </w:r>
                </w:p>
              </w:tc>
              <w:tc>
                <w:tcPr>
                  <w:tcW w:w="465" w:type="pct"/>
                  <w:vMerge w:val="restart"/>
                  <w:vAlign w:val="center"/>
                </w:tcPr>
                <w:p w14:paraId="18FC2E8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3"/>
                      <w:position w:val="1"/>
                      <w:sz w:val="21"/>
                      <w:szCs w:val="21"/>
                      <w:highlight w:val="none"/>
                      <w:lang w:val="en-US" w:eastAsia="zh-CN"/>
                    </w:rPr>
                    <w:t>40</w:t>
                  </w:r>
                  <w:r>
                    <w:rPr>
                      <w:rFonts w:hint="default" w:ascii="Times New Roman" w:hAnsi="Times New Roman" w:eastAsia="宋体" w:cs="Times New Roman"/>
                      <w:color w:val="auto"/>
                      <w:spacing w:val="3"/>
                      <w:position w:val="1"/>
                      <w:sz w:val="21"/>
                      <w:szCs w:val="21"/>
                      <w:highlight w:val="none"/>
                    </w:rPr>
                    <w:t>m</w:t>
                  </w:r>
                  <w:r>
                    <w:rPr>
                      <w:rFonts w:hint="default" w:ascii="Times New Roman" w:hAnsi="Times New Roman" w:cs="Times New Roman"/>
                      <w:color w:val="auto"/>
                      <w:spacing w:val="3"/>
                      <w:position w:val="1"/>
                      <w:sz w:val="21"/>
                      <w:szCs w:val="21"/>
                      <w:highlight w:val="none"/>
                      <w:vertAlign w:val="superscript"/>
                      <w:lang w:val="en-US" w:eastAsia="zh-CN"/>
                    </w:rPr>
                    <w:t>2</w:t>
                  </w:r>
                </w:p>
              </w:tc>
              <w:tc>
                <w:tcPr>
                  <w:tcW w:w="461" w:type="pct"/>
                  <w:vAlign w:val="center"/>
                </w:tcPr>
                <w:p w14:paraId="38E495F3">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密闭袋装</w:t>
                  </w:r>
                </w:p>
              </w:tc>
              <w:tc>
                <w:tcPr>
                  <w:tcW w:w="462" w:type="pct"/>
                  <w:vMerge w:val="restart"/>
                  <w:tcBorders>
                    <w:bottom w:val="nil"/>
                  </w:tcBorders>
                  <w:vAlign w:val="center"/>
                </w:tcPr>
                <w:p w14:paraId="5B898E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2"/>
                      <w:position w:val="1"/>
                      <w:sz w:val="21"/>
                      <w:szCs w:val="21"/>
                      <w:highlight w:val="none"/>
                      <w:lang w:val="en-US" w:eastAsia="zh-CN"/>
                    </w:rPr>
                    <w:t>5t</w:t>
                  </w:r>
                </w:p>
              </w:tc>
              <w:tc>
                <w:tcPr>
                  <w:tcW w:w="504" w:type="pct"/>
                  <w:vAlign w:val="center"/>
                </w:tcPr>
                <w:p w14:paraId="1987ADD8">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半年</w:t>
                  </w:r>
                </w:p>
              </w:tc>
            </w:tr>
            <w:tr w14:paraId="314C2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54" w:type="pct"/>
                  <w:vMerge w:val="continue"/>
                  <w:vAlign w:val="center"/>
                </w:tcPr>
                <w:p w14:paraId="28D9BB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63" w:type="pct"/>
                  <w:vAlign w:val="center"/>
                </w:tcPr>
                <w:p w14:paraId="22A92C21">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废包装</w:t>
                  </w:r>
                  <w:r>
                    <w:rPr>
                      <w:rFonts w:hint="default" w:ascii="Times New Roman" w:hAnsi="Times New Roman" w:eastAsia="宋体" w:cs="Times New Roman"/>
                      <w:color w:val="auto"/>
                      <w:sz w:val="21"/>
                      <w:szCs w:val="21"/>
                      <w:highlight w:val="none"/>
                    </w:rPr>
                    <w:t>袋</w:t>
                  </w:r>
                </w:p>
              </w:tc>
              <w:tc>
                <w:tcPr>
                  <w:tcW w:w="547" w:type="pct"/>
                  <w:vAlign w:val="center"/>
                </w:tcPr>
                <w:p w14:paraId="710BE0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3"/>
                      <w:position w:val="1"/>
                      <w:sz w:val="21"/>
                      <w:szCs w:val="21"/>
                      <w:highlight w:val="none"/>
                    </w:rPr>
                  </w:pPr>
                  <w:r>
                    <w:rPr>
                      <w:rFonts w:hint="default" w:ascii="Times New Roman" w:hAnsi="Times New Roman" w:eastAsia="宋体" w:cs="Times New Roman"/>
                      <w:color w:val="auto"/>
                      <w:spacing w:val="-3"/>
                      <w:position w:val="1"/>
                      <w:sz w:val="21"/>
                      <w:szCs w:val="21"/>
                      <w:highlight w:val="none"/>
                      <w:lang w:val="en-US" w:eastAsia="zh-CN"/>
                    </w:rPr>
                    <w:t>SW17</w:t>
                  </w:r>
                </w:p>
              </w:tc>
              <w:tc>
                <w:tcPr>
                  <w:tcW w:w="617" w:type="pct"/>
                  <w:tcBorders>
                    <w:right w:val="single" w:color="auto" w:sz="4" w:space="0"/>
                  </w:tcBorders>
                  <w:vAlign w:val="center"/>
                </w:tcPr>
                <w:p w14:paraId="181E12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3"/>
                      <w:position w:val="1"/>
                      <w:sz w:val="21"/>
                      <w:szCs w:val="21"/>
                      <w:highlight w:val="none"/>
                    </w:rPr>
                  </w:pPr>
                  <w:r>
                    <w:rPr>
                      <w:rFonts w:hint="default" w:ascii="Times New Roman" w:hAnsi="Times New Roman" w:eastAsia="宋体" w:cs="Times New Roman"/>
                      <w:color w:val="auto"/>
                      <w:spacing w:val="-3"/>
                      <w:position w:val="1"/>
                      <w:sz w:val="21"/>
                      <w:szCs w:val="21"/>
                      <w:highlight w:val="none"/>
                      <w:lang w:val="en-US" w:eastAsia="zh-CN"/>
                    </w:rPr>
                    <w:t>900-003-S17</w:t>
                  </w:r>
                </w:p>
              </w:tc>
              <w:tc>
                <w:tcPr>
                  <w:tcW w:w="461" w:type="pct"/>
                  <w:tcBorders>
                    <w:top w:val="single" w:color="auto" w:sz="4" w:space="0"/>
                    <w:left w:val="single" w:color="auto" w:sz="4" w:space="0"/>
                    <w:bottom w:val="single" w:color="auto" w:sz="4" w:space="0"/>
                    <w:right w:val="single" w:color="auto" w:sz="4" w:space="0"/>
                  </w:tcBorders>
                  <w:vAlign w:val="center"/>
                </w:tcPr>
                <w:p w14:paraId="135E83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3.299</w:t>
                  </w:r>
                </w:p>
              </w:tc>
              <w:tc>
                <w:tcPr>
                  <w:tcW w:w="461" w:type="pct"/>
                  <w:vMerge w:val="continue"/>
                  <w:tcBorders>
                    <w:left w:val="single" w:color="auto" w:sz="4" w:space="0"/>
                  </w:tcBorders>
                  <w:vAlign w:val="center"/>
                </w:tcPr>
                <w:p w14:paraId="5687FF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65" w:type="pct"/>
                  <w:vMerge w:val="continue"/>
                  <w:vAlign w:val="center"/>
                </w:tcPr>
                <w:p w14:paraId="7DE19C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61" w:type="pct"/>
                  <w:vAlign w:val="center"/>
                </w:tcPr>
                <w:p w14:paraId="69AB1768">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密闭袋装</w:t>
                  </w:r>
                </w:p>
              </w:tc>
              <w:tc>
                <w:tcPr>
                  <w:tcW w:w="462" w:type="pct"/>
                  <w:vMerge w:val="continue"/>
                  <w:tcBorders>
                    <w:top w:val="nil"/>
                  </w:tcBorders>
                  <w:vAlign w:val="center"/>
                </w:tcPr>
                <w:p w14:paraId="680DB0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04" w:type="pct"/>
                  <w:vAlign w:val="center"/>
                </w:tcPr>
                <w:p w14:paraId="79EEADDA">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半年</w:t>
                  </w:r>
                </w:p>
              </w:tc>
            </w:tr>
            <w:tr w14:paraId="3D71B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54" w:type="pct"/>
                  <w:vMerge w:val="continue"/>
                  <w:vAlign w:val="center"/>
                </w:tcPr>
                <w:p w14:paraId="11A6E53B">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63" w:type="pct"/>
                  <w:vAlign w:val="center"/>
                </w:tcPr>
                <w:p w14:paraId="1FFCEF30">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炉渣</w:t>
                  </w:r>
                </w:p>
              </w:tc>
              <w:tc>
                <w:tcPr>
                  <w:tcW w:w="547" w:type="pct"/>
                  <w:vAlign w:val="center"/>
                </w:tcPr>
                <w:p w14:paraId="569401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position w:val="1"/>
                      <w:sz w:val="21"/>
                      <w:szCs w:val="21"/>
                      <w:highlight w:val="none"/>
                    </w:rPr>
                    <w:t>SW03</w:t>
                  </w:r>
                </w:p>
              </w:tc>
              <w:tc>
                <w:tcPr>
                  <w:tcW w:w="617" w:type="pct"/>
                  <w:tcBorders>
                    <w:right w:val="single" w:color="auto" w:sz="4" w:space="0"/>
                  </w:tcBorders>
                  <w:vAlign w:val="center"/>
                </w:tcPr>
                <w:p w14:paraId="625BE9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position w:val="1"/>
                      <w:sz w:val="21"/>
                      <w:szCs w:val="21"/>
                      <w:highlight w:val="none"/>
                    </w:rPr>
                    <w:t>900-099-S</w:t>
                  </w:r>
                  <w:r>
                    <w:rPr>
                      <w:rFonts w:hint="default" w:ascii="Times New Roman" w:hAnsi="Times New Roman" w:eastAsia="宋体" w:cs="Times New Roman"/>
                      <w:color w:val="auto"/>
                      <w:spacing w:val="-3"/>
                      <w:position w:val="1"/>
                      <w:sz w:val="21"/>
                      <w:szCs w:val="21"/>
                      <w:highlight w:val="none"/>
                    </w:rPr>
                    <w:t>03</w:t>
                  </w:r>
                </w:p>
              </w:tc>
              <w:tc>
                <w:tcPr>
                  <w:tcW w:w="461" w:type="pct"/>
                  <w:tcBorders>
                    <w:top w:val="single" w:color="auto" w:sz="4" w:space="0"/>
                    <w:left w:val="single" w:color="auto" w:sz="4" w:space="0"/>
                    <w:bottom w:val="single" w:color="auto" w:sz="4" w:space="0"/>
                    <w:right w:val="single" w:color="auto" w:sz="4" w:space="0"/>
                  </w:tcBorders>
                  <w:vAlign w:val="center"/>
                </w:tcPr>
                <w:p w14:paraId="69375713">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eastAsia" w:ascii="Times New Roman" w:hAnsi="Times New Roman" w:cs="Times New Roman"/>
                      <w:color w:val="auto"/>
                      <w:spacing w:val="4"/>
                      <w:sz w:val="21"/>
                      <w:szCs w:val="21"/>
                      <w:highlight w:val="none"/>
                      <w:lang w:val="en-US" w:eastAsia="zh-CN"/>
                    </w:rPr>
                    <w:t>686.923</w:t>
                  </w:r>
                </w:p>
              </w:tc>
              <w:tc>
                <w:tcPr>
                  <w:tcW w:w="461" w:type="pct"/>
                  <w:vMerge w:val="continue"/>
                  <w:tcBorders>
                    <w:left w:val="single" w:color="auto" w:sz="4" w:space="0"/>
                  </w:tcBorders>
                  <w:vAlign w:val="center"/>
                </w:tcPr>
                <w:p w14:paraId="1A71A2C8">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465" w:type="pct"/>
                  <w:vMerge w:val="continue"/>
                  <w:vAlign w:val="center"/>
                </w:tcPr>
                <w:p w14:paraId="12EB76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61" w:type="pct"/>
                  <w:vAlign w:val="center"/>
                </w:tcPr>
                <w:p w14:paraId="161EDCB6">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密闭袋装</w:t>
                  </w:r>
                </w:p>
              </w:tc>
              <w:tc>
                <w:tcPr>
                  <w:tcW w:w="462" w:type="pct"/>
                  <w:vMerge w:val="restart"/>
                  <w:tcBorders>
                    <w:bottom w:val="nil"/>
                  </w:tcBorders>
                  <w:vAlign w:val="center"/>
                </w:tcPr>
                <w:p w14:paraId="154992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2"/>
                      <w:position w:val="1"/>
                      <w:sz w:val="21"/>
                      <w:szCs w:val="21"/>
                      <w:highlight w:val="none"/>
                      <w:lang w:val="en-US" w:eastAsia="zh-CN"/>
                    </w:rPr>
                    <w:t>80t</w:t>
                  </w:r>
                </w:p>
              </w:tc>
              <w:tc>
                <w:tcPr>
                  <w:tcW w:w="504" w:type="pct"/>
                  <w:vAlign w:val="center"/>
                </w:tcPr>
                <w:p w14:paraId="12FDB6EE">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0"/>
                      <w:position w:val="1"/>
                      <w:sz w:val="21"/>
                      <w:szCs w:val="21"/>
                      <w:highlight w:val="none"/>
                    </w:rPr>
                    <w:t>1月</w:t>
                  </w:r>
                </w:p>
              </w:tc>
            </w:tr>
            <w:tr w14:paraId="55D70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554" w:type="pct"/>
                  <w:vMerge w:val="continue"/>
                  <w:tcBorders>
                    <w:bottom w:val="single" w:color="000000" w:sz="10" w:space="0"/>
                  </w:tcBorders>
                  <w:vAlign w:val="center"/>
                </w:tcPr>
                <w:p w14:paraId="55C1A5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63" w:type="pct"/>
                  <w:tcBorders>
                    <w:bottom w:val="single" w:color="000000" w:sz="10" w:space="0"/>
                  </w:tcBorders>
                  <w:vAlign w:val="center"/>
                </w:tcPr>
                <w:p w14:paraId="0C374B3D">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除尘灰</w:t>
                  </w:r>
                </w:p>
              </w:tc>
              <w:tc>
                <w:tcPr>
                  <w:tcW w:w="547" w:type="pct"/>
                  <w:tcBorders>
                    <w:bottom w:val="single" w:color="000000" w:sz="10" w:space="0"/>
                  </w:tcBorders>
                  <w:vAlign w:val="center"/>
                </w:tcPr>
                <w:p w14:paraId="514AE1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position w:val="1"/>
                      <w:sz w:val="21"/>
                      <w:szCs w:val="21"/>
                      <w:highlight w:val="none"/>
                    </w:rPr>
                    <w:t>SW59</w:t>
                  </w:r>
                </w:p>
              </w:tc>
              <w:tc>
                <w:tcPr>
                  <w:tcW w:w="617" w:type="pct"/>
                  <w:tcBorders>
                    <w:bottom w:val="single" w:color="000000" w:sz="10" w:space="0"/>
                    <w:right w:val="single" w:color="auto" w:sz="4" w:space="0"/>
                  </w:tcBorders>
                  <w:vAlign w:val="center"/>
                </w:tcPr>
                <w:p w14:paraId="2DE91D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position w:val="1"/>
                      <w:sz w:val="21"/>
                      <w:szCs w:val="21"/>
                      <w:highlight w:val="none"/>
                    </w:rPr>
                    <w:t>900-099-S</w:t>
                  </w:r>
                  <w:r>
                    <w:rPr>
                      <w:rFonts w:hint="default" w:ascii="Times New Roman" w:hAnsi="Times New Roman" w:eastAsia="宋体" w:cs="Times New Roman"/>
                      <w:color w:val="auto"/>
                      <w:spacing w:val="-4"/>
                      <w:position w:val="1"/>
                      <w:sz w:val="21"/>
                      <w:szCs w:val="21"/>
                      <w:highlight w:val="none"/>
                    </w:rPr>
                    <w:t>59</w:t>
                  </w:r>
                </w:p>
              </w:tc>
              <w:tc>
                <w:tcPr>
                  <w:tcW w:w="461" w:type="pct"/>
                  <w:tcBorders>
                    <w:top w:val="single" w:color="auto" w:sz="4" w:space="0"/>
                    <w:left w:val="single" w:color="auto" w:sz="4" w:space="0"/>
                    <w:bottom w:val="single" w:color="auto" w:sz="4" w:space="0"/>
                    <w:right w:val="single" w:color="auto" w:sz="4" w:space="0"/>
                  </w:tcBorders>
                  <w:vAlign w:val="center"/>
                </w:tcPr>
                <w:p w14:paraId="6434173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488.585</w:t>
                  </w:r>
                </w:p>
              </w:tc>
              <w:tc>
                <w:tcPr>
                  <w:tcW w:w="461" w:type="pct"/>
                  <w:vMerge w:val="continue"/>
                  <w:tcBorders>
                    <w:left w:val="single" w:color="auto" w:sz="4" w:space="0"/>
                    <w:bottom w:val="single" w:color="000000" w:sz="10" w:space="0"/>
                  </w:tcBorders>
                  <w:vAlign w:val="center"/>
                </w:tcPr>
                <w:p w14:paraId="722B27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65" w:type="pct"/>
                  <w:vMerge w:val="continue"/>
                  <w:tcBorders>
                    <w:bottom w:val="single" w:color="000000" w:sz="10" w:space="0"/>
                  </w:tcBorders>
                  <w:vAlign w:val="center"/>
                </w:tcPr>
                <w:p w14:paraId="2FDFF1A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461" w:type="pct"/>
                  <w:tcBorders>
                    <w:bottom w:val="single" w:color="000000" w:sz="10" w:space="0"/>
                  </w:tcBorders>
                  <w:vAlign w:val="center"/>
                </w:tcPr>
                <w:p w14:paraId="5732C49A">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密闭袋装</w:t>
                  </w:r>
                </w:p>
              </w:tc>
              <w:tc>
                <w:tcPr>
                  <w:tcW w:w="462" w:type="pct"/>
                  <w:vMerge w:val="continue"/>
                  <w:tcBorders>
                    <w:top w:val="nil"/>
                    <w:bottom w:val="single" w:color="000000" w:sz="10" w:space="0"/>
                  </w:tcBorders>
                  <w:vAlign w:val="center"/>
                </w:tcPr>
                <w:p w14:paraId="283A77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04" w:type="pct"/>
                  <w:tcBorders>
                    <w:bottom w:val="single" w:color="000000" w:sz="10" w:space="0"/>
                  </w:tcBorders>
                  <w:vAlign w:val="center"/>
                </w:tcPr>
                <w:p w14:paraId="0882E5BF">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0"/>
                      <w:position w:val="1"/>
                      <w:sz w:val="21"/>
                      <w:szCs w:val="21"/>
                      <w:highlight w:val="none"/>
                    </w:rPr>
                    <w:t>1月</w:t>
                  </w:r>
                </w:p>
              </w:tc>
            </w:tr>
          </w:tbl>
          <w:p w14:paraId="00C2A13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pacing w:val="0"/>
                <w:kern w:val="0"/>
                <w:sz w:val="24"/>
                <w:highlight w:val="none"/>
              </w:rPr>
            </w:pPr>
            <w:r>
              <w:rPr>
                <w:rFonts w:hint="default" w:ascii="Times New Roman" w:hAnsi="Times New Roman" w:eastAsia="宋体" w:cs="Times New Roman"/>
                <w:b/>
                <w:bCs/>
                <w:color w:val="auto"/>
                <w:spacing w:val="0"/>
                <w:kern w:val="0"/>
                <w:sz w:val="24"/>
                <w:highlight w:val="none"/>
              </w:rPr>
              <w:t>4.2危险废物环境影响分析</w:t>
            </w:r>
          </w:p>
          <w:p w14:paraId="2491E95E">
            <w:pPr>
              <w:spacing w:line="480" w:lineRule="exact"/>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0"/>
                <w:kern w:val="0"/>
                <w:sz w:val="24"/>
                <w:highlight w:val="none"/>
                <w:lang w:val="en-US" w:eastAsia="zh-CN"/>
              </w:rPr>
              <w:t>本项目产生的危险废物主要为</w:t>
            </w:r>
            <w:r>
              <w:rPr>
                <w:rFonts w:hint="default" w:ascii="Times New Roman" w:hAnsi="Times New Roman" w:cs="Times New Roman"/>
                <w:color w:val="auto"/>
                <w:spacing w:val="0"/>
                <w:kern w:val="0"/>
                <w:sz w:val="24"/>
                <w:highlight w:val="none"/>
                <w:lang w:val="en-US" w:eastAsia="zh-CN"/>
              </w:rPr>
              <w:t>设备维修产生的</w:t>
            </w:r>
            <w:r>
              <w:rPr>
                <w:rFonts w:hint="default" w:ascii="Times New Roman" w:hAnsi="Times New Roman" w:eastAsia="宋体" w:cs="Times New Roman"/>
                <w:color w:val="auto"/>
                <w:spacing w:val="0"/>
                <w:kern w:val="0"/>
                <w:sz w:val="24"/>
                <w:highlight w:val="none"/>
                <w:lang w:val="en-US" w:eastAsia="zh-CN"/>
              </w:rPr>
              <w:t>废</w:t>
            </w:r>
            <w:r>
              <w:rPr>
                <w:rFonts w:hint="default" w:ascii="Times New Roman" w:hAnsi="Times New Roman" w:cs="Times New Roman"/>
                <w:color w:val="auto"/>
                <w:spacing w:val="0"/>
                <w:kern w:val="0"/>
                <w:sz w:val="24"/>
                <w:highlight w:val="none"/>
                <w:lang w:val="en-US" w:eastAsia="zh-CN"/>
              </w:rPr>
              <w:t>润滑油和废含油抹布</w:t>
            </w:r>
            <w:r>
              <w:rPr>
                <w:rFonts w:hint="default" w:ascii="Times New Roman" w:hAnsi="Times New Roman" w:eastAsia="宋体" w:cs="Times New Roman"/>
                <w:color w:val="auto"/>
                <w:spacing w:val="0"/>
                <w:kern w:val="0"/>
                <w:sz w:val="24"/>
                <w:highlight w:val="none"/>
                <w:lang w:val="en-US" w:eastAsia="zh-CN"/>
              </w:rPr>
              <w:t>。</w:t>
            </w:r>
            <w:r>
              <w:rPr>
                <w:rFonts w:hint="default" w:ascii="Times New Roman" w:hAnsi="Times New Roman" w:cs="Times New Roman"/>
                <w:color w:val="auto"/>
                <w:spacing w:val="0"/>
                <w:kern w:val="0"/>
                <w:sz w:val="24"/>
                <w:highlight w:val="none"/>
                <w:lang w:val="en-US" w:eastAsia="zh-CN"/>
              </w:rPr>
              <w:t>本</w:t>
            </w:r>
            <w:r>
              <w:rPr>
                <w:rFonts w:hint="default" w:ascii="Times New Roman" w:hAnsi="Times New Roman" w:eastAsia="宋体" w:cs="Times New Roman"/>
                <w:color w:val="auto"/>
                <w:spacing w:val="2"/>
                <w:sz w:val="24"/>
                <w:szCs w:val="24"/>
                <w:highlight w:val="none"/>
              </w:rPr>
              <w:t>项目废</w:t>
            </w:r>
            <w:r>
              <w:rPr>
                <w:rFonts w:hint="default" w:ascii="Times New Roman" w:hAnsi="Times New Roman" w:cs="Times New Roman"/>
                <w:color w:val="auto"/>
                <w:spacing w:val="2"/>
                <w:sz w:val="24"/>
                <w:szCs w:val="24"/>
                <w:highlight w:val="none"/>
                <w:lang w:eastAsia="zh-CN"/>
              </w:rPr>
              <w:t>润滑油</w:t>
            </w:r>
            <w:r>
              <w:rPr>
                <w:rFonts w:hint="default" w:ascii="Times New Roman" w:hAnsi="Times New Roman" w:eastAsia="宋体" w:cs="Times New Roman"/>
                <w:color w:val="auto"/>
                <w:spacing w:val="2"/>
                <w:sz w:val="24"/>
                <w:szCs w:val="24"/>
                <w:highlight w:val="none"/>
              </w:rPr>
              <w:t>的产生量为</w:t>
            </w:r>
            <w:r>
              <w:rPr>
                <w:rFonts w:hint="default" w:ascii="Times New Roman" w:hAnsi="Times New Roman" w:cs="Times New Roman"/>
                <w:color w:val="auto"/>
                <w:spacing w:val="2"/>
                <w:sz w:val="24"/>
                <w:szCs w:val="24"/>
                <w:highlight w:val="none"/>
                <w:lang w:val="en-US" w:eastAsia="zh-CN"/>
              </w:rPr>
              <w:t>0.02</w:t>
            </w:r>
            <w:r>
              <w:rPr>
                <w:rFonts w:hint="default" w:ascii="Times New Roman" w:hAnsi="Times New Roman" w:eastAsia="宋体" w:cs="Times New Roman"/>
                <w:color w:val="auto"/>
                <w:spacing w:val="2"/>
                <w:sz w:val="24"/>
                <w:szCs w:val="24"/>
                <w:highlight w:val="none"/>
              </w:rPr>
              <w:t>t/a。</w:t>
            </w:r>
            <w:r>
              <w:rPr>
                <w:rFonts w:hint="default" w:ascii="Times New Roman" w:hAnsi="Times New Roman" w:eastAsia="宋体" w:cs="Times New Roman"/>
                <w:color w:val="auto"/>
                <w:sz w:val="24"/>
                <w:szCs w:val="24"/>
              </w:rPr>
              <w:t>含油抹布每年产生量约为0.01t。根据《国家危险废物名录》（202</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年版），含油抹布废物类别为HW49，废物代码900-041-49。</w:t>
            </w:r>
            <w:r>
              <w:rPr>
                <w:rFonts w:hint="default" w:ascii="Times New Roman" w:hAnsi="Times New Roman" w:eastAsia="宋体" w:cs="Times New Roman"/>
                <w:color w:val="auto"/>
                <w:spacing w:val="2"/>
                <w:sz w:val="24"/>
                <w:szCs w:val="24"/>
                <w:highlight w:val="none"/>
              </w:rPr>
              <w:t>废</w:t>
            </w:r>
            <w:r>
              <w:rPr>
                <w:rFonts w:hint="default" w:ascii="Times New Roman" w:hAnsi="Times New Roman" w:cs="Times New Roman"/>
                <w:color w:val="auto"/>
                <w:spacing w:val="2"/>
                <w:sz w:val="24"/>
                <w:szCs w:val="24"/>
                <w:highlight w:val="none"/>
                <w:lang w:eastAsia="zh-CN"/>
              </w:rPr>
              <w:t>润滑油</w:t>
            </w:r>
            <w:r>
              <w:rPr>
                <w:rFonts w:hint="default" w:ascii="Times New Roman" w:hAnsi="Times New Roman" w:eastAsia="宋体" w:cs="Times New Roman"/>
                <w:color w:val="auto"/>
                <w:sz w:val="24"/>
                <w:szCs w:val="24"/>
              </w:rPr>
              <w:t>类别为HW</w:t>
            </w:r>
            <w:r>
              <w:rPr>
                <w:rFonts w:hint="default" w:ascii="Times New Roman" w:hAnsi="Times New Roman" w:cs="Times New Roman"/>
                <w:color w:val="auto"/>
                <w:sz w:val="24"/>
                <w:szCs w:val="24"/>
                <w:lang w:val="en-US" w:eastAsia="zh-CN"/>
              </w:rPr>
              <w:t>08</w:t>
            </w:r>
            <w:r>
              <w:rPr>
                <w:rFonts w:hint="default" w:ascii="Times New Roman" w:hAnsi="Times New Roman" w:eastAsia="宋体" w:cs="Times New Roman"/>
                <w:color w:val="auto"/>
                <w:sz w:val="24"/>
                <w:szCs w:val="24"/>
              </w:rPr>
              <w:t>，废物代码</w:t>
            </w:r>
            <w:r>
              <w:rPr>
                <w:rFonts w:hint="eastAsia" w:ascii="Times New Roman" w:hAnsi="Times New Roman" w:cs="Times New Roman"/>
                <w:color w:val="auto"/>
                <w:sz w:val="24"/>
                <w:szCs w:val="24"/>
                <w:lang w:eastAsia="zh-CN"/>
              </w:rPr>
              <w:t>900-214-08</w:t>
            </w:r>
            <w:r>
              <w:rPr>
                <w:rFonts w:hint="default" w:ascii="Times New Roman" w:hAnsi="Times New Roman" w:cs="Times New Roman"/>
                <w:color w:val="auto"/>
                <w:sz w:val="24"/>
                <w:szCs w:val="24"/>
                <w:lang w:val="en-US" w:eastAsia="zh-CN"/>
              </w:rPr>
              <w:t>，本项目危险废物暂存于</w:t>
            </w:r>
            <w:r>
              <w:rPr>
                <w:rFonts w:hint="eastAsia" w:ascii="Times New Roman" w:hAnsi="Times New Roman" w:cs="Times New Roman"/>
                <w:color w:val="auto"/>
                <w:sz w:val="24"/>
                <w:szCs w:val="24"/>
                <w:lang w:val="en-US" w:eastAsia="zh-CN"/>
              </w:rPr>
              <w:t>危险废物贮存点</w:t>
            </w:r>
            <w:r>
              <w:rPr>
                <w:rFonts w:hint="default" w:ascii="Times New Roman" w:hAnsi="Times New Roman" w:cs="Times New Roman"/>
                <w:color w:val="auto"/>
                <w:sz w:val="24"/>
                <w:szCs w:val="24"/>
                <w:lang w:val="en-US" w:eastAsia="zh-CN"/>
              </w:rPr>
              <w:t>，定期</w:t>
            </w:r>
            <w:r>
              <w:rPr>
                <w:rFonts w:hint="default" w:ascii="Times New Roman" w:hAnsi="Times New Roman" w:eastAsia="宋体" w:cs="Times New Roman"/>
                <w:color w:val="auto"/>
                <w:sz w:val="24"/>
                <w:szCs w:val="24"/>
              </w:rPr>
              <w:t>委托有资质单位处置。</w:t>
            </w:r>
          </w:p>
          <w:p w14:paraId="26D71F80">
            <w:pPr>
              <w:adjustRightInd w:val="0"/>
              <w:snapToGrid w:val="0"/>
              <w:spacing w:line="360" w:lineRule="auto"/>
              <w:ind w:left="0" w:leftChars="0" w:firstLine="0" w:firstLineChars="0"/>
              <w:jc w:val="center"/>
              <w:rPr>
                <w:rFonts w:hint="default" w:ascii="Times New Roman" w:hAnsi="Times New Roman" w:eastAsia="宋体" w:cs="Times New Roman"/>
                <w:b/>
                <w:bCs/>
                <w:color w:val="auto"/>
                <w:spacing w:val="6"/>
                <w:sz w:val="21"/>
                <w:szCs w:val="21"/>
                <w:highlight w:val="none"/>
              </w:rPr>
            </w:pPr>
            <w:r>
              <w:rPr>
                <w:rFonts w:hint="default" w:ascii="Times New Roman" w:hAnsi="Times New Roman" w:eastAsia="宋体" w:cs="Times New Roman"/>
                <w:b/>
                <w:bCs/>
                <w:color w:val="auto"/>
                <w:spacing w:val="6"/>
                <w:sz w:val="21"/>
                <w:szCs w:val="21"/>
                <w:highlight w:val="none"/>
              </w:rPr>
              <w:t>表4-1</w:t>
            </w:r>
            <w:r>
              <w:rPr>
                <w:rFonts w:hint="default" w:ascii="Times New Roman" w:hAnsi="Times New Roman" w:eastAsia="宋体" w:cs="Times New Roman"/>
                <w:b/>
                <w:bCs/>
                <w:color w:val="auto"/>
                <w:spacing w:val="6"/>
                <w:sz w:val="21"/>
                <w:szCs w:val="21"/>
                <w:highlight w:val="none"/>
                <w:lang w:val="en-US" w:eastAsia="zh-CN"/>
              </w:rPr>
              <w:t>3</w:t>
            </w:r>
            <w:r>
              <w:rPr>
                <w:rFonts w:hint="default" w:ascii="Times New Roman" w:hAnsi="Times New Roman" w:eastAsia="宋体" w:cs="Times New Roman"/>
                <w:b/>
                <w:bCs/>
                <w:color w:val="auto"/>
                <w:spacing w:val="6"/>
                <w:sz w:val="21"/>
                <w:szCs w:val="21"/>
                <w:highlight w:val="none"/>
              </w:rPr>
              <w:t>本项目危险废物产生情况汇总一览表</w:t>
            </w:r>
          </w:p>
          <w:tbl>
            <w:tblPr>
              <w:tblStyle w:val="35"/>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827"/>
              <w:gridCol w:w="763"/>
              <w:gridCol w:w="786"/>
              <w:gridCol w:w="1253"/>
              <w:gridCol w:w="624"/>
              <w:gridCol w:w="818"/>
              <w:gridCol w:w="603"/>
              <w:gridCol w:w="653"/>
              <w:gridCol w:w="636"/>
              <w:gridCol w:w="690"/>
            </w:tblGrid>
            <w:tr w14:paraId="1DFA7B2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78" w:hRule="atLeast"/>
                <w:jc w:val="center"/>
              </w:trPr>
              <w:tc>
                <w:tcPr>
                  <w:tcW w:w="827" w:type="dxa"/>
                  <w:noWrap w:val="0"/>
                  <w:vAlign w:val="center"/>
                </w:tcPr>
                <w:p w14:paraId="20757AE2">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贮存场所（设施）名称</w:t>
                  </w:r>
                </w:p>
              </w:tc>
              <w:tc>
                <w:tcPr>
                  <w:tcW w:w="763" w:type="dxa"/>
                  <w:noWrap w:val="0"/>
                  <w:vAlign w:val="center"/>
                </w:tcPr>
                <w:p w14:paraId="5B742A83">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危险废物名称</w:t>
                  </w:r>
                </w:p>
              </w:tc>
              <w:tc>
                <w:tcPr>
                  <w:tcW w:w="786" w:type="dxa"/>
                  <w:noWrap w:val="0"/>
                  <w:vAlign w:val="center"/>
                </w:tcPr>
                <w:p w14:paraId="4DA5DC68">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危险废物类别</w:t>
                  </w:r>
                </w:p>
              </w:tc>
              <w:tc>
                <w:tcPr>
                  <w:tcW w:w="1253" w:type="dxa"/>
                  <w:noWrap w:val="0"/>
                  <w:vAlign w:val="center"/>
                </w:tcPr>
                <w:p w14:paraId="74E724FC">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危险废物代码</w:t>
                  </w:r>
                </w:p>
              </w:tc>
              <w:tc>
                <w:tcPr>
                  <w:tcW w:w="624" w:type="dxa"/>
                  <w:noWrap w:val="0"/>
                  <w:vAlign w:val="center"/>
                </w:tcPr>
                <w:p w14:paraId="5A292240">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危险特性</w:t>
                  </w:r>
                </w:p>
              </w:tc>
              <w:tc>
                <w:tcPr>
                  <w:tcW w:w="818" w:type="dxa"/>
                  <w:noWrap w:val="0"/>
                  <w:vAlign w:val="center"/>
                </w:tcPr>
                <w:p w14:paraId="70BFCE7F">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位置</w:t>
                  </w:r>
                </w:p>
              </w:tc>
              <w:tc>
                <w:tcPr>
                  <w:tcW w:w="603" w:type="dxa"/>
                  <w:noWrap w:val="0"/>
                  <w:vAlign w:val="center"/>
                </w:tcPr>
                <w:p w14:paraId="206753F4">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占地面积</w:t>
                  </w:r>
                </w:p>
              </w:tc>
              <w:tc>
                <w:tcPr>
                  <w:tcW w:w="653" w:type="dxa"/>
                  <w:noWrap w:val="0"/>
                  <w:vAlign w:val="center"/>
                </w:tcPr>
                <w:p w14:paraId="1568BCE7">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贮存方式</w:t>
                  </w:r>
                </w:p>
              </w:tc>
              <w:tc>
                <w:tcPr>
                  <w:tcW w:w="636" w:type="dxa"/>
                  <w:noWrap w:val="0"/>
                  <w:vAlign w:val="center"/>
                </w:tcPr>
                <w:p w14:paraId="2F0FC111">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贮存</w:t>
                  </w:r>
                </w:p>
                <w:p w14:paraId="19D4851A">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能力</w:t>
                  </w:r>
                </w:p>
              </w:tc>
              <w:tc>
                <w:tcPr>
                  <w:tcW w:w="690" w:type="dxa"/>
                  <w:noWrap w:val="0"/>
                  <w:vAlign w:val="center"/>
                </w:tcPr>
                <w:p w14:paraId="5F83205F">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贮存</w:t>
                  </w:r>
                </w:p>
                <w:p w14:paraId="2BEEB77B">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周期</w:t>
                  </w:r>
                </w:p>
              </w:tc>
            </w:tr>
            <w:tr w14:paraId="12A0CC0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98" w:hRule="atLeast"/>
                <w:jc w:val="center"/>
              </w:trPr>
              <w:tc>
                <w:tcPr>
                  <w:tcW w:w="827" w:type="dxa"/>
                  <w:vMerge w:val="restart"/>
                  <w:noWrap w:val="0"/>
                  <w:vAlign w:val="center"/>
                </w:tcPr>
                <w:p w14:paraId="53B6B0F0">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危险废物贮存点</w:t>
                  </w:r>
                </w:p>
              </w:tc>
              <w:tc>
                <w:tcPr>
                  <w:tcW w:w="763" w:type="dxa"/>
                  <w:noWrap w:val="0"/>
                  <w:vAlign w:val="center"/>
                </w:tcPr>
                <w:p w14:paraId="0BA3B381">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废润滑油</w:t>
                  </w:r>
                </w:p>
              </w:tc>
              <w:tc>
                <w:tcPr>
                  <w:tcW w:w="786" w:type="dxa"/>
                  <w:noWrap w:val="0"/>
                  <w:vAlign w:val="center"/>
                </w:tcPr>
                <w:p w14:paraId="5CDBE8E6">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HW08</w:t>
                  </w:r>
                </w:p>
              </w:tc>
              <w:tc>
                <w:tcPr>
                  <w:tcW w:w="1253" w:type="dxa"/>
                  <w:noWrap w:val="0"/>
                  <w:vAlign w:val="center"/>
                </w:tcPr>
                <w:p w14:paraId="74DED9F1">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900-214-08</w:t>
                  </w:r>
                </w:p>
              </w:tc>
              <w:tc>
                <w:tcPr>
                  <w:tcW w:w="624" w:type="dxa"/>
                  <w:noWrap w:val="0"/>
                  <w:vAlign w:val="center"/>
                </w:tcPr>
                <w:p w14:paraId="53097F28">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w:t>
                  </w:r>
                </w:p>
              </w:tc>
              <w:tc>
                <w:tcPr>
                  <w:tcW w:w="818" w:type="dxa"/>
                  <w:vMerge w:val="restart"/>
                  <w:noWrap w:val="0"/>
                  <w:vAlign w:val="center"/>
                </w:tcPr>
                <w:p w14:paraId="6C6ECFEB">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危险废物贮存点</w:t>
                  </w:r>
                </w:p>
              </w:tc>
              <w:tc>
                <w:tcPr>
                  <w:tcW w:w="603" w:type="dxa"/>
                  <w:vMerge w:val="restart"/>
                  <w:noWrap w:val="0"/>
                  <w:vAlign w:val="center"/>
                </w:tcPr>
                <w:p w14:paraId="5EE58DE1">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p>
              </w:tc>
              <w:tc>
                <w:tcPr>
                  <w:tcW w:w="653" w:type="dxa"/>
                  <w:vMerge w:val="restart"/>
                  <w:noWrap w:val="0"/>
                  <w:vAlign w:val="center"/>
                </w:tcPr>
                <w:p w14:paraId="4BF7935D">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采用专用容器收集</w:t>
                  </w:r>
                </w:p>
              </w:tc>
              <w:tc>
                <w:tcPr>
                  <w:tcW w:w="636" w:type="dxa"/>
                  <w:vMerge w:val="restart"/>
                  <w:noWrap w:val="0"/>
                  <w:vAlign w:val="center"/>
                </w:tcPr>
                <w:p w14:paraId="16F564E7">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1t</w:t>
                  </w:r>
                </w:p>
              </w:tc>
              <w:tc>
                <w:tcPr>
                  <w:tcW w:w="690" w:type="dxa"/>
                  <w:vMerge w:val="restart"/>
                  <w:noWrap w:val="0"/>
                  <w:vAlign w:val="center"/>
                </w:tcPr>
                <w:p w14:paraId="1B3067F7">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≤60天</w:t>
                  </w:r>
                </w:p>
              </w:tc>
            </w:tr>
            <w:tr w14:paraId="6C103BA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98" w:hRule="atLeast"/>
                <w:jc w:val="center"/>
              </w:trPr>
              <w:tc>
                <w:tcPr>
                  <w:tcW w:w="827" w:type="dxa"/>
                  <w:vMerge w:val="continue"/>
                  <w:noWrap w:val="0"/>
                  <w:vAlign w:val="center"/>
                </w:tcPr>
                <w:p w14:paraId="5D7B68ED">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highlight w:val="none"/>
                    </w:rPr>
                  </w:pPr>
                  <w:bookmarkStart w:id="15" w:name="_Toc16907"/>
                  <w:bookmarkStart w:id="16" w:name="_Toc29485"/>
                </w:p>
              </w:tc>
              <w:tc>
                <w:tcPr>
                  <w:tcW w:w="763" w:type="dxa"/>
                  <w:noWrap w:val="0"/>
                  <w:vAlign w:val="center"/>
                </w:tcPr>
                <w:p w14:paraId="70B9EC1A">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废含油抹布</w:t>
                  </w:r>
                </w:p>
              </w:tc>
              <w:tc>
                <w:tcPr>
                  <w:tcW w:w="786" w:type="dxa"/>
                  <w:noWrap w:val="0"/>
                  <w:vAlign w:val="center"/>
                </w:tcPr>
                <w:p w14:paraId="033A5CF1">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rPr>
                    <w:t>HW49</w:t>
                  </w:r>
                </w:p>
              </w:tc>
              <w:tc>
                <w:tcPr>
                  <w:tcW w:w="1253" w:type="dxa"/>
                  <w:noWrap w:val="0"/>
                  <w:vAlign w:val="center"/>
                </w:tcPr>
                <w:p w14:paraId="1B41E066">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rPr>
                    <w:t>900-041-49</w:t>
                  </w:r>
                </w:p>
              </w:tc>
              <w:tc>
                <w:tcPr>
                  <w:tcW w:w="624" w:type="dxa"/>
                  <w:shd w:val="clear" w:color="auto" w:fill="auto"/>
                  <w:noWrap w:val="0"/>
                  <w:vAlign w:val="center"/>
                </w:tcPr>
                <w:p w14:paraId="0BC81C9B">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T，I</w:t>
                  </w:r>
                </w:p>
              </w:tc>
              <w:tc>
                <w:tcPr>
                  <w:tcW w:w="818" w:type="dxa"/>
                  <w:vMerge w:val="continue"/>
                  <w:noWrap w:val="0"/>
                  <w:vAlign w:val="center"/>
                </w:tcPr>
                <w:p w14:paraId="7838657C">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highlight w:val="none"/>
                    </w:rPr>
                  </w:pPr>
                </w:p>
              </w:tc>
              <w:tc>
                <w:tcPr>
                  <w:tcW w:w="603" w:type="dxa"/>
                  <w:vMerge w:val="continue"/>
                  <w:noWrap w:val="0"/>
                  <w:vAlign w:val="center"/>
                </w:tcPr>
                <w:p w14:paraId="4E278C56">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highlight w:val="none"/>
                      <w:lang w:val="en-US" w:eastAsia="zh-CN"/>
                    </w:rPr>
                  </w:pPr>
                </w:p>
              </w:tc>
              <w:tc>
                <w:tcPr>
                  <w:tcW w:w="653" w:type="dxa"/>
                  <w:vMerge w:val="continue"/>
                  <w:noWrap w:val="0"/>
                  <w:vAlign w:val="center"/>
                </w:tcPr>
                <w:p w14:paraId="4FE9E328">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highlight w:val="none"/>
                    </w:rPr>
                  </w:pPr>
                </w:p>
              </w:tc>
              <w:tc>
                <w:tcPr>
                  <w:tcW w:w="636" w:type="dxa"/>
                  <w:vMerge w:val="continue"/>
                  <w:noWrap w:val="0"/>
                  <w:vAlign w:val="center"/>
                </w:tcPr>
                <w:p w14:paraId="5875330F">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highlight w:val="none"/>
                    </w:rPr>
                  </w:pPr>
                </w:p>
              </w:tc>
              <w:tc>
                <w:tcPr>
                  <w:tcW w:w="690" w:type="dxa"/>
                  <w:vMerge w:val="continue"/>
                  <w:noWrap w:val="0"/>
                  <w:vAlign w:val="center"/>
                </w:tcPr>
                <w:p w14:paraId="572393F5">
                  <w:pPr>
                    <w:pStyle w:val="133"/>
                    <w:keepNext w:val="0"/>
                    <w:keepLines w:val="0"/>
                    <w:pageBreakBefore w:val="0"/>
                    <w:widowControl w:val="0"/>
                    <w:tabs>
                      <w:tab w:val="left" w:pos="3286"/>
                      <w:tab w:val="left" w:pos="8362"/>
                    </w:tabs>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highlight w:val="none"/>
                    </w:rPr>
                  </w:pPr>
                </w:p>
              </w:tc>
            </w:tr>
          </w:tbl>
          <w:p w14:paraId="097B0CF6">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1）危险废物的收集、贮运和转运要求</w:t>
            </w:r>
          </w:p>
          <w:p w14:paraId="7A9E9E9F">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本项目危险废物的收集、贮运和转运环节应严格按照《危险废物贮存污染控制标准》（GB18597-20</w:t>
            </w:r>
            <w:r>
              <w:rPr>
                <w:rFonts w:hint="default" w:ascii="Times New Roman" w:hAnsi="Times New Roman" w:cs="Times New Roman"/>
                <w:color w:val="auto"/>
                <w:sz w:val="24"/>
                <w:highlight w:val="none"/>
                <w:lang w:val="en-US" w:eastAsia="zh-CN"/>
              </w:rPr>
              <w:t>23）</w:t>
            </w:r>
            <w:r>
              <w:rPr>
                <w:rFonts w:hint="default" w:ascii="Times New Roman" w:hAnsi="Times New Roman" w:eastAsia="宋体" w:cs="Times New Roman"/>
                <w:color w:val="auto"/>
                <w:sz w:val="24"/>
                <w:highlight w:val="none"/>
              </w:rPr>
              <w:t>、《</w:t>
            </w:r>
            <w:r>
              <w:rPr>
                <w:rFonts w:hint="default" w:ascii="Times New Roman" w:hAnsi="Times New Roman" w:cs="Times New Roman"/>
                <w:color w:val="auto"/>
                <w:sz w:val="24"/>
                <w:highlight w:val="none"/>
                <w:lang w:eastAsia="zh-CN"/>
              </w:rPr>
              <w:t>危险废物收集 贮存 运输技术规范</w:t>
            </w:r>
            <w:r>
              <w:rPr>
                <w:rFonts w:hint="default" w:ascii="Times New Roman" w:hAnsi="Times New Roman" w:eastAsia="宋体" w:cs="Times New Roman"/>
                <w:color w:val="auto"/>
                <w:sz w:val="24"/>
                <w:highlight w:val="none"/>
              </w:rPr>
              <w:t>》（HJ2025-2012）以及《危险废物收集贮存运输技术规范》（HJ2025-2012）等相关要求进行，总体要求如下：</w:t>
            </w:r>
          </w:p>
          <w:p w14:paraId="4EDDF7F6">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①收集要求</w:t>
            </w:r>
          </w:p>
          <w:p w14:paraId="569EC0E4">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危险废物收集和转运作业人员根据工作需要配备必要的个人防护装备，如手套、防护镜、防护服、防毒面具或口罩等；</w:t>
            </w:r>
          </w:p>
          <w:p w14:paraId="1785FA6C">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在危险废物收集和转运过程中，采取相应的安全防护和污染防治措施，包括防爆、防火、防泄漏、防飞扬、防雨或其他</w:t>
            </w:r>
            <w:r>
              <w:rPr>
                <w:rFonts w:hint="default" w:ascii="Times New Roman" w:hAnsi="Times New Roman" w:cs="Times New Roman"/>
                <w:color w:val="auto"/>
                <w:sz w:val="24"/>
                <w:highlight w:val="none"/>
                <w:lang w:eastAsia="zh-CN"/>
              </w:rPr>
              <w:t>防治</w:t>
            </w:r>
            <w:r>
              <w:rPr>
                <w:rFonts w:hint="default" w:ascii="Times New Roman" w:hAnsi="Times New Roman" w:eastAsia="宋体" w:cs="Times New Roman"/>
                <w:color w:val="auto"/>
                <w:sz w:val="24"/>
                <w:highlight w:val="none"/>
              </w:rPr>
              <w:t>污染环境的措施；</w:t>
            </w:r>
          </w:p>
          <w:p w14:paraId="793F3664">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危险废物收集时应根据危险废物的种类、数量、危险特性、物理形态、运输要求等因素选择合适的包装形式。</w:t>
            </w:r>
          </w:p>
          <w:p w14:paraId="7A38DB1E">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②运输要求</w:t>
            </w:r>
          </w:p>
          <w:p w14:paraId="2D40E1A6">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a.按照《</w:t>
            </w:r>
            <w:r>
              <w:rPr>
                <w:rFonts w:hint="default" w:ascii="Times New Roman" w:hAnsi="Times New Roman" w:cs="Times New Roman"/>
                <w:color w:val="auto"/>
                <w:sz w:val="24"/>
                <w:highlight w:val="none"/>
                <w:lang w:eastAsia="zh-CN"/>
              </w:rPr>
              <w:t>危险废物收集 贮存 运输技术规范</w:t>
            </w:r>
            <w:r>
              <w:rPr>
                <w:rFonts w:hint="default" w:ascii="Times New Roman" w:hAnsi="Times New Roman" w:eastAsia="宋体" w:cs="Times New Roman"/>
                <w:color w:val="auto"/>
                <w:sz w:val="24"/>
                <w:highlight w:val="none"/>
              </w:rPr>
              <w:t>》（HJ2025-2012）、《危险废物转移联单管理办法》对项目提出以下防治措施：</w:t>
            </w:r>
          </w:p>
          <w:p w14:paraId="53FAC3C6">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运输应由持有危险废物经营许可证的单位按照其许可证的经营范围组织实施，承担危险废物运输的单位应获得交通运输部门颁发的危险废物运输资质。</w:t>
            </w:r>
          </w:p>
          <w:p w14:paraId="0B1167F8">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b.危险废物的运输转移应按《道路危险货物运输管理规定</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铁路危险货物运输管理规定</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水路危险货物运输管理规定》等的规定执行。</w:t>
            </w:r>
          </w:p>
          <w:p w14:paraId="5A33DD69">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c.危险废物的运输转移过程控制应按《危险废物转移联单管理办法》的规定执行。</w:t>
            </w:r>
          </w:p>
          <w:p w14:paraId="449B125D">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d.危险废物转运前应检查危险废物转移联单、核对品名、数量和标志等。</w:t>
            </w:r>
          </w:p>
          <w:p w14:paraId="3486B2A4">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e.危险废物转运前应制定突发环境事件应急预案。</w:t>
            </w:r>
          </w:p>
          <w:p w14:paraId="055E6750">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f.危险废物转运前应检查转动设备和盛装容器的稳定性、严密性，确保运输途中不会破裂、倾倒和溢流。</w:t>
            </w:r>
          </w:p>
          <w:p w14:paraId="24DFF5F1">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g.危险废物在转运过程中应设专人看护。</w:t>
            </w:r>
          </w:p>
          <w:p w14:paraId="4F2D1E30">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③贮存要求</w:t>
            </w:r>
          </w:p>
          <w:p w14:paraId="62FB70C6">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eastAsia="zh-CN"/>
              </w:rPr>
              <w:t>危险废物贮存点</w:t>
            </w:r>
            <w:r>
              <w:rPr>
                <w:rFonts w:hint="default" w:ascii="Times New Roman" w:hAnsi="Times New Roman" w:eastAsia="宋体" w:cs="Times New Roman"/>
                <w:color w:val="auto"/>
                <w:sz w:val="24"/>
                <w:highlight w:val="none"/>
              </w:rPr>
              <w:t>严格按规定设置环境保护图形标志，并建立检查维护制</w:t>
            </w:r>
          </w:p>
          <w:p w14:paraId="6D0979B3">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度，严格执行</w:t>
            </w:r>
            <w:r>
              <w:rPr>
                <w:rFonts w:hint="default" w:ascii="Times New Roman" w:hAnsi="Times New Roman" w:cs="Times New Roman"/>
                <w:color w:val="auto"/>
                <w:sz w:val="24"/>
                <w:highlight w:val="none"/>
                <w:lang w:eastAsia="zh-CN"/>
              </w:rPr>
              <w:t>《危险废物贮存污染控制标准》（GB18597-2023）</w:t>
            </w:r>
            <w:r>
              <w:rPr>
                <w:rFonts w:hint="default" w:ascii="Times New Roman" w:hAnsi="Times New Roman" w:eastAsia="宋体" w:cs="Times New Roman"/>
                <w:color w:val="auto"/>
                <w:sz w:val="24"/>
                <w:highlight w:val="none"/>
              </w:rPr>
              <w:t>中的有关规定，加强对危废的临时存储和转运管理要求，防止发生污染事故。严格执行以下措施：</w:t>
            </w:r>
          </w:p>
          <w:p w14:paraId="1D87FF00">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a.建造专用的危险废物贮存设施。</w:t>
            </w:r>
          </w:p>
          <w:p w14:paraId="27E8996A">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w:t>
            </w:r>
            <w:r>
              <w:rPr>
                <w:rFonts w:hint="eastAsia" w:ascii="Times New Roman" w:hAnsi="Times New Roman" w:cs="Times New Roman"/>
                <w:color w:val="auto"/>
                <w:sz w:val="24"/>
                <w:highlight w:val="none"/>
                <w:lang w:eastAsia="zh-CN"/>
              </w:rPr>
              <w:t>危险废物贮存点</w:t>
            </w:r>
            <w:r>
              <w:rPr>
                <w:rFonts w:hint="default" w:ascii="Times New Roman" w:hAnsi="Times New Roman" w:eastAsia="宋体" w:cs="Times New Roman"/>
                <w:color w:val="auto"/>
                <w:sz w:val="24"/>
                <w:highlight w:val="none"/>
              </w:rPr>
              <w:t>应按规定设置环境保护图形标志，并建立检查维护制度，严格执行《危险废物贮存污染控制标准》（</w:t>
            </w:r>
            <w:r>
              <w:rPr>
                <w:rFonts w:hint="default" w:ascii="Times New Roman" w:hAnsi="Times New Roman" w:cs="Times New Roman"/>
                <w:color w:val="auto"/>
                <w:sz w:val="24"/>
                <w:highlight w:val="none"/>
                <w:lang w:eastAsia="zh-CN"/>
              </w:rPr>
              <w:t>GB18597-2023</w:t>
            </w:r>
            <w:r>
              <w:rPr>
                <w:rFonts w:hint="default" w:ascii="Times New Roman" w:hAnsi="Times New Roman" w:eastAsia="宋体" w:cs="Times New Roman"/>
                <w:color w:val="auto"/>
                <w:sz w:val="24"/>
                <w:highlight w:val="none"/>
              </w:rPr>
              <w:t>）中的有关规定，做到防风、防雨、防晒、防渗、防腐、防泄漏，同时危险固废在转运、处理等过</w:t>
            </w:r>
            <w:r>
              <w:rPr>
                <w:rFonts w:hint="eastAsia" w:ascii="Times New Roman" w:hAnsi="Times New Roman" w:cs="Times New Roman"/>
                <w:color w:val="auto"/>
                <w:sz w:val="24"/>
                <w:highlight w:val="none"/>
                <w:lang w:eastAsia="zh-CN"/>
              </w:rPr>
              <w:t>程中</w:t>
            </w:r>
            <w:r>
              <w:rPr>
                <w:rFonts w:hint="default" w:ascii="Times New Roman" w:hAnsi="Times New Roman" w:eastAsia="宋体" w:cs="Times New Roman"/>
                <w:color w:val="auto"/>
                <w:sz w:val="24"/>
                <w:highlight w:val="none"/>
              </w:rPr>
              <w:t>应严格按照国家有关危险废物处置规范进行。具体要求如下：</w:t>
            </w:r>
            <w:r>
              <w:rPr>
                <w:rFonts w:hint="eastAsia" w:ascii="Times New Roman" w:hAnsi="Times New Roman" w:cs="Times New Roman"/>
                <w:color w:val="auto"/>
                <w:sz w:val="24"/>
                <w:highlight w:val="none"/>
                <w:lang w:eastAsia="zh-CN"/>
              </w:rPr>
              <w:t>危险废物贮存点</w:t>
            </w:r>
            <w:r>
              <w:rPr>
                <w:rFonts w:hint="default" w:ascii="Times New Roman" w:hAnsi="Times New Roman" w:eastAsia="宋体" w:cs="Times New Roman"/>
                <w:color w:val="auto"/>
                <w:sz w:val="24"/>
                <w:highlight w:val="none"/>
              </w:rPr>
              <w:t>基础必须防渗，渗透系数≤10</w:t>
            </w:r>
            <w:r>
              <w:rPr>
                <w:rFonts w:hint="default" w:ascii="Times New Roman" w:hAnsi="Times New Roman" w:eastAsia="宋体" w:cs="Times New Roman"/>
                <w:color w:val="auto"/>
                <w:sz w:val="24"/>
                <w:highlight w:val="none"/>
                <w:vertAlign w:val="superscript"/>
              </w:rPr>
              <w:t>-10</w:t>
            </w:r>
            <w:r>
              <w:rPr>
                <w:rFonts w:hint="default" w:ascii="Times New Roman" w:hAnsi="Times New Roman" w:eastAsia="宋体" w:cs="Times New Roman"/>
                <w:color w:val="auto"/>
                <w:sz w:val="24"/>
                <w:highlight w:val="none"/>
              </w:rPr>
              <w:t>cm/s；</w:t>
            </w:r>
            <w:r>
              <w:rPr>
                <w:rFonts w:hint="eastAsia" w:ascii="Times New Roman" w:hAnsi="Times New Roman" w:cs="Times New Roman"/>
                <w:color w:val="auto"/>
                <w:sz w:val="24"/>
                <w:highlight w:val="none"/>
                <w:lang w:eastAsia="zh-CN"/>
              </w:rPr>
              <w:t>危险废物贮存点</w:t>
            </w:r>
            <w:r>
              <w:rPr>
                <w:rFonts w:hint="default" w:ascii="Times New Roman" w:hAnsi="Times New Roman" w:eastAsia="宋体" w:cs="Times New Roman"/>
                <w:color w:val="auto"/>
                <w:sz w:val="24"/>
                <w:highlight w:val="none"/>
              </w:rPr>
              <w:t>地面、裙脚要用坚固、防渗的材料建造，建筑材料必须与危险废物相容，衬里能够覆盖危险废物可能</w:t>
            </w:r>
            <w:r>
              <w:rPr>
                <w:rFonts w:hint="default" w:ascii="Times New Roman" w:hAnsi="Times New Roman" w:cs="Times New Roman"/>
                <w:color w:val="auto"/>
                <w:sz w:val="24"/>
                <w:highlight w:val="none"/>
                <w:lang w:eastAsia="zh-CN"/>
              </w:rPr>
              <w:t>涉及的</w:t>
            </w:r>
            <w:r>
              <w:rPr>
                <w:rFonts w:hint="default" w:ascii="Times New Roman" w:hAnsi="Times New Roman" w:eastAsia="宋体" w:cs="Times New Roman"/>
                <w:color w:val="auto"/>
                <w:sz w:val="24"/>
                <w:highlight w:val="none"/>
              </w:rPr>
              <w:t>范围，衬里材料与堆放危险废物相容；做好危险废物情况的记录，记录上须注明危险废物的名称、来源、数量、特性、入库日期、废物出库日期及接收单位名称。危险废物的记录和货单在危险废物回取后继续保留三年；定期对所贮存的危险废物贮存设施进行检查，发现破损，应及时采取措施清理更换。盛装危险废物的容器上必须粘贴符合</w:t>
            </w:r>
            <w:r>
              <w:rPr>
                <w:rFonts w:hint="default" w:ascii="Times New Roman" w:hAnsi="Times New Roman" w:cs="Times New Roman"/>
                <w:color w:val="auto"/>
                <w:sz w:val="24"/>
                <w:highlight w:val="none"/>
                <w:lang w:eastAsia="zh-CN"/>
              </w:rPr>
              <w:t>GB18597-2023</w:t>
            </w:r>
            <w:r>
              <w:rPr>
                <w:rFonts w:hint="default" w:ascii="Times New Roman" w:hAnsi="Times New Roman" w:eastAsia="宋体" w:cs="Times New Roman"/>
                <w:color w:val="auto"/>
                <w:sz w:val="24"/>
                <w:highlight w:val="none"/>
              </w:rPr>
              <w:t>标准附录A所示的标签。</w:t>
            </w:r>
          </w:p>
          <w:p w14:paraId="605D00A8">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危险废物贮存容器</w:t>
            </w:r>
          </w:p>
          <w:p w14:paraId="4CE1ED9A">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a.应当使用符合标准的容器盛装危险废物。</w:t>
            </w:r>
          </w:p>
          <w:p w14:paraId="54181D8D">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b.装载危险废物的容器及材质和衬里要满足相应的强度要求。</w:t>
            </w:r>
          </w:p>
          <w:p w14:paraId="7B54E3F5">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c.装载危险废物的容器必须完好无损。</w:t>
            </w:r>
          </w:p>
          <w:p w14:paraId="17993F1D">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d.盛装危险废物的容器材质和衬里要与危险废物不相容（不相互反应）。</w:t>
            </w:r>
          </w:p>
          <w:p w14:paraId="000D746A">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e.必须定期对所贮存的危险废物包装容器及贮存设施进行检查，发现破损，应及时采取措施清理更换。</w:t>
            </w:r>
          </w:p>
          <w:p w14:paraId="7AAE4368">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危险废物贮存设施的安全防护</w:t>
            </w:r>
          </w:p>
          <w:p w14:paraId="0C2F1793">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危险废物贮存设施都必须按GB15562.2的规定设置警示标志。危险废物贮存设施应配备通讯设备、照明设施、安全防护服装及工具，并设有应急防护设施。</w:t>
            </w:r>
          </w:p>
          <w:p w14:paraId="0460BEE1">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企业须健全危险废物相关管理制度，并严格落实。</w:t>
            </w:r>
          </w:p>
          <w:p w14:paraId="743BA479">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a.企业须建立危险废物收集操作规程、危险废物转运操作规程、危险废物暂存管理规程等相关制度，并认真落实；</w:t>
            </w:r>
          </w:p>
          <w:p w14:paraId="1FA0A4B1">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b.企业须对危险废物储运场所张贴</w:t>
            </w:r>
            <w:r>
              <w:rPr>
                <w:rFonts w:hint="default" w:ascii="Times New Roman" w:hAnsi="Times New Roman" w:cs="Times New Roman"/>
                <w:color w:val="auto"/>
                <w:sz w:val="24"/>
                <w:highlight w:val="none"/>
                <w:lang w:eastAsia="zh-CN"/>
              </w:rPr>
              <w:t>警示标识</w:t>
            </w:r>
            <w:r>
              <w:rPr>
                <w:rFonts w:hint="default" w:ascii="Times New Roman" w:hAnsi="Times New Roman" w:eastAsia="宋体" w:cs="Times New Roman"/>
                <w:color w:val="auto"/>
                <w:sz w:val="24"/>
                <w:highlight w:val="none"/>
              </w:rPr>
              <w:t>，危险废物包装物张贴警示标签；</w:t>
            </w:r>
          </w:p>
          <w:p w14:paraId="02A58F08">
            <w:pPr>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c.规范危险废物统计、建立危险废物收集及储运有关档案，认真填写《危险废物项目区内转运记录表》，</w:t>
            </w:r>
            <w:r>
              <w:rPr>
                <w:rFonts w:hint="default" w:ascii="Times New Roman" w:hAnsi="Times New Roman" w:cs="Times New Roman"/>
                <w:color w:val="auto"/>
                <w:sz w:val="24"/>
                <w:highlight w:val="none"/>
                <w:lang w:eastAsia="zh-CN"/>
              </w:rPr>
              <w:t>做好</w:t>
            </w:r>
            <w:r>
              <w:rPr>
                <w:rFonts w:hint="default" w:ascii="Times New Roman" w:hAnsi="Times New Roman" w:eastAsia="宋体" w:cs="Times New Roman"/>
                <w:color w:val="auto"/>
                <w:sz w:val="24"/>
                <w:highlight w:val="none"/>
              </w:rPr>
              <w:t>危险废物情况的记录，记录上须注明危险废物的名称、来源、数量、特性和包装容器的类别、入库日期、存放库位、废物出库日期及接收单位名称等，并</w:t>
            </w:r>
            <w:r>
              <w:rPr>
                <w:rFonts w:hint="default" w:ascii="Times New Roman" w:hAnsi="Times New Roman" w:cs="Times New Roman"/>
                <w:color w:val="auto"/>
                <w:sz w:val="24"/>
                <w:highlight w:val="none"/>
                <w:lang w:eastAsia="zh-CN"/>
              </w:rPr>
              <w:t>及时</w:t>
            </w:r>
            <w:r>
              <w:rPr>
                <w:rFonts w:hint="default" w:ascii="Times New Roman" w:hAnsi="Times New Roman" w:eastAsia="宋体" w:cs="Times New Roman"/>
                <w:color w:val="auto"/>
                <w:sz w:val="24"/>
                <w:highlight w:val="none"/>
              </w:rPr>
              <w:t>存档以备查阅。</w:t>
            </w:r>
          </w:p>
          <w:p w14:paraId="6D233F51">
            <w:pPr>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危险废物在暂存期间存储和管理的相关要求。</w:t>
            </w:r>
          </w:p>
          <w:p w14:paraId="6F264105">
            <w:pPr>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必须将危险废物装入容器内进行密封装运，禁止将相容（相互反应）的危险废物在同一容器内混装；b.盛装危险废物的容器应当符合标准，材质要满足相应的强度要求且必须完好无损，容器材质和衬里要与危险废物不相容（不相互反应）；</w:t>
            </w:r>
          </w:p>
          <w:p w14:paraId="74368D62">
            <w:pPr>
              <w:spacing w:line="46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c.必须定期对所贮存的危险废物包装容器及贮存设施进行检查，发现破损，应及时采取措施清理更换。</w:t>
            </w:r>
          </w:p>
          <w:p w14:paraId="0B55C344">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④项目危险废物在转运过程中采取篷布遮盖、防滴漏等措施，减少危险废物运输过程给环境带来污染，具体要求如下：</w:t>
            </w:r>
          </w:p>
          <w:p w14:paraId="5EB55836">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a.危险废物的运输由持有危险废物经营许可证的单位组织实施，并按照相关危险废物运输管理规定执行；运输单位承运危险废物时，应在危险废物包装上设置标志，运输车辆应设立车辆标志。</w:t>
            </w:r>
          </w:p>
          <w:p w14:paraId="3BF744A6">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b.危险废物运输时的装卸应遵照如下技术要求：装卸区的工作人员应熟悉危险废物的危险特性，并配备适当的个人防护装备，如橡胶手套、防护服和口罩。</w:t>
            </w:r>
          </w:p>
          <w:p w14:paraId="6AB1C211">
            <w:pPr>
              <w:spacing w:line="500" w:lineRule="exact"/>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c.危险废物转移过</w:t>
            </w:r>
            <w:r>
              <w:rPr>
                <w:rFonts w:hint="eastAsia" w:ascii="Times New Roman" w:hAnsi="Times New Roman" w:cs="Times New Roman"/>
                <w:color w:val="auto"/>
                <w:sz w:val="24"/>
                <w:highlight w:val="none"/>
                <w:lang w:eastAsia="zh-CN"/>
              </w:rPr>
              <w:t>程中</w:t>
            </w:r>
            <w:r>
              <w:rPr>
                <w:rFonts w:hint="default" w:ascii="Times New Roman" w:hAnsi="Times New Roman" w:eastAsia="宋体" w:cs="Times New Roman"/>
                <w:color w:val="auto"/>
                <w:sz w:val="24"/>
                <w:highlight w:val="none"/>
              </w:rPr>
              <w:t>严格落实《危险废物转移联单管理办法》的相关规定，规范危险废物转移；做好每次外运处置废物的运输登记，认真填写危险废物转移联单。</w:t>
            </w:r>
          </w:p>
          <w:p w14:paraId="12BB8A93">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⑤根据《</w:t>
            </w:r>
            <w:r>
              <w:rPr>
                <w:rFonts w:hint="default" w:ascii="Times New Roman" w:hAnsi="Times New Roman" w:cs="Times New Roman"/>
                <w:color w:val="auto"/>
                <w:sz w:val="24"/>
                <w:highlight w:val="none"/>
                <w:lang w:eastAsia="zh-CN"/>
              </w:rPr>
              <w:t>环境保护图形标志 固体废物贮存（处置）场</w:t>
            </w:r>
            <w:r>
              <w:rPr>
                <w:rFonts w:hint="default" w:ascii="Times New Roman" w:hAnsi="Times New Roman" w:eastAsia="宋体" w:cs="Times New Roman"/>
                <w:color w:val="auto"/>
                <w:sz w:val="24"/>
                <w:highlight w:val="none"/>
              </w:rPr>
              <w:t>》（GB15562.2-1995），危险废物贮存</w:t>
            </w:r>
            <w:r>
              <w:rPr>
                <w:rFonts w:hint="default" w:ascii="Times New Roman" w:hAnsi="Times New Roman" w:cs="Times New Roman"/>
                <w:color w:val="auto"/>
                <w:sz w:val="24"/>
                <w:highlight w:val="none"/>
                <w:lang w:val="en-US" w:eastAsia="zh-CN"/>
              </w:rPr>
              <w:t>设施</w:t>
            </w:r>
            <w:r>
              <w:rPr>
                <w:rFonts w:hint="default" w:ascii="Times New Roman" w:hAnsi="Times New Roman" w:eastAsia="宋体" w:cs="Times New Roman"/>
                <w:color w:val="auto"/>
                <w:sz w:val="24"/>
                <w:highlight w:val="none"/>
              </w:rPr>
              <w:t>还应满足以下技术要求：</w:t>
            </w:r>
          </w:p>
          <w:p w14:paraId="5F4B4A0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a.危险废物贮存设施须按GB15562.2的规定设置警示标志。</w:t>
            </w:r>
          </w:p>
          <w:p w14:paraId="10588D9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b.危险废物贮存设施周围应设置围墙</w:t>
            </w:r>
            <w:r>
              <w:rPr>
                <w:rFonts w:hint="default" w:ascii="Times New Roman" w:hAnsi="Times New Roman" w:cs="Times New Roman"/>
                <w:color w:val="auto"/>
                <w:sz w:val="24"/>
                <w:highlight w:val="none"/>
                <w:lang w:eastAsia="zh-CN"/>
              </w:rPr>
              <w:t>或其他</w:t>
            </w:r>
            <w:r>
              <w:rPr>
                <w:rFonts w:hint="default" w:ascii="Times New Roman" w:hAnsi="Times New Roman" w:eastAsia="宋体" w:cs="Times New Roman"/>
                <w:color w:val="auto"/>
                <w:sz w:val="24"/>
                <w:highlight w:val="none"/>
              </w:rPr>
              <w:t>防护栅栏。</w:t>
            </w:r>
          </w:p>
          <w:p w14:paraId="2C3ED15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c.危险废物贮存设施应配备通讯设备、照明设施、安全防护服装及工具，并设有应急防护设施。</w:t>
            </w:r>
          </w:p>
          <w:p w14:paraId="4E3B2D0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d.按国家污染源管理要求对危险废物贮存设施进行监测。</w:t>
            </w:r>
          </w:p>
          <w:p w14:paraId="32C3ECE8">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⑥根据《建设项目危险废物环境影响评价指南》，本项目</w:t>
            </w:r>
            <w:r>
              <w:rPr>
                <w:rFonts w:hint="eastAsia" w:ascii="Times New Roman" w:hAnsi="Times New Roman" w:cs="Times New Roman"/>
                <w:color w:val="auto"/>
                <w:sz w:val="24"/>
                <w:highlight w:val="none"/>
                <w:lang w:eastAsia="zh-CN"/>
              </w:rPr>
              <w:t>危险废物贮存点</w:t>
            </w:r>
            <w:r>
              <w:rPr>
                <w:rFonts w:hint="default" w:ascii="Times New Roman" w:hAnsi="Times New Roman" w:eastAsia="宋体" w:cs="Times New Roman"/>
                <w:color w:val="auto"/>
                <w:sz w:val="24"/>
                <w:highlight w:val="none"/>
              </w:rPr>
              <w:t>应符合以下要求：</w:t>
            </w:r>
          </w:p>
          <w:p w14:paraId="6C9E4151">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a.根据《建设项目危险废物环境影响评价指南》，</w:t>
            </w:r>
            <w:r>
              <w:rPr>
                <w:rFonts w:hint="eastAsia" w:ascii="Times New Roman" w:hAnsi="Times New Roman" w:cs="Times New Roman"/>
                <w:color w:val="auto"/>
                <w:sz w:val="24"/>
                <w:highlight w:val="none"/>
                <w:lang w:eastAsia="zh-CN"/>
              </w:rPr>
              <w:t>危险废物贮存点</w:t>
            </w:r>
            <w:r>
              <w:rPr>
                <w:rFonts w:hint="default" w:ascii="Times New Roman" w:hAnsi="Times New Roman" w:eastAsia="宋体" w:cs="Times New Roman"/>
                <w:color w:val="auto"/>
                <w:sz w:val="24"/>
                <w:highlight w:val="none"/>
              </w:rPr>
              <w:t>应按照《危险废物贮存污染控制标准》（</w:t>
            </w:r>
            <w:r>
              <w:rPr>
                <w:rFonts w:hint="default" w:ascii="Times New Roman" w:hAnsi="Times New Roman" w:cs="Times New Roman"/>
                <w:color w:val="auto"/>
                <w:sz w:val="24"/>
                <w:highlight w:val="none"/>
                <w:lang w:eastAsia="zh-CN"/>
              </w:rPr>
              <w:t>GB18597-2023</w:t>
            </w:r>
            <w:r>
              <w:rPr>
                <w:rFonts w:hint="default" w:ascii="Times New Roman" w:hAnsi="Times New Roman" w:eastAsia="宋体" w:cs="Times New Roman"/>
                <w:color w:val="auto"/>
                <w:sz w:val="24"/>
                <w:highlight w:val="none"/>
              </w:rPr>
              <w:t>）要求进行防渗，防渗层为至少1m厚粘土层（渗透系数≤10</w:t>
            </w:r>
            <w:r>
              <w:rPr>
                <w:rFonts w:hint="default" w:ascii="Times New Roman" w:hAnsi="Times New Roman" w:eastAsia="宋体" w:cs="Times New Roman"/>
                <w:color w:val="auto"/>
                <w:sz w:val="24"/>
                <w:highlight w:val="none"/>
                <w:vertAlign w:val="superscript"/>
              </w:rPr>
              <w:t>-7</w:t>
            </w:r>
            <w:r>
              <w:rPr>
                <w:rFonts w:hint="default" w:ascii="Times New Roman" w:hAnsi="Times New Roman" w:eastAsia="宋体" w:cs="Times New Roman"/>
                <w:color w:val="auto"/>
                <w:sz w:val="24"/>
                <w:highlight w:val="none"/>
              </w:rPr>
              <w:t>cm/s），或2mm厚高密度聚乙烯，或至少2mm厚</w:t>
            </w:r>
            <w:r>
              <w:rPr>
                <w:rFonts w:hint="default" w:ascii="Times New Roman" w:hAnsi="Times New Roman" w:cs="Times New Roman"/>
                <w:color w:val="auto"/>
                <w:sz w:val="24"/>
                <w:highlight w:val="none"/>
                <w:lang w:eastAsia="zh-CN"/>
              </w:rPr>
              <w:t>的其他</w:t>
            </w:r>
            <w:r>
              <w:rPr>
                <w:rFonts w:hint="default" w:ascii="Times New Roman" w:hAnsi="Times New Roman" w:eastAsia="宋体" w:cs="Times New Roman"/>
                <w:color w:val="auto"/>
                <w:sz w:val="24"/>
                <w:highlight w:val="none"/>
              </w:rPr>
              <w:t>人工材料，渗透系数≤10</w:t>
            </w:r>
            <w:r>
              <w:rPr>
                <w:rFonts w:hint="default" w:ascii="Times New Roman" w:hAnsi="Times New Roman" w:eastAsia="宋体" w:cs="Times New Roman"/>
                <w:color w:val="auto"/>
                <w:sz w:val="24"/>
                <w:highlight w:val="none"/>
                <w:vertAlign w:val="superscript"/>
              </w:rPr>
              <w:t>-10</w:t>
            </w:r>
            <w:r>
              <w:rPr>
                <w:rFonts w:hint="default" w:ascii="Times New Roman" w:hAnsi="Times New Roman" w:eastAsia="宋体" w:cs="Times New Roman"/>
                <w:color w:val="auto"/>
                <w:sz w:val="24"/>
                <w:highlight w:val="none"/>
              </w:rPr>
              <w:t>cm/s。</w:t>
            </w:r>
          </w:p>
          <w:p w14:paraId="73A0F9B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b.危险废物贮存容器应满足《危险废物贮存污染控制标准》（</w:t>
            </w:r>
            <w:r>
              <w:rPr>
                <w:rFonts w:hint="default" w:ascii="Times New Roman" w:hAnsi="Times New Roman" w:cs="Times New Roman"/>
                <w:color w:val="auto"/>
                <w:sz w:val="24"/>
                <w:highlight w:val="none"/>
                <w:lang w:eastAsia="zh-CN"/>
              </w:rPr>
              <w:t>GB18597-2023</w:t>
            </w:r>
            <w:r>
              <w:rPr>
                <w:rFonts w:hint="default" w:ascii="Times New Roman" w:hAnsi="Times New Roman" w:eastAsia="宋体" w:cs="Times New Roman"/>
                <w:color w:val="auto"/>
                <w:sz w:val="24"/>
                <w:highlight w:val="none"/>
              </w:rPr>
              <w:t>）要求，使用材质满足相应强度要求并完好无损的专用容器，</w:t>
            </w:r>
            <w:r>
              <w:rPr>
                <w:rFonts w:hint="default" w:ascii="Times New Roman" w:hAnsi="Times New Roman" w:cs="Times New Roman"/>
                <w:color w:val="auto"/>
                <w:sz w:val="24"/>
                <w:highlight w:val="none"/>
                <w:lang w:eastAsia="zh-CN"/>
              </w:rPr>
              <w:t>盛装</w:t>
            </w:r>
            <w:r>
              <w:rPr>
                <w:rFonts w:hint="default" w:ascii="Times New Roman" w:hAnsi="Times New Roman" w:eastAsia="宋体" w:cs="Times New Roman"/>
                <w:color w:val="auto"/>
                <w:sz w:val="24"/>
                <w:highlight w:val="none"/>
              </w:rPr>
              <w:t>危险废物的容器材质和衬里与危险废物相容（不相互反应）。</w:t>
            </w:r>
          </w:p>
          <w:p w14:paraId="6F673DA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c.</w:t>
            </w:r>
            <w:r>
              <w:rPr>
                <w:rFonts w:hint="eastAsia" w:ascii="Times New Roman" w:hAnsi="Times New Roman" w:cs="Times New Roman"/>
                <w:color w:val="auto"/>
                <w:sz w:val="24"/>
                <w:highlight w:val="none"/>
                <w:lang w:eastAsia="zh-CN"/>
              </w:rPr>
              <w:t>危险废物贮存点</w:t>
            </w:r>
            <w:r>
              <w:rPr>
                <w:rFonts w:hint="default" w:ascii="Times New Roman" w:hAnsi="Times New Roman" w:eastAsia="宋体" w:cs="Times New Roman"/>
                <w:color w:val="auto"/>
                <w:sz w:val="24"/>
                <w:highlight w:val="none"/>
              </w:rPr>
              <w:t>应做到防风、防雨、防晒、防渗漏，本项目</w:t>
            </w:r>
            <w:r>
              <w:rPr>
                <w:rFonts w:hint="eastAsia" w:ascii="Times New Roman" w:hAnsi="Times New Roman" w:cs="Times New Roman"/>
                <w:color w:val="auto"/>
                <w:sz w:val="24"/>
                <w:highlight w:val="none"/>
                <w:lang w:eastAsia="zh-CN"/>
              </w:rPr>
              <w:t>危险废物贮存点</w:t>
            </w:r>
            <w:r>
              <w:rPr>
                <w:rFonts w:hint="default" w:ascii="Times New Roman" w:hAnsi="Times New Roman" w:eastAsia="宋体" w:cs="Times New Roman"/>
                <w:color w:val="auto"/>
                <w:sz w:val="24"/>
                <w:highlight w:val="none"/>
              </w:rPr>
              <w:t>置于厂房内，地面采取重点防渗措施，</w:t>
            </w:r>
            <w:r>
              <w:rPr>
                <w:rFonts w:hint="eastAsia" w:ascii="Times New Roman" w:hAnsi="Times New Roman" w:cs="Times New Roman"/>
                <w:color w:val="auto"/>
                <w:sz w:val="24"/>
                <w:highlight w:val="none"/>
                <w:lang w:eastAsia="zh-CN"/>
              </w:rPr>
              <w:t>危险废物贮存点</w:t>
            </w:r>
            <w:r>
              <w:rPr>
                <w:rFonts w:hint="default" w:ascii="Times New Roman" w:hAnsi="Times New Roman" w:eastAsia="宋体" w:cs="Times New Roman"/>
                <w:color w:val="auto"/>
                <w:sz w:val="24"/>
                <w:highlight w:val="none"/>
              </w:rPr>
              <w:t>应指派专人管理，闲杂人等不得进入，并设置明显的标识。</w:t>
            </w:r>
          </w:p>
          <w:p w14:paraId="2C95CA03">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eastAsia="宋体" w:cs="Times New Roman"/>
                <w:color w:val="auto"/>
                <w:sz w:val="24"/>
                <w:highlight w:val="none"/>
              </w:rPr>
              <w:t>本项目</w:t>
            </w:r>
            <w:r>
              <w:rPr>
                <w:rFonts w:hint="default" w:ascii="Times New Roman" w:hAnsi="Times New Roman" w:cs="Times New Roman"/>
                <w:color w:val="auto"/>
                <w:sz w:val="24"/>
                <w:highlight w:val="none"/>
                <w:lang w:val="en-US" w:eastAsia="zh-CN"/>
              </w:rPr>
              <w:t>危险废物不在厂区暂存，产生时交由有资质单位处置。</w:t>
            </w:r>
          </w:p>
          <w:p w14:paraId="4F15E35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综上所述，固体废物处理达到100%，对环境影响较小。</w:t>
            </w:r>
          </w:p>
          <w:p w14:paraId="32898A49">
            <w:pPr>
              <w:pStyle w:val="2"/>
              <w:keepNext w:val="0"/>
              <w:keepLines w:val="0"/>
              <w:pageBreakBefore w:val="0"/>
              <w:kinsoku/>
              <w:wordWrap/>
              <w:overflowPunct/>
              <w:topLinePunct w:val="0"/>
              <w:bidi w:val="0"/>
              <w:spacing w:before="0" w:after="0" w:line="360" w:lineRule="auto"/>
              <w:ind w:right="0"/>
              <w:jc w:val="left"/>
              <w:textAlignment w:val="auto"/>
              <w:rPr>
                <w:rFonts w:hint="default" w:ascii="Times New Roman" w:hAnsi="Times New Roman" w:eastAsia="宋体" w:cs="Times New Roman"/>
                <w:b/>
                <w:bCs/>
                <w:color w:val="auto"/>
                <w:spacing w:val="0"/>
                <w:highlight w:val="none"/>
                <w:lang w:val="en-US" w:eastAsia="zh-CN"/>
              </w:rPr>
            </w:pPr>
            <w:r>
              <w:rPr>
                <w:rFonts w:hint="default" w:ascii="Times New Roman" w:hAnsi="Times New Roman" w:eastAsia="宋体" w:cs="Times New Roman"/>
                <w:b/>
                <w:bCs/>
                <w:color w:val="auto"/>
                <w:spacing w:val="0"/>
                <w:sz w:val="24"/>
                <w:highlight w:val="none"/>
                <w:lang w:val="en-US" w:eastAsia="zh-CN"/>
              </w:rPr>
              <w:t>5、</w:t>
            </w:r>
            <w:r>
              <w:rPr>
                <w:rFonts w:hint="default" w:ascii="Times New Roman" w:hAnsi="Times New Roman" w:eastAsia="宋体" w:cs="Times New Roman"/>
                <w:b/>
                <w:bCs/>
                <w:color w:val="auto"/>
                <w:spacing w:val="0"/>
                <w:sz w:val="24"/>
                <w:highlight w:val="none"/>
              </w:rPr>
              <w:t>地下水</w:t>
            </w:r>
            <w:bookmarkEnd w:id="15"/>
            <w:bookmarkEnd w:id="16"/>
          </w:p>
          <w:p w14:paraId="2C92641D">
            <w:pPr>
              <w:keepNext w:val="0"/>
              <w:keepLines w:val="0"/>
              <w:pageBreakBefore w:val="0"/>
              <w:kinsoku/>
              <w:wordWrap/>
              <w:overflowPunct/>
              <w:topLinePunct w:val="0"/>
              <w:bidi w:val="0"/>
              <w:spacing w:line="360" w:lineRule="auto"/>
              <w:ind w:left="0" w:leftChars="0" w:right="0" w:firstLine="480" w:firstLineChars="200"/>
              <w:jc w:val="left"/>
              <w:textAlignment w:val="auto"/>
              <w:rPr>
                <w:rFonts w:hint="default" w:ascii="Times New Roman" w:hAnsi="Times New Roman" w:eastAsia="宋体" w:cs="Times New Roman"/>
                <w:color w:val="auto"/>
                <w:spacing w:val="0"/>
                <w:kern w:val="0"/>
                <w:sz w:val="24"/>
                <w:highlight w:val="none"/>
              </w:rPr>
            </w:pPr>
            <w:r>
              <w:rPr>
                <w:rFonts w:hint="default" w:ascii="Times New Roman" w:hAnsi="Times New Roman" w:eastAsia="宋体" w:cs="Times New Roman"/>
                <w:color w:val="auto"/>
                <w:spacing w:val="0"/>
                <w:sz w:val="24"/>
                <w:highlight w:val="none"/>
              </w:rPr>
              <w:t>根据《</w:t>
            </w:r>
            <w:r>
              <w:rPr>
                <w:rFonts w:hint="default" w:ascii="Times New Roman" w:hAnsi="Times New Roman" w:cs="Times New Roman"/>
                <w:color w:val="auto"/>
                <w:spacing w:val="0"/>
                <w:sz w:val="24"/>
                <w:highlight w:val="none"/>
                <w:lang w:eastAsia="zh-CN"/>
              </w:rPr>
              <w:t>环境影响评价技术导则 地下水环境</w:t>
            </w:r>
            <w:r>
              <w:rPr>
                <w:rFonts w:hint="default" w:ascii="Times New Roman" w:hAnsi="Times New Roman" w:eastAsia="宋体" w:cs="Times New Roman"/>
                <w:color w:val="auto"/>
                <w:spacing w:val="0"/>
                <w:sz w:val="24"/>
                <w:highlight w:val="none"/>
              </w:rPr>
              <w:t>》（HJ610-2016）附录A的规定，本项目属于Ⅳ类建设项目，不开展地下水环境评价工作，仅需采取相应防渗措施。</w:t>
            </w:r>
          </w:p>
          <w:p w14:paraId="77CA6C83">
            <w:pPr>
              <w:keepNext w:val="0"/>
              <w:keepLines w:val="0"/>
              <w:pageBreakBefore w:val="0"/>
              <w:widowControl w:val="0"/>
              <w:kinsoku/>
              <w:wordWrap/>
              <w:overflowPunct/>
              <w:topLinePunct w:val="0"/>
              <w:autoSpaceDE w:val="0"/>
              <w:autoSpaceDN w:val="0"/>
              <w:bidi w:val="0"/>
              <w:adjustRightInd w:val="0"/>
              <w:spacing w:line="360" w:lineRule="auto"/>
              <w:ind w:left="0" w:leftChars="0" w:right="0" w:firstLine="0" w:firstLineChars="0"/>
              <w:jc w:val="left"/>
              <w:textAlignment w:val="auto"/>
              <w:rPr>
                <w:rFonts w:hint="default" w:ascii="Times New Roman" w:hAnsi="Times New Roman" w:eastAsia="宋体" w:cs="Times New Roman"/>
                <w:b/>
                <w:bCs/>
                <w:color w:val="auto"/>
                <w:spacing w:val="0"/>
                <w:sz w:val="24"/>
                <w:szCs w:val="24"/>
                <w:highlight w:val="none"/>
                <w:lang w:val="en-US" w:eastAsia="zh-CN" w:bidi="ar-SA"/>
              </w:rPr>
            </w:pPr>
            <w:r>
              <w:rPr>
                <w:rFonts w:hint="default" w:ascii="Times New Roman" w:hAnsi="Times New Roman" w:eastAsia="宋体" w:cs="Times New Roman"/>
                <w:b/>
                <w:bCs/>
                <w:color w:val="auto"/>
                <w:spacing w:val="0"/>
                <w:kern w:val="2"/>
                <w:sz w:val="24"/>
                <w:szCs w:val="24"/>
                <w:highlight w:val="none"/>
                <w:lang w:val="en-US" w:eastAsia="zh-CN" w:bidi="ar-SA"/>
              </w:rPr>
              <w:t>6、</w:t>
            </w:r>
            <w:r>
              <w:rPr>
                <w:rFonts w:hint="default" w:ascii="Times New Roman" w:hAnsi="Times New Roman" w:eastAsia="宋体" w:cs="Times New Roman"/>
                <w:b/>
                <w:bCs/>
                <w:color w:val="auto"/>
                <w:spacing w:val="0"/>
                <w:sz w:val="24"/>
                <w:highlight w:val="none"/>
              </w:rPr>
              <w:t>土壤环境</w:t>
            </w:r>
          </w:p>
          <w:p w14:paraId="5E7D66F9">
            <w:pPr>
              <w:pStyle w:val="125"/>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color w:val="auto"/>
                <w:spacing w:val="0"/>
                <w:highlight w:val="none"/>
                <w:lang w:val="en-US" w:eastAsia="zh-CN"/>
              </w:rPr>
            </w:pPr>
            <w:r>
              <w:rPr>
                <w:rFonts w:hint="default" w:ascii="Times New Roman" w:hAnsi="Times New Roman" w:eastAsia="宋体" w:cs="Times New Roman"/>
                <w:color w:val="auto"/>
                <w:spacing w:val="0"/>
                <w:kern w:val="0"/>
                <w:sz w:val="24"/>
                <w:highlight w:val="none"/>
                <w:lang w:eastAsia="zh-CN"/>
              </w:rPr>
              <w:t>根据《环境影响评价技术导则 土壤环境（试行）》（HJ964-2018）附录A中规定，本项目为“其他行业”，土壤环境影响评价项目类别属于Ⅳ类项目，不需开展土壤环境影响评价。</w:t>
            </w:r>
          </w:p>
          <w:p w14:paraId="0A56A6C7">
            <w:pPr>
              <w:numPr>
                <w:ilvl w:val="0"/>
                <w:numId w:val="11"/>
              </w:numPr>
              <w:spacing w:line="360" w:lineRule="auto"/>
              <w:ind w:firstLine="0" w:firstLineChars="0"/>
              <w:jc w:val="left"/>
              <w:rPr>
                <w:rFonts w:hint="default" w:ascii="Times New Roman" w:hAnsi="Times New Roman" w:eastAsia="宋体" w:cs="Times New Roman"/>
                <w:b/>
                <w:color w:val="auto"/>
                <w:spacing w:val="0"/>
                <w:sz w:val="24"/>
                <w:szCs w:val="24"/>
                <w:highlight w:val="none"/>
              </w:rPr>
            </w:pPr>
            <w:r>
              <w:rPr>
                <w:rFonts w:hint="default" w:ascii="Times New Roman" w:hAnsi="Times New Roman" w:eastAsia="宋体" w:cs="Times New Roman"/>
                <w:b/>
                <w:color w:val="auto"/>
                <w:spacing w:val="0"/>
                <w:sz w:val="24"/>
                <w:szCs w:val="24"/>
                <w:highlight w:val="none"/>
              </w:rPr>
              <w:t>环境风险分析</w:t>
            </w:r>
          </w:p>
          <w:p w14:paraId="68BBDF25">
            <w:pPr>
              <w:numPr>
                <w:ilvl w:val="0"/>
                <w:numId w:val="0"/>
              </w:num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参照《建设项目环境风险评价技术导则》（HJ169-2018）要求，对本项目进行环境风险分析，通过对建设项目的环境风险进行分析、预测和评估，提出环境风险预防、控制、减缓措施，明确环境风险监控及应急建议要求，为建设</w:t>
            </w:r>
            <w:r>
              <w:rPr>
                <w:rFonts w:hint="default" w:ascii="Times New Roman" w:hAnsi="Times New Roman" w:eastAsia="宋体" w:cs="Times New Roman"/>
                <w:color w:val="auto"/>
                <w:spacing w:val="-1"/>
                <w:sz w:val="24"/>
                <w:szCs w:val="24"/>
                <w:highlight w:val="none"/>
              </w:rPr>
              <w:t>项目环境风险防控提出科学依据。</w:t>
            </w:r>
          </w:p>
          <w:p w14:paraId="1373DC73">
            <w:pPr>
              <w:pStyle w:val="147"/>
              <w:spacing w:before="5" w:line="221"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2"/>
                <w:sz w:val="24"/>
                <w:szCs w:val="24"/>
                <w:highlight w:val="none"/>
              </w:rPr>
              <w:t>7.1风险源识别</w:t>
            </w:r>
          </w:p>
          <w:p w14:paraId="1BB86010">
            <w:pPr>
              <w:pStyle w:val="147"/>
              <w:spacing w:before="180" w:line="219"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2"/>
                <w:sz w:val="24"/>
                <w:szCs w:val="24"/>
                <w:highlight w:val="none"/>
              </w:rPr>
              <w:t>7.1.1评价依据</w:t>
            </w:r>
          </w:p>
          <w:p w14:paraId="68087B42">
            <w:pPr>
              <w:pStyle w:val="147"/>
              <w:spacing w:before="182" w:line="218"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4"/>
                <w:sz w:val="24"/>
                <w:szCs w:val="24"/>
                <w:highlight w:val="none"/>
              </w:rPr>
              <w:t>①风险调查</w:t>
            </w:r>
          </w:p>
          <w:p w14:paraId="78F5691F">
            <w:pPr>
              <w:pStyle w:val="147"/>
              <w:spacing w:before="147" w:line="365" w:lineRule="auto"/>
              <w:ind w:left="111" w:right="108" w:firstLine="483"/>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依据《建设项目环境风险评价技术导则》（</w:t>
            </w:r>
            <w:r>
              <w:rPr>
                <w:rFonts w:hint="default" w:ascii="Times New Roman" w:hAnsi="Times New Roman" w:eastAsia="宋体" w:cs="Times New Roman"/>
                <w:color w:val="auto"/>
                <w:spacing w:val="-3"/>
                <w:sz w:val="24"/>
                <w:szCs w:val="24"/>
                <w:highlight w:val="none"/>
              </w:rPr>
              <w:t>HJ169-2018</w:t>
            </w:r>
            <w:r>
              <w:rPr>
                <w:rFonts w:hint="default" w:ascii="Times New Roman" w:hAnsi="Times New Roman" w:eastAsia="宋体" w:cs="Times New Roman"/>
                <w:color w:val="auto"/>
                <w:spacing w:val="-13"/>
                <w:sz w:val="24"/>
                <w:szCs w:val="24"/>
                <w:highlight w:val="none"/>
              </w:rPr>
              <w:t>），</w:t>
            </w:r>
            <w:r>
              <w:rPr>
                <w:rFonts w:hint="default" w:ascii="Times New Roman" w:hAnsi="Times New Roman" w:eastAsia="宋体" w:cs="Times New Roman"/>
                <w:color w:val="auto"/>
                <w:spacing w:val="-3"/>
                <w:sz w:val="24"/>
                <w:szCs w:val="24"/>
                <w:highlight w:val="none"/>
              </w:rPr>
              <w:t>结合本项目实际</w:t>
            </w:r>
            <w:r>
              <w:rPr>
                <w:rFonts w:hint="default" w:ascii="Times New Roman" w:hAnsi="Times New Roman" w:eastAsia="宋体" w:cs="Times New Roman"/>
                <w:color w:val="auto"/>
                <w:spacing w:val="-4"/>
                <w:sz w:val="24"/>
                <w:szCs w:val="24"/>
                <w:highlight w:val="none"/>
              </w:rPr>
              <w:t>情况，确定本项目涉及的危险物质为</w:t>
            </w:r>
            <w:r>
              <w:rPr>
                <w:rFonts w:hint="default" w:ascii="Times New Roman" w:hAnsi="Times New Roman" w:cs="Times New Roman"/>
                <w:color w:val="auto"/>
                <w:spacing w:val="-4"/>
                <w:sz w:val="24"/>
                <w:szCs w:val="24"/>
                <w:highlight w:val="none"/>
                <w:lang w:eastAsia="zh-CN"/>
              </w:rPr>
              <w:t>废润滑油</w:t>
            </w:r>
            <w:r>
              <w:rPr>
                <w:rFonts w:hint="default" w:ascii="Times New Roman" w:hAnsi="Times New Roman" w:eastAsia="宋体" w:cs="Times New Roman"/>
                <w:color w:val="auto"/>
                <w:spacing w:val="-4"/>
                <w:sz w:val="24"/>
                <w:szCs w:val="24"/>
                <w:highlight w:val="none"/>
              </w:rPr>
              <w:t>，在</w:t>
            </w:r>
            <w:r>
              <w:rPr>
                <w:rFonts w:hint="eastAsia" w:ascii="Times New Roman" w:hAnsi="Times New Roman" w:cs="Times New Roman"/>
                <w:color w:val="auto"/>
                <w:spacing w:val="-4"/>
                <w:sz w:val="24"/>
                <w:szCs w:val="24"/>
                <w:highlight w:val="none"/>
                <w:lang w:val="en-US" w:eastAsia="zh-CN"/>
              </w:rPr>
              <w:t>危险废物贮存点</w:t>
            </w:r>
            <w:r>
              <w:rPr>
                <w:rFonts w:hint="default" w:ascii="Times New Roman" w:hAnsi="Times New Roman" w:eastAsia="宋体" w:cs="Times New Roman"/>
                <w:color w:val="auto"/>
                <w:spacing w:val="-4"/>
                <w:sz w:val="24"/>
                <w:szCs w:val="24"/>
                <w:highlight w:val="none"/>
              </w:rPr>
              <w:t>存在泄漏引发火灾、爆炸事故，燃烧产生的二次污染物对大气造成一定程度的污</w:t>
            </w:r>
            <w:r>
              <w:rPr>
                <w:rFonts w:hint="default" w:ascii="Times New Roman" w:hAnsi="Times New Roman" w:eastAsia="宋体" w:cs="Times New Roman"/>
                <w:color w:val="auto"/>
                <w:spacing w:val="-2"/>
                <w:sz w:val="24"/>
                <w:szCs w:val="24"/>
                <w:highlight w:val="none"/>
              </w:rPr>
              <w:t>染的事故。</w:t>
            </w:r>
          </w:p>
          <w:p w14:paraId="32B7718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color w:val="auto"/>
                <w:szCs w:val="21"/>
                <w:highlight w:val="none"/>
              </w:rPr>
            </w:pPr>
            <w:r>
              <w:rPr>
                <w:rFonts w:hint="default" w:ascii="Times New Roman" w:hAnsi="Times New Roman" w:cs="Times New Roman"/>
                <w:color w:val="auto"/>
                <w:sz w:val="24"/>
                <w:szCs w:val="24"/>
                <w:highlight w:val="none"/>
              </w:rPr>
              <w:t>根据《建设项目环境风险评价技术导则》（HJ169-2018）</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附录B 重点关注的危险物质及临界量</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可知，本项目涉及的风险物质为</w:t>
            </w:r>
            <w:r>
              <w:rPr>
                <w:rFonts w:hint="default" w:ascii="Times New Roman" w:hAnsi="Times New Roman" w:cs="Times New Roman"/>
                <w:color w:val="auto"/>
                <w:spacing w:val="0"/>
                <w:sz w:val="24"/>
                <w:szCs w:val="24"/>
                <w:highlight w:val="none"/>
                <w:lang w:eastAsia="zh-CN"/>
              </w:rPr>
              <w:t>机械维修过程中产生</w:t>
            </w:r>
            <w:r>
              <w:rPr>
                <w:rFonts w:hint="default" w:ascii="Times New Roman" w:hAnsi="Times New Roman" w:cs="Times New Roman"/>
                <w:color w:val="auto"/>
                <w:spacing w:val="0"/>
                <w:sz w:val="24"/>
                <w:szCs w:val="24"/>
                <w:highlight w:val="none"/>
                <w:lang w:val="en-US" w:eastAsia="zh-CN"/>
              </w:rPr>
              <w:t>的</w:t>
            </w:r>
            <w:r>
              <w:rPr>
                <w:rFonts w:hint="default" w:ascii="Times New Roman" w:hAnsi="Times New Roman" w:cs="Times New Roman"/>
                <w:color w:val="auto"/>
                <w:spacing w:val="0"/>
                <w:sz w:val="24"/>
                <w:szCs w:val="24"/>
                <w:highlight w:val="none"/>
                <w:lang w:eastAsia="zh-CN"/>
              </w:rPr>
              <w:t>废</w:t>
            </w:r>
            <w:r>
              <w:rPr>
                <w:rFonts w:hint="default" w:ascii="Times New Roman" w:hAnsi="Times New Roman" w:cs="Times New Roman"/>
                <w:color w:val="auto"/>
                <w:spacing w:val="0"/>
                <w:sz w:val="24"/>
                <w:szCs w:val="24"/>
                <w:highlight w:val="none"/>
                <w:lang w:val="en-US" w:eastAsia="zh-CN"/>
              </w:rPr>
              <w:t>润滑</w:t>
            </w:r>
            <w:r>
              <w:rPr>
                <w:rFonts w:hint="default" w:ascii="Times New Roman" w:hAnsi="Times New Roman" w:cs="Times New Roman"/>
                <w:color w:val="auto"/>
                <w:spacing w:val="0"/>
                <w:sz w:val="24"/>
                <w:szCs w:val="24"/>
                <w:highlight w:val="none"/>
                <w:lang w:eastAsia="zh-CN"/>
              </w:rPr>
              <w:t>油</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kern w:val="0"/>
                <w:sz w:val="24"/>
                <w:szCs w:val="24"/>
                <w:highlight w:val="none"/>
                <w:lang w:bidi="ar"/>
              </w:rPr>
              <w:t>根据建设单位提供资料，</w:t>
            </w:r>
            <w:r>
              <w:rPr>
                <w:rFonts w:hint="default" w:ascii="Times New Roman" w:hAnsi="Times New Roman" w:cs="Times New Roman"/>
                <w:color w:val="auto"/>
                <w:spacing w:val="0"/>
                <w:sz w:val="24"/>
                <w:szCs w:val="24"/>
                <w:highlight w:val="none"/>
              </w:rPr>
              <w:t>废矿物油产生量</w:t>
            </w:r>
            <w:r>
              <w:rPr>
                <w:rFonts w:hint="default" w:ascii="Times New Roman" w:hAnsi="Times New Roman" w:cs="Times New Roman"/>
                <w:color w:val="auto"/>
                <w:spacing w:val="0"/>
                <w:sz w:val="24"/>
                <w:szCs w:val="24"/>
                <w:highlight w:val="none"/>
                <w:lang w:val="en-US" w:eastAsia="zh-CN"/>
              </w:rPr>
              <w:t>0.02</w:t>
            </w:r>
            <w:r>
              <w:rPr>
                <w:rFonts w:hint="default" w:ascii="Times New Roman" w:hAnsi="Times New Roman" w:cs="Times New Roman"/>
                <w:color w:val="auto"/>
                <w:spacing w:val="0"/>
                <w:sz w:val="24"/>
                <w:szCs w:val="24"/>
                <w:highlight w:val="none"/>
              </w:rPr>
              <w:t>t/a</w:t>
            </w:r>
            <w:r>
              <w:rPr>
                <w:rFonts w:hint="default" w:ascii="Times New Roman" w:hAnsi="Times New Roman" w:cs="Times New Roman"/>
                <w:color w:val="auto"/>
                <w:spacing w:val="0"/>
                <w:sz w:val="24"/>
                <w:szCs w:val="24"/>
                <w:highlight w:val="none"/>
                <w:lang w:eastAsia="zh-CN"/>
              </w:rPr>
              <w:t>，</w:t>
            </w:r>
            <w:r>
              <w:rPr>
                <w:rFonts w:hint="default" w:ascii="Times New Roman" w:hAnsi="Times New Roman" w:cs="Times New Roman"/>
                <w:color w:val="auto"/>
                <w:kern w:val="0"/>
                <w:sz w:val="24"/>
                <w:highlight w:val="none"/>
                <w:lang w:val="en-US" w:eastAsia="zh-CN"/>
              </w:rPr>
              <w:t>废矿物油</w:t>
            </w:r>
            <w:r>
              <w:rPr>
                <w:rFonts w:hint="default" w:ascii="Times New Roman" w:hAnsi="Times New Roman" w:cs="Times New Roman"/>
                <w:color w:val="auto"/>
                <w:kern w:val="0"/>
                <w:sz w:val="24"/>
                <w:highlight w:val="none"/>
              </w:rPr>
              <w:t>危险特性和理化性质等见表</w:t>
            </w:r>
            <w:r>
              <w:rPr>
                <w:rFonts w:hint="default" w:ascii="Times New Roman" w:hAnsi="Times New Roman" w:cs="Times New Roman"/>
                <w:color w:val="auto"/>
                <w:kern w:val="0"/>
                <w:sz w:val="24"/>
                <w:highlight w:val="none"/>
                <w:lang w:val="en-US" w:eastAsia="zh-CN"/>
              </w:rPr>
              <w:t>4-14</w:t>
            </w:r>
            <w:r>
              <w:rPr>
                <w:rFonts w:hint="default" w:ascii="Times New Roman" w:hAnsi="Times New Roman" w:cs="Times New Roman"/>
                <w:color w:val="auto"/>
                <w:kern w:val="0"/>
                <w:sz w:val="24"/>
                <w:highlight w:val="none"/>
              </w:rPr>
              <w:t>。</w:t>
            </w:r>
          </w:p>
          <w:p w14:paraId="1ABFCB0C">
            <w:pPr>
              <w:ind w:firstLine="482"/>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表4</w:t>
            </w:r>
            <w:r>
              <w:rPr>
                <w:rFonts w:hint="default" w:ascii="Times New Roman" w:hAnsi="Times New Roman" w:eastAsia="宋体" w:cs="Times New Roman"/>
                <w:b/>
                <w:bCs w:val="0"/>
                <w:color w:val="auto"/>
                <w:sz w:val="21"/>
                <w:szCs w:val="21"/>
                <w:highlight w:val="none"/>
                <w:lang w:val="en-US" w:eastAsia="zh-CN"/>
              </w:rPr>
              <w:t>-</w:t>
            </w:r>
            <w:r>
              <w:rPr>
                <w:rFonts w:hint="default" w:ascii="Times New Roman" w:hAnsi="Times New Roman" w:eastAsia="宋体" w:cs="Times New Roman"/>
                <w:b/>
                <w:bCs w:val="0"/>
                <w:color w:val="auto"/>
                <w:sz w:val="21"/>
                <w:szCs w:val="21"/>
                <w:highlight w:val="none"/>
              </w:rPr>
              <w:t>1</w:t>
            </w:r>
            <w:r>
              <w:rPr>
                <w:rFonts w:hint="default" w:ascii="Times New Roman" w:hAnsi="Times New Roman" w:eastAsia="宋体" w:cs="Times New Roman"/>
                <w:b/>
                <w:bCs w:val="0"/>
                <w:color w:val="auto"/>
                <w:sz w:val="21"/>
                <w:szCs w:val="21"/>
                <w:highlight w:val="none"/>
                <w:lang w:val="en-US" w:eastAsia="zh-CN"/>
              </w:rPr>
              <w:t>4</w:t>
            </w:r>
            <w:r>
              <w:rPr>
                <w:rFonts w:hint="default" w:ascii="Times New Roman" w:hAnsi="Times New Roman" w:eastAsia="宋体" w:cs="Times New Roman"/>
                <w:b/>
                <w:bCs w:val="0"/>
                <w:color w:val="auto"/>
                <w:sz w:val="21"/>
                <w:szCs w:val="21"/>
                <w:highlight w:val="none"/>
              </w:rPr>
              <w:t xml:space="preserve">  </w:t>
            </w:r>
            <w:r>
              <w:rPr>
                <w:rFonts w:hint="default" w:ascii="Times New Roman" w:hAnsi="Times New Roman" w:eastAsia="宋体" w:cs="Times New Roman"/>
                <w:b/>
                <w:bCs w:val="0"/>
                <w:color w:val="auto"/>
                <w:sz w:val="21"/>
                <w:szCs w:val="21"/>
                <w:highlight w:val="none"/>
                <w:lang w:val="en-US" w:eastAsia="zh-CN"/>
              </w:rPr>
              <w:t>废矿物油</w:t>
            </w:r>
            <w:r>
              <w:rPr>
                <w:rFonts w:hint="default" w:ascii="Times New Roman" w:hAnsi="Times New Roman" w:eastAsia="宋体" w:cs="Times New Roman"/>
                <w:b/>
                <w:bCs w:val="0"/>
                <w:color w:val="auto"/>
                <w:sz w:val="21"/>
                <w:szCs w:val="21"/>
                <w:highlight w:val="none"/>
              </w:rPr>
              <w:t>的理化性质和危险特性</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96"/>
              <w:gridCol w:w="7167"/>
            </w:tblGrid>
            <w:tr w14:paraId="28C2C2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56" w:type="pct"/>
                  <w:tcBorders>
                    <w:top w:val="single" w:color="auto" w:sz="4" w:space="0"/>
                    <w:left w:val="single" w:color="auto" w:sz="0" w:space="0"/>
                  </w:tcBorders>
                  <w:noWrap w:val="0"/>
                  <w:vAlign w:val="center"/>
                </w:tcPr>
                <w:p w14:paraId="39313F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4443" w:type="pct"/>
                  <w:tcBorders>
                    <w:top w:val="single" w:color="auto" w:sz="4" w:space="0"/>
                    <w:right w:val="single" w:color="auto" w:sz="4" w:space="0"/>
                  </w:tcBorders>
                  <w:noWrap w:val="0"/>
                  <w:vAlign w:val="center"/>
                </w:tcPr>
                <w:p w14:paraId="200673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内容</w:t>
                  </w:r>
                </w:p>
              </w:tc>
            </w:tr>
            <w:tr w14:paraId="7A78DA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56" w:type="pct"/>
                  <w:tcBorders>
                    <w:left w:val="single" w:color="auto" w:sz="4" w:space="0"/>
                  </w:tcBorders>
                  <w:noWrap w:val="0"/>
                  <w:vAlign w:val="center"/>
                </w:tcPr>
                <w:p w14:paraId="78E717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4443" w:type="pct"/>
                  <w:tcBorders>
                    <w:right w:val="single" w:color="auto" w:sz="4" w:space="0"/>
                  </w:tcBorders>
                  <w:noWrap w:val="0"/>
                  <w:vAlign w:val="center"/>
                </w:tcPr>
                <w:p w14:paraId="3DD66C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第3.3类  高闪点易燃液体</w:t>
                  </w:r>
                </w:p>
              </w:tc>
            </w:tr>
            <w:tr w14:paraId="1FF9EE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56" w:type="pct"/>
                  <w:tcBorders>
                    <w:left w:val="single" w:color="auto" w:sz="4" w:space="0"/>
                  </w:tcBorders>
                  <w:noWrap w:val="0"/>
                  <w:vAlign w:val="center"/>
                </w:tcPr>
                <w:p w14:paraId="60B512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理化</w:t>
                  </w:r>
                </w:p>
                <w:p w14:paraId="698687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特性</w:t>
                  </w:r>
                </w:p>
              </w:tc>
              <w:tc>
                <w:tcPr>
                  <w:tcW w:w="4443" w:type="pct"/>
                  <w:tcBorders>
                    <w:right w:val="single" w:color="auto" w:sz="4" w:space="0"/>
                  </w:tcBorders>
                  <w:noWrap w:val="0"/>
                  <w:vAlign w:val="center"/>
                </w:tcPr>
                <w:p w14:paraId="074C25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熔点（℃）：-18，沸点（℃）：282-338，相对密度（水=1）：0.87-0.9，稳定性：稳定，聚合危害：不聚合，禁忌物：强氧化剂、卤素，燃烧性：易燃，闪点（℃）：不低于55，引燃温度（℃）：257。</w:t>
                  </w:r>
                </w:p>
                <w:p w14:paraId="1291F2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危险特性：遇明火、高热或与氧化剂接触，有引起燃烧爆炸的危险。若遇高热，容器内压增大，有开裂和爆炸的危险。</w:t>
                  </w:r>
                </w:p>
              </w:tc>
            </w:tr>
            <w:tr w14:paraId="438A24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56" w:type="pct"/>
                  <w:tcBorders>
                    <w:left w:val="single" w:color="auto" w:sz="4" w:space="0"/>
                  </w:tcBorders>
                  <w:noWrap w:val="0"/>
                  <w:vAlign w:val="center"/>
                </w:tcPr>
                <w:p w14:paraId="41DE44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健康</w:t>
                  </w:r>
                </w:p>
                <w:p w14:paraId="6925A9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危害</w:t>
                  </w:r>
                </w:p>
              </w:tc>
              <w:tc>
                <w:tcPr>
                  <w:tcW w:w="4443" w:type="pct"/>
                  <w:tcBorders>
                    <w:right w:val="single" w:color="auto" w:sz="4" w:space="0"/>
                  </w:tcBorders>
                  <w:noWrap w:val="0"/>
                  <w:vAlign w:val="center"/>
                </w:tcPr>
                <w:p w14:paraId="47E5C9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皮肤接触可为主要吸收途径，可致急性肾脏损害。柴油可引起接触性皮炎、油性痤疮。吸入其雾滴或液体呛入可引起吸入性肺炎。能经胎盘进入胎儿血中。柴油废气可引起眼、鼻刺激症状，头晕及头痛。</w:t>
                  </w:r>
                </w:p>
              </w:tc>
            </w:tr>
            <w:tr w14:paraId="593F21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56" w:type="pct"/>
                  <w:tcBorders>
                    <w:left w:val="single" w:color="auto" w:sz="4" w:space="0"/>
                  </w:tcBorders>
                  <w:noWrap w:val="0"/>
                  <w:vAlign w:val="center"/>
                </w:tcPr>
                <w:p w14:paraId="1B1CD5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泄漏</w:t>
                  </w:r>
                </w:p>
                <w:p w14:paraId="2AEA54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时的</w:t>
                  </w:r>
                </w:p>
                <w:p w14:paraId="155C0C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紧急</w:t>
                  </w:r>
                </w:p>
                <w:p w14:paraId="05EC33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处理</w:t>
                  </w:r>
                </w:p>
              </w:tc>
              <w:tc>
                <w:tcPr>
                  <w:tcW w:w="4443" w:type="pct"/>
                  <w:tcBorders>
                    <w:right w:val="single" w:color="auto" w:sz="4" w:space="0"/>
                  </w:tcBorders>
                  <w:noWrap w:val="0"/>
                  <w:vAlign w:val="center"/>
                </w:tcPr>
                <w:p w14:paraId="0871B7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迅速撤离泄漏污染区人员至安全处，并进行隔离，严格限制出入。切断火源。建议应急处理人员戴自给正压式呼吸器，穿一般作业工作服。尽可能切断泄漏源，防止进入下水道、排洪沟等限制性空间。小量泄漏：用活性炭或其他惰性材料吸收。大量泄漏：构筑围堤或挖沟收容。用泵转移至槽车或专用收集器内，回收或运至废物处理场所处置。</w:t>
                  </w:r>
                </w:p>
              </w:tc>
            </w:tr>
            <w:tr w14:paraId="3016D4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56" w:type="pct"/>
                  <w:tcBorders>
                    <w:left w:val="single" w:color="auto" w:sz="4" w:space="0"/>
                  </w:tcBorders>
                  <w:noWrap w:val="0"/>
                  <w:vAlign w:val="center"/>
                </w:tcPr>
                <w:p w14:paraId="6E6A14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消防</w:t>
                  </w:r>
                </w:p>
                <w:p w14:paraId="39BE00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措施</w:t>
                  </w:r>
                </w:p>
              </w:tc>
              <w:tc>
                <w:tcPr>
                  <w:tcW w:w="4443" w:type="pct"/>
                  <w:tcBorders>
                    <w:right w:val="single" w:color="auto" w:sz="4" w:space="0"/>
                  </w:tcBorders>
                  <w:noWrap w:val="0"/>
                  <w:vAlign w:val="center"/>
                </w:tcPr>
                <w:p w14:paraId="32ED94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消防人员须佩带防毒面具，穿全身消防服，在上风向灭火。喷水保持火场容器冷却，直至灭火结束。处在火场中的容器若已变色或从安全泄压装置中产生声音，必须马上撤离。灭火剂：雾状水、泡沫、干粉、二氧化碳、砂土。</w:t>
                  </w:r>
                </w:p>
              </w:tc>
            </w:tr>
            <w:tr w14:paraId="4817CB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56" w:type="pct"/>
                  <w:tcBorders>
                    <w:left w:val="single" w:color="auto" w:sz="4" w:space="0"/>
                  </w:tcBorders>
                  <w:noWrap w:val="0"/>
                  <w:vAlign w:val="center"/>
                </w:tcPr>
                <w:p w14:paraId="5E500A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操作</w:t>
                  </w:r>
                </w:p>
                <w:p w14:paraId="3CAF3E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储存</w:t>
                  </w:r>
                </w:p>
              </w:tc>
              <w:tc>
                <w:tcPr>
                  <w:tcW w:w="4443" w:type="pct"/>
                  <w:tcBorders>
                    <w:right w:val="single" w:color="auto" w:sz="4" w:space="0"/>
                  </w:tcBorders>
                  <w:noWrap w:val="0"/>
                  <w:vAlign w:val="center"/>
                </w:tcPr>
                <w:p w14:paraId="231EFC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储存于阴凉、通风仓间内。远离火种、热源。应与氧化剂、卤素分开存放，切忌混储。采用防爆型照明、通风设施。禁止使用易产生火花的机械设备和工具。储区应备有泄漏应急处理设备和合适的收容材料。</w:t>
                  </w:r>
                </w:p>
              </w:tc>
            </w:tr>
            <w:tr w14:paraId="60DD8F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56" w:type="pct"/>
                  <w:tcBorders>
                    <w:left w:val="single" w:color="auto" w:sz="4" w:space="0"/>
                  </w:tcBorders>
                  <w:noWrap w:val="0"/>
                  <w:vAlign w:val="center"/>
                </w:tcPr>
                <w:p w14:paraId="21BA0E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毒性</w:t>
                  </w:r>
                </w:p>
                <w:p w14:paraId="7D3847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资料</w:t>
                  </w:r>
                </w:p>
              </w:tc>
              <w:tc>
                <w:tcPr>
                  <w:tcW w:w="4443" w:type="pct"/>
                  <w:tcBorders>
                    <w:right w:val="single" w:color="auto" w:sz="4" w:space="0"/>
                  </w:tcBorders>
                  <w:noWrap w:val="0"/>
                  <w:vAlign w:val="center"/>
                </w:tcPr>
                <w:p w14:paraId="6F3725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LD50：无；LC50：无</w:t>
                  </w:r>
                </w:p>
              </w:tc>
            </w:tr>
            <w:tr w14:paraId="48B03D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556" w:type="pct"/>
                  <w:tcBorders>
                    <w:left w:val="single" w:color="auto" w:sz="4" w:space="0"/>
                    <w:bottom w:val="single" w:color="auto" w:sz="4" w:space="0"/>
                  </w:tcBorders>
                  <w:noWrap w:val="0"/>
                  <w:vAlign w:val="center"/>
                </w:tcPr>
                <w:p w14:paraId="25909A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职业接触限值</w:t>
                  </w:r>
                </w:p>
              </w:tc>
              <w:tc>
                <w:tcPr>
                  <w:tcW w:w="4443" w:type="pct"/>
                  <w:tcBorders>
                    <w:bottom w:val="single" w:color="auto" w:sz="4" w:space="0"/>
                    <w:right w:val="single" w:color="auto" w:sz="4" w:space="0"/>
                  </w:tcBorders>
                  <w:noWrap w:val="0"/>
                  <w:vAlign w:val="center"/>
                </w:tcPr>
                <w:p w14:paraId="0FAEAF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未制定标准</w:t>
                  </w:r>
                </w:p>
              </w:tc>
            </w:tr>
          </w:tbl>
          <w:p w14:paraId="289FC4E3">
            <w:pPr>
              <w:pStyle w:val="147"/>
              <w:spacing w:before="6"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3"/>
                <w:sz w:val="24"/>
                <w:szCs w:val="24"/>
                <w:highlight w:val="none"/>
              </w:rPr>
              <w:t>②风险潜势初判</w:t>
            </w:r>
          </w:p>
          <w:p w14:paraId="15DF2B97">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根据《建设项目环境风险评价技术导则》（HJ169-2018）附录B</w:t>
            </w:r>
            <w:r>
              <w:rPr>
                <w:rFonts w:hint="default" w:ascii="Times New Roman" w:hAnsi="Times New Roman" w:eastAsia="宋体" w:cs="Times New Roman"/>
                <w:color w:val="auto"/>
                <w:spacing w:val="-5"/>
                <w:sz w:val="24"/>
                <w:szCs w:val="24"/>
                <w:highlight w:val="none"/>
              </w:rPr>
              <w:t>中各风险</w:t>
            </w:r>
            <w:r>
              <w:rPr>
                <w:rFonts w:hint="default" w:ascii="Times New Roman" w:hAnsi="Times New Roman" w:eastAsia="宋体" w:cs="Times New Roman"/>
                <w:color w:val="auto"/>
                <w:sz w:val="24"/>
                <w:szCs w:val="24"/>
                <w:highlight w:val="none"/>
              </w:rPr>
              <w:t>物质的临界值，本项目涉及</w:t>
            </w:r>
            <w:r>
              <w:rPr>
                <w:rFonts w:hint="default" w:ascii="Times New Roman" w:hAnsi="Times New Roman" w:cs="Times New Roman"/>
                <w:color w:val="auto"/>
                <w:sz w:val="24"/>
                <w:szCs w:val="24"/>
                <w:highlight w:val="none"/>
                <w:lang w:eastAsia="zh-CN"/>
              </w:rPr>
              <w:t>废润滑油</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snapToGrid w:val="0"/>
                <w:color w:val="auto"/>
                <w:spacing w:val="0"/>
                <w:sz w:val="24"/>
                <w:szCs w:val="24"/>
                <w:highlight w:val="none"/>
                <w:lang w:val="en-US" w:eastAsia="zh-CN"/>
              </w:rPr>
              <w:t>废润滑油暂存于</w:t>
            </w:r>
            <w:r>
              <w:rPr>
                <w:rFonts w:hint="eastAsia" w:ascii="Times New Roman" w:hAnsi="Times New Roman" w:cs="Times New Roman"/>
                <w:snapToGrid w:val="0"/>
                <w:color w:val="auto"/>
                <w:spacing w:val="0"/>
                <w:sz w:val="24"/>
                <w:szCs w:val="24"/>
                <w:highlight w:val="none"/>
                <w:lang w:val="en-US" w:eastAsia="zh-CN"/>
              </w:rPr>
              <w:t>危险废物贮存点</w:t>
            </w:r>
            <w:r>
              <w:rPr>
                <w:rFonts w:hint="default" w:ascii="Times New Roman" w:hAnsi="Times New Roman" w:cs="Times New Roman"/>
                <w:snapToGrid w:val="0"/>
                <w:color w:val="auto"/>
                <w:spacing w:val="0"/>
                <w:sz w:val="24"/>
                <w:szCs w:val="24"/>
                <w:highlight w:val="none"/>
                <w:lang w:eastAsia="zh-CN"/>
              </w:rPr>
              <w:t>，</w:t>
            </w:r>
            <w:r>
              <w:rPr>
                <w:rFonts w:hint="default" w:ascii="Times New Roman" w:hAnsi="Times New Roman" w:cs="Times New Roman"/>
                <w:snapToGrid w:val="0"/>
                <w:color w:val="auto"/>
                <w:spacing w:val="0"/>
                <w:sz w:val="24"/>
                <w:szCs w:val="24"/>
                <w:highlight w:val="none"/>
                <w:lang w:val="en-US" w:eastAsia="zh-CN"/>
              </w:rPr>
              <w:t>存储量为0.02t，</w:t>
            </w:r>
            <w:r>
              <w:rPr>
                <w:rFonts w:hint="default" w:ascii="Times New Roman" w:hAnsi="Times New Roman" w:eastAsia="宋体" w:cs="Times New Roman"/>
                <w:color w:val="auto"/>
                <w:sz w:val="24"/>
                <w:szCs w:val="24"/>
                <w:highlight w:val="none"/>
              </w:rPr>
              <w:t>计算本项目的危</w:t>
            </w:r>
            <w:r>
              <w:rPr>
                <w:rFonts w:hint="default" w:ascii="Times New Roman" w:hAnsi="Times New Roman" w:eastAsia="宋体" w:cs="Times New Roman"/>
                <w:color w:val="auto"/>
                <w:spacing w:val="-1"/>
                <w:sz w:val="24"/>
                <w:szCs w:val="24"/>
                <w:highlight w:val="none"/>
              </w:rPr>
              <w:t>险物质数量与临界量比值</w:t>
            </w:r>
            <w:r>
              <w:rPr>
                <w:rFonts w:hint="default" w:ascii="Times New Roman" w:hAnsi="Times New Roman" w:eastAsia="宋体" w:cs="Times New Roman"/>
                <w:color w:val="auto"/>
                <w:spacing w:val="-2"/>
                <w:sz w:val="24"/>
                <w:szCs w:val="24"/>
                <w:highlight w:val="none"/>
              </w:rPr>
              <w:t>（Q</w:t>
            </w:r>
            <w:r>
              <w:rPr>
                <w:rFonts w:hint="default" w:ascii="Times New Roman" w:hAnsi="Times New Roman" w:eastAsia="宋体" w:cs="Times New Roman"/>
                <w:color w:val="auto"/>
                <w:spacing w:val="6"/>
                <w:sz w:val="24"/>
                <w:szCs w:val="24"/>
                <w:highlight w:val="none"/>
              </w:rPr>
              <w:t>），</w:t>
            </w:r>
            <w:r>
              <w:rPr>
                <w:rFonts w:hint="default" w:ascii="Times New Roman" w:hAnsi="Times New Roman" w:eastAsia="宋体" w:cs="Times New Roman"/>
                <w:color w:val="auto"/>
                <w:spacing w:val="-2"/>
                <w:sz w:val="24"/>
                <w:szCs w:val="24"/>
                <w:highlight w:val="none"/>
              </w:rPr>
              <w:t>计算结果如下表所示。</w:t>
            </w:r>
          </w:p>
          <w:p w14:paraId="705D4B6E">
            <w:pPr>
              <w:keepNext w:val="0"/>
              <w:keepLines w:val="0"/>
              <w:widowControl/>
              <w:suppressLineNumbers w:val="0"/>
              <w:ind w:left="0" w:leftChars="0" w:firstLine="0" w:firstLineChars="0"/>
              <w:jc w:val="center"/>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b/>
                <w:bCs/>
                <w:color w:val="auto"/>
                <w:spacing w:val="6"/>
                <w:sz w:val="21"/>
                <w:szCs w:val="21"/>
                <w:highlight w:val="none"/>
              </w:rPr>
              <w:t>表4-</w:t>
            </w:r>
            <w:r>
              <w:rPr>
                <w:rFonts w:hint="default" w:ascii="Times New Roman" w:hAnsi="Times New Roman" w:eastAsia="宋体" w:cs="Times New Roman"/>
                <w:b/>
                <w:bCs/>
                <w:color w:val="auto"/>
                <w:spacing w:val="6"/>
                <w:sz w:val="21"/>
                <w:szCs w:val="21"/>
                <w:highlight w:val="none"/>
                <w:lang w:val="en-US" w:eastAsia="zh-CN"/>
              </w:rPr>
              <w:t>1</w:t>
            </w:r>
            <w:r>
              <w:rPr>
                <w:rFonts w:hint="default" w:ascii="Times New Roman" w:hAnsi="Times New Roman" w:cs="Times New Roman"/>
                <w:b/>
                <w:bCs/>
                <w:color w:val="auto"/>
                <w:spacing w:val="6"/>
                <w:sz w:val="21"/>
                <w:szCs w:val="21"/>
                <w:highlight w:val="none"/>
                <w:lang w:val="en-US" w:eastAsia="zh-CN"/>
              </w:rPr>
              <w:t>5</w:t>
            </w:r>
            <w:r>
              <w:rPr>
                <w:rFonts w:hint="default" w:ascii="Times New Roman" w:hAnsi="Times New Roman" w:eastAsia="宋体" w:cs="Times New Roman"/>
                <w:b/>
                <w:bCs/>
                <w:color w:val="auto"/>
                <w:spacing w:val="6"/>
                <w:sz w:val="21"/>
                <w:szCs w:val="21"/>
                <w:highlight w:val="none"/>
              </w:rPr>
              <w:t>本项目危险物质数量与临界量比值（Q）</w:t>
            </w:r>
          </w:p>
          <w:tbl>
            <w:tblPr>
              <w:tblStyle w:val="148"/>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15"/>
              <w:gridCol w:w="1790"/>
              <w:gridCol w:w="2116"/>
              <w:gridCol w:w="1826"/>
              <w:gridCol w:w="1422"/>
            </w:tblGrid>
            <w:tr w14:paraId="27118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67" w:type="pct"/>
                  <w:tcBorders>
                    <w:top w:val="single" w:color="000000" w:sz="10" w:space="0"/>
                    <w:bottom w:val="single" w:color="000000" w:sz="10" w:space="0"/>
                  </w:tcBorders>
                  <w:vAlign w:val="center"/>
                </w:tcPr>
                <w:p w14:paraId="374DD8E8">
                  <w:pPr>
                    <w:pStyle w:val="14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序号</w:t>
                  </w:r>
                </w:p>
              </w:tc>
              <w:tc>
                <w:tcPr>
                  <w:tcW w:w="1109" w:type="pct"/>
                  <w:tcBorders>
                    <w:top w:val="single" w:color="000000" w:sz="10" w:space="0"/>
                    <w:bottom w:val="single" w:color="000000" w:sz="10" w:space="0"/>
                  </w:tcBorders>
                  <w:vAlign w:val="center"/>
                </w:tcPr>
                <w:p w14:paraId="73012905">
                  <w:pPr>
                    <w:pStyle w:val="14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危险物质名称</w:t>
                  </w:r>
                </w:p>
              </w:tc>
              <w:tc>
                <w:tcPr>
                  <w:tcW w:w="1311" w:type="pct"/>
                  <w:tcBorders>
                    <w:top w:val="single" w:color="000000" w:sz="10" w:space="0"/>
                    <w:bottom w:val="single" w:color="000000" w:sz="10" w:space="0"/>
                  </w:tcBorders>
                  <w:vAlign w:val="center"/>
                </w:tcPr>
                <w:p w14:paraId="61144E9D">
                  <w:pPr>
                    <w:pStyle w:val="14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最大存在总量t</w:t>
                  </w:r>
                </w:p>
              </w:tc>
              <w:tc>
                <w:tcPr>
                  <w:tcW w:w="1131" w:type="pct"/>
                  <w:tcBorders>
                    <w:top w:val="single" w:color="000000" w:sz="10" w:space="0"/>
                    <w:bottom w:val="single" w:color="000000" w:sz="10" w:space="0"/>
                  </w:tcBorders>
                  <w:vAlign w:val="center"/>
                </w:tcPr>
                <w:p w14:paraId="778F9F95">
                  <w:pPr>
                    <w:pStyle w:val="14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临界量（t）</w:t>
                  </w:r>
                </w:p>
              </w:tc>
              <w:tc>
                <w:tcPr>
                  <w:tcW w:w="880" w:type="pct"/>
                  <w:tcBorders>
                    <w:top w:val="single" w:color="000000" w:sz="10" w:space="0"/>
                    <w:bottom w:val="single" w:color="000000" w:sz="10" w:space="0"/>
                  </w:tcBorders>
                  <w:vAlign w:val="center"/>
                </w:tcPr>
                <w:p w14:paraId="50C90229">
                  <w:pPr>
                    <w:pStyle w:val="14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Q值</w:t>
                  </w:r>
                </w:p>
              </w:tc>
            </w:tr>
            <w:tr w14:paraId="17BFB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028" w:type="dxa"/>
                  <w:tcBorders>
                    <w:top w:val="single" w:color="000000" w:sz="10" w:space="0"/>
                  </w:tcBorders>
                  <w:vAlign w:val="center"/>
                </w:tcPr>
                <w:p w14:paraId="3C94C9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5"/>
                      <w:sz w:val="21"/>
                      <w:szCs w:val="21"/>
                      <w:highlight w:val="none"/>
                    </w:rPr>
                  </w:pPr>
                  <w:r>
                    <w:rPr>
                      <w:rFonts w:hint="default" w:ascii="Times New Roman" w:hAnsi="Times New Roman" w:eastAsia="宋体" w:cs="Times New Roman"/>
                      <w:color w:val="auto"/>
                      <w:position w:val="1"/>
                      <w:sz w:val="21"/>
                      <w:szCs w:val="21"/>
                      <w:highlight w:val="none"/>
                    </w:rPr>
                    <w:t>1</w:t>
                  </w:r>
                </w:p>
              </w:tc>
              <w:tc>
                <w:tcPr>
                  <w:tcW w:w="1714" w:type="dxa"/>
                  <w:tcBorders>
                    <w:top w:val="single" w:color="000000" w:sz="10" w:space="0"/>
                  </w:tcBorders>
                  <w:vAlign w:val="center"/>
                </w:tcPr>
                <w:p w14:paraId="6017D537">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7"/>
                      <w:sz w:val="21"/>
                      <w:szCs w:val="21"/>
                      <w:highlight w:val="none"/>
                      <w:lang w:eastAsia="zh-CN"/>
                    </w:rPr>
                  </w:pPr>
                  <w:r>
                    <w:rPr>
                      <w:rFonts w:hint="default" w:ascii="Times New Roman" w:hAnsi="Times New Roman" w:cs="Times New Roman"/>
                      <w:color w:val="auto"/>
                      <w:spacing w:val="5"/>
                      <w:sz w:val="21"/>
                      <w:szCs w:val="21"/>
                      <w:highlight w:val="none"/>
                      <w:lang w:eastAsia="zh-CN"/>
                    </w:rPr>
                    <w:t>废润滑油</w:t>
                  </w:r>
                </w:p>
              </w:tc>
              <w:tc>
                <w:tcPr>
                  <w:tcW w:w="2032" w:type="dxa"/>
                  <w:tcBorders>
                    <w:top w:val="single" w:color="000000" w:sz="10" w:space="0"/>
                  </w:tcBorders>
                  <w:vAlign w:val="center"/>
                </w:tcPr>
                <w:p w14:paraId="1B351F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cs="Times New Roman"/>
                      <w:color w:val="auto"/>
                      <w:spacing w:val="2"/>
                      <w:position w:val="2"/>
                      <w:sz w:val="21"/>
                      <w:szCs w:val="21"/>
                      <w:highlight w:val="none"/>
                      <w:lang w:val="en-US" w:eastAsia="zh-CN"/>
                    </w:rPr>
                    <w:t>0.02</w:t>
                  </w:r>
                </w:p>
              </w:tc>
              <w:tc>
                <w:tcPr>
                  <w:tcW w:w="1749" w:type="dxa"/>
                  <w:tcBorders>
                    <w:top w:val="single" w:color="000000" w:sz="10" w:space="0"/>
                  </w:tcBorders>
                  <w:vAlign w:val="center"/>
                </w:tcPr>
                <w:p w14:paraId="200239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3"/>
                      <w:sz w:val="21"/>
                      <w:szCs w:val="21"/>
                      <w:highlight w:val="none"/>
                    </w:rPr>
                  </w:pPr>
                  <w:r>
                    <w:rPr>
                      <w:rFonts w:hint="default" w:ascii="Times New Roman" w:hAnsi="Times New Roman" w:eastAsia="宋体" w:cs="Times New Roman"/>
                      <w:color w:val="auto"/>
                      <w:spacing w:val="4"/>
                      <w:position w:val="2"/>
                      <w:sz w:val="21"/>
                      <w:szCs w:val="21"/>
                      <w:highlight w:val="none"/>
                    </w:rPr>
                    <w:t>2500</w:t>
                  </w:r>
                </w:p>
              </w:tc>
              <w:tc>
                <w:tcPr>
                  <w:tcW w:w="1354" w:type="dxa"/>
                  <w:tcBorders>
                    <w:top w:val="single" w:color="000000" w:sz="10" w:space="0"/>
                  </w:tcBorders>
                  <w:vAlign w:val="center"/>
                </w:tcPr>
                <w:p w14:paraId="7DD3BF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3"/>
                      <w:position w:val="2"/>
                      <w:sz w:val="21"/>
                      <w:szCs w:val="21"/>
                      <w:highlight w:val="none"/>
                      <w:lang w:val="en-US" w:eastAsia="zh-CN"/>
                    </w:rPr>
                    <w:t>0.00</w:t>
                  </w:r>
                  <w:r>
                    <w:rPr>
                      <w:rFonts w:hint="default" w:ascii="Times New Roman" w:hAnsi="Times New Roman" w:cs="Times New Roman"/>
                      <w:color w:val="auto"/>
                      <w:spacing w:val="3"/>
                      <w:position w:val="2"/>
                      <w:sz w:val="21"/>
                      <w:szCs w:val="21"/>
                      <w:highlight w:val="none"/>
                      <w:lang w:val="en-US" w:eastAsia="zh-CN"/>
                    </w:rPr>
                    <w:t>0008</w:t>
                  </w:r>
                </w:p>
              </w:tc>
            </w:tr>
          </w:tbl>
          <w:p w14:paraId="31EECB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0"/>
                <w:kern w:val="0"/>
                <w:sz w:val="21"/>
                <w:szCs w:val="21"/>
                <w:highlight w:val="none"/>
              </w:rPr>
            </w:pPr>
          </w:p>
          <w:p w14:paraId="0718FBEB">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bCs/>
                <w:color w:val="auto"/>
                <w:spacing w:val="0"/>
                <w:sz w:val="24"/>
                <w:highlight w:val="none"/>
              </w:rPr>
            </w:pPr>
            <w:r>
              <w:rPr>
                <w:rFonts w:hint="default" w:ascii="Times New Roman" w:hAnsi="Times New Roman" w:eastAsia="宋体" w:cs="Times New Roman"/>
                <w:color w:val="auto"/>
                <w:spacing w:val="0"/>
                <w:kern w:val="0"/>
                <w:sz w:val="24"/>
                <w:highlight w:val="none"/>
              </w:rPr>
              <w:t>由上表可知，本项目Q＜1，项目环境风险潜势为I，对照《建设项目环境风险评价技术导则》（HJ169-2018），项目进行简单分析。</w:t>
            </w:r>
          </w:p>
          <w:p w14:paraId="53F064EF">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2"/>
                <w:sz w:val="24"/>
                <w:szCs w:val="24"/>
                <w:highlight w:val="none"/>
              </w:rPr>
              <w:t>7.1.</w:t>
            </w:r>
            <w:r>
              <w:rPr>
                <w:rFonts w:hint="default" w:ascii="Times New Roman" w:hAnsi="Times New Roman" w:cs="Times New Roman"/>
                <w:b/>
                <w:bCs/>
                <w:color w:val="auto"/>
                <w:spacing w:val="-2"/>
                <w:sz w:val="24"/>
                <w:szCs w:val="24"/>
                <w:highlight w:val="none"/>
                <w:lang w:val="en-US" w:eastAsia="zh-CN"/>
              </w:rPr>
              <w:t>2</w:t>
            </w:r>
            <w:r>
              <w:rPr>
                <w:rFonts w:hint="default" w:ascii="Times New Roman" w:hAnsi="Times New Roman" w:eastAsia="宋体" w:cs="Times New Roman"/>
                <w:b/>
                <w:bCs/>
                <w:color w:val="auto"/>
                <w:spacing w:val="-2"/>
                <w:sz w:val="24"/>
                <w:szCs w:val="24"/>
                <w:highlight w:val="none"/>
              </w:rPr>
              <w:t>环境风险识别</w:t>
            </w:r>
          </w:p>
          <w:p w14:paraId="31268B54">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本工程涉及的主要风险物质为</w:t>
            </w:r>
            <w:r>
              <w:rPr>
                <w:rFonts w:hint="default" w:ascii="Times New Roman" w:hAnsi="Times New Roman" w:cs="Times New Roman"/>
                <w:color w:val="auto"/>
                <w:spacing w:val="-1"/>
                <w:sz w:val="24"/>
                <w:szCs w:val="24"/>
                <w:highlight w:val="none"/>
                <w:lang w:eastAsia="zh-CN"/>
              </w:rPr>
              <w:t>废润滑油</w:t>
            </w:r>
            <w:r>
              <w:rPr>
                <w:rFonts w:hint="default" w:ascii="Times New Roman" w:hAnsi="Times New Roman" w:eastAsia="宋体" w:cs="Times New Roman"/>
                <w:color w:val="auto"/>
                <w:spacing w:val="-1"/>
                <w:sz w:val="24"/>
                <w:szCs w:val="24"/>
                <w:highlight w:val="none"/>
              </w:rPr>
              <w:t>。</w:t>
            </w:r>
          </w:p>
          <w:p w14:paraId="0F772DEC">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5"/>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pacing w:val="-4"/>
                <w:sz w:val="24"/>
                <w:szCs w:val="24"/>
                <w:highlight w:val="none"/>
                <w:lang w:eastAsia="zh-CN"/>
              </w:rPr>
              <w:t>废润滑油</w:t>
            </w:r>
            <w:r>
              <w:rPr>
                <w:rFonts w:hint="default" w:ascii="Times New Roman" w:hAnsi="Times New Roman" w:eastAsia="宋体" w:cs="Times New Roman"/>
                <w:color w:val="auto"/>
                <w:spacing w:val="-4"/>
                <w:sz w:val="24"/>
                <w:szCs w:val="24"/>
                <w:highlight w:val="none"/>
              </w:rPr>
              <w:t>存在于</w:t>
            </w:r>
            <w:r>
              <w:rPr>
                <w:rFonts w:hint="eastAsia" w:ascii="Times New Roman" w:hAnsi="Times New Roman" w:cs="Times New Roman"/>
                <w:color w:val="auto"/>
                <w:spacing w:val="-4"/>
                <w:sz w:val="24"/>
                <w:szCs w:val="24"/>
                <w:highlight w:val="none"/>
                <w:lang w:eastAsia="zh-CN"/>
              </w:rPr>
              <w:t>危险废物贮存点</w:t>
            </w:r>
            <w:r>
              <w:rPr>
                <w:rFonts w:hint="default" w:ascii="Times New Roman" w:hAnsi="Times New Roman" w:eastAsia="宋体" w:cs="Times New Roman"/>
                <w:color w:val="auto"/>
                <w:spacing w:val="-4"/>
                <w:sz w:val="24"/>
                <w:szCs w:val="24"/>
                <w:highlight w:val="none"/>
              </w:rPr>
              <w:t>中，当发生泄漏事故时，泄漏</w:t>
            </w:r>
            <w:r>
              <w:rPr>
                <w:rFonts w:hint="default" w:ascii="Times New Roman" w:hAnsi="Times New Roman" w:cs="Times New Roman"/>
                <w:color w:val="auto"/>
                <w:spacing w:val="-4"/>
                <w:sz w:val="24"/>
                <w:szCs w:val="24"/>
                <w:highlight w:val="none"/>
                <w:lang w:eastAsia="zh-CN"/>
              </w:rPr>
              <w:t>废润滑油</w:t>
            </w:r>
            <w:r>
              <w:rPr>
                <w:rFonts w:hint="default" w:ascii="Times New Roman" w:hAnsi="Times New Roman" w:eastAsia="宋体" w:cs="Times New Roman"/>
                <w:color w:val="auto"/>
                <w:spacing w:val="-4"/>
                <w:sz w:val="24"/>
                <w:szCs w:val="24"/>
                <w:highlight w:val="none"/>
              </w:rPr>
              <w:t>使用专用容器及时收集，作为危险废物送</w:t>
            </w:r>
            <w:r>
              <w:rPr>
                <w:rFonts w:hint="default" w:ascii="Times New Roman" w:hAnsi="Times New Roman" w:eastAsia="宋体" w:cs="Times New Roman"/>
                <w:color w:val="auto"/>
                <w:spacing w:val="-1"/>
                <w:sz w:val="24"/>
                <w:szCs w:val="24"/>
                <w:highlight w:val="none"/>
              </w:rPr>
              <w:t>有资质单位处置，不会对周边环境造成影响。</w:t>
            </w:r>
          </w:p>
          <w:p w14:paraId="007EBF4A">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2"/>
                <w:sz w:val="24"/>
                <w:szCs w:val="24"/>
                <w:highlight w:val="none"/>
              </w:rPr>
              <w:t>7.1.</w:t>
            </w:r>
            <w:r>
              <w:rPr>
                <w:rFonts w:hint="default" w:ascii="Times New Roman" w:hAnsi="Times New Roman" w:cs="Times New Roman"/>
                <w:b/>
                <w:bCs/>
                <w:color w:val="auto"/>
                <w:spacing w:val="-2"/>
                <w:sz w:val="24"/>
                <w:szCs w:val="24"/>
                <w:highlight w:val="none"/>
                <w:lang w:val="en-US" w:eastAsia="zh-CN"/>
              </w:rPr>
              <w:t>3</w:t>
            </w:r>
            <w:r>
              <w:rPr>
                <w:rFonts w:hint="default" w:ascii="Times New Roman" w:hAnsi="Times New Roman" w:eastAsia="宋体" w:cs="Times New Roman"/>
                <w:b/>
                <w:bCs/>
                <w:color w:val="auto"/>
                <w:spacing w:val="-2"/>
                <w:sz w:val="24"/>
                <w:szCs w:val="24"/>
                <w:highlight w:val="none"/>
              </w:rPr>
              <w:t>环境风险分析</w:t>
            </w:r>
          </w:p>
          <w:p w14:paraId="08425305">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position w:val="2"/>
                <w:sz w:val="24"/>
                <w:szCs w:val="24"/>
                <w:highlight w:val="none"/>
              </w:rPr>
              <w:t>（1）泄漏影响</w:t>
            </w:r>
          </w:p>
          <w:p w14:paraId="619C2F81">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本项目</w:t>
            </w:r>
            <w:r>
              <w:rPr>
                <w:rFonts w:hint="eastAsia" w:ascii="Times New Roman" w:hAnsi="Times New Roman" w:cs="Times New Roman"/>
                <w:color w:val="auto"/>
                <w:spacing w:val="-4"/>
                <w:sz w:val="24"/>
                <w:szCs w:val="24"/>
                <w:highlight w:val="none"/>
                <w:lang w:eastAsia="zh-CN"/>
              </w:rPr>
              <w:t>危险废物贮存点</w:t>
            </w:r>
            <w:r>
              <w:rPr>
                <w:rFonts w:hint="default" w:ascii="Times New Roman" w:hAnsi="Times New Roman" w:eastAsia="宋体" w:cs="Times New Roman"/>
                <w:color w:val="auto"/>
                <w:spacing w:val="-4"/>
                <w:sz w:val="24"/>
                <w:szCs w:val="24"/>
                <w:highlight w:val="none"/>
              </w:rPr>
              <w:t>储存的</w:t>
            </w:r>
            <w:r>
              <w:rPr>
                <w:rFonts w:hint="default" w:ascii="Times New Roman" w:hAnsi="Times New Roman" w:cs="Times New Roman"/>
                <w:color w:val="auto"/>
                <w:spacing w:val="-4"/>
                <w:sz w:val="24"/>
                <w:szCs w:val="24"/>
                <w:highlight w:val="none"/>
                <w:lang w:eastAsia="zh-CN"/>
              </w:rPr>
              <w:t>废润滑油</w:t>
            </w:r>
            <w:r>
              <w:rPr>
                <w:rFonts w:hint="default" w:ascii="Times New Roman" w:hAnsi="Times New Roman" w:eastAsia="宋体" w:cs="Times New Roman"/>
                <w:color w:val="auto"/>
                <w:spacing w:val="-4"/>
                <w:sz w:val="24"/>
                <w:szCs w:val="24"/>
                <w:highlight w:val="none"/>
              </w:rPr>
              <w:t>可能会发生泄漏事故。</w:t>
            </w:r>
            <w:r>
              <w:rPr>
                <w:rFonts w:hint="default" w:ascii="Times New Roman" w:hAnsi="Times New Roman" w:cs="Times New Roman"/>
                <w:color w:val="auto"/>
                <w:spacing w:val="-4"/>
                <w:sz w:val="24"/>
                <w:szCs w:val="24"/>
                <w:highlight w:val="none"/>
                <w:lang w:eastAsia="zh-CN"/>
              </w:rPr>
              <w:t>废润滑油</w:t>
            </w:r>
            <w:r>
              <w:rPr>
                <w:rFonts w:hint="default" w:ascii="Times New Roman" w:hAnsi="Times New Roman" w:eastAsia="宋体" w:cs="Times New Roman"/>
                <w:color w:val="auto"/>
                <w:spacing w:val="-4"/>
                <w:sz w:val="24"/>
                <w:szCs w:val="24"/>
                <w:highlight w:val="none"/>
              </w:rPr>
              <w:t>泄漏后，切断</w:t>
            </w:r>
            <w:r>
              <w:rPr>
                <w:rFonts w:hint="default" w:ascii="Times New Roman" w:hAnsi="Times New Roman" w:eastAsia="宋体" w:cs="Times New Roman"/>
                <w:color w:val="auto"/>
                <w:spacing w:val="-8"/>
                <w:sz w:val="24"/>
                <w:szCs w:val="24"/>
                <w:highlight w:val="none"/>
              </w:rPr>
              <w:t>截断阀门，少量泄漏时使用惰性吸附材料吸附，含油吸附材料作为危险废物处理。</w:t>
            </w:r>
            <w:r>
              <w:rPr>
                <w:rFonts w:hint="default" w:ascii="Times New Roman" w:hAnsi="Times New Roman" w:eastAsia="宋体" w:cs="Times New Roman"/>
                <w:color w:val="auto"/>
                <w:spacing w:val="-4"/>
                <w:sz w:val="24"/>
                <w:szCs w:val="24"/>
                <w:highlight w:val="none"/>
              </w:rPr>
              <w:t>大量泄漏时在泄漏点构筑围堤，用泵转移至槽车或专用收集器内，交由有资质单位处置。泄漏物料不会进入雨水管网污染地表水，地面进行防渗不会对地下水及</w:t>
            </w:r>
            <w:r>
              <w:rPr>
                <w:rFonts w:hint="default" w:ascii="Times New Roman" w:hAnsi="Times New Roman" w:eastAsia="宋体" w:cs="Times New Roman"/>
                <w:color w:val="auto"/>
                <w:spacing w:val="-2"/>
                <w:sz w:val="24"/>
                <w:szCs w:val="24"/>
                <w:highlight w:val="none"/>
              </w:rPr>
              <w:t>土壤造成影响。</w:t>
            </w:r>
          </w:p>
          <w:p w14:paraId="193CFA12">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position w:val="2"/>
                <w:sz w:val="24"/>
                <w:szCs w:val="24"/>
                <w:highlight w:val="none"/>
              </w:rPr>
              <w:t>（2）火灾爆炸事故伴生/次生影响分析</w:t>
            </w:r>
          </w:p>
          <w:p w14:paraId="256BAA2F">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本项目</w:t>
            </w:r>
            <w:r>
              <w:rPr>
                <w:rFonts w:hint="default" w:ascii="Times New Roman" w:hAnsi="Times New Roman" w:cs="Times New Roman"/>
                <w:color w:val="auto"/>
                <w:spacing w:val="-4"/>
                <w:sz w:val="24"/>
                <w:szCs w:val="24"/>
                <w:highlight w:val="none"/>
                <w:lang w:eastAsia="zh-CN"/>
              </w:rPr>
              <w:t>废润滑油</w:t>
            </w:r>
            <w:r>
              <w:rPr>
                <w:rFonts w:hint="default" w:ascii="Times New Roman" w:hAnsi="Times New Roman" w:eastAsia="宋体" w:cs="Times New Roman"/>
                <w:color w:val="auto"/>
                <w:spacing w:val="-4"/>
                <w:sz w:val="24"/>
                <w:szCs w:val="24"/>
                <w:highlight w:val="none"/>
              </w:rPr>
              <w:t>泄漏发生火灾、爆炸事故产生的次生伴生影响主要为烟气对大气环境的影响，燃烧废气主要为一氧化碳、二氧化碳、颗粒物，以及事故废料对周边土壤、地表水的影响。在发生火灾事故时及时启动应急程序，疏散厂区内职工，采用干粉灭火器进行灭火，产生的事故废料和消防废水及时收集处理，故发</w:t>
            </w:r>
            <w:r>
              <w:rPr>
                <w:rFonts w:hint="default" w:ascii="Times New Roman" w:hAnsi="Times New Roman" w:eastAsia="宋体" w:cs="Times New Roman"/>
                <w:color w:val="auto"/>
                <w:spacing w:val="-1"/>
                <w:sz w:val="24"/>
                <w:szCs w:val="24"/>
                <w:highlight w:val="none"/>
              </w:rPr>
              <w:t>生火灾爆炸事故不会对周边环境产生显著影响。</w:t>
            </w:r>
          </w:p>
          <w:p w14:paraId="468DC75A">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2"/>
                <w:sz w:val="24"/>
                <w:szCs w:val="24"/>
                <w:highlight w:val="none"/>
              </w:rPr>
              <w:t>7.1.5环境风险防范措施及应急要求</w:t>
            </w:r>
          </w:p>
          <w:p w14:paraId="43E15D38">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3"/>
                <w:sz w:val="24"/>
                <w:szCs w:val="24"/>
                <w:highlight w:val="none"/>
              </w:rPr>
              <w:t>①环境风险防范措施</w:t>
            </w:r>
          </w:p>
          <w:p w14:paraId="3AD30241">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本工程为防止上述事故的发生采取如下防范措施：</w:t>
            </w:r>
          </w:p>
          <w:p w14:paraId="25E30175">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5"/>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（1）需加强工作人员安全培训，落实安全岗位责任，定期对天然气管线、</w:t>
            </w:r>
            <w:r>
              <w:rPr>
                <w:rFonts w:hint="default" w:ascii="Times New Roman" w:hAnsi="Times New Roman" w:cs="Times New Roman"/>
                <w:color w:val="auto"/>
                <w:spacing w:val="-4"/>
                <w:sz w:val="24"/>
                <w:szCs w:val="24"/>
                <w:highlight w:val="none"/>
                <w:lang w:eastAsia="zh-CN"/>
              </w:rPr>
              <w:t>废润滑油</w:t>
            </w:r>
            <w:r>
              <w:rPr>
                <w:rFonts w:hint="default" w:ascii="Times New Roman" w:hAnsi="Times New Roman" w:eastAsia="宋体" w:cs="Times New Roman"/>
                <w:color w:val="auto"/>
                <w:spacing w:val="-4"/>
                <w:sz w:val="24"/>
                <w:szCs w:val="24"/>
                <w:highlight w:val="none"/>
              </w:rPr>
              <w:t>管线进行检查与管理，并要求熟悉消防设施的放置地点、用法，而且要经</w:t>
            </w:r>
            <w:r>
              <w:rPr>
                <w:rFonts w:hint="default" w:ascii="Times New Roman" w:hAnsi="Times New Roman" w:eastAsia="宋体" w:cs="Times New Roman"/>
                <w:color w:val="auto"/>
                <w:spacing w:val="-1"/>
                <w:sz w:val="24"/>
                <w:szCs w:val="24"/>
                <w:highlight w:val="none"/>
              </w:rPr>
              <w:t>常检查，同时消防通道也要保持畅通；</w:t>
            </w:r>
          </w:p>
          <w:p w14:paraId="38C5355B">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9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（2）制定严格的运行操作规章制度，对操作人员进行岗位培训，防止误操</w:t>
            </w:r>
            <w:r>
              <w:rPr>
                <w:rFonts w:hint="default" w:ascii="Times New Roman" w:hAnsi="Times New Roman" w:eastAsia="宋体" w:cs="Times New Roman"/>
                <w:color w:val="auto"/>
                <w:spacing w:val="-2"/>
                <w:sz w:val="24"/>
                <w:szCs w:val="24"/>
                <w:highlight w:val="none"/>
              </w:rPr>
              <w:t>作带来的风险事故。</w:t>
            </w:r>
          </w:p>
          <w:p w14:paraId="6BCBEA3A">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9"/>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（3）按规定进行设备维修、保养、更换易损及老化部件，防止跑冒滴漏发</w:t>
            </w:r>
            <w:r>
              <w:rPr>
                <w:rFonts w:hint="default" w:ascii="Times New Roman" w:hAnsi="Times New Roman" w:eastAsia="宋体" w:cs="Times New Roman"/>
                <w:color w:val="auto"/>
                <w:spacing w:val="-6"/>
                <w:sz w:val="24"/>
                <w:szCs w:val="24"/>
                <w:highlight w:val="none"/>
              </w:rPr>
              <w:t>生。</w:t>
            </w:r>
          </w:p>
          <w:p w14:paraId="4E93C7E8">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position w:val="2"/>
                <w:sz w:val="24"/>
                <w:szCs w:val="24"/>
                <w:highlight w:val="none"/>
              </w:rPr>
              <w:t>（4）锅炉房应配置相应灭火设备，并定期检查灭火状态及有效期等；</w:t>
            </w:r>
          </w:p>
          <w:p w14:paraId="43BE5D09">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9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（5）一旦发生火灾事故，切断所有电源，及时取下灭火器对着火点进行灭</w:t>
            </w:r>
            <w:r>
              <w:rPr>
                <w:rFonts w:hint="default" w:ascii="Times New Roman" w:hAnsi="Times New Roman" w:eastAsia="宋体" w:cs="Times New Roman"/>
                <w:color w:val="auto"/>
                <w:spacing w:val="-4"/>
                <w:sz w:val="24"/>
                <w:szCs w:val="24"/>
                <w:highlight w:val="none"/>
              </w:rPr>
              <w:t>火，如火势较大不能控制时先行撤离着火点，请求外部支援。用干砂土吸附、围</w:t>
            </w:r>
            <w:r>
              <w:rPr>
                <w:rFonts w:hint="default" w:ascii="Times New Roman" w:hAnsi="Times New Roman" w:eastAsia="宋体" w:cs="Times New Roman"/>
                <w:color w:val="auto"/>
                <w:spacing w:val="-1"/>
                <w:sz w:val="24"/>
                <w:szCs w:val="24"/>
                <w:highlight w:val="none"/>
              </w:rPr>
              <w:t>堵或导流，防止泄漏危险废物流出场外；</w:t>
            </w:r>
          </w:p>
          <w:p w14:paraId="3A7C12C4">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jc w:val="righ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5"/>
                <w:position w:val="2"/>
                <w:sz w:val="24"/>
                <w:szCs w:val="24"/>
                <w:highlight w:val="none"/>
              </w:rPr>
              <w:t>（6）定期进行安全环保宣传教育和紧急事故模拟演习，提高事</w:t>
            </w:r>
            <w:r>
              <w:rPr>
                <w:rFonts w:hint="default" w:ascii="Times New Roman" w:hAnsi="Times New Roman" w:eastAsia="宋体" w:cs="Times New Roman"/>
                <w:color w:val="auto"/>
                <w:spacing w:val="-6"/>
                <w:position w:val="2"/>
                <w:sz w:val="24"/>
                <w:szCs w:val="24"/>
                <w:highlight w:val="none"/>
              </w:rPr>
              <w:t>故应变能力。</w:t>
            </w:r>
          </w:p>
          <w:p w14:paraId="25A02626">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4"/>
                <w:sz w:val="24"/>
                <w:szCs w:val="24"/>
                <w:highlight w:val="none"/>
              </w:rPr>
              <w:t>②应急措施</w:t>
            </w:r>
          </w:p>
          <w:p w14:paraId="4D54FBF5">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A</w:t>
            </w:r>
            <w:r>
              <w:rPr>
                <w:rFonts w:hint="default" w:ascii="Times New Roman" w:hAnsi="Times New Roman" w:cs="Times New Roman"/>
                <w:color w:val="auto"/>
                <w:spacing w:val="-3"/>
                <w:sz w:val="24"/>
                <w:szCs w:val="24"/>
                <w:highlight w:val="none"/>
                <w:lang w:eastAsia="zh-CN"/>
              </w:rPr>
              <w:t>.废润滑油</w:t>
            </w:r>
            <w:r>
              <w:rPr>
                <w:rFonts w:hint="default" w:ascii="Times New Roman" w:hAnsi="Times New Roman" w:eastAsia="宋体" w:cs="Times New Roman"/>
                <w:color w:val="auto"/>
                <w:spacing w:val="-3"/>
                <w:sz w:val="24"/>
                <w:szCs w:val="24"/>
                <w:highlight w:val="none"/>
              </w:rPr>
              <w:t>泄漏应急措施</w:t>
            </w:r>
          </w:p>
          <w:p w14:paraId="27C4CEDB">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15"/>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1、本公司</w:t>
            </w:r>
            <w:r>
              <w:rPr>
                <w:rFonts w:hint="default" w:ascii="Times New Roman" w:hAnsi="Times New Roman" w:cs="Times New Roman"/>
                <w:color w:val="auto"/>
                <w:spacing w:val="-2"/>
                <w:sz w:val="24"/>
                <w:szCs w:val="24"/>
                <w:highlight w:val="none"/>
                <w:lang w:eastAsia="zh-CN"/>
              </w:rPr>
              <w:t>废润滑油</w:t>
            </w:r>
            <w:r>
              <w:rPr>
                <w:rFonts w:hint="default" w:ascii="Times New Roman" w:hAnsi="Times New Roman" w:eastAsia="宋体" w:cs="Times New Roman"/>
                <w:color w:val="auto"/>
                <w:spacing w:val="-2"/>
                <w:sz w:val="24"/>
                <w:szCs w:val="24"/>
                <w:highlight w:val="none"/>
              </w:rPr>
              <w:t>贮存</w:t>
            </w:r>
            <w:r>
              <w:rPr>
                <w:rFonts w:hint="eastAsia" w:ascii="Times New Roman" w:hAnsi="Times New Roman" w:cs="Times New Roman"/>
                <w:color w:val="auto"/>
                <w:spacing w:val="-2"/>
                <w:sz w:val="24"/>
                <w:szCs w:val="24"/>
                <w:highlight w:val="none"/>
                <w:lang w:eastAsia="zh-CN"/>
              </w:rPr>
              <w:t>于</w:t>
            </w:r>
            <w:r>
              <w:rPr>
                <w:rFonts w:hint="eastAsia" w:ascii="Times New Roman" w:hAnsi="Times New Roman" w:cs="Times New Roman"/>
                <w:color w:val="auto"/>
                <w:spacing w:val="-2"/>
                <w:sz w:val="24"/>
                <w:szCs w:val="24"/>
                <w:highlight w:val="none"/>
                <w:lang w:val="en-US" w:eastAsia="zh-CN"/>
              </w:rPr>
              <w:t>危险废物贮存点</w:t>
            </w:r>
            <w:r>
              <w:rPr>
                <w:rFonts w:hint="default" w:ascii="Times New Roman" w:hAnsi="Times New Roman" w:eastAsia="宋体" w:cs="Times New Roman"/>
                <w:color w:val="auto"/>
                <w:spacing w:val="-2"/>
                <w:sz w:val="24"/>
                <w:szCs w:val="24"/>
                <w:highlight w:val="none"/>
              </w:rPr>
              <w:t>，当</w:t>
            </w:r>
            <w:r>
              <w:rPr>
                <w:rFonts w:hint="eastAsia" w:ascii="Times New Roman" w:hAnsi="Times New Roman" w:cs="Times New Roman"/>
                <w:color w:val="auto"/>
                <w:spacing w:val="-2"/>
                <w:sz w:val="24"/>
                <w:szCs w:val="24"/>
                <w:highlight w:val="none"/>
                <w:lang w:val="en-US" w:eastAsia="zh-CN"/>
              </w:rPr>
              <w:t>危险废物贮存点</w:t>
            </w:r>
            <w:r>
              <w:rPr>
                <w:rFonts w:hint="default" w:ascii="Times New Roman" w:hAnsi="Times New Roman" w:eastAsia="宋体" w:cs="Times New Roman"/>
                <w:color w:val="auto"/>
                <w:spacing w:val="-2"/>
                <w:sz w:val="24"/>
                <w:szCs w:val="24"/>
                <w:highlight w:val="none"/>
              </w:rPr>
              <w:t>内</w:t>
            </w:r>
            <w:r>
              <w:rPr>
                <w:rFonts w:hint="default" w:ascii="Times New Roman" w:hAnsi="Times New Roman" w:cs="Times New Roman"/>
                <w:color w:val="auto"/>
                <w:spacing w:val="-2"/>
                <w:sz w:val="24"/>
                <w:szCs w:val="24"/>
                <w:highlight w:val="none"/>
                <w:lang w:eastAsia="zh-CN"/>
              </w:rPr>
              <w:t>废润滑油</w:t>
            </w:r>
            <w:r>
              <w:rPr>
                <w:rFonts w:hint="default" w:ascii="Times New Roman" w:hAnsi="Times New Roman" w:eastAsia="宋体" w:cs="Times New Roman"/>
                <w:color w:val="auto"/>
                <w:spacing w:val="-2"/>
                <w:sz w:val="24"/>
                <w:szCs w:val="24"/>
                <w:highlight w:val="none"/>
              </w:rPr>
              <w:t>发生泄漏时，由现场生产主</w:t>
            </w:r>
            <w:r>
              <w:rPr>
                <w:rFonts w:hint="default" w:ascii="Times New Roman" w:hAnsi="Times New Roman" w:eastAsia="宋体" w:cs="Times New Roman"/>
                <w:color w:val="auto"/>
                <w:spacing w:val="-4"/>
                <w:sz w:val="24"/>
                <w:szCs w:val="24"/>
                <w:highlight w:val="none"/>
              </w:rPr>
              <w:t>管启动应急预案，事故发生区域的现场负责人负责现场指挥，现场抢险组人员戴防护靴、防护手套，在做好防护后实施现场处置。现场处置具体步骤为：发生泄漏时，紧急切断截断阀门，防止继续泄漏。已泄漏的物料使用吸附材料吸附后收集到废料桶内暂存，事故结束后作为危险废物处理。少量泄漏时使用惰性吸附材料吸附，含油吸附材料作为危险废物处理。大量泄漏时找出泄漏点构筑围堤，用</w:t>
            </w:r>
            <w:r>
              <w:rPr>
                <w:rFonts w:hint="default" w:ascii="Times New Roman" w:hAnsi="Times New Roman" w:eastAsia="宋体" w:cs="Times New Roman"/>
                <w:color w:val="auto"/>
                <w:spacing w:val="-1"/>
                <w:sz w:val="24"/>
                <w:szCs w:val="24"/>
                <w:highlight w:val="none"/>
              </w:rPr>
              <w:t>泵转移至槽车或专用收集器内，作为危险废物送有资质单位处置。</w:t>
            </w:r>
          </w:p>
          <w:p w14:paraId="39B242DD">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pacing w:val="-1"/>
                <w:sz w:val="24"/>
                <w:szCs w:val="24"/>
                <w:highlight w:val="none"/>
                <w:lang w:val="en-US" w:eastAsia="zh-CN"/>
              </w:rPr>
              <w:t>2</w:t>
            </w:r>
            <w:r>
              <w:rPr>
                <w:rFonts w:hint="default" w:ascii="Times New Roman" w:hAnsi="Times New Roman" w:eastAsia="宋体" w:cs="Times New Roman"/>
                <w:color w:val="auto"/>
                <w:spacing w:val="-1"/>
                <w:sz w:val="24"/>
                <w:szCs w:val="24"/>
                <w:highlight w:val="none"/>
              </w:rPr>
              <w:t>、</w:t>
            </w:r>
            <w:r>
              <w:rPr>
                <w:rFonts w:hint="default" w:ascii="Times New Roman" w:hAnsi="Times New Roman" w:cs="Times New Roman"/>
                <w:color w:val="auto"/>
                <w:spacing w:val="-1"/>
                <w:sz w:val="24"/>
                <w:szCs w:val="24"/>
                <w:highlight w:val="none"/>
                <w:lang w:eastAsia="zh-CN"/>
              </w:rPr>
              <w:t>废润滑油</w:t>
            </w:r>
            <w:r>
              <w:rPr>
                <w:rFonts w:hint="default" w:ascii="Times New Roman" w:hAnsi="Times New Roman" w:eastAsia="宋体" w:cs="Times New Roman"/>
                <w:color w:val="auto"/>
                <w:spacing w:val="-1"/>
                <w:sz w:val="24"/>
                <w:szCs w:val="24"/>
                <w:highlight w:val="none"/>
              </w:rPr>
              <w:t>泄漏时，紧急切断截断阀门，防止继续泄漏，少量泄漏时</w:t>
            </w:r>
            <w:r>
              <w:rPr>
                <w:rFonts w:hint="default" w:ascii="Times New Roman" w:hAnsi="Times New Roman" w:eastAsia="宋体" w:cs="Times New Roman"/>
                <w:color w:val="auto"/>
                <w:spacing w:val="-4"/>
                <w:sz w:val="24"/>
                <w:szCs w:val="24"/>
                <w:highlight w:val="none"/>
              </w:rPr>
              <w:t>使用惰性吸附材料吸附，含油吸附材料作为危险废物处理。大量泄漏时找出泄漏点，构筑围堤，用泵转移至槽车或专用收集器内，作为危险废物送有资质单位处</w:t>
            </w:r>
            <w:r>
              <w:rPr>
                <w:rFonts w:hint="default" w:ascii="Times New Roman" w:hAnsi="Times New Roman" w:eastAsia="宋体" w:cs="Times New Roman"/>
                <w:color w:val="auto"/>
                <w:spacing w:val="-1"/>
                <w:sz w:val="24"/>
                <w:szCs w:val="24"/>
                <w:highlight w:val="none"/>
              </w:rPr>
              <w:t>置，且锅炉房内设置慢坡，确保发生泄漏时不会流入厂区外。</w:t>
            </w:r>
          </w:p>
          <w:p w14:paraId="7C3B067E">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B</w:t>
            </w:r>
            <w:r>
              <w:rPr>
                <w:rFonts w:hint="default" w:ascii="Times New Roman" w:hAnsi="Times New Roman" w:cs="Times New Roman"/>
                <w:color w:val="auto"/>
                <w:spacing w:val="-3"/>
                <w:sz w:val="24"/>
                <w:szCs w:val="24"/>
                <w:highlight w:val="none"/>
                <w:lang w:eastAsia="zh-CN"/>
              </w:rPr>
              <w:t>.废润滑油</w:t>
            </w:r>
            <w:r>
              <w:rPr>
                <w:rFonts w:hint="default" w:ascii="Times New Roman" w:hAnsi="Times New Roman" w:eastAsia="宋体" w:cs="Times New Roman"/>
                <w:color w:val="auto"/>
                <w:spacing w:val="-3"/>
                <w:sz w:val="24"/>
                <w:szCs w:val="24"/>
                <w:highlight w:val="none"/>
              </w:rPr>
              <w:t>炉火灾爆炸应急措施</w:t>
            </w:r>
          </w:p>
          <w:p w14:paraId="01DA8B29">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5"/>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正常的程序是：发现火灾人员立即向部门和公司领导报告；报告时讲明火灾地点、着火物品、火势大小及周围的情况，值班人员组织岗位人员用灭火器、消</w:t>
            </w:r>
            <w:r>
              <w:rPr>
                <w:rFonts w:hint="default" w:ascii="Times New Roman" w:hAnsi="Times New Roman" w:eastAsia="宋体" w:cs="Times New Roman"/>
                <w:color w:val="auto"/>
                <w:spacing w:val="-8"/>
                <w:sz w:val="24"/>
                <w:szCs w:val="24"/>
                <w:highlight w:val="none"/>
              </w:rPr>
              <w:t>火栓等消防设施进行灭火；尽量将周围易燃易爆物品转移或隔离；根据火势大小、</w:t>
            </w:r>
            <w:r>
              <w:rPr>
                <w:rFonts w:hint="default" w:ascii="Times New Roman" w:hAnsi="Times New Roman" w:eastAsia="宋体" w:cs="Times New Roman"/>
                <w:color w:val="auto"/>
                <w:spacing w:val="-4"/>
                <w:sz w:val="24"/>
                <w:szCs w:val="24"/>
                <w:highlight w:val="none"/>
              </w:rPr>
              <w:t>严重程度，决定是否疏散现场人员到安全区；值班人员及部门和公司领导接到报</w:t>
            </w:r>
            <w:r>
              <w:rPr>
                <w:rFonts w:hint="default" w:ascii="Times New Roman" w:hAnsi="Times New Roman" w:eastAsia="宋体" w:cs="Times New Roman"/>
                <w:color w:val="auto"/>
                <w:sz w:val="24"/>
                <w:szCs w:val="24"/>
                <w:highlight w:val="none"/>
              </w:rPr>
              <w:t>告后，立即向公司应急领导小组报告和打“119”电话报警；</w:t>
            </w:r>
            <w:r>
              <w:rPr>
                <w:rFonts w:hint="default" w:ascii="Times New Roman" w:hAnsi="Times New Roman" w:eastAsia="宋体" w:cs="Times New Roman"/>
                <w:color w:val="auto"/>
                <w:spacing w:val="-1"/>
                <w:sz w:val="24"/>
                <w:szCs w:val="24"/>
                <w:highlight w:val="none"/>
              </w:rPr>
              <w:t>组织义务消防小组迅</w:t>
            </w:r>
            <w:r>
              <w:rPr>
                <w:rFonts w:hint="default" w:ascii="Times New Roman" w:hAnsi="Times New Roman" w:eastAsia="宋体" w:cs="Times New Roman"/>
                <w:color w:val="auto"/>
                <w:spacing w:val="-4"/>
                <w:sz w:val="24"/>
                <w:szCs w:val="24"/>
                <w:highlight w:val="none"/>
              </w:rPr>
              <w:t>速集结，增援灭火；指挥抢险小组</w:t>
            </w:r>
            <w:r>
              <w:rPr>
                <w:rFonts w:hint="default" w:ascii="Times New Roman" w:hAnsi="Times New Roman" w:cs="Times New Roman"/>
                <w:color w:val="auto"/>
                <w:spacing w:val="-4"/>
                <w:sz w:val="24"/>
                <w:szCs w:val="24"/>
                <w:highlight w:val="none"/>
                <w:lang w:eastAsia="zh-CN"/>
              </w:rPr>
              <w:t>佩戴</w:t>
            </w:r>
            <w:r>
              <w:rPr>
                <w:rFonts w:hint="default" w:ascii="Times New Roman" w:hAnsi="Times New Roman" w:eastAsia="宋体" w:cs="Times New Roman"/>
                <w:color w:val="auto"/>
                <w:spacing w:val="-4"/>
                <w:sz w:val="24"/>
                <w:szCs w:val="24"/>
                <w:highlight w:val="none"/>
              </w:rPr>
              <w:t>空气呼吸器紧急抢救受困（伤）人员和疏散现场无关人员，划出警戒线；医疗急救小组对抢救出来的受伤人员进行现场救治；联络小组负责公司应急救援指挥小组的通讯联络和信息传递工作；机动小组集结待命，随时准备投入救援战斗；后勤保障小组要保证应急救援物资及时运到现场，协助应急救援指挥小组做好其他后勤保障工作；负责派人到公司大门接消</w:t>
            </w:r>
            <w:r>
              <w:rPr>
                <w:rFonts w:hint="default" w:ascii="Times New Roman" w:hAnsi="Times New Roman" w:eastAsia="宋体" w:cs="Times New Roman"/>
                <w:color w:val="auto"/>
                <w:spacing w:val="-8"/>
                <w:sz w:val="24"/>
                <w:szCs w:val="24"/>
                <w:highlight w:val="none"/>
              </w:rPr>
              <w:t>防队，</w:t>
            </w:r>
            <w:r>
              <w:rPr>
                <w:rFonts w:hint="default" w:ascii="Times New Roman" w:hAnsi="Times New Roman" w:cs="Times New Roman"/>
                <w:color w:val="auto"/>
                <w:spacing w:val="-8"/>
                <w:sz w:val="24"/>
                <w:szCs w:val="24"/>
                <w:highlight w:val="none"/>
                <w:lang w:eastAsia="zh-CN"/>
              </w:rPr>
              <w:t>带领</w:t>
            </w:r>
            <w:r>
              <w:rPr>
                <w:rFonts w:hint="default" w:ascii="Times New Roman" w:hAnsi="Times New Roman" w:eastAsia="宋体" w:cs="Times New Roman"/>
                <w:color w:val="auto"/>
                <w:spacing w:val="-8"/>
                <w:sz w:val="24"/>
                <w:szCs w:val="24"/>
                <w:highlight w:val="none"/>
              </w:rPr>
              <w:t>消防队到达火灾现场；消防队到达火灾现场后，由消防队负责指挥灭火。</w:t>
            </w:r>
            <w:r>
              <w:rPr>
                <w:rFonts w:hint="default" w:ascii="Times New Roman" w:hAnsi="Times New Roman" w:eastAsia="宋体" w:cs="Times New Roman"/>
                <w:color w:val="auto"/>
                <w:spacing w:val="-1"/>
                <w:sz w:val="24"/>
                <w:szCs w:val="24"/>
                <w:highlight w:val="none"/>
              </w:rPr>
              <w:t>公司应急救援指挥小组协助做好其他工作</w:t>
            </w:r>
            <w:r>
              <w:rPr>
                <w:rFonts w:hint="default" w:ascii="Times New Roman" w:hAnsi="Times New Roman" w:eastAsia="宋体" w:cs="Times New Roman"/>
                <w:b/>
                <w:bCs/>
                <w:color w:val="auto"/>
                <w:spacing w:val="-1"/>
                <w:sz w:val="24"/>
                <w:szCs w:val="24"/>
                <w:highlight w:val="none"/>
              </w:rPr>
              <w:t>。</w:t>
            </w:r>
          </w:p>
          <w:p w14:paraId="7AC5788C">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1"/>
              <w:jc w:val="both"/>
              <w:textAlignment w:val="auto"/>
              <w:rPr>
                <w:rFonts w:hint="default" w:ascii="Times New Roman" w:hAnsi="Times New Roman" w:eastAsia="宋体" w:cs="Times New Roman"/>
                <w:b/>
                <w:bCs/>
                <w:color w:val="auto"/>
                <w:spacing w:val="-3"/>
                <w:sz w:val="24"/>
                <w:szCs w:val="24"/>
                <w:highlight w:val="none"/>
              </w:rPr>
            </w:pPr>
            <w:r>
              <w:rPr>
                <w:rFonts w:hint="default" w:ascii="Times New Roman" w:hAnsi="Times New Roman" w:eastAsia="宋体" w:cs="Times New Roman"/>
                <w:b/>
                <w:bCs/>
                <w:color w:val="auto"/>
                <w:spacing w:val="-3"/>
                <w:sz w:val="24"/>
                <w:szCs w:val="24"/>
                <w:highlight w:val="none"/>
              </w:rPr>
              <w:t>③三级防控措施</w:t>
            </w:r>
          </w:p>
          <w:p w14:paraId="7740BC8D">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1"/>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通过</w:t>
            </w:r>
            <w:r>
              <w:rPr>
                <w:rFonts w:hint="default" w:ascii="Times New Roman" w:hAnsi="Times New Roman" w:eastAsia="宋体" w:cs="Times New Roman"/>
                <w:color w:val="auto"/>
                <w:spacing w:val="-4"/>
                <w:sz w:val="24"/>
                <w:szCs w:val="24"/>
                <w:highlight w:val="none"/>
              </w:rPr>
              <w:t>完善项目消防废水收集、处理、排放系统，保证生产区、</w:t>
            </w:r>
            <w:r>
              <w:rPr>
                <w:rFonts w:hint="eastAsia" w:ascii="Times New Roman" w:hAnsi="Times New Roman" w:cs="Times New Roman"/>
                <w:color w:val="auto"/>
                <w:spacing w:val="-4"/>
                <w:sz w:val="24"/>
                <w:szCs w:val="24"/>
                <w:highlight w:val="none"/>
                <w:lang w:eastAsia="zh-CN"/>
              </w:rPr>
              <w:t>危险废物贮存点</w:t>
            </w:r>
            <w:r>
              <w:rPr>
                <w:rFonts w:hint="default" w:ascii="Times New Roman" w:hAnsi="Times New Roman" w:eastAsia="宋体" w:cs="Times New Roman"/>
                <w:color w:val="auto"/>
                <w:spacing w:val="-4"/>
                <w:sz w:val="24"/>
                <w:szCs w:val="24"/>
                <w:highlight w:val="none"/>
              </w:rPr>
              <w:t>和储罐</w:t>
            </w:r>
            <w:r>
              <w:rPr>
                <w:rFonts w:hint="default" w:ascii="Times New Roman" w:hAnsi="Times New Roman" w:eastAsia="宋体" w:cs="Times New Roman"/>
                <w:color w:val="auto"/>
                <w:spacing w:val="-2"/>
                <w:sz w:val="24"/>
                <w:szCs w:val="24"/>
                <w:highlight w:val="none"/>
              </w:rPr>
              <w:t>区发生泄漏、火灾时，泄漏物质和消防废水能及时、迅速</w:t>
            </w:r>
            <w:r>
              <w:rPr>
                <w:rFonts w:hint="default" w:ascii="Times New Roman" w:hAnsi="Times New Roman" w:cs="Times New Roman"/>
                <w:color w:val="auto"/>
                <w:spacing w:val="-2"/>
                <w:sz w:val="24"/>
                <w:szCs w:val="24"/>
                <w:highlight w:val="none"/>
                <w:lang w:eastAsia="zh-CN"/>
              </w:rPr>
              <w:t>地</w:t>
            </w:r>
            <w:r>
              <w:rPr>
                <w:rFonts w:hint="default" w:ascii="Times New Roman" w:hAnsi="Times New Roman" w:eastAsia="宋体" w:cs="Times New Roman"/>
                <w:color w:val="auto"/>
                <w:spacing w:val="-2"/>
                <w:sz w:val="24"/>
                <w:szCs w:val="24"/>
                <w:highlight w:val="none"/>
              </w:rPr>
              <w:t>集中到事故应急池，</w:t>
            </w:r>
            <w:r>
              <w:rPr>
                <w:rFonts w:hint="default" w:ascii="Times New Roman" w:hAnsi="Times New Roman" w:eastAsia="宋体" w:cs="Times New Roman"/>
                <w:color w:val="auto"/>
                <w:spacing w:val="-1"/>
                <w:sz w:val="24"/>
                <w:szCs w:val="24"/>
                <w:highlight w:val="none"/>
              </w:rPr>
              <w:t>对水质进行必要的处理，避免对周围环境的影响。</w:t>
            </w:r>
          </w:p>
          <w:p w14:paraId="0EC6F184">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3"/>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为了最大程度</w:t>
            </w:r>
            <w:r>
              <w:rPr>
                <w:rFonts w:hint="default" w:ascii="Times New Roman" w:hAnsi="Times New Roman" w:cs="Times New Roman"/>
                <w:color w:val="auto"/>
                <w:spacing w:val="-4"/>
                <w:sz w:val="24"/>
                <w:szCs w:val="24"/>
                <w:highlight w:val="none"/>
                <w:lang w:eastAsia="zh-CN"/>
              </w:rPr>
              <w:t>地</w:t>
            </w:r>
            <w:r>
              <w:rPr>
                <w:rFonts w:hint="default" w:ascii="Times New Roman" w:hAnsi="Times New Roman" w:eastAsia="宋体" w:cs="Times New Roman"/>
                <w:color w:val="auto"/>
                <w:spacing w:val="-4"/>
                <w:sz w:val="24"/>
                <w:szCs w:val="24"/>
                <w:highlight w:val="none"/>
              </w:rPr>
              <w:t>降低废水事故情况下对周围水环境的影响，建设单位对事故</w:t>
            </w:r>
            <w:r>
              <w:rPr>
                <w:rFonts w:hint="default" w:ascii="Times New Roman" w:hAnsi="Times New Roman" w:eastAsia="宋体" w:cs="Times New Roman"/>
                <w:color w:val="auto"/>
                <w:spacing w:val="-1"/>
                <w:sz w:val="24"/>
                <w:szCs w:val="24"/>
                <w:highlight w:val="none"/>
              </w:rPr>
              <w:t>废水进行三级防控措施，本项目依托已建的三级防控措施：</w:t>
            </w:r>
          </w:p>
          <w:p w14:paraId="46B0729D">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2"/>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一级防控措施：在生产车间装置区、罐区、锅炉房和危险废物暂存库设置围堰或在门口设置漫坡，并对生产车间装置区、罐区、锅炉房和危险废物暂存库地</w:t>
            </w:r>
            <w:r>
              <w:rPr>
                <w:rFonts w:hint="default" w:ascii="Times New Roman" w:hAnsi="Times New Roman" w:eastAsia="宋体" w:cs="Times New Roman"/>
                <w:color w:val="auto"/>
                <w:spacing w:val="-1"/>
                <w:sz w:val="24"/>
                <w:szCs w:val="24"/>
                <w:highlight w:val="none"/>
              </w:rPr>
              <w:t>面进行硬化防渗处理。</w:t>
            </w:r>
          </w:p>
          <w:p w14:paraId="50903D02">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二级防控措施：设置足够容量的废水事故池用于贮存生产事故废水、消防事</w:t>
            </w:r>
            <w:r>
              <w:rPr>
                <w:rFonts w:hint="default" w:ascii="Times New Roman" w:hAnsi="Times New Roman" w:eastAsia="宋体" w:cs="Times New Roman"/>
                <w:color w:val="auto"/>
                <w:spacing w:val="-3"/>
                <w:sz w:val="24"/>
                <w:szCs w:val="24"/>
                <w:highlight w:val="none"/>
              </w:rPr>
              <w:t>故废水等。</w:t>
            </w:r>
          </w:p>
          <w:p w14:paraId="6ACF116E">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三级防控措施：厂区雨排系统中设置排水闸板，在厂区雨排系统总排口设置排污闸板，防止事故废水未经处理直接外排；防止有毒物质或事故废水通过雨水</w:t>
            </w:r>
            <w:r>
              <w:rPr>
                <w:rFonts w:hint="default" w:ascii="Times New Roman" w:hAnsi="Times New Roman" w:eastAsia="宋体" w:cs="Times New Roman"/>
                <w:color w:val="auto"/>
                <w:spacing w:val="-2"/>
                <w:sz w:val="24"/>
                <w:szCs w:val="24"/>
                <w:highlight w:val="none"/>
              </w:rPr>
              <w:t>管网排入外环境。</w:t>
            </w:r>
          </w:p>
          <w:p w14:paraId="6588565C">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4"/>
                <w:sz w:val="24"/>
                <w:szCs w:val="24"/>
                <w:highlight w:val="none"/>
              </w:rPr>
              <w:t>7.3突发环境事件应急预案</w:t>
            </w:r>
          </w:p>
          <w:p w14:paraId="4561C507">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根据环保部《突发环境事件应急管理办法》</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环境保护部令第34号</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、《企</w:t>
            </w:r>
            <w:r>
              <w:rPr>
                <w:rFonts w:hint="default" w:ascii="Times New Roman" w:hAnsi="Times New Roman" w:eastAsia="宋体" w:cs="Times New Roman"/>
                <w:color w:val="auto"/>
                <w:spacing w:val="-1"/>
                <w:sz w:val="24"/>
                <w:szCs w:val="24"/>
                <w:highlight w:val="none"/>
              </w:rPr>
              <w:t>业事业单位突发环境事件应急预案备案管理</w:t>
            </w:r>
            <w:r>
              <w:rPr>
                <w:rFonts w:hint="default" w:ascii="Times New Roman" w:hAnsi="Times New Roman" w:eastAsia="宋体" w:cs="Times New Roman"/>
                <w:color w:val="auto"/>
                <w:spacing w:val="-2"/>
                <w:sz w:val="24"/>
                <w:szCs w:val="24"/>
                <w:highlight w:val="none"/>
              </w:rPr>
              <w:t>办法</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试行</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环发</w:t>
            </w:r>
            <w:r>
              <w:rPr>
                <w:rFonts w:hint="default" w:ascii="Times New Roman" w:hAnsi="Times New Roman" w:cs="Times New Roman"/>
                <w:color w:val="auto"/>
                <w:spacing w:val="-2"/>
                <w:sz w:val="24"/>
                <w:szCs w:val="24"/>
                <w:highlight w:val="none"/>
                <w:lang w:eastAsia="zh-CN"/>
              </w:rPr>
              <w:t>〔2015〕4号）</w:t>
            </w:r>
            <w:r>
              <w:rPr>
                <w:rFonts w:hint="default" w:ascii="Times New Roman" w:hAnsi="Times New Roman" w:eastAsia="宋体" w:cs="Times New Roman"/>
                <w:color w:val="auto"/>
                <w:spacing w:val="-2"/>
                <w:sz w:val="24"/>
                <w:szCs w:val="24"/>
                <w:highlight w:val="none"/>
              </w:rPr>
              <w:t>、环保</w:t>
            </w:r>
            <w:r>
              <w:rPr>
                <w:rFonts w:hint="default" w:ascii="Times New Roman" w:hAnsi="Times New Roman" w:eastAsia="宋体" w:cs="Times New Roman"/>
                <w:color w:val="auto"/>
                <w:spacing w:val="-6"/>
                <w:sz w:val="24"/>
                <w:szCs w:val="24"/>
                <w:highlight w:val="none"/>
              </w:rPr>
              <w:t>部《关于进一步加强环境影响评价管理防范环境风险的通知》</w:t>
            </w:r>
            <w:r>
              <w:rPr>
                <w:rFonts w:hint="default" w:ascii="Times New Roman" w:hAnsi="Times New Roman" w:cs="Times New Roman"/>
                <w:color w:val="auto"/>
                <w:spacing w:val="-6"/>
                <w:sz w:val="24"/>
                <w:szCs w:val="24"/>
                <w:highlight w:val="none"/>
                <w:lang w:eastAsia="zh-CN"/>
              </w:rPr>
              <w:t>（</w:t>
            </w:r>
            <w:r>
              <w:rPr>
                <w:rFonts w:hint="default" w:ascii="Times New Roman" w:hAnsi="Times New Roman" w:eastAsia="宋体" w:cs="Times New Roman"/>
                <w:color w:val="auto"/>
                <w:spacing w:val="-6"/>
                <w:sz w:val="24"/>
                <w:szCs w:val="24"/>
                <w:highlight w:val="none"/>
              </w:rPr>
              <w:t>环发</w:t>
            </w:r>
            <w:r>
              <w:rPr>
                <w:rFonts w:hint="default" w:ascii="Times New Roman" w:hAnsi="Times New Roman" w:cs="Times New Roman"/>
                <w:color w:val="auto"/>
                <w:spacing w:val="-6"/>
                <w:sz w:val="24"/>
                <w:szCs w:val="24"/>
                <w:highlight w:val="none"/>
                <w:lang w:eastAsia="zh-CN"/>
              </w:rPr>
              <w:t>〔2012〕77号）</w:t>
            </w:r>
            <w:r>
              <w:rPr>
                <w:rFonts w:hint="default" w:ascii="Times New Roman" w:hAnsi="Times New Roman" w:eastAsia="宋体" w:cs="Times New Roman"/>
                <w:color w:val="auto"/>
                <w:spacing w:val="-6"/>
                <w:sz w:val="24"/>
                <w:szCs w:val="24"/>
                <w:highlight w:val="none"/>
              </w:rPr>
              <w:t>、</w:t>
            </w:r>
            <w:r>
              <w:rPr>
                <w:rFonts w:hint="default" w:ascii="Times New Roman" w:hAnsi="Times New Roman" w:eastAsia="宋体" w:cs="Times New Roman"/>
                <w:color w:val="auto"/>
                <w:spacing w:val="2"/>
                <w:sz w:val="24"/>
                <w:szCs w:val="24"/>
                <w:highlight w:val="none"/>
              </w:rPr>
              <w:t>《企业突发环境事件风险分级方法》</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z w:val="24"/>
                <w:szCs w:val="24"/>
                <w:highlight w:val="none"/>
              </w:rPr>
              <w:t>HJ</w:t>
            </w:r>
            <w:r>
              <w:rPr>
                <w:rFonts w:hint="default" w:ascii="Times New Roman" w:hAnsi="Times New Roman" w:eastAsia="宋体" w:cs="Times New Roman"/>
                <w:color w:val="auto"/>
                <w:spacing w:val="2"/>
                <w:sz w:val="24"/>
                <w:szCs w:val="24"/>
                <w:highlight w:val="none"/>
              </w:rPr>
              <w:t>941-2018</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等文件的规定和要求，建设</w:t>
            </w:r>
            <w:r>
              <w:rPr>
                <w:rFonts w:hint="default" w:ascii="Times New Roman" w:hAnsi="Times New Roman" w:eastAsia="宋体" w:cs="Times New Roman"/>
                <w:color w:val="auto"/>
                <w:spacing w:val="-4"/>
                <w:sz w:val="24"/>
                <w:szCs w:val="24"/>
                <w:highlight w:val="none"/>
              </w:rPr>
              <w:t>单位应在本项目工程建设完成后、竣工环境保护验收前完成突发环境事件应急预案的修订工作，并向企业所在地环境保护主管部门备案，同时注意编制的应急预</w:t>
            </w:r>
            <w:r>
              <w:rPr>
                <w:rFonts w:hint="default" w:ascii="Times New Roman" w:hAnsi="Times New Roman" w:eastAsia="宋体" w:cs="Times New Roman"/>
                <w:color w:val="auto"/>
                <w:spacing w:val="-1"/>
                <w:sz w:val="24"/>
                <w:szCs w:val="24"/>
                <w:highlight w:val="none"/>
              </w:rPr>
              <w:t>案应与沿线各区域、各相关企业应急系统相互衔接。</w:t>
            </w:r>
          </w:p>
          <w:p w14:paraId="5F41F1D7">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3"/>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综上所述，本项目将针对可能产生的环境风险采取必要的防范措施，预计不</w:t>
            </w:r>
            <w:r>
              <w:rPr>
                <w:rFonts w:hint="default" w:ascii="Times New Roman" w:hAnsi="Times New Roman" w:eastAsia="宋体" w:cs="Times New Roman"/>
                <w:color w:val="auto"/>
                <w:spacing w:val="-1"/>
                <w:sz w:val="24"/>
                <w:szCs w:val="24"/>
                <w:highlight w:val="none"/>
              </w:rPr>
              <w:t>会对周边环境造成明显不利影响。</w:t>
            </w:r>
          </w:p>
          <w:p w14:paraId="4160E8B9">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2"/>
                <w:sz w:val="24"/>
                <w:szCs w:val="24"/>
                <w:highlight w:val="none"/>
              </w:rPr>
              <w:t>7.4风险评价结论</w:t>
            </w:r>
          </w:p>
          <w:p w14:paraId="432EC354">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1"/>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本项目存在的突发环境事件为</w:t>
            </w:r>
            <w:r>
              <w:rPr>
                <w:rFonts w:hint="default" w:ascii="Times New Roman" w:hAnsi="Times New Roman" w:cs="Times New Roman"/>
                <w:color w:val="auto"/>
                <w:spacing w:val="-4"/>
                <w:sz w:val="24"/>
                <w:szCs w:val="24"/>
                <w:highlight w:val="none"/>
                <w:lang w:eastAsia="zh-CN"/>
              </w:rPr>
              <w:t>废润滑油</w:t>
            </w:r>
            <w:r>
              <w:rPr>
                <w:rFonts w:hint="default" w:ascii="Times New Roman" w:hAnsi="Times New Roman" w:eastAsia="宋体" w:cs="Times New Roman"/>
                <w:color w:val="auto"/>
                <w:spacing w:val="-4"/>
                <w:sz w:val="24"/>
                <w:szCs w:val="24"/>
                <w:highlight w:val="none"/>
              </w:rPr>
              <w:t>泄漏或遇明火引发的火灾爆炸事故，企业应在项目投入生产后及时编制突发环境事件应急预案。在采取防范措施和制定事故应急预案后，基本满足国家有关环境保护的要求。项目对厂外环境的风险影</w:t>
            </w:r>
            <w:r>
              <w:rPr>
                <w:rFonts w:hint="default" w:ascii="Times New Roman" w:hAnsi="Times New Roman" w:eastAsia="宋体" w:cs="Times New Roman"/>
                <w:color w:val="auto"/>
                <w:sz w:val="24"/>
                <w:szCs w:val="24"/>
                <w:highlight w:val="none"/>
              </w:rPr>
              <w:t>响处于可以接受的范围内，但企业仍需要提高风险管理</w:t>
            </w:r>
            <w:r>
              <w:rPr>
                <w:rFonts w:hint="default" w:ascii="Times New Roman" w:hAnsi="Times New Roman" w:eastAsia="宋体" w:cs="Times New Roman"/>
                <w:color w:val="auto"/>
                <w:spacing w:val="-1"/>
                <w:sz w:val="24"/>
                <w:szCs w:val="24"/>
                <w:highlight w:val="none"/>
              </w:rPr>
              <w:t>水平和强化风险防范措</w:t>
            </w:r>
            <w:r>
              <w:rPr>
                <w:rFonts w:hint="default" w:ascii="Times New Roman" w:hAnsi="Times New Roman" w:eastAsia="宋体" w:cs="Times New Roman"/>
                <w:color w:val="auto"/>
                <w:spacing w:val="-4"/>
                <w:sz w:val="24"/>
                <w:szCs w:val="24"/>
                <w:highlight w:val="none"/>
              </w:rPr>
              <w:t>施，通过相应的技术手段降低风险发生概率，并在风险事故发生后，及时采取风险防范措施，可以使风险事故对环境的危害得到有效控制，将事故风险控制在可</w:t>
            </w:r>
            <w:r>
              <w:rPr>
                <w:rFonts w:hint="default" w:ascii="Times New Roman" w:hAnsi="Times New Roman" w:eastAsia="宋体" w:cs="Times New Roman"/>
                <w:color w:val="auto"/>
                <w:spacing w:val="-2"/>
                <w:sz w:val="24"/>
                <w:szCs w:val="24"/>
                <w:highlight w:val="none"/>
              </w:rPr>
              <w:t>以接受的范围内。</w:t>
            </w:r>
          </w:p>
          <w:p w14:paraId="6545D4B7">
            <w:pPr>
              <w:pStyle w:val="147"/>
              <w:keepNext w:val="0"/>
              <w:keepLines w:val="0"/>
              <w:pageBreakBefore w:val="0"/>
              <w:widowControl w:val="0"/>
              <w:kinsoku/>
              <w:wordWrap/>
              <w:overflowPunct/>
              <w:topLinePunct w:val="0"/>
              <w:autoSpaceDE/>
              <w:autoSpaceDN/>
              <w:bidi w:val="0"/>
              <w:adjustRightInd w:val="0"/>
              <w:snapToGrid w:val="0"/>
              <w:spacing w:line="360" w:lineRule="auto"/>
              <w:ind w:left="0" w:right="0" w:firstLine="481"/>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pacing w:val="-2"/>
                <w:sz w:val="24"/>
                <w:szCs w:val="24"/>
                <w:highlight w:val="none"/>
              </w:rPr>
              <w:t>综上，在采取以上环境风险防范措施的基础上能够减缓对外界环境</w:t>
            </w:r>
            <w:r>
              <w:rPr>
                <w:rFonts w:hint="default" w:ascii="Times New Roman" w:hAnsi="Times New Roman" w:eastAsia="宋体" w:cs="Times New Roman"/>
                <w:color w:val="auto"/>
                <w:spacing w:val="-3"/>
                <w:sz w:val="24"/>
                <w:szCs w:val="24"/>
                <w:highlight w:val="none"/>
              </w:rPr>
              <w:t>的影响，</w:t>
            </w:r>
            <w:r>
              <w:rPr>
                <w:rFonts w:hint="default" w:ascii="Times New Roman" w:hAnsi="Times New Roman" w:eastAsia="宋体" w:cs="Times New Roman"/>
                <w:color w:val="auto"/>
                <w:spacing w:val="-1"/>
                <w:sz w:val="24"/>
                <w:szCs w:val="24"/>
                <w:highlight w:val="none"/>
              </w:rPr>
              <w:t>本项目环境风险是可控的。本项目风险简单分析内容表如下。</w:t>
            </w:r>
          </w:p>
          <w:p w14:paraId="0F620D81">
            <w:pPr>
              <w:pStyle w:val="147"/>
              <w:spacing w:before="40" w:line="224" w:lineRule="auto"/>
              <w:ind w:left="0" w:leftChars="0" w:firstLine="0" w:firstLineChars="0"/>
              <w:jc w:val="center"/>
              <w:rPr>
                <w:rFonts w:hint="default" w:ascii="Times New Roman" w:hAnsi="Times New Roman" w:eastAsia="宋体" w:cs="Times New Roman"/>
                <w:b/>
                <w:bCs/>
                <w:color w:val="auto"/>
                <w:spacing w:val="5"/>
                <w:sz w:val="21"/>
                <w:szCs w:val="21"/>
                <w:highlight w:val="none"/>
              </w:rPr>
            </w:pPr>
            <w:r>
              <w:rPr>
                <w:rFonts w:hint="default" w:ascii="Times New Roman" w:hAnsi="Times New Roman" w:eastAsia="宋体" w:cs="Times New Roman"/>
                <w:b/>
                <w:bCs/>
                <w:color w:val="auto"/>
                <w:spacing w:val="5"/>
                <w:sz w:val="21"/>
                <w:szCs w:val="21"/>
                <w:highlight w:val="none"/>
              </w:rPr>
              <w:t>表4-</w:t>
            </w:r>
            <w:r>
              <w:rPr>
                <w:rFonts w:hint="default" w:ascii="Times New Roman" w:hAnsi="Times New Roman" w:eastAsia="宋体" w:cs="Times New Roman"/>
                <w:b/>
                <w:bCs/>
                <w:color w:val="auto"/>
                <w:spacing w:val="5"/>
                <w:sz w:val="21"/>
                <w:szCs w:val="21"/>
                <w:highlight w:val="none"/>
                <w:lang w:val="en-US" w:eastAsia="zh-CN"/>
              </w:rPr>
              <w:t>1</w:t>
            </w:r>
            <w:r>
              <w:rPr>
                <w:rFonts w:hint="default" w:ascii="Times New Roman" w:hAnsi="Times New Roman" w:cs="Times New Roman"/>
                <w:b/>
                <w:bCs/>
                <w:color w:val="auto"/>
                <w:spacing w:val="5"/>
                <w:sz w:val="21"/>
                <w:szCs w:val="21"/>
                <w:highlight w:val="none"/>
                <w:lang w:val="en-US" w:eastAsia="zh-CN"/>
              </w:rPr>
              <w:t>6</w:t>
            </w:r>
            <w:r>
              <w:rPr>
                <w:rFonts w:hint="default" w:ascii="Times New Roman" w:hAnsi="Times New Roman" w:eastAsia="宋体" w:cs="Times New Roman"/>
                <w:b/>
                <w:bCs/>
                <w:color w:val="auto"/>
                <w:spacing w:val="5"/>
                <w:sz w:val="21"/>
                <w:szCs w:val="21"/>
                <w:highlight w:val="none"/>
              </w:rPr>
              <w:t>建设项目环境风险简单分析内容表</w:t>
            </w:r>
          </w:p>
          <w:tbl>
            <w:tblPr>
              <w:tblStyle w:val="148"/>
              <w:tblW w:w="4995" w:type="pct"/>
              <w:tblInd w:w="2" w:type="dxa"/>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332"/>
              <w:gridCol w:w="6739"/>
            </w:tblGrid>
            <w:tr w14:paraId="69071268">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PrEx>
              <w:trPr>
                <w:trHeight w:val="540" w:hRule="atLeast"/>
              </w:trPr>
              <w:tc>
                <w:tcPr>
                  <w:tcW w:w="825" w:type="pct"/>
                  <w:tcBorders>
                    <w:top w:val="single" w:color="000000" w:sz="10" w:space="0"/>
                  </w:tcBorders>
                  <w:vAlign w:val="center"/>
                </w:tcPr>
                <w:p w14:paraId="415E1247">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建设项目</w:t>
                  </w:r>
                </w:p>
                <w:p w14:paraId="2AF76484">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名称</w:t>
                  </w:r>
                </w:p>
              </w:tc>
              <w:tc>
                <w:tcPr>
                  <w:tcW w:w="4174" w:type="pct"/>
                  <w:tcBorders>
                    <w:top w:val="single" w:color="000000" w:sz="10" w:space="0"/>
                  </w:tcBorders>
                  <w:vAlign w:val="center"/>
                </w:tcPr>
                <w:p w14:paraId="2A6CFF6F">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pacing w:val="9"/>
                      <w:sz w:val="21"/>
                      <w:szCs w:val="21"/>
                      <w:highlight w:val="none"/>
                      <w:lang w:eastAsia="zh-CN"/>
                    </w:rPr>
                    <w:t>虎林市绿都海狮油脂有限责任公司生物质锅炉建设项目</w:t>
                  </w:r>
                </w:p>
              </w:tc>
            </w:tr>
            <w:tr w14:paraId="1981BA1E">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25" w:type="pct"/>
                  <w:vAlign w:val="center"/>
                </w:tcPr>
                <w:p w14:paraId="58F335B3">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建设地点</w:t>
                  </w:r>
                </w:p>
              </w:tc>
              <w:tc>
                <w:tcPr>
                  <w:tcW w:w="4174" w:type="pct"/>
                  <w:vAlign w:val="center"/>
                </w:tcPr>
                <w:p w14:paraId="255DC3EB">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pacing w:val="9"/>
                      <w:sz w:val="21"/>
                      <w:szCs w:val="21"/>
                      <w:highlight w:val="none"/>
                      <w:lang w:eastAsia="zh-CN"/>
                    </w:rPr>
                    <w:t>黑龙江省鸡西市虎林市虎林镇东方红街道东升委（粮库院内）</w:t>
                  </w:r>
                </w:p>
              </w:tc>
            </w:tr>
            <w:tr w14:paraId="0D441F1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25" w:type="pct"/>
                  <w:vAlign w:val="center"/>
                </w:tcPr>
                <w:p w14:paraId="36B95914">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地理坐标</w:t>
                  </w:r>
                </w:p>
              </w:tc>
              <w:tc>
                <w:tcPr>
                  <w:tcW w:w="4174" w:type="pct"/>
                  <w:vAlign w:val="center"/>
                </w:tcPr>
                <w:p w14:paraId="58FAB747">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lang w:eastAsia="zh-CN"/>
                    </w:rPr>
                    <w:t>东经</w:t>
                  </w:r>
                  <w:r>
                    <w:rPr>
                      <w:rFonts w:hint="default" w:ascii="Times New Roman" w:hAnsi="Times New Roman" w:eastAsia="宋体" w:cs="Times New Roman"/>
                      <w:color w:val="auto"/>
                      <w:spacing w:val="9"/>
                      <w:sz w:val="21"/>
                      <w:szCs w:val="21"/>
                      <w:highlight w:val="none"/>
                      <w:lang w:val="en-US" w:eastAsia="zh-CN"/>
                    </w:rPr>
                    <w:t>132</w:t>
                  </w:r>
                  <w:r>
                    <w:rPr>
                      <w:rFonts w:hint="default" w:ascii="Times New Roman" w:hAnsi="Times New Roman" w:eastAsia="宋体" w:cs="Times New Roman"/>
                      <w:color w:val="auto"/>
                      <w:spacing w:val="9"/>
                      <w:sz w:val="21"/>
                      <w:szCs w:val="21"/>
                      <w:highlight w:val="none"/>
                      <w:lang w:eastAsia="zh-CN"/>
                    </w:rPr>
                    <w:t>度</w:t>
                  </w:r>
                  <w:r>
                    <w:rPr>
                      <w:rFonts w:hint="default" w:ascii="Times New Roman" w:hAnsi="Times New Roman" w:eastAsia="宋体" w:cs="Times New Roman"/>
                      <w:color w:val="auto"/>
                      <w:spacing w:val="9"/>
                      <w:sz w:val="21"/>
                      <w:szCs w:val="21"/>
                      <w:highlight w:val="none"/>
                      <w:lang w:val="en-US" w:eastAsia="zh-CN"/>
                    </w:rPr>
                    <w:t>59</w:t>
                  </w:r>
                  <w:r>
                    <w:rPr>
                      <w:rFonts w:hint="default" w:ascii="Times New Roman" w:hAnsi="Times New Roman" w:eastAsia="宋体" w:cs="Times New Roman"/>
                      <w:color w:val="auto"/>
                      <w:spacing w:val="9"/>
                      <w:sz w:val="21"/>
                      <w:szCs w:val="21"/>
                      <w:highlight w:val="none"/>
                      <w:lang w:eastAsia="zh-CN"/>
                    </w:rPr>
                    <w:t>分</w:t>
                  </w:r>
                  <w:r>
                    <w:rPr>
                      <w:rFonts w:hint="default" w:ascii="Times New Roman" w:hAnsi="Times New Roman" w:eastAsia="宋体" w:cs="Times New Roman"/>
                      <w:color w:val="auto"/>
                      <w:spacing w:val="9"/>
                      <w:sz w:val="21"/>
                      <w:szCs w:val="21"/>
                      <w:highlight w:val="none"/>
                      <w:lang w:val="en-US" w:eastAsia="zh-CN"/>
                    </w:rPr>
                    <w:t>36.438</w:t>
                  </w:r>
                  <w:r>
                    <w:rPr>
                      <w:rFonts w:hint="default" w:ascii="Times New Roman" w:hAnsi="Times New Roman" w:eastAsia="宋体" w:cs="Times New Roman"/>
                      <w:color w:val="auto"/>
                      <w:spacing w:val="9"/>
                      <w:sz w:val="21"/>
                      <w:szCs w:val="21"/>
                      <w:highlight w:val="none"/>
                      <w:lang w:eastAsia="zh-CN"/>
                    </w:rPr>
                    <w:t>秒，北纬45度</w:t>
                  </w:r>
                  <w:r>
                    <w:rPr>
                      <w:rFonts w:hint="default" w:ascii="Times New Roman" w:hAnsi="Times New Roman" w:eastAsia="宋体" w:cs="Times New Roman"/>
                      <w:color w:val="auto"/>
                      <w:spacing w:val="9"/>
                      <w:sz w:val="21"/>
                      <w:szCs w:val="21"/>
                      <w:highlight w:val="none"/>
                      <w:lang w:val="en-US" w:eastAsia="zh-CN"/>
                    </w:rPr>
                    <w:t>46</w:t>
                  </w:r>
                  <w:r>
                    <w:rPr>
                      <w:rFonts w:hint="default" w:ascii="Times New Roman" w:hAnsi="Times New Roman" w:eastAsia="宋体" w:cs="Times New Roman"/>
                      <w:color w:val="auto"/>
                      <w:spacing w:val="9"/>
                      <w:sz w:val="21"/>
                      <w:szCs w:val="21"/>
                      <w:highlight w:val="none"/>
                      <w:lang w:eastAsia="zh-CN"/>
                    </w:rPr>
                    <w:t>分</w:t>
                  </w:r>
                  <w:r>
                    <w:rPr>
                      <w:rFonts w:hint="default" w:ascii="Times New Roman" w:hAnsi="Times New Roman" w:eastAsia="宋体" w:cs="Times New Roman"/>
                      <w:color w:val="auto"/>
                      <w:spacing w:val="9"/>
                      <w:sz w:val="21"/>
                      <w:szCs w:val="21"/>
                      <w:highlight w:val="none"/>
                      <w:lang w:val="en-US" w:eastAsia="zh-CN"/>
                    </w:rPr>
                    <w:t>11.796</w:t>
                  </w:r>
                  <w:r>
                    <w:rPr>
                      <w:rFonts w:hint="default" w:ascii="Times New Roman" w:hAnsi="Times New Roman" w:eastAsia="宋体" w:cs="Times New Roman"/>
                      <w:color w:val="auto"/>
                      <w:spacing w:val="9"/>
                      <w:sz w:val="21"/>
                      <w:szCs w:val="21"/>
                      <w:highlight w:val="none"/>
                      <w:lang w:eastAsia="zh-CN"/>
                    </w:rPr>
                    <w:t>秒</w:t>
                  </w:r>
                </w:p>
              </w:tc>
            </w:tr>
            <w:tr w14:paraId="28BB7928">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25" w:type="pct"/>
                  <w:vAlign w:val="center"/>
                </w:tcPr>
                <w:p w14:paraId="0ED11DF7">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主要危险物质及分布</w:t>
                  </w:r>
                </w:p>
              </w:tc>
              <w:tc>
                <w:tcPr>
                  <w:tcW w:w="4174" w:type="pct"/>
                  <w:vAlign w:val="center"/>
                </w:tcPr>
                <w:p w14:paraId="15491652">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8"/>
                      <w:sz w:val="21"/>
                      <w:szCs w:val="21"/>
                      <w:highlight w:val="none"/>
                    </w:rPr>
                    <w:t>主要危险物质：</w:t>
                  </w:r>
                  <w:r>
                    <w:rPr>
                      <w:rFonts w:hint="default" w:ascii="Times New Roman" w:hAnsi="Times New Roman" w:cs="Times New Roman"/>
                      <w:color w:val="auto"/>
                      <w:spacing w:val="8"/>
                      <w:sz w:val="21"/>
                      <w:szCs w:val="21"/>
                      <w:highlight w:val="none"/>
                      <w:lang w:eastAsia="zh-CN"/>
                    </w:rPr>
                    <w:t>废润滑油</w:t>
                  </w:r>
                </w:p>
                <w:p w14:paraId="6AF25E32">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分布：</w:t>
                  </w:r>
                  <w:r>
                    <w:rPr>
                      <w:rFonts w:hint="eastAsia" w:ascii="Times New Roman" w:hAnsi="Times New Roman" w:cs="Times New Roman"/>
                      <w:color w:val="auto"/>
                      <w:spacing w:val="9"/>
                      <w:sz w:val="21"/>
                      <w:szCs w:val="21"/>
                      <w:highlight w:val="none"/>
                      <w:lang w:val="en-US" w:eastAsia="zh-CN"/>
                    </w:rPr>
                    <w:t>危险废物贮存点</w:t>
                  </w:r>
                </w:p>
              </w:tc>
            </w:tr>
            <w:tr w14:paraId="274952A3">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82" w:hRule="atLeast"/>
              </w:trPr>
              <w:tc>
                <w:tcPr>
                  <w:tcW w:w="825" w:type="pct"/>
                  <w:vAlign w:val="center"/>
                </w:tcPr>
                <w:p w14:paraId="26AEE759">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环境影响途</w:t>
                  </w:r>
                </w:p>
                <w:p w14:paraId="33C8E461">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径及危害后</w:t>
                  </w:r>
                </w:p>
                <w:p w14:paraId="44DA46B5">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果</w:t>
                  </w:r>
                </w:p>
              </w:tc>
              <w:tc>
                <w:tcPr>
                  <w:tcW w:w="4174" w:type="pct"/>
                  <w:vAlign w:val="center"/>
                </w:tcPr>
                <w:p w14:paraId="5055953E">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项目锅炉</w:t>
                  </w:r>
                  <w:r>
                    <w:rPr>
                      <w:rFonts w:hint="default" w:ascii="Times New Roman" w:hAnsi="Times New Roman" w:cs="Times New Roman"/>
                      <w:color w:val="auto"/>
                      <w:spacing w:val="9"/>
                      <w:sz w:val="21"/>
                      <w:szCs w:val="21"/>
                      <w:highlight w:val="none"/>
                      <w:lang w:eastAsia="zh-CN"/>
                    </w:rPr>
                    <w:t>废润滑油</w:t>
                  </w:r>
                  <w:r>
                    <w:rPr>
                      <w:rFonts w:hint="default" w:ascii="Times New Roman" w:hAnsi="Times New Roman" w:eastAsia="宋体" w:cs="Times New Roman"/>
                      <w:color w:val="auto"/>
                      <w:spacing w:val="9"/>
                      <w:sz w:val="21"/>
                      <w:szCs w:val="21"/>
                      <w:highlight w:val="none"/>
                    </w:rPr>
                    <w:t>发生泄漏、火灾及爆炸事故，影响途径主要为大气环境、</w:t>
                  </w:r>
                  <w:r>
                    <w:rPr>
                      <w:rFonts w:hint="default" w:ascii="Times New Roman" w:hAnsi="Times New Roman" w:eastAsia="宋体" w:cs="Times New Roman"/>
                      <w:color w:val="auto"/>
                      <w:spacing w:val="8"/>
                      <w:sz w:val="21"/>
                      <w:szCs w:val="21"/>
                      <w:highlight w:val="none"/>
                    </w:rPr>
                    <w:t>地表水环境和土壤环境。</w:t>
                  </w:r>
                </w:p>
              </w:tc>
            </w:tr>
            <w:tr w14:paraId="3A6933EE">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825" w:type="pct"/>
                  <w:vAlign w:val="center"/>
                </w:tcPr>
                <w:p w14:paraId="27BA30CE">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风险防范措施及要求</w:t>
                  </w:r>
                </w:p>
              </w:tc>
              <w:tc>
                <w:tcPr>
                  <w:tcW w:w="4174" w:type="pct"/>
                  <w:vAlign w:val="center"/>
                </w:tcPr>
                <w:p w14:paraId="5B6CC271">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9"/>
                      <w:sz w:val="21"/>
                      <w:szCs w:val="21"/>
                      <w:highlight w:val="none"/>
                      <w:lang w:eastAsia="zh-CN"/>
                    </w:rPr>
                    <w:t>（</w:t>
                  </w:r>
                  <w:r>
                    <w:rPr>
                      <w:rFonts w:hint="default" w:ascii="Times New Roman" w:hAnsi="Times New Roman" w:eastAsia="宋体" w:cs="Times New Roman"/>
                      <w:color w:val="auto"/>
                      <w:spacing w:val="9"/>
                      <w:sz w:val="21"/>
                      <w:szCs w:val="21"/>
                      <w:highlight w:val="none"/>
                      <w:lang w:val="en-US" w:eastAsia="zh-CN"/>
                    </w:rPr>
                    <w:t>1</w:t>
                  </w:r>
                  <w:r>
                    <w:rPr>
                      <w:rFonts w:hint="default" w:ascii="Times New Roman" w:hAnsi="Times New Roman" w:eastAsia="宋体" w:cs="Times New Roman"/>
                      <w:color w:val="auto"/>
                      <w:spacing w:val="9"/>
                      <w:sz w:val="21"/>
                      <w:szCs w:val="21"/>
                      <w:highlight w:val="none"/>
                      <w:lang w:eastAsia="zh-CN"/>
                    </w:rPr>
                    <w:t>）</w:t>
                  </w:r>
                  <w:r>
                    <w:rPr>
                      <w:rFonts w:hint="default" w:ascii="Times New Roman" w:hAnsi="Times New Roman" w:eastAsia="宋体" w:cs="Times New Roman"/>
                      <w:color w:val="auto"/>
                      <w:spacing w:val="9"/>
                      <w:sz w:val="21"/>
                      <w:szCs w:val="21"/>
                      <w:highlight w:val="none"/>
                    </w:rPr>
                    <w:t>需加强工作人员安全培训，落实安全岗位责任，定期对</w:t>
                  </w:r>
                  <w:r>
                    <w:rPr>
                      <w:rFonts w:hint="default" w:ascii="Times New Roman" w:hAnsi="Times New Roman" w:cs="Times New Roman"/>
                      <w:color w:val="auto"/>
                      <w:spacing w:val="9"/>
                      <w:sz w:val="21"/>
                      <w:szCs w:val="21"/>
                      <w:highlight w:val="none"/>
                      <w:lang w:eastAsia="zh-CN"/>
                    </w:rPr>
                    <w:t>废润滑油</w:t>
                  </w:r>
                  <w:r>
                    <w:rPr>
                      <w:rFonts w:hint="default" w:ascii="Times New Roman" w:hAnsi="Times New Roman" w:eastAsia="宋体" w:cs="Times New Roman"/>
                      <w:color w:val="auto"/>
                      <w:spacing w:val="9"/>
                      <w:sz w:val="21"/>
                      <w:szCs w:val="21"/>
                      <w:highlight w:val="none"/>
                    </w:rPr>
                    <w:t>管线</w:t>
                  </w:r>
                  <w:r>
                    <w:rPr>
                      <w:rFonts w:hint="default" w:ascii="Times New Roman" w:hAnsi="Times New Roman" w:eastAsia="宋体" w:cs="Times New Roman"/>
                      <w:color w:val="auto"/>
                      <w:spacing w:val="7"/>
                      <w:sz w:val="21"/>
                      <w:szCs w:val="21"/>
                      <w:highlight w:val="none"/>
                    </w:rPr>
                    <w:t>进行检查与管理，并要求熟悉消防设施的放置地点、用法，而且要经常检</w:t>
                  </w:r>
                  <w:r>
                    <w:rPr>
                      <w:rFonts w:hint="default" w:ascii="Times New Roman" w:hAnsi="Times New Roman" w:eastAsia="宋体" w:cs="Times New Roman"/>
                      <w:color w:val="auto"/>
                      <w:spacing w:val="8"/>
                      <w:sz w:val="21"/>
                      <w:szCs w:val="21"/>
                      <w:highlight w:val="none"/>
                    </w:rPr>
                    <w:t>查，同时消防通道也要保持畅通；</w:t>
                  </w:r>
                </w:p>
                <w:p w14:paraId="6D19253E">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（2）制定严格的运行操作规章制度，对操作人员进行岗位培训，防止误</w:t>
                  </w:r>
                  <w:r>
                    <w:rPr>
                      <w:rFonts w:hint="default" w:ascii="Times New Roman" w:hAnsi="Times New Roman" w:eastAsia="宋体" w:cs="Times New Roman"/>
                      <w:color w:val="auto"/>
                      <w:spacing w:val="8"/>
                      <w:sz w:val="21"/>
                      <w:szCs w:val="21"/>
                      <w:highlight w:val="none"/>
                    </w:rPr>
                    <w:t>操作带来的风险事故。</w:t>
                  </w:r>
                </w:p>
                <w:p w14:paraId="73FC1352">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（3）按规定进行设备维修、保养、更换易损及老化部件，防止跑冒滴漏</w:t>
                  </w:r>
                  <w:r>
                    <w:rPr>
                      <w:rFonts w:hint="default" w:ascii="Times New Roman" w:hAnsi="Times New Roman" w:eastAsia="宋体" w:cs="Times New Roman"/>
                      <w:color w:val="auto"/>
                      <w:spacing w:val="2"/>
                      <w:sz w:val="21"/>
                      <w:szCs w:val="21"/>
                      <w:highlight w:val="none"/>
                    </w:rPr>
                    <w:t>发生。</w:t>
                  </w:r>
                </w:p>
                <w:p w14:paraId="635A1CF5">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position w:val="1"/>
                      <w:sz w:val="21"/>
                      <w:szCs w:val="21"/>
                      <w:highlight w:val="none"/>
                    </w:rPr>
                    <w:t>（4）厂区应配置相应灭火设备，并定期检查灭火状态</w:t>
                  </w:r>
                  <w:r>
                    <w:rPr>
                      <w:rFonts w:hint="default" w:ascii="Times New Roman" w:hAnsi="Times New Roman" w:eastAsia="宋体" w:cs="Times New Roman"/>
                      <w:color w:val="auto"/>
                      <w:spacing w:val="8"/>
                      <w:position w:val="1"/>
                      <w:sz w:val="21"/>
                      <w:szCs w:val="21"/>
                      <w:highlight w:val="none"/>
                    </w:rPr>
                    <w:t>及其有效期等；</w:t>
                  </w:r>
                </w:p>
                <w:p w14:paraId="7A7F1645">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（5）一旦发生火灾事故，切断所有电源，及时取下灭火器对着火点进行</w:t>
                  </w:r>
                  <w:r>
                    <w:rPr>
                      <w:rFonts w:hint="default" w:ascii="Times New Roman" w:hAnsi="Times New Roman" w:eastAsia="宋体" w:cs="Times New Roman"/>
                      <w:color w:val="auto"/>
                      <w:spacing w:val="7"/>
                      <w:sz w:val="21"/>
                      <w:szCs w:val="21"/>
                      <w:highlight w:val="none"/>
                    </w:rPr>
                    <w:t>灭火，如火势较大不能控制时先行撤离着火点，请求外部支援。用干砂土</w:t>
                  </w:r>
                  <w:r>
                    <w:rPr>
                      <w:rFonts w:hint="default" w:ascii="Times New Roman" w:hAnsi="Times New Roman" w:eastAsia="宋体" w:cs="Times New Roman"/>
                      <w:color w:val="auto"/>
                      <w:spacing w:val="9"/>
                      <w:sz w:val="21"/>
                      <w:szCs w:val="21"/>
                      <w:highlight w:val="none"/>
                    </w:rPr>
                    <w:t>吸附、围堵或导流，防止泄漏危险废物流出场</w:t>
                  </w:r>
                  <w:r>
                    <w:rPr>
                      <w:rFonts w:hint="default" w:ascii="Times New Roman" w:hAnsi="Times New Roman" w:eastAsia="宋体" w:cs="Times New Roman"/>
                      <w:color w:val="auto"/>
                      <w:spacing w:val="8"/>
                      <w:sz w:val="21"/>
                      <w:szCs w:val="21"/>
                      <w:highlight w:val="none"/>
                    </w:rPr>
                    <w:t>外；</w:t>
                  </w:r>
                </w:p>
                <w:p w14:paraId="54AB424E">
                  <w:pPr>
                    <w:pStyle w:val="147"/>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10"/>
                      <w:sz w:val="21"/>
                      <w:szCs w:val="21"/>
                      <w:highlight w:val="none"/>
                    </w:rPr>
                    <w:t>（6）定期进行安全环保宣传教育和紧急事故模拟演习，提高事故应</w:t>
                  </w:r>
                  <w:r>
                    <w:rPr>
                      <w:rFonts w:hint="default" w:ascii="Times New Roman" w:hAnsi="Times New Roman" w:eastAsia="宋体" w:cs="Times New Roman"/>
                      <w:color w:val="auto"/>
                      <w:spacing w:val="9"/>
                      <w:sz w:val="21"/>
                      <w:szCs w:val="21"/>
                      <w:highlight w:val="none"/>
                    </w:rPr>
                    <w:t>变能</w:t>
                  </w:r>
                  <w:r>
                    <w:rPr>
                      <w:rFonts w:hint="default" w:ascii="Times New Roman" w:hAnsi="Times New Roman" w:eastAsia="宋体" w:cs="Times New Roman"/>
                      <w:color w:val="auto"/>
                      <w:spacing w:val="-2"/>
                      <w:sz w:val="21"/>
                      <w:szCs w:val="21"/>
                      <w:highlight w:val="none"/>
                    </w:rPr>
                    <w:t>力。</w:t>
                  </w:r>
                </w:p>
              </w:tc>
            </w:tr>
            <w:tr w14:paraId="7CA5F727">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825" w:type="pct"/>
                  <w:vAlign w:val="center"/>
                </w:tcPr>
                <w:p w14:paraId="729DBD70">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填表说明（列</w:t>
                  </w:r>
                  <w:r>
                    <w:rPr>
                      <w:rFonts w:hint="default" w:ascii="Times New Roman" w:hAnsi="Times New Roman" w:eastAsia="宋体" w:cs="Times New Roman"/>
                      <w:color w:val="auto"/>
                      <w:spacing w:val="4"/>
                      <w:sz w:val="21"/>
                      <w:szCs w:val="21"/>
                      <w:highlight w:val="none"/>
                    </w:rPr>
                    <w:t>出项目相关</w:t>
                  </w:r>
                </w:p>
                <w:p w14:paraId="741C8F01">
                  <w:pPr>
                    <w:pStyle w:val="14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信息及评价</w:t>
                  </w:r>
                </w:p>
                <w:p w14:paraId="57BB5E7B">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7"/>
                      <w:sz w:val="21"/>
                      <w:szCs w:val="21"/>
                      <w:highlight w:val="none"/>
                    </w:rPr>
                  </w:pPr>
                  <w:r>
                    <w:rPr>
                      <w:rFonts w:hint="default" w:ascii="Times New Roman" w:hAnsi="Times New Roman" w:eastAsia="宋体" w:cs="Times New Roman"/>
                      <w:color w:val="auto"/>
                      <w:spacing w:val="2"/>
                      <w:sz w:val="21"/>
                      <w:szCs w:val="21"/>
                      <w:highlight w:val="none"/>
                    </w:rPr>
                    <w:t>说明）</w:t>
                  </w:r>
                </w:p>
              </w:tc>
              <w:tc>
                <w:tcPr>
                  <w:tcW w:w="4174" w:type="pct"/>
                  <w:vAlign w:val="center"/>
                </w:tcPr>
                <w:p w14:paraId="4657B034">
                  <w:pPr>
                    <w:pStyle w:val="1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7"/>
                      <w:sz w:val="21"/>
                      <w:szCs w:val="21"/>
                      <w:highlight w:val="none"/>
                    </w:rPr>
                    <w:t>本项目涉及的环境风险物质主要</w:t>
                  </w:r>
                  <w:r>
                    <w:rPr>
                      <w:rFonts w:hint="default" w:ascii="Times New Roman" w:hAnsi="Times New Roman" w:cs="Times New Roman"/>
                      <w:color w:val="auto"/>
                      <w:spacing w:val="7"/>
                      <w:sz w:val="21"/>
                      <w:szCs w:val="21"/>
                      <w:highlight w:val="none"/>
                      <w:lang w:val="en-US" w:eastAsia="zh-CN"/>
                    </w:rPr>
                    <w:t>废润滑油</w:t>
                  </w:r>
                  <w:r>
                    <w:rPr>
                      <w:rFonts w:hint="default" w:ascii="Times New Roman" w:hAnsi="Times New Roman" w:eastAsia="宋体" w:cs="Times New Roman"/>
                      <w:color w:val="auto"/>
                      <w:spacing w:val="7"/>
                      <w:sz w:val="21"/>
                      <w:szCs w:val="21"/>
                      <w:highlight w:val="none"/>
                    </w:rPr>
                    <w:t>，其存在量很少，Q值小于1，环</w:t>
                  </w:r>
                  <w:r>
                    <w:rPr>
                      <w:rFonts w:hint="default" w:ascii="Times New Roman" w:hAnsi="Times New Roman" w:eastAsia="宋体" w:cs="Times New Roman"/>
                      <w:color w:val="auto"/>
                      <w:spacing w:val="1"/>
                      <w:sz w:val="21"/>
                      <w:szCs w:val="21"/>
                      <w:highlight w:val="none"/>
                    </w:rPr>
                    <w:t>境风险潜势为Ⅰ级，风险评价等级为简单分析，风险类型</w:t>
                  </w:r>
                  <w:r>
                    <w:rPr>
                      <w:rFonts w:hint="default" w:ascii="Times New Roman" w:hAnsi="Times New Roman" w:eastAsia="宋体" w:cs="Times New Roman"/>
                      <w:color w:val="auto"/>
                      <w:sz w:val="21"/>
                      <w:szCs w:val="21"/>
                      <w:highlight w:val="none"/>
                    </w:rPr>
                    <w:t>主要</w:t>
                  </w:r>
                  <w:r>
                    <w:rPr>
                      <w:rFonts w:hint="eastAsia" w:ascii="Times New Roman" w:hAnsi="Times New Roman"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rPr>
                    <w:t>泄漏、火灾、</w:t>
                  </w:r>
                  <w:r>
                    <w:rPr>
                      <w:rFonts w:hint="default" w:ascii="Times New Roman" w:hAnsi="Times New Roman" w:eastAsia="宋体" w:cs="Times New Roman"/>
                      <w:color w:val="auto"/>
                      <w:spacing w:val="7"/>
                      <w:sz w:val="21"/>
                      <w:szCs w:val="21"/>
                      <w:highlight w:val="none"/>
                    </w:rPr>
                    <w:t>爆炸。在加强生产管理，严格执行事故风险防范措施，事故发生后及时启动应急预案，积极开展急救措施和善后恢复工作的基础上，可减缓突发环境事故对周围环境造成的危害和影响，事故环境风险防控是可行的，项目</w:t>
                  </w:r>
                  <w:r>
                    <w:rPr>
                      <w:rFonts w:hint="default" w:ascii="Times New Roman" w:hAnsi="Times New Roman" w:eastAsia="宋体" w:cs="Times New Roman"/>
                      <w:color w:val="auto"/>
                      <w:spacing w:val="8"/>
                      <w:sz w:val="21"/>
                      <w:szCs w:val="21"/>
                      <w:highlight w:val="none"/>
                    </w:rPr>
                    <w:t>环境风险为可接受水平。</w:t>
                  </w:r>
                </w:p>
              </w:tc>
            </w:tr>
          </w:tbl>
          <w:p w14:paraId="71AE3AD0">
            <w:pPr>
              <w:pStyle w:val="147"/>
              <w:spacing w:before="28" w:line="221" w:lineRule="auto"/>
              <w:ind w:left="11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8"/>
                <w:sz w:val="21"/>
                <w:szCs w:val="21"/>
                <w:highlight w:val="none"/>
              </w:rPr>
              <w:t>8、环保投资</w:t>
            </w:r>
          </w:p>
          <w:p w14:paraId="38A69631">
            <w:pPr>
              <w:pStyle w:val="147"/>
              <w:spacing w:before="144" w:line="355" w:lineRule="auto"/>
              <w:ind w:left="114" w:right="108" w:firstLine="48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本项目总投资</w:t>
            </w:r>
            <w:r>
              <w:rPr>
                <w:rFonts w:hint="default" w:ascii="Times New Roman" w:hAns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0万元，环保投资</w:t>
            </w:r>
            <w:r>
              <w:rPr>
                <w:rFonts w:hint="default" w:ascii="Times New Roman" w:hAnsi="Times New Roman" w:cs="Times New Roman"/>
                <w:color w:val="auto"/>
                <w:sz w:val="21"/>
                <w:szCs w:val="21"/>
                <w:highlight w:val="none"/>
                <w:lang w:val="en-US" w:eastAsia="zh-CN"/>
              </w:rPr>
              <w:t>17.5</w:t>
            </w:r>
            <w:r>
              <w:rPr>
                <w:rFonts w:hint="default" w:ascii="Times New Roman" w:hAnsi="Times New Roman" w:eastAsia="宋体" w:cs="Times New Roman"/>
                <w:color w:val="auto"/>
                <w:sz w:val="21"/>
                <w:szCs w:val="21"/>
                <w:highlight w:val="none"/>
              </w:rPr>
              <w:t>万元，环保投资占总投资的</w:t>
            </w:r>
            <w:r>
              <w:rPr>
                <w:rFonts w:hint="default" w:ascii="Times New Roman" w:hAnsi="Times New Roman" w:eastAsia="宋体" w:cs="Times New Roman"/>
                <w:color w:val="auto"/>
                <w:spacing w:val="-1"/>
                <w:sz w:val="21"/>
                <w:szCs w:val="21"/>
                <w:highlight w:val="none"/>
              </w:rPr>
              <w:t>17.5%，环</w:t>
            </w:r>
            <w:r>
              <w:rPr>
                <w:rFonts w:hint="default" w:ascii="Times New Roman" w:hAnsi="Times New Roman" w:eastAsia="宋体" w:cs="Times New Roman"/>
                <w:color w:val="auto"/>
                <w:spacing w:val="-2"/>
                <w:sz w:val="21"/>
                <w:szCs w:val="21"/>
                <w:highlight w:val="none"/>
              </w:rPr>
              <w:t>保投资见表4-</w:t>
            </w:r>
            <w:r>
              <w:rPr>
                <w:rFonts w:hint="default" w:ascii="Times New Roman" w:hAnsi="Times New Roman" w:eastAsia="宋体" w:cs="Times New Roman"/>
                <w:color w:val="auto"/>
                <w:spacing w:val="-2"/>
                <w:sz w:val="21"/>
                <w:szCs w:val="21"/>
                <w:highlight w:val="none"/>
                <w:lang w:val="en-US" w:eastAsia="zh-CN"/>
              </w:rPr>
              <w:t>1</w:t>
            </w:r>
            <w:r>
              <w:rPr>
                <w:rFonts w:hint="default" w:ascii="Times New Roman" w:hAnsi="Times New Roman" w:eastAsia="宋体" w:cs="Times New Roman"/>
                <w:color w:val="auto"/>
                <w:spacing w:val="-2"/>
                <w:sz w:val="21"/>
                <w:szCs w:val="21"/>
                <w:highlight w:val="none"/>
              </w:rPr>
              <w:t>6：</w:t>
            </w:r>
          </w:p>
          <w:p w14:paraId="080FB69B">
            <w:pPr>
              <w:pStyle w:val="147"/>
              <w:spacing w:before="40" w:line="224" w:lineRule="auto"/>
              <w:ind w:left="0" w:leftChars="0" w:firstLine="0" w:firstLineChars="0"/>
              <w:jc w:val="center"/>
              <w:rPr>
                <w:rFonts w:hint="default" w:ascii="Times New Roman" w:hAnsi="Times New Roman" w:eastAsia="宋体" w:cs="Times New Roman"/>
                <w:b/>
                <w:bCs/>
                <w:color w:val="auto"/>
                <w:spacing w:val="5"/>
                <w:sz w:val="21"/>
                <w:szCs w:val="21"/>
                <w:highlight w:val="none"/>
              </w:rPr>
            </w:pPr>
            <w:r>
              <w:rPr>
                <w:rFonts w:hint="default" w:ascii="Times New Roman" w:hAnsi="Times New Roman" w:eastAsia="宋体" w:cs="Times New Roman"/>
                <w:b/>
                <w:bCs/>
                <w:color w:val="auto"/>
                <w:spacing w:val="5"/>
                <w:sz w:val="21"/>
                <w:szCs w:val="21"/>
                <w:highlight w:val="none"/>
              </w:rPr>
              <w:t>表4-</w:t>
            </w:r>
            <w:r>
              <w:rPr>
                <w:rFonts w:hint="default" w:ascii="Times New Roman" w:hAnsi="Times New Roman" w:eastAsia="宋体" w:cs="Times New Roman"/>
                <w:b/>
                <w:bCs/>
                <w:color w:val="auto"/>
                <w:spacing w:val="5"/>
                <w:sz w:val="21"/>
                <w:szCs w:val="21"/>
                <w:highlight w:val="none"/>
                <w:lang w:val="en-US" w:eastAsia="zh-CN"/>
              </w:rPr>
              <w:t>1</w:t>
            </w:r>
            <w:r>
              <w:rPr>
                <w:rFonts w:hint="default" w:ascii="Times New Roman" w:hAnsi="Times New Roman" w:cs="Times New Roman"/>
                <w:b/>
                <w:bCs/>
                <w:color w:val="auto"/>
                <w:spacing w:val="5"/>
                <w:sz w:val="21"/>
                <w:szCs w:val="21"/>
                <w:highlight w:val="none"/>
                <w:lang w:val="en-US" w:eastAsia="zh-CN"/>
              </w:rPr>
              <w:t>7</w:t>
            </w:r>
            <w:r>
              <w:rPr>
                <w:rFonts w:hint="default" w:ascii="Times New Roman" w:hAnsi="Times New Roman" w:eastAsia="宋体" w:cs="Times New Roman"/>
                <w:b/>
                <w:bCs/>
                <w:color w:val="auto"/>
                <w:spacing w:val="5"/>
                <w:sz w:val="21"/>
                <w:szCs w:val="21"/>
                <w:highlight w:val="none"/>
              </w:rPr>
              <w:t>项目环保投资估算一览表</w:t>
            </w:r>
          </w:p>
          <w:tbl>
            <w:tblPr>
              <w:tblStyle w:val="148"/>
              <w:tblW w:w="4998" w:type="pct"/>
              <w:tblInd w:w="2" w:type="dxa"/>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2428"/>
              <w:gridCol w:w="2695"/>
              <w:gridCol w:w="2953"/>
            </w:tblGrid>
            <w:tr w14:paraId="09FD1AD5">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03" w:type="pct"/>
                  <w:tcBorders>
                    <w:top w:val="single" w:color="000000" w:sz="10" w:space="0"/>
                    <w:bottom w:val="single" w:color="auto" w:sz="4" w:space="0"/>
                  </w:tcBorders>
                  <w:vAlign w:val="center"/>
                </w:tcPr>
                <w:p w14:paraId="6155494F">
                  <w:pPr>
                    <w:pStyle w:val="14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类别</w:t>
                  </w:r>
                </w:p>
              </w:tc>
              <w:tc>
                <w:tcPr>
                  <w:tcW w:w="1668" w:type="pct"/>
                  <w:tcBorders>
                    <w:top w:val="single" w:color="000000" w:sz="10" w:space="0"/>
                  </w:tcBorders>
                  <w:vAlign w:val="center"/>
                </w:tcPr>
                <w:p w14:paraId="5E294226">
                  <w:pPr>
                    <w:pStyle w:val="14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环保项目名称</w:t>
                  </w:r>
                </w:p>
              </w:tc>
              <w:tc>
                <w:tcPr>
                  <w:tcW w:w="1828" w:type="pct"/>
                  <w:tcBorders>
                    <w:top w:val="single" w:color="000000" w:sz="10" w:space="0"/>
                  </w:tcBorders>
                  <w:vAlign w:val="center"/>
                </w:tcPr>
                <w:p w14:paraId="68C555FF">
                  <w:pPr>
                    <w:pStyle w:val="14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投资</w:t>
                  </w:r>
                  <w:r>
                    <w:rPr>
                      <w:rFonts w:hint="default" w:ascii="Times New Roman" w:hAnsi="Times New Roman" w:cs="Times New Roman"/>
                      <w:b/>
                      <w:bCs/>
                      <w:color w:val="auto"/>
                      <w:spacing w:val="4"/>
                      <w:sz w:val="21"/>
                      <w:szCs w:val="21"/>
                      <w:highlight w:val="none"/>
                      <w:lang w:eastAsia="zh-CN"/>
                    </w:rPr>
                    <w:t>（</w:t>
                  </w:r>
                  <w:r>
                    <w:rPr>
                      <w:rFonts w:hint="default" w:ascii="Times New Roman" w:hAnsi="Times New Roman" w:eastAsia="宋体" w:cs="Times New Roman"/>
                      <w:b/>
                      <w:bCs/>
                      <w:color w:val="auto"/>
                      <w:spacing w:val="4"/>
                      <w:sz w:val="21"/>
                      <w:szCs w:val="21"/>
                      <w:highlight w:val="none"/>
                    </w:rPr>
                    <w:t>万元</w:t>
                  </w:r>
                  <w:r>
                    <w:rPr>
                      <w:rFonts w:hint="default" w:ascii="Times New Roman" w:hAnsi="Times New Roman" w:cs="Times New Roman"/>
                      <w:b/>
                      <w:bCs/>
                      <w:color w:val="auto"/>
                      <w:spacing w:val="4"/>
                      <w:sz w:val="21"/>
                      <w:szCs w:val="21"/>
                      <w:highlight w:val="none"/>
                      <w:lang w:eastAsia="zh-CN"/>
                    </w:rPr>
                    <w:t>）</w:t>
                  </w:r>
                </w:p>
              </w:tc>
            </w:tr>
            <w:tr w14:paraId="77058E5B">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03" w:type="pct"/>
                  <w:vMerge w:val="restart"/>
                  <w:tcBorders>
                    <w:top w:val="single" w:color="auto" w:sz="4" w:space="0"/>
                    <w:bottom w:val="single" w:color="auto" w:sz="4" w:space="0"/>
                    <w:right w:val="single" w:color="auto" w:sz="4" w:space="0"/>
                  </w:tcBorders>
                  <w:vAlign w:val="center"/>
                </w:tcPr>
                <w:p w14:paraId="0D5433EF">
                  <w:pPr>
                    <w:pStyle w:val="14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废气治理设</w:t>
                  </w:r>
                  <w:r>
                    <w:rPr>
                      <w:rFonts w:hint="default" w:ascii="Times New Roman" w:hAnsi="Times New Roman" w:eastAsia="宋体" w:cs="Times New Roman"/>
                      <w:color w:val="auto"/>
                      <w:spacing w:val="1"/>
                      <w:sz w:val="21"/>
                      <w:szCs w:val="21"/>
                      <w:highlight w:val="none"/>
                    </w:rPr>
                    <w:t>施</w:t>
                  </w:r>
                </w:p>
              </w:tc>
              <w:tc>
                <w:tcPr>
                  <w:tcW w:w="1668" w:type="pct"/>
                  <w:vAlign w:val="center"/>
                </w:tcPr>
                <w:p w14:paraId="13B34855">
                  <w:pPr>
                    <w:pStyle w:val="14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布袋除尘器</w:t>
                  </w:r>
                </w:p>
              </w:tc>
              <w:tc>
                <w:tcPr>
                  <w:tcW w:w="1828" w:type="pct"/>
                  <w:vAlign w:val="center"/>
                </w:tcPr>
                <w:p w14:paraId="22C34E2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14:paraId="37B7D455">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03" w:type="pct"/>
                  <w:vMerge w:val="continue"/>
                  <w:tcBorders>
                    <w:top w:val="single" w:color="auto" w:sz="4" w:space="0"/>
                    <w:bottom w:val="single" w:color="auto" w:sz="4" w:space="0"/>
                    <w:right w:val="single" w:color="auto" w:sz="4" w:space="0"/>
                  </w:tcBorders>
                  <w:vAlign w:val="center"/>
                </w:tcPr>
                <w:p w14:paraId="0AB7154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1668" w:type="pct"/>
                  <w:vAlign w:val="center"/>
                </w:tcPr>
                <w:p w14:paraId="0A98B97E">
                  <w:pPr>
                    <w:pStyle w:val="14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排气筒</w:t>
                  </w:r>
                </w:p>
              </w:tc>
              <w:tc>
                <w:tcPr>
                  <w:tcW w:w="1828" w:type="pct"/>
                  <w:vAlign w:val="center"/>
                </w:tcPr>
                <w:p w14:paraId="34A88B2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.5</w:t>
                  </w:r>
                </w:p>
              </w:tc>
            </w:tr>
            <w:tr w14:paraId="705F10E9">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03" w:type="pct"/>
                  <w:tcBorders>
                    <w:top w:val="single" w:color="auto" w:sz="4" w:space="0"/>
                    <w:bottom w:val="single" w:color="auto" w:sz="4" w:space="0"/>
                    <w:right w:val="single" w:color="auto" w:sz="4" w:space="0"/>
                  </w:tcBorders>
                  <w:vAlign w:val="center"/>
                </w:tcPr>
                <w:p w14:paraId="5A90E873">
                  <w:pPr>
                    <w:pStyle w:val="14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固废贮存设</w:t>
                  </w:r>
                  <w:r>
                    <w:rPr>
                      <w:rFonts w:hint="default" w:ascii="Times New Roman" w:hAnsi="Times New Roman" w:eastAsia="宋体" w:cs="Times New Roman"/>
                      <w:color w:val="auto"/>
                      <w:spacing w:val="1"/>
                      <w:sz w:val="21"/>
                      <w:szCs w:val="21"/>
                      <w:highlight w:val="none"/>
                    </w:rPr>
                    <w:t>施</w:t>
                  </w:r>
                </w:p>
              </w:tc>
              <w:tc>
                <w:tcPr>
                  <w:tcW w:w="1668" w:type="pct"/>
                  <w:vAlign w:val="center"/>
                </w:tcPr>
                <w:p w14:paraId="65FD8AC6">
                  <w:pPr>
                    <w:pStyle w:val="14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8"/>
                      <w:sz w:val="21"/>
                      <w:szCs w:val="21"/>
                      <w:highlight w:val="none"/>
                      <w:lang w:val="en-US" w:eastAsia="zh-CN"/>
                    </w:rPr>
                    <w:t>依托</w:t>
                  </w:r>
                  <w:r>
                    <w:rPr>
                      <w:rFonts w:hint="default" w:ascii="Times New Roman" w:hAnsi="Times New Roman" w:cs="Times New Roman"/>
                      <w:color w:val="auto"/>
                      <w:spacing w:val="8"/>
                      <w:sz w:val="21"/>
                      <w:szCs w:val="21"/>
                      <w:highlight w:val="none"/>
                      <w:lang w:eastAsia="zh-CN"/>
                    </w:rPr>
                    <w:t>灰渣库</w:t>
                  </w:r>
                </w:p>
              </w:tc>
              <w:tc>
                <w:tcPr>
                  <w:tcW w:w="1828" w:type="pct"/>
                  <w:vAlign w:val="center"/>
                </w:tcPr>
                <w:p w14:paraId="209E23B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position w:val="2"/>
                      <w:sz w:val="21"/>
                      <w:szCs w:val="21"/>
                      <w:highlight w:val="none"/>
                      <w:lang w:val="en-US" w:eastAsia="zh-CN"/>
                    </w:rPr>
                    <w:t>1</w:t>
                  </w:r>
                </w:p>
              </w:tc>
            </w:tr>
            <w:tr w14:paraId="5688B054">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1503" w:type="pct"/>
                  <w:tcBorders>
                    <w:top w:val="single" w:color="auto" w:sz="4" w:space="0"/>
                    <w:bottom w:val="single" w:color="auto" w:sz="4" w:space="0"/>
                    <w:right w:val="single" w:color="auto" w:sz="4" w:space="0"/>
                  </w:tcBorders>
                  <w:vAlign w:val="center"/>
                </w:tcPr>
                <w:p w14:paraId="485A250B">
                  <w:pPr>
                    <w:pStyle w:val="14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lang w:val="en-US" w:eastAsia="zh-CN"/>
                    </w:rPr>
                    <w:t>噪声治理</w:t>
                  </w:r>
                  <w:r>
                    <w:rPr>
                      <w:rFonts w:hint="default" w:ascii="Times New Roman" w:hAnsi="Times New Roman" w:eastAsia="宋体" w:cs="Times New Roman"/>
                      <w:color w:val="auto"/>
                      <w:spacing w:val="5"/>
                      <w:sz w:val="21"/>
                      <w:szCs w:val="21"/>
                      <w:highlight w:val="none"/>
                    </w:rPr>
                    <w:t>措施</w:t>
                  </w:r>
                </w:p>
              </w:tc>
              <w:tc>
                <w:tcPr>
                  <w:tcW w:w="1668" w:type="pct"/>
                  <w:vAlign w:val="center"/>
                </w:tcPr>
                <w:p w14:paraId="28C62F86">
                  <w:pPr>
                    <w:pStyle w:val="14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8"/>
                      <w:sz w:val="21"/>
                      <w:szCs w:val="21"/>
                      <w:highlight w:val="none"/>
                      <w:lang w:val="en-US" w:eastAsia="zh-CN"/>
                    </w:rPr>
                    <w:t>隔声减振</w:t>
                  </w:r>
                </w:p>
              </w:tc>
              <w:tc>
                <w:tcPr>
                  <w:tcW w:w="1828" w:type="pct"/>
                  <w:vAlign w:val="center"/>
                </w:tcPr>
                <w:p w14:paraId="40CBB15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position w:val="1"/>
                      <w:sz w:val="21"/>
                      <w:szCs w:val="21"/>
                      <w:highlight w:val="none"/>
                      <w:lang w:val="en-US" w:eastAsia="zh-CN"/>
                    </w:rPr>
                    <w:t>1</w:t>
                  </w:r>
                </w:p>
              </w:tc>
            </w:tr>
            <w:tr w14:paraId="30AC6082">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171" w:type="pct"/>
                  <w:gridSpan w:val="2"/>
                  <w:tcBorders>
                    <w:top w:val="single" w:color="auto" w:sz="4" w:space="0"/>
                    <w:bottom w:val="single" w:color="auto" w:sz="4" w:space="0"/>
                  </w:tcBorders>
                  <w:vAlign w:val="center"/>
                </w:tcPr>
                <w:p w14:paraId="1675F2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环保措施的运行与维护</w:t>
                  </w:r>
                </w:p>
              </w:tc>
              <w:tc>
                <w:tcPr>
                  <w:tcW w:w="1828" w:type="pct"/>
                  <w:vAlign w:val="center"/>
                </w:tcPr>
                <w:p w14:paraId="60168CA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position w:val="1"/>
                      <w:sz w:val="21"/>
                      <w:szCs w:val="21"/>
                      <w:highlight w:val="none"/>
                      <w:lang w:val="en-US" w:eastAsia="zh-CN"/>
                    </w:rPr>
                  </w:pPr>
                  <w:r>
                    <w:rPr>
                      <w:rFonts w:hint="default" w:ascii="Times New Roman" w:hAnsi="Times New Roman" w:eastAsia="宋体" w:cs="Times New Roman"/>
                      <w:color w:val="auto"/>
                      <w:position w:val="1"/>
                      <w:sz w:val="21"/>
                      <w:szCs w:val="21"/>
                      <w:highlight w:val="none"/>
                      <w:lang w:val="en-US" w:eastAsia="zh-CN"/>
                    </w:rPr>
                    <w:t>1</w:t>
                  </w:r>
                </w:p>
              </w:tc>
            </w:tr>
            <w:tr w14:paraId="23672168">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171" w:type="pct"/>
                  <w:gridSpan w:val="2"/>
                  <w:tcBorders>
                    <w:top w:val="single" w:color="auto" w:sz="4" w:space="0"/>
                    <w:bottom w:val="single" w:color="auto" w:sz="4" w:space="0"/>
                  </w:tcBorders>
                  <w:vAlign w:val="center"/>
                </w:tcPr>
                <w:p w14:paraId="56E018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环境管理与监测费用</w:t>
                  </w:r>
                </w:p>
              </w:tc>
              <w:tc>
                <w:tcPr>
                  <w:tcW w:w="1828" w:type="pct"/>
                  <w:vAlign w:val="center"/>
                </w:tcPr>
                <w:p w14:paraId="63697C4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position w:val="1"/>
                      <w:sz w:val="21"/>
                      <w:szCs w:val="21"/>
                      <w:highlight w:val="none"/>
                      <w:lang w:val="en-US" w:eastAsia="zh-CN"/>
                    </w:rPr>
                  </w:pPr>
                  <w:r>
                    <w:rPr>
                      <w:rFonts w:hint="default" w:ascii="Times New Roman" w:hAnsi="Times New Roman" w:eastAsia="宋体" w:cs="Times New Roman"/>
                      <w:color w:val="auto"/>
                      <w:position w:val="1"/>
                      <w:sz w:val="21"/>
                      <w:szCs w:val="21"/>
                      <w:highlight w:val="none"/>
                      <w:lang w:val="en-US" w:eastAsia="zh-CN"/>
                    </w:rPr>
                    <w:t>1</w:t>
                  </w:r>
                </w:p>
              </w:tc>
            </w:tr>
            <w:tr w14:paraId="330F4B11">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171" w:type="pct"/>
                  <w:gridSpan w:val="2"/>
                  <w:tcBorders>
                    <w:top w:val="single" w:color="auto" w:sz="4" w:space="0"/>
                    <w:bottom w:val="single" w:color="auto" w:sz="4" w:space="0"/>
                  </w:tcBorders>
                  <w:vAlign w:val="center"/>
                </w:tcPr>
                <w:p w14:paraId="499066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合计</w:t>
                  </w:r>
                </w:p>
              </w:tc>
              <w:tc>
                <w:tcPr>
                  <w:tcW w:w="1828" w:type="pct"/>
                  <w:vAlign w:val="center"/>
                </w:tcPr>
                <w:p w14:paraId="4D1DA2A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position w:val="1"/>
                      <w:sz w:val="21"/>
                      <w:szCs w:val="21"/>
                      <w:highlight w:val="none"/>
                      <w:lang w:val="en-US" w:eastAsia="zh-CN"/>
                    </w:rPr>
                  </w:pPr>
                  <w:r>
                    <w:rPr>
                      <w:rFonts w:hint="default" w:ascii="Times New Roman" w:hAnsi="Times New Roman" w:cs="Times New Roman"/>
                      <w:color w:val="auto"/>
                      <w:position w:val="1"/>
                      <w:sz w:val="21"/>
                      <w:szCs w:val="21"/>
                      <w:highlight w:val="none"/>
                      <w:lang w:val="en-US" w:eastAsia="zh-CN"/>
                    </w:rPr>
                    <w:t>17.5</w:t>
                  </w:r>
                </w:p>
              </w:tc>
            </w:tr>
            <w:tr w14:paraId="4F45805A">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171" w:type="pct"/>
                  <w:gridSpan w:val="2"/>
                  <w:tcBorders>
                    <w:top w:val="single" w:color="auto" w:sz="4" w:space="0"/>
                    <w:bottom w:val="single" w:color="auto" w:sz="4" w:space="0"/>
                  </w:tcBorders>
                  <w:vAlign w:val="center"/>
                </w:tcPr>
                <w:p w14:paraId="7A7CF2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总投资</w:t>
                  </w:r>
                </w:p>
              </w:tc>
              <w:tc>
                <w:tcPr>
                  <w:tcW w:w="1828" w:type="pct"/>
                  <w:vAlign w:val="center"/>
                </w:tcPr>
                <w:p w14:paraId="1331ECD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position w:val="1"/>
                      <w:sz w:val="21"/>
                      <w:szCs w:val="21"/>
                      <w:highlight w:val="none"/>
                      <w:lang w:val="en-US" w:eastAsia="zh-CN"/>
                    </w:rPr>
                  </w:pPr>
                  <w:r>
                    <w:rPr>
                      <w:rFonts w:hint="default" w:ascii="Times New Roman" w:hAnsi="Times New Roman" w:cs="Times New Roman"/>
                      <w:color w:val="auto"/>
                      <w:position w:val="1"/>
                      <w:sz w:val="21"/>
                      <w:szCs w:val="21"/>
                      <w:highlight w:val="none"/>
                      <w:lang w:val="en-US" w:eastAsia="zh-CN"/>
                    </w:rPr>
                    <w:t>100</w:t>
                  </w:r>
                </w:p>
              </w:tc>
            </w:tr>
            <w:tr w14:paraId="774936CB">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3171" w:type="pct"/>
                  <w:gridSpan w:val="2"/>
                  <w:tcBorders>
                    <w:top w:val="single" w:color="auto" w:sz="4" w:space="0"/>
                    <w:bottom w:val="single" w:color="auto" w:sz="4" w:space="0"/>
                  </w:tcBorders>
                  <w:vAlign w:val="center"/>
                </w:tcPr>
                <w:p w14:paraId="081FFD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环保投资占总投资比例</w:t>
                  </w:r>
                </w:p>
              </w:tc>
              <w:tc>
                <w:tcPr>
                  <w:tcW w:w="1828" w:type="pct"/>
                  <w:vAlign w:val="center"/>
                </w:tcPr>
                <w:p w14:paraId="67F9B59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position w:val="1"/>
                      <w:sz w:val="21"/>
                      <w:szCs w:val="21"/>
                      <w:highlight w:val="none"/>
                      <w:lang w:val="en-US" w:eastAsia="zh-CN"/>
                    </w:rPr>
                  </w:pPr>
                  <w:r>
                    <w:rPr>
                      <w:rFonts w:hint="default" w:ascii="Times New Roman" w:hAnsi="Times New Roman" w:eastAsia="宋体" w:cs="Times New Roman"/>
                      <w:color w:val="auto"/>
                      <w:position w:val="1"/>
                      <w:sz w:val="21"/>
                      <w:szCs w:val="21"/>
                      <w:highlight w:val="none"/>
                      <w:lang w:val="en-US" w:eastAsia="zh-CN"/>
                    </w:rPr>
                    <w:t>17.5</w:t>
                  </w:r>
                </w:p>
              </w:tc>
            </w:tr>
          </w:tbl>
          <w:p w14:paraId="5E8EC388">
            <w:pPr>
              <w:pStyle w:val="7"/>
              <w:spacing w:line="360" w:lineRule="auto"/>
              <w:rPr>
                <w:rFonts w:hint="default" w:ascii="Times New Roman" w:hAnsi="Times New Roman" w:eastAsia="宋体" w:cs="Times New Roman"/>
                <w:color w:val="auto"/>
                <w:spacing w:val="0"/>
                <w:highlight w:val="none"/>
                <w:vertAlign w:val="baseline"/>
              </w:rPr>
            </w:pPr>
          </w:p>
        </w:tc>
      </w:tr>
    </w:tbl>
    <w:p w14:paraId="4FFC803D">
      <w:pPr>
        <w:pStyle w:val="7"/>
        <w:rPr>
          <w:rFonts w:hint="default" w:ascii="Times New Roman" w:hAnsi="Times New Roman" w:eastAsia="宋体" w:cs="Times New Roman"/>
          <w:color w:val="auto"/>
          <w:spacing w:val="0"/>
          <w:highlight w:val="none"/>
        </w:rPr>
        <w:sectPr>
          <w:pgSz w:w="11907" w:h="16840"/>
          <w:pgMar w:top="1440" w:right="1803" w:bottom="1440" w:left="1803"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347EB391">
      <w:pPr>
        <w:pStyle w:val="2"/>
        <w:spacing w:line="360" w:lineRule="auto"/>
        <w:jc w:val="center"/>
        <w:rPr>
          <w:rFonts w:hint="default" w:ascii="Times New Roman" w:hAnsi="Times New Roman" w:eastAsia="宋体" w:cs="Times New Roman"/>
          <w:bCs w:val="0"/>
          <w:color w:val="auto"/>
          <w:spacing w:val="0"/>
          <w:highlight w:val="none"/>
        </w:rPr>
      </w:pPr>
      <w:r>
        <w:rPr>
          <w:rFonts w:hint="default" w:ascii="Times New Roman" w:hAnsi="Times New Roman" w:eastAsia="宋体" w:cs="Times New Roman"/>
          <w:bCs w:val="0"/>
          <w:color w:val="auto"/>
          <w:spacing w:val="0"/>
          <w:highlight w:val="none"/>
        </w:rPr>
        <w:t>五、</w:t>
      </w:r>
      <w:bookmarkStart w:id="17" w:name="_Hlk54167917"/>
      <w:r>
        <w:rPr>
          <w:rFonts w:hint="default" w:ascii="Times New Roman" w:hAnsi="Times New Roman" w:eastAsia="宋体" w:cs="Times New Roman"/>
          <w:bCs w:val="0"/>
          <w:color w:val="auto"/>
          <w:spacing w:val="0"/>
          <w:highlight w:val="none"/>
        </w:rPr>
        <w:t>环境保护措施监督检查清单</w:t>
      </w:r>
      <w:bookmarkEnd w:id="6"/>
      <w:bookmarkEnd w:id="17"/>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324"/>
        <w:gridCol w:w="1258"/>
        <w:gridCol w:w="1720"/>
        <w:gridCol w:w="2981"/>
      </w:tblGrid>
      <w:tr w14:paraId="6D171F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239" w:type="dxa"/>
            <w:tcBorders>
              <w:tl2br w:val="single" w:color="auto" w:sz="4" w:space="0"/>
            </w:tcBorders>
            <w:noWrap w:val="0"/>
            <w:vAlign w:val="center"/>
          </w:tcPr>
          <w:p w14:paraId="49974BD8">
            <w:pPr>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内容</w:t>
            </w:r>
          </w:p>
          <w:p w14:paraId="5ECB9705">
            <w:pPr>
              <w:ind w:firstLine="0" w:firstLineChars="0"/>
              <w:jc w:val="left"/>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要素</w:t>
            </w:r>
          </w:p>
        </w:tc>
        <w:tc>
          <w:tcPr>
            <w:tcW w:w="1324" w:type="dxa"/>
            <w:noWrap w:val="0"/>
            <w:vAlign w:val="center"/>
          </w:tcPr>
          <w:p w14:paraId="52EADA65">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排放口</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编号、名称</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/污染源</w:t>
            </w:r>
          </w:p>
        </w:tc>
        <w:tc>
          <w:tcPr>
            <w:tcW w:w="1258" w:type="dxa"/>
            <w:noWrap w:val="0"/>
            <w:vAlign w:val="center"/>
          </w:tcPr>
          <w:p w14:paraId="5B011C21">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污染物项目</w:t>
            </w:r>
          </w:p>
        </w:tc>
        <w:tc>
          <w:tcPr>
            <w:tcW w:w="1720" w:type="dxa"/>
            <w:noWrap w:val="0"/>
            <w:vAlign w:val="center"/>
          </w:tcPr>
          <w:p w14:paraId="15C34FB0">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环境保护措施</w:t>
            </w:r>
          </w:p>
        </w:tc>
        <w:tc>
          <w:tcPr>
            <w:tcW w:w="2981" w:type="dxa"/>
            <w:noWrap w:val="0"/>
            <w:vAlign w:val="center"/>
          </w:tcPr>
          <w:p w14:paraId="3E70A60A">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执行标准</w:t>
            </w:r>
          </w:p>
        </w:tc>
      </w:tr>
      <w:tr w14:paraId="64318D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0" w:hRule="exact"/>
          <w:jc w:val="center"/>
        </w:trPr>
        <w:tc>
          <w:tcPr>
            <w:tcW w:w="1239" w:type="dxa"/>
            <w:vMerge w:val="restart"/>
            <w:noWrap w:val="0"/>
            <w:vAlign w:val="center"/>
          </w:tcPr>
          <w:p w14:paraId="088B75BA">
            <w:pPr>
              <w:spacing w:line="240" w:lineRule="auto"/>
              <w:ind w:firstLine="0" w:firstLineChars="0"/>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废气</w:t>
            </w:r>
          </w:p>
        </w:tc>
        <w:tc>
          <w:tcPr>
            <w:tcW w:w="1324" w:type="dxa"/>
            <w:noWrap w:val="0"/>
            <w:vAlign w:val="center"/>
          </w:tcPr>
          <w:p w14:paraId="202926B4">
            <w:pPr>
              <w:pStyle w:val="69"/>
              <w:jc w:val="center"/>
              <w:rPr>
                <w:rFonts w:hint="default" w:ascii="Times New Roman" w:hAnsi="Times New Roman" w:eastAsia="宋体" w:cs="Times New Roman"/>
                <w:snapToGrid w:val="0"/>
                <w:color w:val="auto"/>
                <w:spacing w:val="0"/>
                <w:sz w:val="24"/>
                <w:szCs w:val="24"/>
                <w:highlight w:val="none"/>
                <w:lang w:val="en-US" w:eastAsia="zh-CN"/>
              </w:rPr>
            </w:pPr>
            <w:r>
              <w:rPr>
                <w:rFonts w:hint="default" w:ascii="Times New Roman" w:hAnsi="Times New Roman" w:eastAsia="宋体" w:cs="Times New Roman"/>
                <w:snapToGrid w:val="0"/>
                <w:color w:val="auto"/>
                <w:spacing w:val="0"/>
                <w:sz w:val="24"/>
                <w:szCs w:val="24"/>
                <w:highlight w:val="none"/>
                <w:lang w:val="en-US" w:eastAsia="zh-CN"/>
              </w:rPr>
              <w:t>DA00</w:t>
            </w:r>
            <w:r>
              <w:rPr>
                <w:rFonts w:hint="default" w:ascii="Times New Roman" w:hAnsi="Times New Roman" w:cs="Times New Roman"/>
                <w:snapToGrid w:val="0"/>
                <w:color w:val="auto"/>
                <w:spacing w:val="0"/>
                <w:sz w:val="24"/>
                <w:szCs w:val="24"/>
                <w:highlight w:val="none"/>
                <w:lang w:val="en-US" w:eastAsia="zh-CN"/>
              </w:rPr>
              <w:t>4锅炉烟囱</w:t>
            </w:r>
          </w:p>
        </w:tc>
        <w:tc>
          <w:tcPr>
            <w:tcW w:w="1258" w:type="dxa"/>
            <w:noWrap w:val="0"/>
            <w:vAlign w:val="center"/>
          </w:tcPr>
          <w:p w14:paraId="783BE6A7">
            <w:pPr>
              <w:pStyle w:val="69"/>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bidi="ar"/>
              </w:rPr>
              <w:t>颗粒物、二氧化硫、氮氧化物、烟气黑度</w:t>
            </w:r>
          </w:p>
        </w:tc>
        <w:tc>
          <w:tcPr>
            <w:tcW w:w="1720" w:type="dxa"/>
            <w:noWrap w:val="0"/>
            <w:vAlign w:val="center"/>
          </w:tcPr>
          <w:p w14:paraId="6C1D95A0">
            <w:pPr>
              <w:pStyle w:val="69"/>
              <w:jc w:val="center"/>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eastAsia="宋体" w:cs="Times New Roman"/>
                <w:bCs/>
                <w:color w:val="auto"/>
                <w:spacing w:val="0"/>
                <w:sz w:val="24"/>
                <w:szCs w:val="24"/>
                <w:highlight w:val="none"/>
                <w:lang w:val="en-US" w:eastAsia="zh-CN"/>
              </w:rPr>
              <w:t>锅炉废气布袋除尘器处理通过</w:t>
            </w:r>
            <w:r>
              <w:rPr>
                <w:rFonts w:hint="default" w:ascii="Times New Roman" w:hAnsi="Times New Roman" w:cs="Times New Roman"/>
                <w:bCs/>
                <w:color w:val="auto"/>
                <w:spacing w:val="0"/>
                <w:sz w:val="24"/>
                <w:szCs w:val="24"/>
                <w:highlight w:val="none"/>
                <w:lang w:val="en-US" w:eastAsia="zh-CN"/>
              </w:rPr>
              <w:t>4</w:t>
            </w:r>
            <w:r>
              <w:rPr>
                <w:rFonts w:hint="default" w:ascii="Times New Roman" w:hAnsi="Times New Roman" w:eastAsia="宋体" w:cs="Times New Roman"/>
                <w:bCs/>
                <w:color w:val="auto"/>
                <w:spacing w:val="0"/>
                <w:sz w:val="24"/>
                <w:szCs w:val="24"/>
                <w:highlight w:val="none"/>
                <w:lang w:val="en-US" w:eastAsia="zh-CN"/>
              </w:rPr>
              <w:t>0m高排气筒DA00</w:t>
            </w:r>
            <w:r>
              <w:rPr>
                <w:rFonts w:hint="default" w:ascii="Times New Roman" w:hAnsi="Times New Roman" w:cs="Times New Roman"/>
                <w:bCs/>
                <w:color w:val="auto"/>
                <w:spacing w:val="0"/>
                <w:sz w:val="24"/>
                <w:szCs w:val="24"/>
                <w:highlight w:val="none"/>
                <w:lang w:val="en-US" w:eastAsia="zh-CN"/>
              </w:rPr>
              <w:t>4</w:t>
            </w:r>
            <w:r>
              <w:rPr>
                <w:rFonts w:hint="default" w:ascii="Times New Roman" w:hAnsi="Times New Roman" w:eastAsia="宋体" w:cs="Times New Roman"/>
                <w:bCs/>
                <w:color w:val="auto"/>
                <w:spacing w:val="0"/>
                <w:sz w:val="24"/>
                <w:szCs w:val="24"/>
                <w:highlight w:val="none"/>
                <w:lang w:val="en-US" w:eastAsia="zh-CN"/>
              </w:rPr>
              <w:t>有组织排放</w:t>
            </w:r>
          </w:p>
        </w:tc>
        <w:tc>
          <w:tcPr>
            <w:tcW w:w="2981" w:type="dxa"/>
            <w:noWrap w:val="0"/>
            <w:vAlign w:val="center"/>
          </w:tcPr>
          <w:p w14:paraId="5B7B200B">
            <w:pPr>
              <w:spacing w:line="240" w:lineRule="auto"/>
              <w:ind w:firstLine="0" w:firstLineChars="0"/>
              <w:jc w:val="center"/>
              <w:rPr>
                <w:rFonts w:hint="default" w:ascii="Times New Roman" w:hAnsi="Times New Roman" w:eastAsia="宋体" w:cs="Times New Roman"/>
                <w:bCs w:val="0"/>
                <w:color w:val="auto"/>
                <w:spacing w:val="0"/>
                <w:kern w:val="2"/>
                <w:sz w:val="24"/>
                <w:szCs w:val="24"/>
                <w:highlight w:val="none"/>
                <w:lang w:val="zh-CN" w:eastAsia="zh-CN" w:bidi="ar-SA"/>
              </w:rPr>
            </w:pPr>
            <w:r>
              <w:rPr>
                <w:rFonts w:hint="default" w:ascii="Times New Roman" w:hAnsi="Times New Roman" w:eastAsia="宋体" w:cs="Times New Roman"/>
                <w:color w:val="auto"/>
                <w:spacing w:val="0"/>
                <w:sz w:val="24"/>
                <w:highlight w:val="none"/>
              </w:rPr>
              <w:t>《</w:t>
            </w:r>
            <w:r>
              <w:rPr>
                <w:rFonts w:hint="default" w:ascii="Times New Roman" w:hAnsi="Times New Roman" w:eastAsia="宋体" w:cs="Times New Roman"/>
                <w:color w:val="auto"/>
                <w:spacing w:val="0"/>
                <w:sz w:val="24"/>
                <w:highlight w:val="none"/>
                <w:lang w:val="en-US" w:eastAsia="zh-CN"/>
              </w:rPr>
              <w:t>锅炉大气污染物排放标准</w:t>
            </w:r>
            <w:r>
              <w:rPr>
                <w:rFonts w:hint="default" w:ascii="Times New Roman" w:hAnsi="Times New Roman" w:eastAsia="宋体" w:cs="Times New Roman"/>
                <w:color w:val="auto"/>
                <w:spacing w:val="0"/>
                <w:sz w:val="24"/>
                <w:highlight w:val="none"/>
              </w:rPr>
              <w:t>》（GB</w:t>
            </w:r>
            <w:r>
              <w:rPr>
                <w:rFonts w:hint="default" w:ascii="Times New Roman" w:hAnsi="Times New Roman" w:eastAsia="宋体" w:cs="Times New Roman"/>
                <w:color w:val="auto"/>
                <w:spacing w:val="0"/>
                <w:sz w:val="24"/>
                <w:highlight w:val="none"/>
                <w:lang w:val="en-US" w:eastAsia="zh-CN"/>
              </w:rPr>
              <w:t>13271</w:t>
            </w:r>
            <w:r>
              <w:rPr>
                <w:rFonts w:hint="default" w:ascii="Times New Roman" w:hAnsi="Times New Roman" w:eastAsia="宋体" w:cs="Times New Roman"/>
                <w:color w:val="auto"/>
                <w:spacing w:val="0"/>
                <w:sz w:val="24"/>
                <w:highlight w:val="none"/>
              </w:rPr>
              <w:t>-</w:t>
            </w:r>
            <w:r>
              <w:rPr>
                <w:rFonts w:hint="default" w:ascii="Times New Roman" w:hAnsi="Times New Roman" w:eastAsia="宋体" w:cs="Times New Roman"/>
                <w:color w:val="auto"/>
                <w:spacing w:val="0"/>
                <w:sz w:val="24"/>
                <w:highlight w:val="none"/>
                <w:lang w:val="en-US" w:eastAsia="zh-CN"/>
              </w:rPr>
              <w:t>2014</w:t>
            </w:r>
            <w:r>
              <w:rPr>
                <w:rFonts w:hint="default" w:ascii="Times New Roman" w:hAnsi="Times New Roman" w:eastAsia="宋体" w:cs="Times New Roman"/>
                <w:color w:val="auto"/>
                <w:spacing w:val="0"/>
                <w:sz w:val="24"/>
                <w:highlight w:val="none"/>
              </w:rPr>
              <w:t>）</w:t>
            </w:r>
            <w:r>
              <w:rPr>
                <w:rFonts w:hint="default" w:ascii="Times New Roman" w:hAnsi="Times New Roman" w:eastAsia="宋体" w:cs="Times New Roman"/>
                <w:bCs/>
                <w:color w:val="auto"/>
                <w:spacing w:val="0"/>
                <w:sz w:val="24"/>
                <w:szCs w:val="24"/>
                <w:highlight w:val="none"/>
                <w:lang w:val="en-US" w:eastAsia="zh-CN"/>
              </w:rPr>
              <w:t>表</w:t>
            </w:r>
            <w:r>
              <w:rPr>
                <w:rFonts w:hint="default" w:ascii="Times New Roman" w:hAnsi="Times New Roman" w:cs="Times New Roman"/>
                <w:bCs/>
                <w:color w:val="auto"/>
                <w:spacing w:val="0"/>
                <w:sz w:val="24"/>
                <w:szCs w:val="24"/>
                <w:highlight w:val="none"/>
                <w:lang w:val="en-US" w:eastAsia="zh-CN"/>
              </w:rPr>
              <w:t>2</w:t>
            </w:r>
            <w:r>
              <w:rPr>
                <w:rFonts w:hint="default" w:ascii="Times New Roman" w:hAnsi="Times New Roman" w:eastAsia="宋体" w:cs="Times New Roman"/>
                <w:bCs/>
                <w:color w:val="auto"/>
                <w:spacing w:val="0"/>
                <w:sz w:val="24"/>
                <w:szCs w:val="24"/>
                <w:highlight w:val="none"/>
                <w:lang w:val="en-US" w:eastAsia="zh-CN"/>
              </w:rPr>
              <w:t>燃煤锅炉排放限值</w:t>
            </w:r>
          </w:p>
        </w:tc>
      </w:tr>
      <w:tr w14:paraId="1E139E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0" w:hRule="exact"/>
          <w:jc w:val="center"/>
        </w:trPr>
        <w:tc>
          <w:tcPr>
            <w:tcW w:w="1239" w:type="dxa"/>
            <w:vMerge w:val="continue"/>
            <w:noWrap w:val="0"/>
            <w:vAlign w:val="center"/>
          </w:tcPr>
          <w:p w14:paraId="2ADA194E">
            <w:pPr>
              <w:spacing w:line="240" w:lineRule="auto"/>
              <w:ind w:firstLine="0" w:firstLineChars="0"/>
              <w:jc w:val="center"/>
              <w:rPr>
                <w:rFonts w:hint="default" w:ascii="Times New Roman" w:hAnsi="Times New Roman" w:eastAsia="宋体" w:cs="Times New Roman"/>
                <w:color w:val="auto"/>
                <w:spacing w:val="0"/>
                <w:sz w:val="24"/>
                <w:szCs w:val="24"/>
                <w:highlight w:val="none"/>
                <w:lang w:val="en-US" w:eastAsia="zh-CN"/>
              </w:rPr>
            </w:pPr>
          </w:p>
        </w:tc>
        <w:tc>
          <w:tcPr>
            <w:tcW w:w="1324" w:type="dxa"/>
            <w:noWrap w:val="0"/>
            <w:vAlign w:val="center"/>
          </w:tcPr>
          <w:p w14:paraId="4D606CE9">
            <w:pPr>
              <w:pStyle w:val="102"/>
              <w:keepNext w:val="0"/>
              <w:keepLines w:val="0"/>
              <w:pageBreakBefore w:val="0"/>
              <w:widowControl w:val="0"/>
              <w:kinsoku/>
              <w:wordWrap/>
              <w:overflowPunct/>
              <w:topLinePunct w:val="0"/>
              <w:autoSpaceDE/>
              <w:autoSpaceDN/>
              <w:bidi w:val="0"/>
              <w:spacing w:line="240" w:lineRule="auto"/>
              <w:ind w:left="0" w:leftChars="0" w:right="0" w:rightChars="0" w:firstLine="0" w:firstLineChars="0"/>
              <w:rPr>
                <w:rFonts w:hint="default" w:ascii="Times New Roman" w:hAnsi="Times New Roman" w:eastAsia="宋体" w:cs="Times New Roman"/>
                <w:snapToGrid w:val="0"/>
                <w:color w:val="auto"/>
                <w:spacing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灰渣库</w:t>
            </w:r>
          </w:p>
        </w:tc>
        <w:tc>
          <w:tcPr>
            <w:tcW w:w="1258" w:type="dxa"/>
            <w:noWrap w:val="0"/>
            <w:vAlign w:val="center"/>
          </w:tcPr>
          <w:p w14:paraId="41135209">
            <w:pPr>
              <w:pStyle w:val="133"/>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Cs/>
                <w:color w:val="auto"/>
                <w:spacing w:val="0"/>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rPr>
              <w:t>颗粒物</w:t>
            </w:r>
          </w:p>
        </w:tc>
        <w:tc>
          <w:tcPr>
            <w:tcW w:w="1720" w:type="dxa"/>
            <w:noWrap w:val="0"/>
            <w:vAlign w:val="center"/>
          </w:tcPr>
          <w:p w14:paraId="1D19469A">
            <w:pPr>
              <w:pStyle w:val="133"/>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bCs/>
                <w:color w:val="auto"/>
                <w:spacing w:val="0"/>
                <w:sz w:val="24"/>
                <w:szCs w:val="24"/>
                <w:highlight w:val="none"/>
                <w:lang w:val="en-US" w:eastAsia="zh-CN"/>
              </w:rPr>
            </w:pPr>
            <w:r>
              <w:rPr>
                <w:rFonts w:hint="default" w:ascii="Times New Roman" w:hAnsi="Times New Roman" w:cs="Times New Roman"/>
                <w:color w:val="auto"/>
                <w:sz w:val="24"/>
                <w:szCs w:val="24"/>
                <w:highlight w:val="none"/>
                <w:lang w:val="en-US" w:eastAsia="zh-CN"/>
              </w:rPr>
              <w:t>封闭灰渣库</w:t>
            </w:r>
            <w:r>
              <w:rPr>
                <w:rFonts w:hint="default" w:ascii="Times New Roman" w:hAnsi="Times New Roman" w:cs="Times New Roman"/>
                <w:color w:val="auto"/>
                <w:sz w:val="24"/>
                <w:szCs w:val="24"/>
                <w:highlight w:val="none"/>
              </w:rPr>
              <w:t>，采用洒水降尘措施</w:t>
            </w:r>
          </w:p>
        </w:tc>
        <w:tc>
          <w:tcPr>
            <w:tcW w:w="2981" w:type="dxa"/>
            <w:noWrap w:val="0"/>
            <w:vAlign w:val="center"/>
          </w:tcPr>
          <w:p w14:paraId="52E9CE38">
            <w:pPr>
              <w:pStyle w:val="133"/>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宋体" w:cs="Times New Roman"/>
                <w:color w:val="auto"/>
                <w:spacing w:val="0"/>
                <w:sz w:val="24"/>
                <w:szCs w:val="24"/>
                <w:highlight w:val="none"/>
              </w:rPr>
            </w:pPr>
            <w:r>
              <w:rPr>
                <w:rFonts w:hint="default" w:ascii="Times New Roman" w:hAnsi="Times New Roman" w:cs="Times New Roman"/>
                <w:color w:val="auto"/>
                <w:sz w:val="24"/>
                <w:szCs w:val="24"/>
                <w:highlight w:val="none"/>
              </w:rPr>
              <w:t>《大气污染物综合排放标准》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GB16297-1996</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kern w:val="0"/>
                <w:sz w:val="24"/>
                <w:szCs w:val="24"/>
                <w:highlight w:val="none"/>
              </w:rPr>
              <w:t xml:space="preserve"> 表2新污染源大气污染物排放标准中无组织排放监控浓度限值</w:t>
            </w:r>
          </w:p>
        </w:tc>
      </w:tr>
      <w:tr w14:paraId="508005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1239" w:type="dxa"/>
            <w:noWrap w:val="0"/>
            <w:vAlign w:val="center"/>
          </w:tcPr>
          <w:p w14:paraId="1CA09656">
            <w:pPr>
              <w:spacing w:line="240" w:lineRule="auto"/>
              <w:ind w:firstLine="0" w:firstLineChars="0"/>
              <w:jc w:val="center"/>
              <w:rPr>
                <w:rFonts w:hint="default" w:ascii="Times New Roman" w:hAnsi="Times New Roman" w:eastAsia="宋体" w:cs="Times New Roman"/>
                <w:bCs/>
                <w:color w:val="auto"/>
                <w:spacing w:val="0"/>
                <w:kern w:val="2"/>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rPr>
              <w:t>废水</w:t>
            </w:r>
          </w:p>
        </w:tc>
        <w:tc>
          <w:tcPr>
            <w:tcW w:w="1324" w:type="dxa"/>
            <w:noWrap w:val="0"/>
            <w:vAlign w:val="center"/>
          </w:tcPr>
          <w:p w14:paraId="481E57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锅炉排污水及软化处理废水</w:t>
            </w:r>
          </w:p>
        </w:tc>
        <w:tc>
          <w:tcPr>
            <w:tcW w:w="1258" w:type="dxa"/>
            <w:noWrap w:val="0"/>
            <w:vAlign w:val="center"/>
          </w:tcPr>
          <w:p w14:paraId="03D0DE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COD</w:t>
            </w:r>
            <w:r>
              <w:rPr>
                <w:rFonts w:hint="eastAsia" w:ascii="Times New Roman" w:hAnsi="Times New Roman" w:cs="Times New Roman"/>
                <w:bCs/>
                <w:color w:val="auto"/>
                <w:kern w:val="2"/>
                <w:sz w:val="24"/>
                <w:szCs w:val="24"/>
                <w:highlight w:val="none"/>
                <w:lang w:val="en-US" w:eastAsia="zh-CN" w:bidi="ar-SA"/>
              </w:rPr>
              <w:t>、溶解性总固体、pH</w:t>
            </w:r>
          </w:p>
        </w:tc>
        <w:tc>
          <w:tcPr>
            <w:tcW w:w="1720" w:type="dxa"/>
            <w:noWrap w:val="0"/>
            <w:vAlign w:val="center"/>
          </w:tcPr>
          <w:p w14:paraId="13220C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本项目锅炉排污水及软化处理废水用于锅炉和锅炉除渣加湿和锅炉间地面洒水降尘。</w:t>
            </w:r>
          </w:p>
        </w:tc>
        <w:tc>
          <w:tcPr>
            <w:tcW w:w="2981" w:type="dxa"/>
            <w:noWrap w:val="0"/>
            <w:vAlign w:val="center"/>
          </w:tcPr>
          <w:p w14:paraId="01CF4D84">
            <w:pPr>
              <w:adjustRightInd w:val="0"/>
              <w:snapToGrid w:val="0"/>
              <w:ind w:left="0" w:leftChars="0" w:firstLine="0" w:firstLineChars="0"/>
              <w:jc w:val="center"/>
              <w:rPr>
                <w:rFonts w:hint="default" w:ascii="Times New Roman" w:hAnsi="Times New Roman" w:eastAsia="宋体" w:cs="Times New Roman"/>
                <w:bCs/>
                <w:color w:val="auto"/>
                <w:spacing w:val="0"/>
                <w:kern w:val="2"/>
                <w:sz w:val="24"/>
                <w:szCs w:val="24"/>
                <w:highlight w:val="none"/>
                <w:lang w:val="en-US" w:eastAsia="zh-CN" w:bidi="ar-SA"/>
              </w:rPr>
            </w:pPr>
            <w:r>
              <w:rPr>
                <w:rFonts w:hint="default" w:ascii="Times New Roman" w:hAnsi="Times New Roman" w:cs="Times New Roman"/>
                <w:bCs/>
                <w:color w:val="auto"/>
                <w:spacing w:val="0"/>
                <w:kern w:val="2"/>
                <w:sz w:val="24"/>
                <w:szCs w:val="24"/>
                <w:highlight w:val="none"/>
                <w:lang w:val="en-US" w:eastAsia="zh-CN" w:bidi="ar-SA"/>
              </w:rPr>
              <w:t>不外排</w:t>
            </w:r>
          </w:p>
        </w:tc>
      </w:tr>
      <w:tr w14:paraId="6776E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6" w:hRule="atLeast"/>
          <w:jc w:val="center"/>
        </w:trPr>
        <w:tc>
          <w:tcPr>
            <w:tcW w:w="1239" w:type="dxa"/>
            <w:noWrap w:val="0"/>
            <w:vAlign w:val="center"/>
          </w:tcPr>
          <w:p w14:paraId="00A9C9E8">
            <w:pPr>
              <w:spacing w:line="240" w:lineRule="auto"/>
              <w:ind w:firstLine="0" w:firstLineChars="0"/>
              <w:jc w:val="center"/>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lang w:val="en-US" w:eastAsia="zh-CN"/>
              </w:rPr>
              <w:t>噪声</w:t>
            </w:r>
          </w:p>
        </w:tc>
        <w:tc>
          <w:tcPr>
            <w:tcW w:w="1324" w:type="dxa"/>
            <w:noWrap w:val="0"/>
            <w:vAlign w:val="center"/>
          </w:tcPr>
          <w:p w14:paraId="644B778A">
            <w:pPr>
              <w:pStyle w:val="69"/>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锅炉</w:t>
            </w:r>
            <w:r>
              <w:rPr>
                <w:rFonts w:hint="default" w:ascii="Times New Roman" w:hAnsi="Times New Roman" w:cs="Times New Roman"/>
                <w:color w:val="auto"/>
                <w:spacing w:val="0"/>
                <w:sz w:val="24"/>
                <w:szCs w:val="24"/>
                <w:highlight w:val="none"/>
                <w:lang w:val="en-US" w:eastAsia="zh-CN"/>
              </w:rPr>
              <w:t>、</w:t>
            </w:r>
          </w:p>
          <w:p w14:paraId="6D281755">
            <w:pPr>
              <w:pStyle w:val="69"/>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风机</w:t>
            </w:r>
            <w:r>
              <w:rPr>
                <w:rFonts w:hint="default" w:ascii="Times New Roman" w:hAnsi="Times New Roman" w:cs="Times New Roman"/>
                <w:color w:val="auto"/>
                <w:spacing w:val="0"/>
                <w:sz w:val="24"/>
                <w:szCs w:val="24"/>
                <w:highlight w:val="none"/>
                <w:lang w:val="en-US" w:eastAsia="zh-CN"/>
              </w:rPr>
              <w:t>设备</w:t>
            </w:r>
          </w:p>
        </w:tc>
        <w:tc>
          <w:tcPr>
            <w:tcW w:w="1258" w:type="dxa"/>
            <w:noWrap w:val="0"/>
            <w:vAlign w:val="center"/>
          </w:tcPr>
          <w:p w14:paraId="28AB9473">
            <w:pPr>
              <w:spacing w:line="240" w:lineRule="auto"/>
              <w:ind w:firstLine="0" w:firstLineChars="0"/>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i/>
                <w:iCs/>
                <w:color w:val="auto"/>
                <w:spacing w:val="0"/>
                <w:kern w:val="0"/>
                <w:highlight w:val="none"/>
              </w:rPr>
              <w:t>L</w:t>
            </w:r>
            <w:r>
              <w:rPr>
                <w:rFonts w:hint="default" w:ascii="Times New Roman" w:hAnsi="Times New Roman" w:eastAsia="宋体" w:cs="Times New Roman"/>
                <w:color w:val="auto"/>
                <w:spacing w:val="0"/>
                <w:kern w:val="0"/>
                <w:highlight w:val="none"/>
                <w:vertAlign w:val="subscript"/>
              </w:rPr>
              <w:t>eq</w:t>
            </w:r>
            <w:r>
              <w:rPr>
                <w:rFonts w:hint="default" w:ascii="Times New Roman" w:hAnsi="Times New Roman" w:eastAsia="宋体" w:cs="Times New Roman"/>
                <w:color w:val="auto"/>
                <w:spacing w:val="0"/>
                <w:kern w:val="0"/>
                <w:highlight w:val="none"/>
              </w:rPr>
              <w:t>(A)</w:t>
            </w:r>
          </w:p>
        </w:tc>
        <w:tc>
          <w:tcPr>
            <w:tcW w:w="1720" w:type="dxa"/>
            <w:noWrap w:val="0"/>
            <w:vAlign w:val="center"/>
          </w:tcPr>
          <w:p w14:paraId="5C42A2A9">
            <w:pPr>
              <w:spacing w:line="240" w:lineRule="auto"/>
              <w:ind w:firstLine="0" w:firstLineChars="0"/>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rPr>
              <w:t>基础减振、厂房隔声</w:t>
            </w:r>
          </w:p>
        </w:tc>
        <w:tc>
          <w:tcPr>
            <w:tcW w:w="2981" w:type="dxa"/>
            <w:noWrap w:val="0"/>
            <w:vAlign w:val="center"/>
          </w:tcPr>
          <w:p w14:paraId="53F8FC35">
            <w:pPr>
              <w:pStyle w:val="69"/>
              <w:jc w:val="center"/>
              <w:rPr>
                <w:rFonts w:hint="default" w:ascii="Times New Roman" w:hAnsi="Times New Roman" w:eastAsia="宋体" w:cs="Times New Roman"/>
                <w:color w:val="auto"/>
                <w:spacing w:val="0"/>
                <w:sz w:val="24"/>
                <w:szCs w:val="24"/>
                <w:highlight w:val="none"/>
                <w:lang w:val="en-US"/>
              </w:rPr>
            </w:pPr>
            <w:r>
              <w:rPr>
                <w:rFonts w:hint="default" w:ascii="Times New Roman" w:hAnsi="Times New Roman" w:eastAsia="宋体" w:cs="Times New Roman"/>
                <w:color w:val="auto"/>
                <w:spacing w:val="0"/>
                <w:sz w:val="24"/>
                <w:szCs w:val="24"/>
                <w:highlight w:val="none"/>
              </w:rPr>
              <w:t>《工业企业厂界环境噪声排放标准》（GB12348-2008）</w:t>
            </w:r>
            <w:r>
              <w:rPr>
                <w:rFonts w:hint="default" w:ascii="Times New Roman" w:hAnsi="Times New Roman" w:cs="Times New Roman"/>
                <w:color w:val="auto"/>
                <w:spacing w:val="0"/>
                <w:sz w:val="24"/>
                <w:szCs w:val="24"/>
                <w:highlight w:val="none"/>
                <w:lang w:val="en-US" w:eastAsia="zh-CN"/>
              </w:rPr>
              <w:t>2类</w:t>
            </w:r>
            <w:r>
              <w:rPr>
                <w:rFonts w:hint="default" w:ascii="Times New Roman" w:hAnsi="Times New Roman" w:eastAsia="宋体" w:cs="Times New Roman"/>
                <w:color w:val="auto"/>
                <w:spacing w:val="0"/>
                <w:sz w:val="24"/>
                <w:szCs w:val="24"/>
                <w:highlight w:val="none"/>
              </w:rPr>
              <w:t>排放标准</w:t>
            </w:r>
          </w:p>
        </w:tc>
      </w:tr>
      <w:tr w14:paraId="5B37E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4" w:hRule="atLeast"/>
          <w:jc w:val="center"/>
        </w:trPr>
        <w:tc>
          <w:tcPr>
            <w:tcW w:w="1239" w:type="dxa"/>
            <w:noWrap w:val="0"/>
            <w:vAlign w:val="center"/>
          </w:tcPr>
          <w:p w14:paraId="281E477D">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固体废物</w:t>
            </w:r>
          </w:p>
        </w:tc>
        <w:tc>
          <w:tcPr>
            <w:tcW w:w="7283" w:type="dxa"/>
            <w:gridSpan w:val="4"/>
            <w:noWrap w:val="0"/>
            <w:vAlign w:val="center"/>
          </w:tcPr>
          <w:p w14:paraId="7FC7289E">
            <w:pPr>
              <w:adjustRightInd w:val="0"/>
              <w:snapToGrid w:val="0"/>
              <w:spacing w:line="360" w:lineRule="auto"/>
              <w:ind w:firstLine="516"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pacing w:val="9"/>
                <w:sz w:val="24"/>
                <w:szCs w:val="24"/>
                <w:highlight w:val="none"/>
              </w:rPr>
              <w:t>本项目危险废物为</w:t>
            </w:r>
            <w:r>
              <w:rPr>
                <w:rFonts w:hint="default" w:ascii="Times New Roman" w:hAnsi="Times New Roman" w:cs="Times New Roman"/>
                <w:color w:val="auto"/>
                <w:spacing w:val="9"/>
                <w:sz w:val="24"/>
                <w:szCs w:val="24"/>
                <w:highlight w:val="none"/>
                <w:lang w:val="en-US" w:eastAsia="zh-CN"/>
              </w:rPr>
              <w:t>废润滑油、废含油抹布</w:t>
            </w:r>
            <w:r>
              <w:rPr>
                <w:rFonts w:hint="default" w:ascii="Times New Roman" w:hAnsi="Times New Roman" w:eastAsia="宋体" w:cs="Times New Roman"/>
                <w:color w:val="auto"/>
                <w:spacing w:val="9"/>
                <w:sz w:val="24"/>
                <w:szCs w:val="24"/>
                <w:highlight w:val="none"/>
              </w:rPr>
              <w:t>，</w:t>
            </w:r>
            <w:r>
              <w:rPr>
                <w:rFonts w:hint="default" w:ascii="Times New Roman" w:hAnsi="Times New Roman" w:cs="Times New Roman"/>
                <w:color w:val="auto"/>
                <w:spacing w:val="9"/>
                <w:sz w:val="24"/>
                <w:szCs w:val="24"/>
                <w:highlight w:val="none"/>
                <w:lang w:val="en-US" w:eastAsia="zh-CN"/>
              </w:rPr>
              <w:t>暂存于厂区</w:t>
            </w:r>
            <w:r>
              <w:rPr>
                <w:rFonts w:hint="eastAsia" w:ascii="Times New Roman" w:hAnsi="Times New Roman" w:cs="Times New Roman"/>
                <w:color w:val="auto"/>
                <w:spacing w:val="9"/>
                <w:sz w:val="24"/>
                <w:szCs w:val="24"/>
                <w:highlight w:val="none"/>
                <w:lang w:val="en-US" w:eastAsia="zh-CN"/>
              </w:rPr>
              <w:t>危险废物贮存点</w:t>
            </w:r>
            <w:r>
              <w:rPr>
                <w:rFonts w:hint="default" w:ascii="Times New Roman" w:hAnsi="Times New Roman" w:cs="Times New Roman"/>
                <w:color w:val="auto"/>
                <w:spacing w:val="9"/>
                <w:sz w:val="24"/>
                <w:szCs w:val="24"/>
                <w:highlight w:val="none"/>
                <w:lang w:val="en-US" w:eastAsia="zh-CN"/>
              </w:rPr>
              <w:t>，交由</w:t>
            </w:r>
            <w:r>
              <w:rPr>
                <w:rFonts w:hint="default" w:ascii="Times New Roman" w:hAnsi="Times New Roman" w:eastAsia="宋体" w:cs="Times New Roman"/>
                <w:color w:val="auto"/>
                <w:spacing w:val="8"/>
                <w:sz w:val="24"/>
                <w:szCs w:val="24"/>
                <w:highlight w:val="none"/>
              </w:rPr>
              <w:t>有资质的危险废物处</w:t>
            </w:r>
            <w:r>
              <w:rPr>
                <w:rFonts w:hint="default" w:ascii="Times New Roman" w:hAnsi="Times New Roman" w:eastAsia="宋体" w:cs="Times New Roman"/>
                <w:color w:val="auto"/>
                <w:spacing w:val="5"/>
                <w:sz w:val="24"/>
                <w:szCs w:val="24"/>
                <w:highlight w:val="none"/>
              </w:rPr>
              <w:t>理单位直接外运；一般工业固废有炉渣</w:t>
            </w:r>
            <w:r>
              <w:rPr>
                <w:rFonts w:hint="default" w:ascii="Times New Roman" w:hAnsi="Times New Roman" w:eastAsia="宋体" w:cs="Times New Roman"/>
                <w:color w:val="auto"/>
                <w:spacing w:val="4"/>
                <w:sz w:val="24"/>
                <w:szCs w:val="24"/>
                <w:highlight w:val="none"/>
              </w:rPr>
              <w:t>、布袋除尘器收尘灰、</w:t>
            </w:r>
            <w:r>
              <w:rPr>
                <w:rFonts w:hint="default" w:ascii="Times New Roman" w:hAnsi="Times New Roman" w:eastAsia="宋体" w:cs="Times New Roman"/>
                <w:color w:val="auto"/>
                <w:spacing w:val="9"/>
                <w:sz w:val="24"/>
                <w:szCs w:val="24"/>
                <w:highlight w:val="none"/>
              </w:rPr>
              <w:t>废布袋、燃料废包装袋，炉渣及除尘灰暂存于</w:t>
            </w:r>
            <w:r>
              <w:rPr>
                <w:rFonts w:hint="default" w:ascii="Times New Roman" w:hAnsi="Times New Roman" w:cs="Times New Roman"/>
                <w:color w:val="auto"/>
                <w:spacing w:val="9"/>
                <w:sz w:val="24"/>
                <w:szCs w:val="24"/>
                <w:highlight w:val="none"/>
                <w:lang w:eastAsia="zh-CN"/>
              </w:rPr>
              <w:t>灰渣库</w:t>
            </w:r>
            <w:r>
              <w:rPr>
                <w:rFonts w:hint="default" w:ascii="Times New Roman" w:hAnsi="Times New Roman" w:eastAsia="宋体" w:cs="Times New Roman"/>
                <w:color w:val="auto"/>
                <w:spacing w:val="9"/>
                <w:sz w:val="24"/>
                <w:szCs w:val="24"/>
                <w:highlight w:val="none"/>
              </w:rPr>
              <w:t>外售到肥料厂再利用；废布袋及燃料废包装袋暂存</w:t>
            </w:r>
            <w:r>
              <w:rPr>
                <w:rFonts w:hint="default" w:ascii="Times New Roman" w:hAnsi="Times New Roman" w:cs="Times New Roman"/>
                <w:color w:val="auto"/>
                <w:spacing w:val="9"/>
                <w:sz w:val="24"/>
                <w:szCs w:val="24"/>
                <w:highlight w:val="none"/>
                <w:lang w:eastAsia="zh-CN"/>
              </w:rPr>
              <w:t>于灰渣库</w:t>
            </w:r>
            <w:r>
              <w:rPr>
                <w:rFonts w:hint="default" w:ascii="Times New Roman" w:hAnsi="Times New Roman" w:eastAsia="宋体" w:cs="Times New Roman"/>
                <w:color w:val="auto"/>
                <w:spacing w:val="9"/>
                <w:sz w:val="24"/>
                <w:szCs w:val="24"/>
                <w:highlight w:val="none"/>
              </w:rPr>
              <w:t>，由厂家回收。</w:t>
            </w:r>
            <w:r>
              <w:rPr>
                <w:rFonts w:hint="default" w:ascii="Times New Roman" w:hAnsi="Times New Roman" w:eastAsia="宋体" w:cs="Times New Roman"/>
                <w:color w:val="auto"/>
                <w:kern w:val="0"/>
                <w:sz w:val="24"/>
                <w:szCs w:val="24"/>
                <w:highlight w:val="none"/>
              </w:rPr>
              <w:t>废离子交换树脂</w:t>
            </w:r>
            <w:r>
              <w:rPr>
                <w:rFonts w:hint="default" w:ascii="Times New Roman" w:hAnsi="Times New Roman" w:eastAsia="宋体" w:cs="Times New Roman"/>
                <w:color w:val="auto"/>
                <w:kern w:val="0"/>
                <w:sz w:val="24"/>
                <w:szCs w:val="24"/>
                <w:highlight w:val="none"/>
                <w:lang w:val="en-US" w:eastAsia="zh-CN"/>
              </w:rPr>
              <w:t>交由</w:t>
            </w:r>
            <w:r>
              <w:rPr>
                <w:rFonts w:hint="default" w:ascii="Times New Roman" w:hAnsi="Times New Roman" w:eastAsia="宋体" w:cs="Times New Roman"/>
                <w:color w:val="auto"/>
                <w:sz w:val="24"/>
                <w:szCs w:val="24"/>
                <w:highlight w:val="none"/>
              </w:rPr>
              <w:t>厂家回收处置</w:t>
            </w:r>
            <w:r>
              <w:rPr>
                <w:rFonts w:hint="default" w:ascii="Times New Roman" w:hAnsi="Times New Roman" w:eastAsia="宋体" w:cs="Times New Roman"/>
                <w:color w:val="auto"/>
                <w:kern w:val="0"/>
                <w:sz w:val="24"/>
                <w:szCs w:val="24"/>
                <w:highlight w:val="none"/>
              </w:rPr>
              <w:t>。</w:t>
            </w:r>
          </w:p>
          <w:p w14:paraId="04E5BA0B">
            <w:pPr>
              <w:pStyle w:val="147"/>
              <w:spacing w:before="38" w:line="360" w:lineRule="auto"/>
              <w:ind w:left="107" w:right="33" w:firstLine="1"/>
              <w:jc w:val="both"/>
              <w:rPr>
                <w:rFonts w:hint="default" w:ascii="Times New Roman" w:hAnsi="Times New Roman" w:eastAsia="宋体" w:cs="Times New Roman"/>
                <w:color w:val="auto"/>
                <w:spacing w:val="0"/>
                <w:sz w:val="24"/>
                <w:szCs w:val="24"/>
                <w:highlight w:val="none"/>
              </w:rPr>
            </w:pPr>
          </w:p>
        </w:tc>
      </w:tr>
      <w:tr w14:paraId="2438B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0" w:hRule="atLeast"/>
          <w:jc w:val="center"/>
        </w:trPr>
        <w:tc>
          <w:tcPr>
            <w:tcW w:w="1239" w:type="dxa"/>
            <w:noWrap w:val="0"/>
            <w:vAlign w:val="center"/>
          </w:tcPr>
          <w:p w14:paraId="7772533B">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土壤及地下水污染防治措施</w:t>
            </w:r>
          </w:p>
        </w:tc>
        <w:tc>
          <w:tcPr>
            <w:tcW w:w="7283" w:type="dxa"/>
            <w:gridSpan w:val="4"/>
            <w:noWrap w:val="0"/>
            <w:vAlign w:val="center"/>
          </w:tcPr>
          <w:p w14:paraId="6E2DB762">
            <w:pPr>
              <w:pStyle w:val="147"/>
              <w:spacing w:before="43" w:line="360" w:lineRule="auto"/>
              <w:ind w:left="136"/>
              <w:rPr>
                <w:rFonts w:hint="default" w:ascii="Times New Roman" w:hAnsi="Times New Roman" w:eastAsia="宋体" w:cs="Times New Roman"/>
                <w:color w:val="auto"/>
                <w:spacing w:val="0"/>
                <w:sz w:val="24"/>
                <w:szCs w:val="24"/>
                <w:highlight w:val="none"/>
              </w:rPr>
            </w:pPr>
            <w:r>
              <w:rPr>
                <w:rFonts w:hint="default" w:ascii="Times New Roman" w:hAnsi="Times New Roman" w:cs="Times New Roman"/>
                <w:color w:val="auto"/>
                <w:spacing w:val="10"/>
                <w:sz w:val="24"/>
                <w:szCs w:val="24"/>
                <w:highlight w:val="none"/>
              </w:rPr>
              <w:t>本项目用地范围内均进行了硬化，</w:t>
            </w:r>
            <w:r>
              <w:rPr>
                <w:rFonts w:hint="eastAsia" w:ascii="Times New Roman" w:hAnsi="Times New Roman" w:cs="Times New Roman"/>
                <w:color w:val="auto"/>
                <w:spacing w:val="10"/>
                <w:sz w:val="24"/>
                <w:szCs w:val="24"/>
                <w:highlight w:val="none"/>
                <w:lang w:eastAsia="zh-CN"/>
              </w:rPr>
              <w:t>危险废物贮存点</w:t>
            </w:r>
            <w:r>
              <w:rPr>
                <w:rFonts w:hint="default" w:ascii="Times New Roman" w:hAnsi="Times New Roman" w:cs="Times New Roman"/>
                <w:color w:val="auto"/>
                <w:spacing w:val="9"/>
                <w:sz w:val="24"/>
                <w:szCs w:val="24"/>
                <w:highlight w:val="none"/>
              </w:rPr>
              <w:t>设置围堰及标识，地面和裙脚</w:t>
            </w:r>
            <w:r>
              <w:rPr>
                <w:rFonts w:hint="default" w:ascii="Times New Roman" w:hAnsi="Times New Roman" w:cs="Times New Roman"/>
                <w:color w:val="auto"/>
                <w:spacing w:val="7"/>
                <w:sz w:val="24"/>
                <w:szCs w:val="24"/>
                <w:highlight w:val="none"/>
              </w:rPr>
              <w:t>进行防渗、防漏，采用</w:t>
            </w:r>
            <w:r>
              <w:rPr>
                <w:rFonts w:hint="default" w:ascii="Times New Roman" w:hAnsi="Times New Roman" w:eastAsia="Times New Roman" w:cs="Times New Roman"/>
                <w:color w:val="auto"/>
                <w:spacing w:val="7"/>
                <w:sz w:val="24"/>
                <w:szCs w:val="24"/>
                <w:highlight w:val="none"/>
              </w:rPr>
              <w:t>2</w:t>
            </w:r>
            <w:r>
              <w:rPr>
                <w:rFonts w:hint="default" w:ascii="Times New Roman" w:hAnsi="Times New Roman" w:eastAsia="Times New Roman" w:cs="Times New Roman"/>
                <w:color w:val="auto"/>
                <w:sz w:val="24"/>
                <w:szCs w:val="24"/>
                <w:highlight w:val="none"/>
              </w:rPr>
              <w:t>mm</w:t>
            </w:r>
            <w:r>
              <w:rPr>
                <w:rFonts w:hint="default" w:ascii="Times New Roman" w:hAnsi="Times New Roman" w:cs="Times New Roman"/>
                <w:color w:val="auto"/>
                <w:spacing w:val="7"/>
                <w:sz w:val="24"/>
                <w:szCs w:val="24"/>
                <w:highlight w:val="none"/>
              </w:rPr>
              <w:t>厚的高密度聚乙烯土工膜及混凝土地面，渗透系数</w:t>
            </w:r>
            <w:r>
              <w:rPr>
                <w:rFonts w:hint="default" w:ascii="Times New Roman" w:hAnsi="Times New Roman" w:eastAsia="Times New Roman" w:cs="Times New Roman"/>
                <w:color w:val="auto"/>
                <w:spacing w:val="7"/>
                <w:sz w:val="24"/>
                <w:szCs w:val="24"/>
                <w:highlight w:val="none"/>
              </w:rPr>
              <w:t>≤1</w:t>
            </w:r>
            <w:r>
              <w:rPr>
                <w:rFonts w:hint="default" w:ascii="Times New Roman" w:hAnsi="Times New Roman" w:cs="Times New Roman"/>
                <w:color w:val="auto"/>
                <w:spacing w:val="-15"/>
                <w:sz w:val="24"/>
                <w:szCs w:val="24"/>
                <w:highlight w:val="none"/>
              </w:rPr>
              <w:t>×</w:t>
            </w:r>
            <w:r>
              <w:rPr>
                <w:rFonts w:hint="default" w:ascii="Times New Roman" w:hAnsi="Times New Roman" w:eastAsia="Times New Roman" w:cs="Times New Roman"/>
                <w:color w:val="auto"/>
                <w:spacing w:val="-15"/>
                <w:sz w:val="24"/>
                <w:szCs w:val="24"/>
                <w:highlight w:val="none"/>
              </w:rPr>
              <w:t>10</w:t>
            </w:r>
            <w:r>
              <w:rPr>
                <w:rFonts w:hint="default" w:ascii="Times New Roman" w:hAnsi="Times New Roman" w:eastAsia="Times New Roman" w:cs="Times New Roman"/>
                <w:color w:val="auto"/>
                <w:spacing w:val="4"/>
                <w:position w:val="6"/>
                <w:sz w:val="24"/>
                <w:szCs w:val="24"/>
                <w:highlight w:val="none"/>
                <w:vertAlign w:val="superscript"/>
              </w:rPr>
              <w:t>-10</w:t>
            </w:r>
            <w:r>
              <w:rPr>
                <w:rFonts w:hint="default" w:ascii="Times New Roman" w:hAnsi="Times New Roman" w:eastAsia="Times New Roman" w:cs="Times New Roman"/>
                <w:color w:val="auto"/>
                <w:sz w:val="24"/>
                <w:szCs w:val="24"/>
                <w:highlight w:val="none"/>
              </w:rPr>
              <w:t>cm</w:t>
            </w:r>
            <w:r>
              <w:rPr>
                <w:rFonts w:hint="default" w:ascii="Times New Roman" w:hAnsi="Times New Roman" w:eastAsia="Times New Roman" w:cs="Times New Roman"/>
                <w:color w:val="auto"/>
                <w:spacing w:val="4"/>
                <w:sz w:val="24"/>
                <w:szCs w:val="24"/>
                <w:highlight w:val="none"/>
              </w:rPr>
              <w:t>/s</w:t>
            </w:r>
            <w:r>
              <w:rPr>
                <w:rFonts w:hint="default" w:ascii="Times New Roman" w:hAnsi="Times New Roman" w:cs="Times New Roman"/>
                <w:color w:val="auto"/>
                <w:spacing w:val="4"/>
                <w:sz w:val="24"/>
                <w:szCs w:val="24"/>
                <w:highlight w:val="none"/>
              </w:rPr>
              <w:t>。</w:t>
            </w:r>
          </w:p>
        </w:tc>
      </w:tr>
      <w:tr w14:paraId="634B0E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08" w:hRule="atLeast"/>
          <w:jc w:val="center"/>
        </w:trPr>
        <w:tc>
          <w:tcPr>
            <w:tcW w:w="1239" w:type="dxa"/>
            <w:noWrap w:val="0"/>
            <w:vAlign w:val="center"/>
          </w:tcPr>
          <w:p w14:paraId="5084CA76">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环境风险</w:t>
            </w:r>
          </w:p>
          <w:p w14:paraId="52CA3865">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防范措施</w:t>
            </w:r>
          </w:p>
        </w:tc>
        <w:tc>
          <w:tcPr>
            <w:tcW w:w="7283" w:type="dxa"/>
            <w:gridSpan w:val="4"/>
            <w:noWrap w:val="0"/>
            <w:vAlign w:val="center"/>
          </w:tcPr>
          <w:p w14:paraId="66A40AA9">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1.强化明火管控，杜绝火源入侵</w:t>
            </w:r>
          </w:p>
          <w:p w14:paraId="30628844">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在显著位置设置“禁止烟火”与“禁火区”警示标识，严禁携带火种及易产生火花的物品入内。</w:t>
            </w:r>
          </w:p>
          <w:p w14:paraId="0F568EF5">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操作与维修作业采用非发火工具，确保作业安全。</w:t>
            </w:r>
          </w:p>
          <w:p w14:paraId="7CEB4071">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严格车辆进出管理，限速5km/h，减少潜在碰撞风险。</w:t>
            </w:r>
          </w:p>
          <w:p w14:paraId="0ED361C8">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2.严格动火作业审批流程</w:t>
            </w:r>
          </w:p>
          <w:p w14:paraId="4F368FA6">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维修过程中的动火作业需经严格审批，确保安全措施到位并得到场内负责人批准。</w:t>
            </w:r>
          </w:p>
          <w:p w14:paraId="1DF7A21E">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动火前彻底排查周边安全隐患，隔离可燃物，确保动火作业安全可控。</w:t>
            </w:r>
          </w:p>
          <w:p w14:paraId="16150314">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3.定期演练与隐患排查</w:t>
            </w:r>
          </w:p>
          <w:p w14:paraId="43DCD3D5">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制定并实施切合实际的事故防范与抢险演练计划，提升应急响应能力。</w:t>
            </w:r>
          </w:p>
          <w:p w14:paraId="7E6E933B">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实行全面的日常巡检制度，及时发现并消除微小泄漏，预防事故升级。</w:t>
            </w:r>
          </w:p>
          <w:p w14:paraId="370A9613">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根据季节变化与设备状态调整作业方案，采取防冻、降温等措施，确保安全运行。</w:t>
            </w:r>
          </w:p>
          <w:p w14:paraId="75352039">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定期检查维护天然气泄漏检测与报警系统，确保其功能完好。</w:t>
            </w:r>
          </w:p>
          <w:p w14:paraId="4D2D6973">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4.泄漏应急快速响应</w:t>
            </w:r>
          </w:p>
          <w:p w14:paraId="0787FD78">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一旦发现泄漏，立即疏散无关人员至安全区域，并实施隔离措施。</w:t>
            </w:r>
          </w:p>
          <w:p w14:paraId="2E6ECB0D">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切断所有火源，应急人员穿戴专业防护装备进入现场。</w:t>
            </w:r>
          </w:p>
          <w:p w14:paraId="0864A69D">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迅速切断泄漏源，加强通风，利用排风设备将泄漏气体引至安全区域处理。</w:t>
            </w:r>
          </w:p>
          <w:p w14:paraId="3D5CCBD7">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5.电器设备防静电管理</w:t>
            </w:r>
          </w:p>
          <w:p w14:paraId="112CD52D">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选用符合防爆标准的电器设备，设计遵循《爆炸危险环境电力装置设计规范》。</w:t>
            </w:r>
          </w:p>
          <w:p w14:paraId="63D67CE5">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实施防静电措施，预防电火花引发事故。</w:t>
            </w:r>
          </w:p>
          <w:p w14:paraId="61B33300">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6.多维度风险控制</w:t>
            </w:r>
          </w:p>
          <w:p w14:paraId="54947D41">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优化场区布局，确保各功能区间的安全距离符合规范。</w:t>
            </w:r>
          </w:p>
          <w:p w14:paraId="4361C0A7">
            <w:pPr>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部署可</w:t>
            </w:r>
            <w:r>
              <w:rPr>
                <w:rFonts w:hint="default" w:ascii="Times New Roman" w:hAnsi="Times New Roman" w:eastAsia="宋体" w:cs="Times New Roman"/>
                <w:color w:val="auto"/>
                <w:spacing w:val="0"/>
                <w:sz w:val="24"/>
                <w:szCs w:val="24"/>
                <w:highlight w:val="none"/>
                <w:lang w:eastAsia="zh-CN"/>
              </w:rPr>
              <w:t>燃生物质</w:t>
            </w:r>
            <w:r>
              <w:rPr>
                <w:rFonts w:hint="default" w:ascii="Times New Roman" w:hAnsi="Times New Roman" w:eastAsia="宋体" w:cs="Times New Roman"/>
                <w:color w:val="auto"/>
                <w:spacing w:val="0"/>
                <w:sz w:val="24"/>
                <w:szCs w:val="24"/>
                <w:highlight w:val="none"/>
              </w:rPr>
              <w:t>检测与报警系统，实时监控潜在风险。</w:t>
            </w:r>
          </w:p>
          <w:p w14:paraId="3F907748">
            <w:pPr>
              <w:spacing w:line="360" w:lineRule="auto"/>
              <w:ind w:firstLine="360" w:firstLineChars="15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建立全面的预防、监测与报警系统，提高事故预警能力。</w:t>
            </w:r>
          </w:p>
          <w:p w14:paraId="23E261D8">
            <w:pPr>
              <w:spacing w:line="360" w:lineRule="auto"/>
              <w:ind w:firstLine="360" w:firstLineChars="15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强化操作管理，严格遵守操作规程，特别是在关键操作如开停车时。</w:t>
            </w:r>
          </w:p>
          <w:p w14:paraId="2FA2A91F">
            <w:pPr>
              <w:spacing w:line="360" w:lineRule="auto"/>
              <w:ind w:firstLine="360" w:firstLineChars="15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对高风险区域实施重点监控与安全监督。</w:t>
            </w:r>
          </w:p>
          <w:p w14:paraId="324C7F33">
            <w:pPr>
              <w:spacing w:line="360" w:lineRule="auto"/>
              <w:ind w:firstLine="360" w:firstLineChars="15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7.安全标识与公告栏设置</w:t>
            </w:r>
          </w:p>
          <w:p w14:paraId="4CC2A004">
            <w:pPr>
              <w:spacing w:line="360" w:lineRule="auto"/>
              <w:ind w:firstLine="360" w:firstLineChars="15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在关键设备与区域设置醒目的安全警示标识，明确告知危险性质与防范措施。</w:t>
            </w:r>
          </w:p>
          <w:p w14:paraId="2E447D99">
            <w:pPr>
              <w:spacing w:line="360" w:lineRule="auto"/>
              <w:ind w:firstLine="360" w:firstLineChars="15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利用公告栏发布安全信息、操作规程与应急指南，提升全员安全意识。</w:t>
            </w:r>
          </w:p>
          <w:p w14:paraId="259A87BF">
            <w:pPr>
              <w:spacing w:line="360" w:lineRule="auto"/>
              <w:ind w:firstLine="360" w:firstLineChars="15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8.健全应急预案体系</w:t>
            </w:r>
          </w:p>
          <w:p w14:paraId="2EF9DD21">
            <w:pPr>
              <w:spacing w:line="360" w:lineRule="auto"/>
              <w:ind w:firstLine="360" w:firstLineChars="150"/>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针对重大风险制定详细的应急响应方案，包括火灾、爆炸等紧急情况的应对措施。</w:t>
            </w:r>
          </w:p>
          <w:p w14:paraId="0113F8E5">
            <w:pPr>
              <w:widowControl/>
              <w:spacing w:line="360" w:lineRule="auto"/>
              <w:ind w:firstLine="360" w:firstLineChars="150"/>
              <w:jc w:val="left"/>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建立高效的应急反应机制，确保事故发生时能够迅速启动预案，有效控制事态发展，减少损失与危害。</w:t>
            </w:r>
          </w:p>
        </w:tc>
      </w:tr>
      <w:tr w14:paraId="2C31F2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9" w:type="dxa"/>
            <w:noWrap w:val="0"/>
            <w:vAlign w:val="center"/>
          </w:tcPr>
          <w:p w14:paraId="1ADD8CDE">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其他环境</w:t>
            </w:r>
          </w:p>
          <w:p w14:paraId="719FD6FA">
            <w:pPr>
              <w:spacing w:line="240" w:lineRule="auto"/>
              <w:ind w:firstLine="0" w:firstLineChars="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管理要求</w:t>
            </w:r>
          </w:p>
        </w:tc>
        <w:tc>
          <w:tcPr>
            <w:tcW w:w="7283" w:type="dxa"/>
            <w:gridSpan w:val="4"/>
            <w:noWrap w:val="0"/>
            <w:vAlign w:val="center"/>
          </w:tcPr>
          <w:p w14:paraId="7B6FA39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pacing w:val="0"/>
                <w:kern w:val="0"/>
                <w:sz w:val="24"/>
                <w:szCs w:val="24"/>
                <w:highlight w:val="none"/>
              </w:rPr>
            </w:pPr>
            <w:r>
              <w:rPr>
                <w:rFonts w:hint="default" w:ascii="Times New Roman" w:hAnsi="Times New Roman" w:eastAsia="宋体" w:cs="Times New Roman"/>
                <w:b/>
                <w:bCs/>
                <w:color w:val="auto"/>
                <w:spacing w:val="0"/>
                <w:kern w:val="0"/>
                <w:sz w:val="24"/>
                <w:szCs w:val="24"/>
                <w:highlight w:val="none"/>
                <w:lang w:val="en-US" w:eastAsia="zh-CN"/>
              </w:rPr>
              <w:t>1</w:t>
            </w:r>
            <w:r>
              <w:rPr>
                <w:rFonts w:hint="default" w:ascii="Times New Roman" w:hAnsi="Times New Roman" w:eastAsia="宋体" w:cs="Times New Roman"/>
                <w:b/>
                <w:bCs/>
                <w:color w:val="auto"/>
                <w:spacing w:val="0"/>
                <w:kern w:val="0"/>
                <w:sz w:val="24"/>
                <w:szCs w:val="24"/>
                <w:highlight w:val="none"/>
              </w:rPr>
              <w:t>、严格</w:t>
            </w:r>
            <w:r>
              <w:rPr>
                <w:rFonts w:hint="default" w:ascii="Times New Roman" w:hAnsi="Times New Roman" w:eastAsia="宋体" w:cs="Times New Roman"/>
                <w:b/>
                <w:bCs/>
                <w:color w:val="auto"/>
                <w:spacing w:val="0"/>
                <w:kern w:val="0"/>
                <w:sz w:val="24"/>
                <w:szCs w:val="24"/>
                <w:highlight w:val="none"/>
                <w:lang w:val="en-US" w:eastAsia="zh-CN"/>
              </w:rPr>
              <w:t>落实</w:t>
            </w:r>
            <w:r>
              <w:rPr>
                <w:rFonts w:hint="default" w:ascii="Times New Roman" w:hAnsi="Times New Roman" w:eastAsia="宋体" w:cs="Times New Roman"/>
                <w:b/>
                <w:bCs/>
                <w:color w:val="auto"/>
                <w:spacing w:val="0"/>
                <w:kern w:val="0"/>
                <w:sz w:val="24"/>
                <w:szCs w:val="24"/>
                <w:highlight w:val="none"/>
              </w:rPr>
              <w:t>排污许可制度</w:t>
            </w:r>
          </w:p>
          <w:p w14:paraId="331452A0">
            <w:pPr>
              <w:pStyle w:val="147"/>
              <w:spacing w:before="129" w:line="350" w:lineRule="auto"/>
              <w:ind w:left="108" w:right="33" w:firstLine="43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（1）依据《排污许可管理办法（试行）》（生态环境部令第7号修改）、</w:t>
            </w:r>
            <w:r>
              <w:rPr>
                <w:rFonts w:hint="default" w:ascii="Times New Roman" w:hAnsi="Times New Roman" w:eastAsia="宋体" w:cs="Times New Roman"/>
                <w:color w:val="auto"/>
                <w:spacing w:val="9"/>
                <w:sz w:val="24"/>
                <w:szCs w:val="24"/>
                <w:highlight w:val="none"/>
              </w:rPr>
              <w:t>《排污许可管理条例》（中华人民共和国国务院令第736号）等相关要求，建设单位必须按期持证排污、按证排污，不得无证排污</w:t>
            </w:r>
            <w:r>
              <w:rPr>
                <w:rFonts w:hint="default" w:ascii="Times New Roman" w:hAnsi="Times New Roman" w:eastAsia="宋体" w:cs="Times New Roman"/>
                <w:color w:val="auto"/>
                <w:spacing w:val="8"/>
                <w:sz w:val="24"/>
                <w:szCs w:val="24"/>
                <w:highlight w:val="none"/>
              </w:rPr>
              <w:t>，及时变更排污许可</w:t>
            </w:r>
            <w:r>
              <w:rPr>
                <w:rFonts w:hint="default" w:ascii="Times New Roman" w:hAnsi="Times New Roman" w:eastAsia="宋体" w:cs="Times New Roman"/>
                <w:color w:val="auto"/>
                <w:sz w:val="24"/>
                <w:szCs w:val="24"/>
                <w:highlight w:val="none"/>
              </w:rPr>
              <w:t>证。</w:t>
            </w:r>
          </w:p>
          <w:p w14:paraId="69DA9C93">
            <w:pPr>
              <w:pStyle w:val="147"/>
              <w:spacing w:before="118" w:line="357" w:lineRule="auto"/>
              <w:ind w:left="107" w:right="104" w:firstLine="43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sz w:val="24"/>
                <w:szCs w:val="24"/>
                <w:highlight w:val="none"/>
              </w:rPr>
              <w:t>公司主体现有排污许可为简化管理</w:t>
            </w:r>
            <w:r>
              <w:rPr>
                <w:rFonts w:hint="default" w:ascii="Times New Roman" w:hAnsi="Times New Roman" w:eastAsia="宋体" w:cs="Times New Roman"/>
                <w:color w:val="auto"/>
                <w:spacing w:val="9"/>
                <w:sz w:val="24"/>
                <w:szCs w:val="24"/>
                <w:highlight w:val="none"/>
                <w:lang w:eastAsia="zh-CN"/>
              </w:rPr>
              <w:t>，</w:t>
            </w:r>
            <w:r>
              <w:rPr>
                <w:rFonts w:hint="default" w:ascii="Times New Roman" w:hAnsi="Times New Roman" w:eastAsia="宋体" w:cs="Times New Roman"/>
                <w:color w:val="auto"/>
                <w:spacing w:val="9"/>
                <w:sz w:val="24"/>
                <w:szCs w:val="24"/>
                <w:highlight w:val="none"/>
                <w:lang w:val="en-US" w:eastAsia="zh-CN"/>
              </w:rPr>
              <w:t>根</w:t>
            </w:r>
            <w:r>
              <w:rPr>
                <w:rFonts w:hint="default" w:ascii="Times New Roman" w:hAnsi="Times New Roman" w:eastAsia="宋体" w:cs="Times New Roman"/>
                <w:color w:val="auto"/>
                <w:spacing w:val="0"/>
                <w:kern w:val="0"/>
                <w:sz w:val="24"/>
                <w:szCs w:val="24"/>
                <w:highlight w:val="none"/>
              </w:rPr>
              <w:t>据《国务院办公厅关于印发控制污染物排放许可制实施方案的通知》（国办发</w:t>
            </w:r>
            <w:r>
              <w:rPr>
                <w:rFonts w:hint="default" w:ascii="Times New Roman" w:hAnsi="Times New Roman" w:eastAsia="宋体" w:cs="Times New Roman"/>
                <w:color w:val="auto"/>
                <w:spacing w:val="0"/>
                <w:kern w:val="0"/>
                <w:sz w:val="24"/>
                <w:szCs w:val="24"/>
                <w:highlight w:val="none"/>
                <w:lang w:eastAsia="zh-CN"/>
              </w:rPr>
              <w:t>〔</w:t>
            </w:r>
            <w:r>
              <w:rPr>
                <w:rFonts w:hint="default" w:ascii="Times New Roman" w:hAnsi="Times New Roman" w:eastAsia="宋体" w:cs="Times New Roman"/>
                <w:color w:val="auto"/>
                <w:spacing w:val="0"/>
                <w:kern w:val="0"/>
                <w:sz w:val="24"/>
                <w:szCs w:val="24"/>
                <w:highlight w:val="none"/>
              </w:rPr>
              <w:t>2016</w:t>
            </w:r>
            <w:r>
              <w:rPr>
                <w:rFonts w:hint="default" w:ascii="Times New Roman" w:hAnsi="Times New Roman" w:eastAsia="宋体" w:cs="Times New Roman"/>
                <w:color w:val="auto"/>
                <w:spacing w:val="0"/>
                <w:kern w:val="0"/>
                <w:sz w:val="24"/>
                <w:szCs w:val="24"/>
                <w:highlight w:val="none"/>
                <w:lang w:eastAsia="zh-CN"/>
              </w:rPr>
              <w:t>〕</w:t>
            </w:r>
            <w:r>
              <w:rPr>
                <w:rFonts w:hint="default" w:ascii="Times New Roman" w:hAnsi="Times New Roman" w:eastAsia="宋体" w:cs="Times New Roman"/>
                <w:color w:val="auto"/>
                <w:spacing w:val="0"/>
                <w:kern w:val="0"/>
                <w:sz w:val="24"/>
                <w:szCs w:val="24"/>
                <w:highlight w:val="none"/>
              </w:rPr>
              <w:t>81号）、《固定污染源排污许可分类管理名录（2019年版）》本项目属于</w:t>
            </w:r>
            <w:r>
              <w:rPr>
                <w:rFonts w:hint="default" w:ascii="Times New Roman" w:hAnsi="Times New Roman" w:eastAsia="宋体" w:cs="Times New Roman"/>
                <w:color w:val="auto"/>
                <w:spacing w:val="0"/>
                <w:kern w:val="0"/>
                <w:sz w:val="24"/>
                <w:szCs w:val="24"/>
                <w:highlight w:val="none"/>
                <w:lang w:eastAsia="zh-CN"/>
              </w:rPr>
              <w:t>“</w:t>
            </w:r>
            <w:r>
              <w:rPr>
                <w:rFonts w:hint="default" w:ascii="Times New Roman" w:hAnsi="Times New Roman" w:eastAsia="宋体" w:cs="Times New Roman"/>
                <w:color w:val="auto"/>
                <w:spacing w:val="0"/>
                <w:kern w:val="0"/>
                <w:sz w:val="24"/>
                <w:szCs w:val="24"/>
                <w:highlight w:val="none"/>
                <w:lang w:val="en-US" w:eastAsia="zh-CN"/>
              </w:rPr>
              <w:t>五十一、通用工序”中的“锅炉”中的“除纳入重点排污单位名录的，单台且合计出力20吨/小时（14兆瓦）以下的锅炉（不含热电锅炉）</w:t>
            </w:r>
            <w:r>
              <w:rPr>
                <w:rFonts w:hint="default" w:ascii="Times New Roman" w:hAnsi="Times New Roman" w:eastAsia="宋体" w:cs="Times New Roman"/>
                <w:color w:val="auto"/>
                <w:spacing w:val="0"/>
                <w:kern w:val="0"/>
                <w:sz w:val="24"/>
                <w:szCs w:val="24"/>
                <w:highlight w:val="none"/>
                <w:lang w:eastAsia="zh-CN"/>
              </w:rPr>
              <w:t>”</w:t>
            </w:r>
            <w:r>
              <w:rPr>
                <w:rFonts w:hint="default" w:ascii="Times New Roman" w:hAnsi="Times New Roman" w:eastAsia="宋体" w:cs="Times New Roman"/>
                <w:bCs w:val="0"/>
                <w:color w:val="auto"/>
                <w:spacing w:val="0"/>
                <w:kern w:val="0"/>
                <w:sz w:val="24"/>
                <w:szCs w:val="24"/>
                <w:highlight w:val="none"/>
                <w:lang w:val="en-US" w:eastAsia="zh-CN" w:bidi="ar"/>
              </w:rPr>
              <w:t>属于实施登记管理。</w:t>
            </w:r>
            <w:r>
              <w:rPr>
                <w:rFonts w:hint="default" w:ascii="Times New Roman" w:hAnsi="Times New Roman" w:eastAsia="宋体" w:cs="Times New Roman"/>
                <w:color w:val="auto"/>
                <w:spacing w:val="9"/>
                <w:sz w:val="24"/>
                <w:szCs w:val="24"/>
                <w:highlight w:val="none"/>
              </w:rPr>
              <w:t>本项目为登记管</w:t>
            </w:r>
            <w:r>
              <w:rPr>
                <w:rFonts w:hint="default" w:ascii="Times New Roman" w:hAnsi="Times New Roman" w:eastAsia="宋体" w:cs="Times New Roman"/>
                <w:color w:val="auto"/>
                <w:spacing w:val="8"/>
                <w:sz w:val="24"/>
                <w:szCs w:val="24"/>
                <w:highlight w:val="none"/>
              </w:rPr>
              <w:t>理，考虑到现有排污许</w:t>
            </w:r>
            <w:r>
              <w:rPr>
                <w:rFonts w:hint="default" w:ascii="Times New Roman" w:hAnsi="Times New Roman" w:eastAsia="宋体" w:cs="Times New Roman"/>
                <w:color w:val="auto"/>
                <w:spacing w:val="9"/>
                <w:sz w:val="24"/>
                <w:szCs w:val="24"/>
                <w:highlight w:val="none"/>
              </w:rPr>
              <w:t>可内含有锅炉部分信息，本次要求建设单位应变更排污许</w:t>
            </w:r>
            <w:r>
              <w:rPr>
                <w:rFonts w:hint="default" w:ascii="Times New Roman" w:hAnsi="Times New Roman" w:eastAsia="宋体" w:cs="Times New Roman"/>
                <w:color w:val="auto"/>
                <w:spacing w:val="8"/>
                <w:sz w:val="24"/>
                <w:szCs w:val="24"/>
                <w:highlight w:val="none"/>
              </w:rPr>
              <w:t>可证，将本项目列</w:t>
            </w:r>
            <w:r>
              <w:rPr>
                <w:rFonts w:hint="default" w:ascii="Times New Roman" w:hAnsi="Times New Roman" w:eastAsia="宋体" w:cs="Times New Roman"/>
                <w:color w:val="auto"/>
                <w:spacing w:val="6"/>
                <w:sz w:val="24"/>
                <w:szCs w:val="24"/>
                <w:highlight w:val="none"/>
              </w:rPr>
              <w:t>入管理内容。</w:t>
            </w:r>
          </w:p>
          <w:p w14:paraId="07B7383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pacing w:val="0"/>
                <w:kern w:val="0"/>
                <w:sz w:val="24"/>
                <w:szCs w:val="24"/>
                <w:highlight w:val="none"/>
              </w:rPr>
            </w:pPr>
            <w:r>
              <w:rPr>
                <w:rFonts w:hint="default" w:ascii="Times New Roman" w:hAnsi="Times New Roman" w:eastAsia="宋体" w:cs="Times New Roman"/>
                <w:b/>
                <w:bCs/>
                <w:color w:val="auto"/>
                <w:spacing w:val="0"/>
                <w:kern w:val="0"/>
                <w:sz w:val="24"/>
                <w:szCs w:val="24"/>
                <w:highlight w:val="none"/>
                <w:lang w:val="en-US" w:eastAsia="zh-CN"/>
              </w:rPr>
              <w:t>2</w:t>
            </w:r>
            <w:r>
              <w:rPr>
                <w:rFonts w:hint="default" w:ascii="Times New Roman" w:hAnsi="Times New Roman" w:eastAsia="宋体" w:cs="Times New Roman"/>
                <w:b/>
                <w:bCs/>
                <w:color w:val="auto"/>
                <w:spacing w:val="0"/>
                <w:kern w:val="0"/>
                <w:sz w:val="24"/>
                <w:szCs w:val="24"/>
                <w:highlight w:val="none"/>
              </w:rPr>
              <w:t>、三同时竣工验收</w:t>
            </w:r>
          </w:p>
          <w:p w14:paraId="274FC1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kern w:val="0"/>
                <w:sz w:val="24"/>
                <w:szCs w:val="24"/>
                <w:highlight w:val="none"/>
              </w:rPr>
            </w:pPr>
            <w:r>
              <w:rPr>
                <w:rFonts w:hint="default" w:ascii="Times New Roman" w:hAnsi="Times New Roman" w:eastAsia="宋体" w:cs="Times New Roman"/>
                <w:color w:val="auto"/>
                <w:spacing w:val="0"/>
                <w:kern w:val="0"/>
                <w:sz w:val="24"/>
                <w:szCs w:val="24"/>
                <w:highlight w:val="none"/>
              </w:rPr>
              <w:t>建设单位应当按照“关于发布《建设项目竣工环境保护验收暂行办法》的公告（国环规环评</w:t>
            </w:r>
            <w:r>
              <w:rPr>
                <w:rFonts w:hint="default" w:ascii="Times New Roman" w:hAnsi="Times New Roman" w:cs="Times New Roman"/>
                <w:color w:val="auto"/>
                <w:spacing w:val="0"/>
                <w:kern w:val="0"/>
                <w:sz w:val="24"/>
                <w:szCs w:val="24"/>
                <w:highlight w:val="none"/>
                <w:lang w:eastAsia="zh-CN"/>
              </w:rPr>
              <w:t>〔2017〕4号</w:t>
            </w:r>
            <w:r>
              <w:rPr>
                <w:rFonts w:hint="default" w:ascii="Times New Roman" w:hAnsi="Times New Roman" w:eastAsia="宋体" w:cs="Times New Roman"/>
                <w:color w:val="auto"/>
                <w:spacing w:val="0"/>
                <w:kern w:val="0"/>
                <w:sz w:val="24"/>
                <w:szCs w:val="24"/>
                <w:highlight w:val="none"/>
              </w:rPr>
              <w:t>）”中“《建设项目竣工环境保护验收暂行办法》”要求，可以组织成立验收工作组，采取现场检查、资料查阅、召开验收会议等方式，协助开展验收工作，自行或委托有能力的技术机构编制验收报告，验收报告编制完成后5个工作日内，公开验收报告，公示的期限不得少于20个工作日，验收报告公示期满后5个工作日内，建设单位应当登录全国建设项目竣工环境保护验收信息平台，填报建设项目基本信息、环境保护设施验收情况等相关信息。除需要取得排污许可证的水和大气污染防治设施外，其他环境保护设施的验收期限一般不超过3个月；需要对该类环境保护设施进行调试或整改的，验收期限可以适当延长，但最长不超过12个月。验收期限是指自建设项目环境保护设施竣工之日起至建设单位向社会公开验收报告之日止的时间。</w:t>
            </w:r>
          </w:p>
          <w:p w14:paraId="750CAE0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lang w:val="en-US" w:eastAsia="zh-CN"/>
              </w:rPr>
              <w:t>3、环境管理</w:t>
            </w:r>
          </w:p>
          <w:p w14:paraId="35191AF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根据国家和地方有关法规，公司应设置专职的环境管理机构。其职责是制定公司的环保工作计划、规章制度，统筹管理公司内部</w:t>
            </w:r>
            <w:r>
              <w:rPr>
                <w:rFonts w:hint="eastAsia" w:ascii="Times New Roman" w:hAnsi="Times New Roman" w:cs="Times New Roman"/>
                <w:color w:val="auto"/>
                <w:spacing w:val="0"/>
                <w:sz w:val="24"/>
                <w:szCs w:val="24"/>
                <w:highlight w:val="none"/>
                <w:lang w:val="en-US" w:eastAsia="zh-CN"/>
              </w:rPr>
              <w:t>环境治理</w:t>
            </w:r>
            <w:r>
              <w:rPr>
                <w:rFonts w:hint="default" w:ascii="Times New Roman" w:hAnsi="Times New Roman" w:eastAsia="宋体" w:cs="Times New Roman"/>
                <w:color w:val="auto"/>
                <w:spacing w:val="0"/>
                <w:sz w:val="24"/>
                <w:szCs w:val="24"/>
                <w:highlight w:val="none"/>
                <w:lang w:val="en-US" w:eastAsia="zh-CN"/>
              </w:rPr>
              <w:t>工作；负责与政府环境保护部门取得联系；负责项目的环评报批、竣工环保验收，监督环境保护设施的运行等。</w:t>
            </w:r>
          </w:p>
          <w:p w14:paraId="30607E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全公司设有各部门负责人担当环境保护领导小组成员，下设专职环保人员。环境保护设施由公司统一管理，专（兼）职环保人员与环境保护领导小组专职人员积极配合，落实正常生产中的环保措施，反馈污染治理设备的运行情况。针对项目实施过程中各阶段的具体情况，环境保护管理工作均由公司现有环境管理机构承担。</w:t>
            </w:r>
          </w:p>
          <w:p w14:paraId="019BF4D0">
            <w:pPr>
              <w:ind w:firstLine="0" w:firstLineChars="0"/>
              <w:jc w:val="both"/>
              <w:rPr>
                <w:rFonts w:hint="default" w:ascii="Times New Roman" w:hAnsi="Times New Roman" w:eastAsia="宋体" w:cs="Times New Roman"/>
                <w:color w:val="auto"/>
                <w:spacing w:val="0"/>
                <w:sz w:val="24"/>
                <w:szCs w:val="24"/>
                <w:highlight w:val="none"/>
              </w:rPr>
            </w:pPr>
          </w:p>
          <w:p w14:paraId="3291DC03">
            <w:pPr>
              <w:ind w:firstLine="0" w:firstLineChars="0"/>
              <w:jc w:val="center"/>
              <w:rPr>
                <w:rFonts w:hint="default" w:ascii="Times New Roman" w:hAnsi="Times New Roman" w:eastAsia="宋体" w:cs="Times New Roman"/>
                <w:color w:val="auto"/>
                <w:spacing w:val="0"/>
                <w:sz w:val="24"/>
                <w:szCs w:val="24"/>
                <w:highlight w:val="none"/>
              </w:rPr>
            </w:pPr>
          </w:p>
          <w:p w14:paraId="31E16D46">
            <w:pPr>
              <w:ind w:firstLine="0" w:firstLineChars="0"/>
              <w:jc w:val="center"/>
              <w:rPr>
                <w:rFonts w:hint="default" w:ascii="Times New Roman" w:hAnsi="Times New Roman" w:eastAsia="宋体" w:cs="Times New Roman"/>
                <w:color w:val="auto"/>
                <w:spacing w:val="0"/>
                <w:sz w:val="24"/>
                <w:szCs w:val="24"/>
                <w:highlight w:val="none"/>
              </w:rPr>
            </w:pPr>
          </w:p>
        </w:tc>
      </w:tr>
    </w:tbl>
    <w:p w14:paraId="165DDCEA">
      <w:pPr>
        <w:pStyle w:val="2"/>
        <w:spacing w:line="360" w:lineRule="auto"/>
        <w:jc w:val="center"/>
        <w:rPr>
          <w:rFonts w:hint="default" w:ascii="Times New Roman" w:hAnsi="Times New Roman" w:eastAsia="宋体" w:cs="Times New Roman"/>
          <w:bCs w:val="0"/>
          <w:color w:val="auto"/>
          <w:spacing w:val="0"/>
          <w:sz w:val="24"/>
          <w:szCs w:val="24"/>
          <w:highlight w:val="none"/>
        </w:rPr>
      </w:pPr>
      <w:r>
        <w:rPr>
          <w:rFonts w:hint="default" w:ascii="Times New Roman" w:hAnsi="Times New Roman" w:eastAsia="宋体" w:cs="Times New Roman"/>
          <w:color w:val="auto"/>
          <w:spacing w:val="0"/>
          <w:sz w:val="24"/>
          <w:szCs w:val="24"/>
          <w:highlight w:val="none"/>
        </w:rPr>
        <w:br w:type="page"/>
      </w:r>
      <w:bookmarkStart w:id="18" w:name="_Toc71191481"/>
      <w:r>
        <w:rPr>
          <w:rFonts w:hint="default" w:ascii="Times New Roman" w:hAnsi="Times New Roman" w:eastAsia="宋体" w:cs="Times New Roman"/>
          <w:bCs w:val="0"/>
          <w:color w:val="auto"/>
          <w:spacing w:val="0"/>
          <w:sz w:val="24"/>
          <w:szCs w:val="24"/>
          <w:highlight w:val="none"/>
        </w:rPr>
        <w:t>六、结论</w:t>
      </w:r>
      <w:bookmarkEnd w:id="18"/>
    </w:p>
    <w:tbl>
      <w:tblPr>
        <w:tblStyle w:val="3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2511FF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3" w:hRule="atLeast"/>
          <w:jc w:val="center"/>
        </w:trPr>
        <w:tc>
          <w:tcPr>
            <w:tcW w:w="8865" w:type="dxa"/>
            <w:noWrap w:val="0"/>
            <w:vAlign w:val="top"/>
          </w:tcPr>
          <w:p w14:paraId="58CD51B0">
            <w:pPr>
              <w:jc w:val="both"/>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本项目在确保严格落实本报告表提出的污染物防治措施的前提下，对环境空气、地表水环境、声环境等的影响较小，可以被周围环境所接受，能够做到社会效益、经济效益和环境效益的统一。因此，本项目的建设从环境保护的角度而言是可行的。</w:t>
            </w:r>
          </w:p>
        </w:tc>
      </w:tr>
    </w:tbl>
    <w:p w14:paraId="6618FC73">
      <w:pPr>
        <w:rPr>
          <w:rFonts w:hint="default" w:ascii="Times New Roman" w:hAnsi="Times New Roman" w:eastAsia="宋体" w:cs="Times New Roman"/>
          <w:color w:val="auto"/>
          <w:spacing w:val="0"/>
          <w:highlight w:val="none"/>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3966A25E">
      <w:pPr>
        <w:pStyle w:val="2"/>
        <w:spacing w:line="360" w:lineRule="auto"/>
        <w:jc w:val="left"/>
        <w:rPr>
          <w:rFonts w:hint="default" w:ascii="Times New Roman" w:hAnsi="Times New Roman" w:eastAsia="宋体" w:cs="Times New Roman"/>
          <w:b/>
          <w:bCs/>
          <w:color w:val="auto"/>
          <w:spacing w:val="0"/>
          <w:sz w:val="28"/>
          <w:szCs w:val="28"/>
          <w:highlight w:val="none"/>
        </w:rPr>
      </w:pPr>
      <w:bookmarkStart w:id="19" w:name="_Toc71191482"/>
      <w:r>
        <w:rPr>
          <w:rFonts w:hint="default" w:ascii="Times New Roman" w:hAnsi="Times New Roman" w:eastAsia="宋体" w:cs="Times New Roman"/>
          <w:b/>
          <w:bCs/>
          <w:color w:val="auto"/>
          <w:spacing w:val="0"/>
          <w:highlight w:val="none"/>
        </w:rPr>
        <w:t>附表</w:t>
      </w:r>
      <w:bookmarkEnd w:id="19"/>
    </w:p>
    <w:p w14:paraId="10B74430">
      <w:pPr>
        <w:bidi w:val="0"/>
        <w:spacing w:line="360" w:lineRule="auto"/>
        <w:jc w:val="center"/>
        <w:rPr>
          <w:rFonts w:hint="default" w:ascii="Times New Roman" w:hAnsi="Times New Roman" w:eastAsia="宋体" w:cs="Times New Roman"/>
          <w:color w:val="auto"/>
          <w:spacing w:val="0"/>
          <w:sz w:val="32"/>
          <w:szCs w:val="32"/>
          <w:highlight w:val="none"/>
        </w:rPr>
      </w:pPr>
      <w:bookmarkStart w:id="20" w:name="_Toc71191483"/>
      <w:r>
        <w:rPr>
          <w:rFonts w:hint="default" w:ascii="Times New Roman" w:hAnsi="Times New Roman" w:eastAsia="宋体" w:cs="Times New Roman"/>
          <w:color w:val="auto"/>
          <w:spacing w:val="0"/>
          <w:sz w:val="32"/>
          <w:szCs w:val="32"/>
          <w:highlight w:val="none"/>
        </w:rPr>
        <w:t>建设项目污染物排放量汇总表</w:t>
      </w:r>
      <w:bookmarkEnd w:id="20"/>
    </w:p>
    <w:tbl>
      <w:tblPr>
        <w:tblStyle w:val="35"/>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443"/>
        <w:gridCol w:w="1524"/>
        <w:gridCol w:w="1341"/>
        <w:gridCol w:w="1390"/>
        <w:gridCol w:w="1595"/>
        <w:gridCol w:w="1416"/>
        <w:gridCol w:w="1745"/>
        <w:gridCol w:w="1506"/>
      </w:tblGrid>
      <w:tr w14:paraId="11320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1332" w:type="dxa"/>
            <w:tcBorders>
              <w:tl2br w:val="single" w:color="auto" w:sz="4" w:space="0"/>
            </w:tcBorders>
            <w:noWrap w:val="0"/>
            <w:tcMar>
              <w:left w:w="28" w:type="dxa"/>
              <w:right w:w="28" w:type="dxa"/>
            </w:tcMar>
            <w:vAlign w:val="center"/>
          </w:tcPr>
          <w:p w14:paraId="7C1870DC">
            <w:pPr>
              <w:pStyle w:val="72"/>
              <w:spacing w:beforeLines="0" w:afterLines="0" w:line="240" w:lineRule="auto"/>
              <w:ind w:firstLine="0" w:firstLineChars="0"/>
              <w:jc w:val="right"/>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bCs/>
                <w:snapToGrid w:val="0"/>
                <w:color w:val="auto"/>
                <w:spacing w:val="0"/>
                <w:kern w:val="21"/>
                <w:sz w:val="24"/>
                <w:szCs w:val="24"/>
                <w:highlight w:val="none"/>
              </w:rPr>
              <w:t>项目</w:t>
            </w:r>
          </w:p>
          <w:p w14:paraId="234ED42A">
            <w:pPr>
              <w:pStyle w:val="72"/>
              <w:spacing w:beforeLines="0" w:afterLines="0" w:line="240" w:lineRule="auto"/>
              <w:ind w:firstLine="0" w:firstLineChars="0"/>
              <w:jc w:val="left"/>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bCs/>
                <w:snapToGrid w:val="0"/>
                <w:color w:val="auto"/>
                <w:spacing w:val="0"/>
                <w:kern w:val="21"/>
                <w:sz w:val="24"/>
                <w:szCs w:val="24"/>
                <w:highlight w:val="none"/>
              </w:rPr>
              <w:t>分类</w:t>
            </w:r>
          </w:p>
        </w:tc>
        <w:tc>
          <w:tcPr>
            <w:tcW w:w="1443" w:type="dxa"/>
            <w:noWrap w:val="0"/>
            <w:tcMar>
              <w:left w:w="28" w:type="dxa"/>
              <w:right w:w="28" w:type="dxa"/>
            </w:tcMar>
            <w:vAlign w:val="center"/>
          </w:tcPr>
          <w:p w14:paraId="347D9B1E">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bCs/>
                <w:snapToGrid w:val="0"/>
                <w:color w:val="auto"/>
                <w:spacing w:val="0"/>
                <w:kern w:val="21"/>
                <w:sz w:val="24"/>
                <w:szCs w:val="24"/>
                <w:highlight w:val="none"/>
              </w:rPr>
              <w:t>污染物名称</w:t>
            </w:r>
          </w:p>
        </w:tc>
        <w:tc>
          <w:tcPr>
            <w:tcW w:w="1524" w:type="dxa"/>
            <w:noWrap w:val="0"/>
            <w:tcMar>
              <w:left w:w="28" w:type="dxa"/>
              <w:right w:w="28" w:type="dxa"/>
            </w:tcMar>
            <w:vAlign w:val="center"/>
          </w:tcPr>
          <w:p w14:paraId="661D0BEC">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bCs/>
                <w:snapToGrid w:val="0"/>
                <w:color w:val="auto"/>
                <w:spacing w:val="0"/>
                <w:kern w:val="21"/>
                <w:sz w:val="24"/>
                <w:szCs w:val="24"/>
                <w:highlight w:val="none"/>
              </w:rPr>
              <w:t>现有工程</w:t>
            </w:r>
          </w:p>
          <w:p w14:paraId="37E53CB8">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bCs/>
                <w:snapToGrid w:val="0"/>
                <w:color w:val="auto"/>
                <w:spacing w:val="0"/>
                <w:kern w:val="21"/>
                <w:sz w:val="24"/>
                <w:szCs w:val="24"/>
                <w:highlight w:val="none"/>
              </w:rPr>
              <w:t>排放量（固体废物产生量）</w:t>
            </w:r>
            <w:r>
              <w:rPr>
                <w:rFonts w:hint="default" w:ascii="Times New Roman" w:hAnsi="Times New Roman" w:eastAsia="宋体" w:cs="Times New Roman"/>
                <w:bCs/>
                <w:snapToGrid w:val="0"/>
                <w:color w:val="auto"/>
                <w:spacing w:val="0"/>
                <w:kern w:val="21"/>
                <w:sz w:val="24"/>
                <w:szCs w:val="24"/>
                <w:highlight w:val="none"/>
              </w:rPr>
              <w:fldChar w:fldCharType="begin"/>
            </w:r>
            <w:r>
              <w:rPr>
                <w:rFonts w:hint="default" w:ascii="Times New Roman" w:hAnsi="Times New Roman" w:eastAsia="宋体" w:cs="Times New Roman"/>
                <w:bCs/>
                <w:snapToGrid w:val="0"/>
                <w:color w:val="auto"/>
                <w:spacing w:val="0"/>
                <w:kern w:val="21"/>
                <w:sz w:val="24"/>
                <w:szCs w:val="24"/>
                <w:highlight w:val="none"/>
              </w:rPr>
              <w:instrText xml:space="preserve"> = 1 \* GB3 \* MERGEFORMAT </w:instrText>
            </w:r>
            <w:r>
              <w:rPr>
                <w:rFonts w:hint="default" w:ascii="Times New Roman" w:hAnsi="Times New Roman" w:eastAsia="宋体" w:cs="Times New Roman"/>
                <w:bCs/>
                <w:snapToGrid w:val="0"/>
                <w:color w:val="auto"/>
                <w:spacing w:val="0"/>
                <w:kern w:val="21"/>
                <w:sz w:val="24"/>
                <w:szCs w:val="24"/>
                <w:highlight w:val="none"/>
              </w:rPr>
              <w:fldChar w:fldCharType="separate"/>
            </w:r>
            <w:r>
              <w:rPr>
                <w:rFonts w:hint="default" w:ascii="Times New Roman" w:hAnsi="Times New Roman" w:eastAsia="宋体" w:cs="Times New Roman"/>
                <w:bCs/>
                <w:color w:val="auto"/>
                <w:spacing w:val="0"/>
                <w:kern w:val="2"/>
                <w:sz w:val="24"/>
                <w:szCs w:val="24"/>
                <w:highlight w:val="none"/>
              </w:rPr>
              <w:t>①</w:t>
            </w:r>
            <w:r>
              <w:rPr>
                <w:rFonts w:hint="default" w:ascii="Times New Roman" w:hAnsi="Times New Roman" w:eastAsia="宋体" w:cs="Times New Roman"/>
                <w:bCs/>
                <w:snapToGrid w:val="0"/>
                <w:color w:val="auto"/>
                <w:spacing w:val="0"/>
                <w:kern w:val="21"/>
                <w:sz w:val="24"/>
                <w:szCs w:val="24"/>
                <w:highlight w:val="none"/>
              </w:rPr>
              <w:fldChar w:fldCharType="end"/>
            </w:r>
          </w:p>
        </w:tc>
        <w:tc>
          <w:tcPr>
            <w:tcW w:w="1341" w:type="dxa"/>
            <w:noWrap w:val="0"/>
            <w:tcMar>
              <w:left w:w="28" w:type="dxa"/>
              <w:right w:w="28" w:type="dxa"/>
            </w:tcMar>
            <w:vAlign w:val="center"/>
          </w:tcPr>
          <w:p w14:paraId="20531E65">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bCs/>
                <w:snapToGrid w:val="0"/>
                <w:color w:val="auto"/>
                <w:spacing w:val="0"/>
                <w:kern w:val="21"/>
                <w:sz w:val="24"/>
                <w:szCs w:val="24"/>
                <w:highlight w:val="none"/>
              </w:rPr>
              <w:t>现有工程许可排放量</w:t>
            </w:r>
            <w:r>
              <w:rPr>
                <w:rFonts w:hint="default" w:ascii="Times New Roman" w:hAnsi="Times New Roman" w:eastAsia="宋体" w:cs="Times New Roman"/>
                <w:bCs/>
                <w:snapToGrid w:val="0"/>
                <w:color w:val="auto"/>
                <w:spacing w:val="0"/>
                <w:kern w:val="21"/>
                <w:sz w:val="24"/>
                <w:szCs w:val="24"/>
                <w:highlight w:val="none"/>
              </w:rPr>
              <w:fldChar w:fldCharType="begin"/>
            </w:r>
            <w:r>
              <w:rPr>
                <w:rFonts w:hint="default" w:ascii="Times New Roman" w:hAnsi="Times New Roman" w:eastAsia="宋体" w:cs="Times New Roman"/>
                <w:bCs/>
                <w:snapToGrid w:val="0"/>
                <w:color w:val="auto"/>
                <w:spacing w:val="0"/>
                <w:kern w:val="21"/>
                <w:sz w:val="24"/>
                <w:szCs w:val="24"/>
                <w:highlight w:val="none"/>
              </w:rPr>
              <w:instrText xml:space="preserve"> = 2 \* GB3 \* MERGEFORMAT </w:instrText>
            </w:r>
            <w:r>
              <w:rPr>
                <w:rFonts w:hint="default" w:ascii="Times New Roman" w:hAnsi="Times New Roman" w:eastAsia="宋体" w:cs="Times New Roman"/>
                <w:bCs/>
                <w:snapToGrid w:val="0"/>
                <w:color w:val="auto"/>
                <w:spacing w:val="0"/>
                <w:kern w:val="21"/>
                <w:sz w:val="24"/>
                <w:szCs w:val="24"/>
                <w:highlight w:val="none"/>
              </w:rPr>
              <w:fldChar w:fldCharType="separate"/>
            </w:r>
            <w:r>
              <w:rPr>
                <w:rFonts w:hint="default" w:ascii="Times New Roman" w:hAnsi="Times New Roman" w:eastAsia="宋体" w:cs="Times New Roman"/>
                <w:bCs/>
                <w:snapToGrid w:val="0"/>
                <w:color w:val="auto"/>
                <w:spacing w:val="0"/>
                <w:kern w:val="21"/>
                <w:sz w:val="24"/>
                <w:szCs w:val="24"/>
                <w:highlight w:val="none"/>
              </w:rPr>
              <w:t>②</w:t>
            </w:r>
            <w:r>
              <w:rPr>
                <w:rFonts w:hint="default" w:ascii="Times New Roman" w:hAnsi="Times New Roman" w:eastAsia="宋体" w:cs="Times New Roman"/>
                <w:bCs/>
                <w:snapToGrid w:val="0"/>
                <w:color w:val="auto"/>
                <w:spacing w:val="0"/>
                <w:kern w:val="21"/>
                <w:sz w:val="24"/>
                <w:szCs w:val="24"/>
                <w:highlight w:val="none"/>
              </w:rPr>
              <w:fldChar w:fldCharType="end"/>
            </w:r>
          </w:p>
        </w:tc>
        <w:tc>
          <w:tcPr>
            <w:tcW w:w="1390" w:type="dxa"/>
            <w:noWrap w:val="0"/>
            <w:tcMar>
              <w:left w:w="28" w:type="dxa"/>
              <w:right w:w="28" w:type="dxa"/>
            </w:tcMar>
            <w:vAlign w:val="center"/>
          </w:tcPr>
          <w:p w14:paraId="016C0163">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bCs/>
                <w:snapToGrid w:val="0"/>
                <w:color w:val="auto"/>
                <w:spacing w:val="0"/>
                <w:kern w:val="21"/>
                <w:sz w:val="24"/>
                <w:szCs w:val="24"/>
                <w:highlight w:val="none"/>
              </w:rPr>
              <w:t>在建工程排放量（固体废物产生量）</w:t>
            </w:r>
            <w:r>
              <w:rPr>
                <w:rFonts w:hint="default" w:ascii="Times New Roman" w:hAnsi="Times New Roman" w:eastAsia="宋体" w:cs="Times New Roman"/>
                <w:bCs/>
                <w:snapToGrid w:val="0"/>
                <w:color w:val="auto"/>
                <w:spacing w:val="0"/>
                <w:kern w:val="21"/>
                <w:sz w:val="24"/>
                <w:szCs w:val="24"/>
                <w:highlight w:val="none"/>
              </w:rPr>
              <w:fldChar w:fldCharType="begin"/>
            </w:r>
            <w:r>
              <w:rPr>
                <w:rFonts w:hint="default" w:ascii="Times New Roman" w:hAnsi="Times New Roman" w:eastAsia="宋体" w:cs="Times New Roman"/>
                <w:bCs/>
                <w:snapToGrid w:val="0"/>
                <w:color w:val="auto"/>
                <w:spacing w:val="0"/>
                <w:kern w:val="21"/>
                <w:sz w:val="24"/>
                <w:szCs w:val="24"/>
                <w:highlight w:val="none"/>
              </w:rPr>
              <w:instrText xml:space="preserve"> = 3 \* GB3 \* MERGEFORMAT </w:instrText>
            </w:r>
            <w:r>
              <w:rPr>
                <w:rFonts w:hint="default" w:ascii="Times New Roman" w:hAnsi="Times New Roman" w:eastAsia="宋体" w:cs="Times New Roman"/>
                <w:bCs/>
                <w:snapToGrid w:val="0"/>
                <w:color w:val="auto"/>
                <w:spacing w:val="0"/>
                <w:kern w:val="21"/>
                <w:sz w:val="24"/>
                <w:szCs w:val="24"/>
                <w:highlight w:val="none"/>
              </w:rPr>
              <w:fldChar w:fldCharType="separate"/>
            </w:r>
            <w:r>
              <w:rPr>
                <w:rFonts w:hint="default" w:ascii="Times New Roman" w:hAnsi="Times New Roman" w:eastAsia="宋体" w:cs="Times New Roman"/>
                <w:bCs/>
                <w:color w:val="auto"/>
                <w:spacing w:val="0"/>
                <w:kern w:val="2"/>
                <w:sz w:val="24"/>
                <w:szCs w:val="24"/>
                <w:highlight w:val="none"/>
              </w:rPr>
              <w:t>③</w:t>
            </w:r>
            <w:r>
              <w:rPr>
                <w:rFonts w:hint="default" w:ascii="Times New Roman" w:hAnsi="Times New Roman" w:eastAsia="宋体" w:cs="Times New Roman"/>
                <w:bCs/>
                <w:snapToGrid w:val="0"/>
                <w:color w:val="auto"/>
                <w:spacing w:val="0"/>
                <w:kern w:val="21"/>
                <w:sz w:val="24"/>
                <w:szCs w:val="24"/>
                <w:highlight w:val="none"/>
              </w:rPr>
              <w:fldChar w:fldCharType="end"/>
            </w:r>
          </w:p>
        </w:tc>
        <w:tc>
          <w:tcPr>
            <w:tcW w:w="1595" w:type="dxa"/>
            <w:noWrap w:val="0"/>
            <w:tcMar>
              <w:left w:w="28" w:type="dxa"/>
              <w:right w:w="28" w:type="dxa"/>
            </w:tcMar>
            <w:vAlign w:val="center"/>
          </w:tcPr>
          <w:p w14:paraId="61D18D7C">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bCs/>
                <w:snapToGrid w:val="0"/>
                <w:color w:val="auto"/>
                <w:spacing w:val="0"/>
                <w:kern w:val="21"/>
                <w:sz w:val="24"/>
                <w:szCs w:val="24"/>
                <w:highlight w:val="none"/>
              </w:rPr>
              <w:t>本项目排放量（固体废物产生量）</w:t>
            </w:r>
            <w:r>
              <w:rPr>
                <w:rFonts w:hint="default" w:ascii="Times New Roman" w:hAnsi="Times New Roman" w:eastAsia="宋体" w:cs="Times New Roman"/>
                <w:bCs/>
                <w:snapToGrid w:val="0"/>
                <w:color w:val="auto"/>
                <w:spacing w:val="0"/>
                <w:kern w:val="21"/>
                <w:sz w:val="24"/>
                <w:szCs w:val="24"/>
                <w:highlight w:val="none"/>
              </w:rPr>
              <w:fldChar w:fldCharType="begin"/>
            </w:r>
            <w:r>
              <w:rPr>
                <w:rFonts w:hint="default" w:ascii="Times New Roman" w:hAnsi="Times New Roman" w:eastAsia="宋体" w:cs="Times New Roman"/>
                <w:bCs/>
                <w:snapToGrid w:val="0"/>
                <w:color w:val="auto"/>
                <w:spacing w:val="0"/>
                <w:kern w:val="21"/>
                <w:sz w:val="24"/>
                <w:szCs w:val="24"/>
                <w:highlight w:val="none"/>
              </w:rPr>
              <w:instrText xml:space="preserve"> = 4 \* GB3 \* MERGEFORMAT </w:instrText>
            </w:r>
            <w:r>
              <w:rPr>
                <w:rFonts w:hint="default" w:ascii="Times New Roman" w:hAnsi="Times New Roman" w:eastAsia="宋体" w:cs="Times New Roman"/>
                <w:bCs/>
                <w:snapToGrid w:val="0"/>
                <w:color w:val="auto"/>
                <w:spacing w:val="0"/>
                <w:kern w:val="21"/>
                <w:sz w:val="24"/>
                <w:szCs w:val="24"/>
                <w:highlight w:val="none"/>
              </w:rPr>
              <w:fldChar w:fldCharType="separate"/>
            </w:r>
            <w:r>
              <w:rPr>
                <w:rFonts w:hint="default" w:ascii="Times New Roman" w:hAnsi="Times New Roman" w:eastAsia="宋体" w:cs="Times New Roman"/>
                <w:bCs/>
                <w:color w:val="auto"/>
                <w:spacing w:val="0"/>
                <w:kern w:val="2"/>
                <w:sz w:val="24"/>
                <w:szCs w:val="24"/>
                <w:highlight w:val="none"/>
              </w:rPr>
              <w:t>④</w:t>
            </w:r>
            <w:r>
              <w:rPr>
                <w:rFonts w:hint="default" w:ascii="Times New Roman" w:hAnsi="Times New Roman" w:eastAsia="宋体" w:cs="Times New Roman"/>
                <w:bCs/>
                <w:snapToGrid w:val="0"/>
                <w:color w:val="auto"/>
                <w:spacing w:val="0"/>
                <w:kern w:val="21"/>
                <w:sz w:val="24"/>
                <w:szCs w:val="24"/>
                <w:highlight w:val="none"/>
              </w:rPr>
              <w:fldChar w:fldCharType="end"/>
            </w:r>
          </w:p>
        </w:tc>
        <w:tc>
          <w:tcPr>
            <w:tcW w:w="1416" w:type="dxa"/>
            <w:noWrap w:val="0"/>
            <w:tcMar>
              <w:left w:w="28" w:type="dxa"/>
              <w:right w:w="28" w:type="dxa"/>
            </w:tcMar>
            <w:vAlign w:val="center"/>
          </w:tcPr>
          <w:p w14:paraId="29ED9A8A">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bCs/>
                <w:snapToGrid w:val="0"/>
                <w:color w:val="auto"/>
                <w:spacing w:val="0"/>
                <w:kern w:val="21"/>
                <w:sz w:val="24"/>
                <w:szCs w:val="24"/>
                <w:highlight w:val="none"/>
              </w:rPr>
              <w:t>以新带老削减量（新建项目不填）</w:t>
            </w:r>
            <w:r>
              <w:rPr>
                <w:rFonts w:hint="default" w:ascii="Times New Roman" w:hAnsi="Times New Roman" w:eastAsia="宋体" w:cs="Times New Roman"/>
                <w:bCs/>
                <w:snapToGrid w:val="0"/>
                <w:color w:val="auto"/>
                <w:spacing w:val="0"/>
                <w:kern w:val="21"/>
                <w:sz w:val="24"/>
                <w:szCs w:val="24"/>
                <w:highlight w:val="none"/>
              </w:rPr>
              <w:fldChar w:fldCharType="begin"/>
            </w:r>
            <w:r>
              <w:rPr>
                <w:rFonts w:hint="default" w:ascii="Times New Roman" w:hAnsi="Times New Roman" w:eastAsia="宋体" w:cs="Times New Roman"/>
                <w:bCs/>
                <w:snapToGrid w:val="0"/>
                <w:color w:val="auto"/>
                <w:spacing w:val="0"/>
                <w:kern w:val="21"/>
                <w:sz w:val="24"/>
                <w:szCs w:val="24"/>
                <w:highlight w:val="none"/>
              </w:rPr>
              <w:instrText xml:space="preserve"> = 5 \* GB3 \* MERGEFORMAT </w:instrText>
            </w:r>
            <w:r>
              <w:rPr>
                <w:rFonts w:hint="default" w:ascii="Times New Roman" w:hAnsi="Times New Roman" w:eastAsia="宋体" w:cs="Times New Roman"/>
                <w:bCs/>
                <w:snapToGrid w:val="0"/>
                <w:color w:val="auto"/>
                <w:spacing w:val="0"/>
                <w:kern w:val="21"/>
                <w:sz w:val="24"/>
                <w:szCs w:val="24"/>
                <w:highlight w:val="none"/>
              </w:rPr>
              <w:fldChar w:fldCharType="separate"/>
            </w:r>
            <w:r>
              <w:rPr>
                <w:rFonts w:hint="default" w:ascii="Times New Roman" w:hAnsi="Times New Roman" w:eastAsia="宋体" w:cs="Times New Roman"/>
                <w:bCs/>
                <w:color w:val="auto"/>
                <w:spacing w:val="0"/>
                <w:kern w:val="2"/>
                <w:sz w:val="24"/>
                <w:szCs w:val="24"/>
                <w:highlight w:val="none"/>
              </w:rPr>
              <w:t>⑤</w:t>
            </w:r>
            <w:r>
              <w:rPr>
                <w:rFonts w:hint="default" w:ascii="Times New Roman" w:hAnsi="Times New Roman" w:eastAsia="宋体" w:cs="Times New Roman"/>
                <w:bCs/>
                <w:snapToGrid w:val="0"/>
                <w:color w:val="auto"/>
                <w:spacing w:val="0"/>
                <w:kern w:val="21"/>
                <w:sz w:val="24"/>
                <w:szCs w:val="24"/>
                <w:highlight w:val="none"/>
              </w:rPr>
              <w:fldChar w:fldCharType="end"/>
            </w:r>
          </w:p>
        </w:tc>
        <w:tc>
          <w:tcPr>
            <w:tcW w:w="1745" w:type="dxa"/>
            <w:noWrap w:val="0"/>
            <w:tcMar>
              <w:left w:w="28" w:type="dxa"/>
              <w:right w:w="28" w:type="dxa"/>
            </w:tcMar>
            <w:vAlign w:val="center"/>
          </w:tcPr>
          <w:p w14:paraId="4646FB3A">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bCs/>
                <w:snapToGrid w:val="0"/>
                <w:color w:val="auto"/>
                <w:spacing w:val="0"/>
                <w:kern w:val="21"/>
                <w:sz w:val="24"/>
                <w:szCs w:val="24"/>
                <w:highlight w:val="none"/>
              </w:rPr>
              <w:t>本项目建成后全厂排放量（固体废物产生量）</w:t>
            </w:r>
            <w:r>
              <w:rPr>
                <w:rFonts w:hint="default" w:ascii="Times New Roman" w:hAnsi="Times New Roman" w:eastAsia="宋体" w:cs="Times New Roman"/>
                <w:bCs/>
                <w:snapToGrid w:val="0"/>
                <w:color w:val="auto"/>
                <w:spacing w:val="0"/>
                <w:kern w:val="21"/>
                <w:sz w:val="24"/>
                <w:szCs w:val="24"/>
                <w:highlight w:val="none"/>
              </w:rPr>
              <w:fldChar w:fldCharType="begin"/>
            </w:r>
            <w:r>
              <w:rPr>
                <w:rFonts w:hint="default" w:ascii="Times New Roman" w:hAnsi="Times New Roman" w:eastAsia="宋体" w:cs="Times New Roman"/>
                <w:bCs/>
                <w:snapToGrid w:val="0"/>
                <w:color w:val="auto"/>
                <w:spacing w:val="0"/>
                <w:kern w:val="21"/>
                <w:sz w:val="24"/>
                <w:szCs w:val="24"/>
                <w:highlight w:val="none"/>
              </w:rPr>
              <w:instrText xml:space="preserve"> = 6 \* GB3 \* MERGEFORMAT </w:instrText>
            </w:r>
            <w:r>
              <w:rPr>
                <w:rFonts w:hint="default" w:ascii="Times New Roman" w:hAnsi="Times New Roman" w:eastAsia="宋体" w:cs="Times New Roman"/>
                <w:bCs/>
                <w:snapToGrid w:val="0"/>
                <w:color w:val="auto"/>
                <w:spacing w:val="0"/>
                <w:kern w:val="21"/>
                <w:sz w:val="24"/>
                <w:szCs w:val="24"/>
                <w:highlight w:val="none"/>
              </w:rPr>
              <w:fldChar w:fldCharType="separate"/>
            </w:r>
            <w:r>
              <w:rPr>
                <w:rFonts w:hint="default" w:ascii="Times New Roman" w:hAnsi="Times New Roman" w:eastAsia="宋体" w:cs="Times New Roman"/>
                <w:bCs/>
                <w:color w:val="auto"/>
                <w:spacing w:val="0"/>
                <w:kern w:val="2"/>
                <w:sz w:val="24"/>
                <w:szCs w:val="24"/>
                <w:highlight w:val="none"/>
              </w:rPr>
              <w:t>⑥</w:t>
            </w:r>
            <w:r>
              <w:rPr>
                <w:rFonts w:hint="default" w:ascii="Times New Roman" w:hAnsi="Times New Roman" w:eastAsia="宋体" w:cs="Times New Roman"/>
                <w:bCs/>
                <w:snapToGrid w:val="0"/>
                <w:color w:val="auto"/>
                <w:spacing w:val="0"/>
                <w:kern w:val="21"/>
                <w:sz w:val="24"/>
                <w:szCs w:val="24"/>
                <w:highlight w:val="none"/>
              </w:rPr>
              <w:fldChar w:fldCharType="end"/>
            </w:r>
          </w:p>
        </w:tc>
        <w:tc>
          <w:tcPr>
            <w:tcW w:w="1506" w:type="dxa"/>
            <w:noWrap w:val="0"/>
            <w:tcMar>
              <w:left w:w="28" w:type="dxa"/>
              <w:right w:w="28" w:type="dxa"/>
            </w:tcMar>
            <w:vAlign w:val="center"/>
          </w:tcPr>
          <w:p w14:paraId="2D527582">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bCs/>
                <w:snapToGrid w:val="0"/>
                <w:color w:val="auto"/>
                <w:spacing w:val="0"/>
                <w:kern w:val="21"/>
                <w:sz w:val="24"/>
                <w:szCs w:val="24"/>
                <w:highlight w:val="none"/>
              </w:rPr>
              <w:t>变化量</w:t>
            </w:r>
          </w:p>
          <w:p w14:paraId="39211011">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bCs/>
                <w:snapToGrid w:val="0"/>
                <w:color w:val="auto"/>
                <w:spacing w:val="0"/>
                <w:kern w:val="21"/>
                <w:sz w:val="24"/>
                <w:szCs w:val="24"/>
                <w:highlight w:val="none"/>
              </w:rPr>
              <w:fldChar w:fldCharType="begin"/>
            </w:r>
            <w:r>
              <w:rPr>
                <w:rFonts w:hint="default" w:ascii="Times New Roman" w:hAnsi="Times New Roman" w:eastAsia="宋体" w:cs="Times New Roman"/>
                <w:bCs/>
                <w:snapToGrid w:val="0"/>
                <w:color w:val="auto"/>
                <w:spacing w:val="0"/>
                <w:kern w:val="21"/>
                <w:sz w:val="24"/>
                <w:szCs w:val="24"/>
                <w:highlight w:val="none"/>
              </w:rPr>
              <w:instrText xml:space="preserve"> = 7 \* GB3 \* MERGEFORMAT </w:instrText>
            </w:r>
            <w:r>
              <w:rPr>
                <w:rFonts w:hint="default" w:ascii="Times New Roman" w:hAnsi="Times New Roman" w:eastAsia="宋体" w:cs="Times New Roman"/>
                <w:bCs/>
                <w:snapToGrid w:val="0"/>
                <w:color w:val="auto"/>
                <w:spacing w:val="0"/>
                <w:kern w:val="21"/>
                <w:sz w:val="24"/>
                <w:szCs w:val="24"/>
                <w:highlight w:val="none"/>
              </w:rPr>
              <w:fldChar w:fldCharType="separate"/>
            </w:r>
            <w:r>
              <w:rPr>
                <w:rFonts w:hint="default" w:ascii="Times New Roman" w:hAnsi="Times New Roman" w:eastAsia="宋体" w:cs="Times New Roman"/>
                <w:bCs/>
                <w:color w:val="auto"/>
                <w:spacing w:val="0"/>
                <w:kern w:val="2"/>
                <w:sz w:val="24"/>
                <w:szCs w:val="24"/>
                <w:highlight w:val="none"/>
              </w:rPr>
              <w:t>⑦</w:t>
            </w:r>
            <w:r>
              <w:rPr>
                <w:rFonts w:hint="default" w:ascii="Times New Roman" w:hAnsi="Times New Roman" w:eastAsia="宋体" w:cs="Times New Roman"/>
                <w:bCs/>
                <w:snapToGrid w:val="0"/>
                <w:color w:val="auto"/>
                <w:spacing w:val="0"/>
                <w:kern w:val="21"/>
                <w:sz w:val="24"/>
                <w:szCs w:val="24"/>
                <w:highlight w:val="none"/>
              </w:rPr>
              <w:fldChar w:fldCharType="end"/>
            </w:r>
          </w:p>
        </w:tc>
      </w:tr>
      <w:tr w14:paraId="46AA09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32" w:type="dxa"/>
            <w:vMerge w:val="restart"/>
            <w:noWrap w:val="0"/>
            <w:vAlign w:val="center"/>
          </w:tcPr>
          <w:p w14:paraId="11723F45">
            <w:pPr>
              <w:pStyle w:val="69"/>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color w:val="auto"/>
                <w:spacing w:val="0"/>
                <w:sz w:val="24"/>
                <w:szCs w:val="24"/>
                <w:highlight w:val="none"/>
                <w:lang w:val="en-US" w:eastAsia="zh-CN"/>
              </w:rPr>
              <w:t>废气</w:t>
            </w:r>
          </w:p>
        </w:tc>
        <w:tc>
          <w:tcPr>
            <w:tcW w:w="1443" w:type="dxa"/>
            <w:noWrap w:val="0"/>
            <w:vAlign w:val="center"/>
          </w:tcPr>
          <w:p w14:paraId="09FD5938">
            <w:pPr>
              <w:pStyle w:val="6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rPr>
              <w:t>颗粒物</w:t>
            </w:r>
          </w:p>
        </w:tc>
        <w:tc>
          <w:tcPr>
            <w:tcW w:w="1524" w:type="dxa"/>
            <w:noWrap w:val="0"/>
            <w:vAlign w:val="center"/>
          </w:tcPr>
          <w:p w14:paraId="0650E3B9">
            <w:pPr>
              <w:keepNext w:val="0"/>
              <w:keepLines w:val="0"/>
              <w:pageBreakBefore w:val="0"/>
              <w:widowControl w:val="0"/>
              <w:kinsoku/>
              <w:wordWrap/>
              <w:overflowPunct/>
              <w:topLinePunct w:val="0"/>
              <w:bidi w:val="0"/>
              <w:adjustRightInd w:val="0"/>
              <w:spacing w:line="240" w:lineRule="auto"/>
              <w:ind w:firstLine="0" w:firstLineChars="0"/>
              <w:jc w:val="center"/>
              <w:textAlignment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5.58</w:t>
            </w:r>
          </w:p>
        </w:tc>
        <w:tc>
          <w:tcPr>
            <w:tcW w:w="1341" w:type="dxa"/>
            <w:noWrap w:val="0"/>
            <w:vAlign w:val="center"/>
          </w:tcPr>
          <w:p w14:paraId="00F54C41">
            <w:pPr>
              <w:keepNext w:val="0"/>
              <w:keepLines w:val="0"/>
              <w:pageBreakBefore w:val="0"/>
              <w:widowControl w:val="0"/>
              <w:kinsoku/>
              <w:wordWrap/>
              <w:overflowPunct/>
              <w:topLinePunct w:val="0"/>
              <w:bidi w:val="0"/>
              <w:adjustRightInd w:val="0"/>
              <w:spacing w:line="240" w:lineRule="auto"/>
              <w:ind w:firstLine="0" w:firstLineChars="0"/>
              <w:jc w:val="center"/>
              <w:textAlignment w:val="center"/>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5.58</w:t>
            </w:r>
          </w:p>
        </w:tc>
        <w:tc>
          <w:tcPr>
            <w:tcW w:w="1390" w:type="dxa"/>
            <w:noWrap w:val="0"/>
            <w:vAlign w:val="center"/>
          </w:tcPr>
          <w:p w14:paraId="7BECAD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Cs/>
                <w:i w:val="0"/>
                <w:iCs w:val="0"/>
                <w:color w:val="auto"/>
                <w:spacing w:val="0"/>
                <w:kern w:val="2"/>
                <w:sz w:val="24"/>
                <w:szCs w:val="24"/>
                <w:highlight w:val="none"/>
                <w:u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w:t>
            </w:r>
          </w:p>
        </w:tc>
        <w:tc>
          <w:tcPr>
            <w:tcW w:w="1595" w:type="dxa"/>
            <w:noWrap w:val="0"/>
            <w:vAlign w:val="center"/>
          </w:tcPr>
          <w:p w14:paraId="6F187C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cs="Times New Roman"/>
                <w:color w:val="auto"/>
                <w:spacing w:val="0"/>
                <w:sz w:val="24"/>
                <w:szCs w:val="24"/>
                <w:highlight w:val="none"/>
                <w:lang w:val="en-US" w:eastAsia="zh-CN"/>
              </w:rPr>
              <w:t>0.524</w:t>
            </w:r>
          </w:p>
        </w:tc>
        <w:tc>
          <w:tcPr>
            <w:tcW w:w="1416" w:type="dxa"/>
            <w:noWrap w:val="0"/>
            <w:vAlign w:val="center"/>
          </w:tcPr>
          <w:p w14:paraId="462F76C5">
            <w:pPr>
              <w:keepNext w:val="0"/>
              <w:keepLines w:val="0"/>
              <w:pageBreakBefore w:val="0"/>
              <w:widowControl w:val="0"/>
              <w:kinsoku/>
              <w:wordWrap/>
              <w:overflowPunct/>
              <w:topLinePunct w:val="0"/>
              <w:bidi w:val="0"/>
              <w:adjustRightInd w:val="0"/>
              <w:spacing w:line="240" w:lineRule="auto"/>
              <w:ind w:firstLine="0" w:firstLineChars="0"/>
              <w:jc w:val="center"/>
              <w:textAlignment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5.58</w:t>
            </w:r>
          </w:p>
        </w:tc>
        <w:tc>
          <w:tcPr>
            <w:tcW w:w="1745" w:type="dxa"/>
            <w:noWrap w:val="0"/>
            <w:vAlign w:val="center"/>
          </w:tcPr>
          <w:p w14:paraId="7D0D67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kern w:val="2"/>
                <w:sz w:val="24"/>
                <w:szCs w:val="24"/>
                <w:highlight w:val="none"/>
                <w:lang w:val="en-US" w:eastAsia="zh-CN" w:bidi="ar-SA"/>
              </w:rPr>
            </w:pPr>
            <w:r>
              <w:rPr>
                <w:rFonts w:hint="eastAsia" w:ascii="Times New Roman" w:hAnsi="Times New Roman" w:cs="Times New Roman"/>
                <w:color w:val="auto"/>
                <w:spacing w:val="0"/>
                <w:sz w:val="24"/>
                <w:szCs w:val="24"/>
                <w:highlight w:val="none"/>
                <w:lang w:val="en-US" w:eastAsia="zh-CN"/>
              </w:rPr>
              <w:t>0.524</w:t>
            </w:r>
          </w:p>
        </w:tc>
        <w:tc>
          <w:tcPr>
            <w:tcW w:w="1506" w:type="dxa"/>
            <w:noWrap w:val="0"/>
            <w:vAlign w:val="center"/>
          </w:tcPr>
          <w:p w14:paraId="3866E8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kern w:val="2"/>
                <w:sz w:val="24"/>
                <w:szCs w:val="24"/>
                <w:highlight w:val="none"/>
                <w:lang w:val="en-US" w:eastAsia="zh-CN" w:bidi="ar-SA"/>
              </w:rPr>
            </w:pP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cs="Times New Roman"/>
                <w:bCs/>
                <w:color w:val="auto"/>
                <w:sz w:val="24"/>
                <w:szCs w:val="24"/>
                <w:highlight w:val="none"/>
                <w:lang w:val="en-US" w:eastAsia="zh-CN"/>
              </w:rPr>
              <w:t>5.056</w:t>
            </w:r>
          </w:p>
        </w:tc>
      </w:tr>
      <w:tr w14:paraId="68177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32" w:type="dxa"/>
            <w:vMerge w:val="continue"/>
            <w:noWrap w:val="0"/>
            <w:vAlign w:val="center"/>
          </w:tcPr>
          <w:p w14:paraId="034E95E2">
            <w:pPr>
              <w:pStyle w:val="69"/>
              <w:rPr>
                <w:rFonts w:hint="default" w:ascii="Times New Roman" w:hAnsi="Times New Roman" w:eastAsia="宋体" w:cs="Times New Roman"/>
                <w:color w:val="auto"/>
                <w:spacing w:val="0"/>
                <w:sz w:val="24"/>
                <w:szCs w:val="24"/>
                <w:highlight w:val="none"/>
                <w:lang w:val="en-US" w:eastAsia="zh-CN"/>
              </w:rPr>
            </w:pPr>
          </w:p>
        </w:tc>
        <w:tc>
          <w:tcPr>
            <w:tcW w:w="1443" w:type="dxa"/>
            <w:noWrap w:val="0"/>
            <w:vAlign w:val="center"/>
          </w:tcPr>
          <w:p w14:paraId="40218589">
            <w:pPr>
              <w:pStyle w:val="6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二氧化硫</w:t>
            </w:r>
          </w:p>
        </w:tc>
        <w:tc>
          <w:tcPr>
            <w:tcW w:w="1524" w:type="dxa"/>
            <w:noWrap w:val="0"/>
            <w:vAlign w:val="center"/>
          </w:tcPr>
          <w:p w14:paraId="2B46E68F">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4.65</w:t>
            </w:r>
          </w:p>
        </w:tc>
        <w:tc>
          <w:tcPr>
            <w:tcW w:w="1341" w:type="dxa"/>
            <w:noWrap w:val="0"/>
            <w:vAlign w:val="center"/>
          </w:tcPr>
          <w:p w14:paraId="09E87730">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4.65</w:t>
            </w:r>
          </w:p>
        </w:tc>
        <w:tc>
          <w:tcPr>
            <w:tcW w:w="1390" w:type="dxa"/>
            <w:noWrap w:val="0"/>
            <w:vAlign w:val="center"/>
          </w:tcPr>
          <w:p w14:paraId="6CD49FCE">
            <w:pPr>
              <w:pStyle w:val="6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w:t>
            </w:r>
          </w:p>
        </w:tc>
        <w:tc>
          <w:tcPr>
            <w:tcW w:w="1595" w:type="dxa"/>
            <w:noWrap w:val="0"/>
            <w:vAlign w:val="center"/>
          </w:tcPr>
          <w:p w14:paraId="582F26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cs="Times New Roman"/>
                <w:color w:val="auto"/>
                <w:spacing w:val="0"/>
                <w:sz w:val="24"/>
                <w:szCs w:val="24"/>
                <w:highlight w:val="none"/>
                <w:lang w:val="en-US" w:eastAsia="zh-CN"/>
              </w:rPr>
              <w:t>4.388</w:t>
            </w:r>
          </w:p>
        </w:tc>
        <w:tc>
          <w:tcPr>
            <w:tcW w:w="1416" w:type="dxa"/>
            <w:noWrap w:val="0"/>
            <w:vAlign w:val="center"/>
          </w:tcPr>
          <w:p w14:paraId="72959687">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4.65</w:t>
            </w:r>
          </w:p>
        </w:tc>
        <w:tc>
          <w:tcPr>
            <w:tcW w:w="1745" w:type="dxa"/>
            <w:noWrap w:val="0"/>
            <w:vAlign w:val="center"/>
          </w:tcPr>
          <w:p w14:paraId="23A536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cs="Times New Roman"/>
                <w:color w:val="auto"/>
                <w:spacing w:val="0"/>
                <w:sz w:val="24"/>
                <w:szCs w:val="24"/>
                <w:highlight w:val="none"/>
                <w:lang w:val="en-US" w:eastAsia="zh-CN"/>
              </w:rPr>
              <w:t>4.388</w:t>
            </w:r>
          </w:p>
        </w:tc>
        <w:tc>
          <w:tcPr>
            <w:tcW w:w="1506" w:type="dxa"/>
            <w:noWrap w:val="0"/>
            <w:vAlign w:val="center"/>
          </w:tcPr>
          <w:p w14:paraId="683287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cs="Times New Roman"/>
                <w:bCs/>
                <w:color w:val="auto"/>
                <w:sz w:val="24"/>
                <w:szCs w:val="24"/>
                <w:highlight w:val="none"/>
                <w:lang w:val="en-US" w:eastAsia="zh-CN"/>
              </w:rPr>
              <w:t>0.262</w:t>
            </w:r>
          </w:p>
        </w:tc>
      </w:tr>
      <w:tr w14:paraId="550CA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32" w:type="dxa"/>
            <w:vMerge w:val="continue"/>
            <w:noWrap w:val="0"/>
            <w:vAlign w:val="center"/>
          </w:tcPr>
          <w:p w14:paraId="28318AEC">
            <w:pPr>
              <w:pStyle w:val="69"/>
              <w:rPr>
                <w:rFonts w:hint="default" w:ascii="Times New Roman" w:hAnsi="Times New Roman" w:eastAsia="宋体" w:cs="Times New Roman"/>
                <w:color w:val="auto"/>
                <w:spacing w:val="0"/>
                <w:sz w:val="24"/>
                <w:szCs w:val="24"/>
                <w:highlight w:val="none"/>
                <w:lang w:val="en-US" w:eastAsia="zh-CN"/>
              </w:rPr>
            </w:pPr>
          </w:p>
        </w:tc>
        <w:tc>
          <w:tcPr>
            <w:tcW w:w="1443" w:type="dxa"/>
            <w:noWrap w:val="0"/>
            <w:vAlign w:val="center"/>
          </w:tcPr>
          <w:p w14:paraId="1C749FC6">
            <w:pPr>
              <w:pStyle w:val="6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氮氧化物</w:t>
            </w:r>
          </w:p>
        </w:tc>
        <w:tc>
          <w:tcPr>
            <w:tcW w:w="1524" w:type="dxa"/>
            <w:noWrap w:val="0"/>
            <w:vAlign w:val="center"/>
          </w:tcPr>
          <w:p w14:paraId="5D6E2E84">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15.3</w:t>
            </w:r>
          </w:p>
        </w:tc>
        <w:tc>
          <w:tcPr>
            <w:tcW w:w="1341" w:type="dxa"/>
            <w:noWrap w:val="0"/>
            <w:vAlign w:val="center"/>
          </w:tcPr>
          <w:p w14:paraId="5AF97D82">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15.3</w:t>
            </w:r>
          </w:p>
        </w:tc>
        <w:tc>
          <w:tcPr>
            <w:tcW w:w="1390" w:type="dxa"/>
            <w:noWrap w:val="0"/>
            <w:vAlign w:val="center"/>
          </w:tcPr>
          <w:p w14:paraId="59286AB3">
            <w:pPr>
              <w:pStyle w:val="6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w:t>
            </w:r>
          </w:p>
        </w:tc>
        <w:tc>
          <w:tcPr>
            <w:tcW w:w="1595" w:type="dxa"/>
            <w:noWrap w:val="0"/>
            <w:vAlign w:val="center"/>
          </w:tcPr>
          <w:p w14:paraId="58F7BF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6.7396</w:t>
            </w:r>
          </w:p>
        </w:tc>
        <w:tc>
          <w:tcPr>
            <w:tcW w:w="1416" w:type="dxa"/>
            <w:noWrap w:val="0"/>
            <w:vAlign w:val="center"/>
          </w:tcPr>
          <w:p w14:paraId="117B1521">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15.3</w:t>
            </w:r>
          </w:p>
        </w:tc>
        <w:tc>
          <w:tcPr>
            <w:tcW w:w="1745" w:type="dxa"/>
            <w:noWrap w:val="0"/>
            <w:vAlign w:val="center"/>
          </w:tcPr>
          <w:p w14:paraId="4DF1E3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6.7396</w:t>
            </w:r>
          </w:p>
        </w:tc>
        <w:tc>
          <w:tcPr>
            <w:tcW w:w="1506" w:type="dxa"/>
            <w:noWrap w:val="0"/>
            <w:vAlign w:val="center"/>
          </w:tcPr>
          <w:p w14:paraId="477F3F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-8.5604</w:t>
            </w:r>
          </w:p>
        </w:tc>
      </w:tr>
      <w:tr w14:paraId="096B69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32" w:type="dxa"/>
            <w:vMerge w:val="restart"/>
            <w:noWrap w:val="0"/>
            <w:vAlign w:val="center"/>
          </w:tcPr>
          <w:p w14:paraId="6008D80F">
            <w:pPr>
              <w:pStyle w:val="6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废水</w:t>
            </w:r>
          </w:p>
        </w:tc>
        <w:tc>
          <w:tcPr>
            <w:tcW w:w="1443" w:type="dxa"/>
            <w:noWrap w:val="0"/>
            <w:vAlign w:val="center"/>
          </w:tcPr>
          <w:p w14:paraId="1B8E3E11">
            <w:pPr>
              <w:pStyle w:val="6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COD</w:t>
            </w:r>
          </w:p>
        </w:tc>
        <w:tc>
          <w:tcPr>
            <w:tcW w:w="1524" w:type="dxa"/>
            <w:noWrap w:val="0"/>
            <w:vAlign w:val="center"/>
          </w:tcPr>
          <w:p w14:paraId="6BD4C10C">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18</w:t>
            </w:r>
          </w:p>
        </w:tc>
        <w:tc>
          <w:tcPr>
            <w:tcW w:w="1341" w:type="dxa"/>
            <w:noWrap w:val="0"/>
            <w:vAlign w:val="center"/>
          </w:tcPr>
          <w:p w14:paraId="62F9AE15">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18</w:t>
            </w:r>
          </w:p>
        </w:tc>
        <w:tc>
          <w:tcPr>
            <w:tcW w:w="1390" w:type="dxa"/>
            <w:noWrap w:val="0"/>
            <w:vAlign w:val="center"/>
          </w:tcPr>
          <w:p w14:paraId="7DC58A16">
            <w:pPr>
              <w:pStyle w:val="6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color w:val="auto"/>
                <w:spacing w:val="0"/>
                <w:kern w:val="2"/>
                <w:sz w:val="24"/>
                <w:szCs w:val="24"/>
                <w:highlight w:val="none"/>
                <w:lang w:val="en-US" w:eastAsia="zh-CN" w:bidi="ar-SA"/>
              </w:rPr>
              <w:t>/</w:t>
            </w:r>
          </w:p>
        </w:tc>
        <w:tc>
          <w:tcPr>
            <w:tcW w:w="1595" w:type="dxa"/>
            <w:noWrap w:val="0"/>
            <w:vAlign w:val="center"/>
          </w:tcPr>
          <w:p w14:paraId="5AA0C2A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bCs/>
                <w:caps w:val="0"/>
                <w:color w:val="auto"/>
                <w:spacing w:val="0"/>
                <w:kern w:val="2"/>
                <w:sz w:val="24"/>
                <w:szCs w:val="24"/>
                <w:highlight w:val="none"/>
                <w:lang w:val="en-US" w:eastAsia="zh-CN" w:bidi="ar-SA"/>
              </w:rPr>
            </w:pPr>
            <w:r>
              <w:rPr>
                <w:rFonts w:hint="default" w:ascii="Times New Roman" w:hAnsi="Times New Roman" w:cs="Times New Roman"/>
                <w:bCs/>
                <w:caps w:val="0"/>
                <w:color w:val="auto"/>
                <w:spacing w:val="0"/>
                <w:kern w:val="2"/>
                <w:sz w:val="24"/>
                <w:szCs w:val="24"/>
                <w:highlight w:val="none"/>
                <w:lang w:val="en-US" w:eastAsia="zh-CN" w:bidi="ar-SA"/>
              </w:rPr>
              <w:t>0</w:t>
            </w:r>
          </w:p>
        </w:tc>
        <w:tc>
          <w:tcPr>
            <w:tcW w:w="1416" w:type="dxa"/>
            <w:noWrap w:val="0"/>
            <w:vAlign w:val="center"/>
          </w:tcPr>
          <w:p w14:paraId="7FF8529B">
            <w:pPr>
              <w:pStyle w:val="6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color w:val="auto"/>
                <w:spacing w:val="0"/>
                <w:kern w:val="2"/>
                <w:sz w:val="24"/>
                <w:szCs w:val="24"/>
                <w:highlight w:val="none"/>
                <w:lang w:val="en-US" w:eastAsia="zh-CN" w:bidi="ar-SA"/>
              </w:rPr>
              <w:t>0</w:t>
            </w:r>
          </w:p>
        </w:tc>
        <w:tc>
          <w:tcPr>
            <w:tcW w:w="1745" w:type="dxa"/>
            <w:noWrap w:val="0"/>
            <w:vAlign w:val="center"/>
          </w:tcPr>
          <w:p w14:paraId="6E26F1D1">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z w:val="24"/>
                <w:szCs w:val="24"/>
                <w:highlight w:val="none"/>
                <w:lang w:val="en-US" w:eastAsia="zh-CN"/>
              </w:rPr>
              <w:t>18</w:t>
            </w:r>
          </w:p>
        </w:tc>
        <w:tc>
          <w:tcPr>
            <w:tcW w:w="1506" w:type="dxa"/>
            <w:noWrap w:val="0"/>
            <w:vAlign w:val="center"/>
          </w:tcPr>
          <w:p w14:paraId="17D2C6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0</w:t>
            </w:r>
          </w:p>
        </w:tc>
      </w:tr>
      <w:tr w14:paraId="5D7EEB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332" w:type="dxa"/>
            <w:vMerge w:val="continue"/>
            <w:noWrap w:val="0"/>
            <w:vAlign w:val="center"/>
          </w:tcPr>
          <w:p w14:paraId="20538B81">
            <w:pPr>
              <w:pStyle w:val="69"/>
              <w:rPr>
                <w:rFonts w:hint="default" w:ascii="Times New Roman" w:hAnsi="Times New Roman" w:eastAsia="宋体" w:cs="Times New Roman"/>
                <w:color w:val="auto"/>
                <w:spacing w:val="0"/>
                <w:sz w:val="24"/>
                <w:szCs w:val="24"/>
                <w:highlight w:val="none"/>
                <w:lang w:val="en-US" w:eastAsia="zh-CN"/>
              </w:rPr>
            </w:pPr>
          </w:p>
        </w:tc>
        <w:tc>
          <w:tcPr>
            <w:tcW w:w="1443" w:type="dxa"/>
            <w:noWrap w:val="0"/>
            <w:vAlign w:val="center"/>
          </w:tcPr>
          <w:p w14:paraId="36811CEA">
            <w:pPr>
              <w:pStyle w:val="6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氨氮</w:t>
            </w:r>
          </w:p>
        </w:tc>
        <w:tc>
          <w:tcPr>
            <w:tcW w:w="1524" w:type="dxa"/>
            <w:noWrap w:val="0"/>
            <w:vAlign w:val="center"/>
          </w:tcPr>
          <w:p w14:paraId="7FE6F3C6">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0.9</w:t>
            </w:r>
          </w:p>
        </w:tc>
        <w:tc>
          <w:tcPr>
            <w:tcW w:w="1341" w:type="dxa"/>
            <w:noWrap w:val="0"/>
            <w:vAlign w:val="center"/>
          </w:tcPr>
          <w:p w14:paraId="6307FE63">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color w:val="auto"/>
                <w:sz w:val="24"/>
                <w:szCs w:val="24"/>
                <w:highlight w:val="none"/>
                <w:lang w:val="en-US" w:eastAsia="zh-CN"/>
              </w:rPr>
              <w:t>0.9</w:t>
            </w:r>
          </w:p>
        </w:tc>
        <w:tc>
          <w:tcPr>
            <w:tcW w:w="1390" w:type="dxa"/>
            <w:noWrap w:val="0"/>
            <w:vAlign w:val="center"/>
          </w:tcPr>
          <w:p w14:paraId="5FE3B81C">
            <w:pPr>
              <w:pStyle w:val="6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color w:val="auto"/>
                <w:spacing w:val="0"/>
                <w:kern w:val="2"/>
                <w:sz w:val="24"/>
                <w:szCs w:val="24"/>
                <w:highlight w:val="none"/>
                <w:lang w:val="en-US" w:eastAsia="zh-CN" w:bidi="ar-SA"/>
              </w:rPr>
              <w:t>/</w:t>
            </w:r>
          </w:p>
        </w:tc>
        <w:tc>
          <w:tcPr>
            <w:tcW w:w="1595" w:type="dxa"/>
            <w:noWrap w:val="0"/>
            <w:vAlign w:val="center"/>
          </w:tcPr>
          <w:p w14:paraId="7FBFDAC8">
            <w:pPr>
              <w:pStyle w:val="69"/>
              <w:rPr>
                <w:rFonts w:hint="default" w:ascii="Times New Roman" w:hAnsi="Times New Roman" w:eastAsia="宋体" w:cs="Times New Roman"/>
                <w:bCs/>
                <w:caps w:val="0"/>
                <w:color w:val="auto"/>
                <w:spacing w:val="0"/>
                <w:sz w:val="24"/>
                <w:szCs w:val="24"/>
                <w:highlight w:val="none"/>
                <w:lang w:val="en-US" w:eastAsia="zh-CN"/>
              </w:rPr>
            </w:pPr>
            <w:r>
              <w:rPr>
                <w:rFonts w:hint="default" w:ascii="Times New Roman" w:hAnsi="Times New Roman" w:cs="Times New Roman"/>
                <w:bCs/>
                <w:caps w:val="0"/>
                <w:color w:val="auto"/>
                <w:spacing w:val="0"/>
                <w:sz w:val="24"/>
                <w:szCs w:val="24"/>
                <w:highlight w:val="none"/>
                <w:lang w:val="en-US" w:eastAsia="zh-CN"/>
              </w:rPr>
              <w:t>0</w:t>
            </w:r>
          </w:p>
        </w:tc>
        <w:tc>
          <w:tcPr>
            <w:tcW w:w="1416" w:type="dxa"/>
            <w:noWrap w:val="0"/>
            <w:vAlign w:val="center"/>
          </w:tcPr>
          <w:p w14:paraId="3C73A5D6">
            <w:pPr>
              <w:pStyle w:val="6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color w:val="auto"/>
                <w:spacing w:val="0"/>
                <w:kern w:val="2"/>
                <w:sz w:val="24"/>
                <w:szCs w:val="24"/>
                <w:highlight w:val="none"/>
                <w:lang w:val="en-US" w:eastAsia="zh-CN" w:bidi="ar-SA"/>
              </w:rPr>
              <w:t>0</w:t>
            </w:r>
          </w:p>
        </w:tc>
        <w:tc>
          <w:tcPr>
            <w:tcW w:w="1745" w:type="dxa"/>
            <w:noWrap w:val="0"/>
            <w:vAlign w:val="center"/>
          </w:tcPr>
          <w:p w14:paraId="31D28A57">
            <w:pPr>
              <w:keepNext w:val="0"/>
              <w:keepLines w:val="0"/>
              <w:pageBreakBefore w:val="0"/>
              <w:widowControl w:val="0"/>
              <w:kinsoku/>
              <w:wordWrap/>
              <w:overflowPunct/>
              <w:topLinePunct w:val="0"/>
              <w:bidi w:val="0"/>
              <w:adjustRightInd w:val="0"/>
              <w:spacing w:line="240" w:lineRule="auto"/>
              <w:ind w:firstLine="0" w:firstLineChars="0"/>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z w:val="24"/>
                <w:szCs w:val="24"/>
                <w:highlight w:val="none"/>
                <w:lang w:val="en-US" w:eastAsia="zh-CN"/>
              </w:rPr>
              <w:t>0.9</w:t>
            </w:r>
          </w:p>
        </w:tc>
        <w:tc>
          <w:tcPr>
            <w:tcW w:w="1506" w:type="dxa"/>
            <w:noWrap w:val="0"/>
            <w:vAlign w:val="center"/>
          </w:tcPr>
          <w:p w14:paraId="416127A8">
            <w:pPr>
              <w:pStyle w:val="6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0</w:t>
            </w:r>
          </w:p>
        </w:tc>
      </w:tr>
      <w:tr w14:paraId="21C965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2" w:type="dxa"/>
            <w:vMerge w:val="restart"/>
            <w:noWrap w:val="0"/>
            <w:vAlign w:val="center"/>
          </w:tcPr>
          <w:p w14:paraId="48897C8E">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bCs/>
                <w:snapToGrid w:val="0"/>
                <w:color w:val="auto"/>
                <w:spacing w:val="0"/>
                <w:kern w:val="21"/>
                <w:sz w:val="24"/>
                <w:szCs w:val="24"/>
                <w:highlight w:val="none"/>
              </w:rPr>
              <w:t>一般工业</w:t>
            </w:r>
          </w:p>
          <w:p w14:paraId="04310DF3">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bCs/>
                <w:snapToGrid w:val="0"/>
                <w:color w:val="auto"/>
                <w:spacing w:val="0"/>
                <w:kern w:val="21"/>
                <w:sz w:val="24"/>
                <w:szCs w:val="24"/>
                <w:highlight w:val="none"/>
              </w:rPr>
              <w:t>固体废物</w:t>
            </w:r>
          </w:p>
        </w:tc>
        <w:tc>
          <w:tcPr>
            <w:tcW w:w="1443" w:type="dxa"/>
            <w:noWrap w:val="0"/>
            <w:vAlign w:val="center"/>
          </w:tcPr>
          <w:p w14:paraId="7569A760">
            <w:pPr>
              <w:pStyle w:val="6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除尘器粉尘</w:t>
            </w:r>
          </w:p>
        </w:tc>
        <w:tc>
          <w:tcPr>
            <w:tcW w:w="1524" w:type="dxa"/>
            <w:noWrap w:val="0"/>
            <w:vAlign w:val="center"/>
          </w:tcPr>
          <w:p w14:paraId="1CF26B21">
            <w:pPr>
              <w:pStyle w:val="6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w:t>
            </w:r>
          </w:p>
        </w:tc>
        <w:tc>
          <w:tcPr>
            <w:tcW w:w="1341" w:type="dxa"/>
            <w:noWrap w:val="0"/>
            <w:vAlign w:val="center"/>
          </w:tcPr>
          <w:p w14:paraId="308421E7">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color w:val="auto"/>
                <w:spacing w:val="0"/>
                <w:kern w:val="2"/>
                <w:sz w:val="24"/>
                <w:szCs w:val="24"/>
                <w:highlight w:val="none"/>
                <w:lang w:val="en-US" w:eastAsia="zh-CN" w:bidi="ar-SA"/>
              </w:rPr>
              <w:t>/</w:t>
            </w:r>
          </w:p>
        </w:tc>
        <w:tc>
          <w:tcPr>
            <w:tcW w:w="1390" w:type="dxa"/>
            <w:noWrap w:val="0"/>
            <w:vAlign w:val="center"/>
          </w:tcPr>
          <w:p w14:paraId="1792A17C">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r>
              <w:rPr>
                <w:rFonts w:hint="default" w:ascii="Times New Roman" w:hAnsi="Times New Roman" w:eastAsia="宋体" w:cs="Times New Roman"/>
                <w:color w:val="auto"/>
                <w:spacing w:val="0"/>
                <w:kern w:val="2"/>
                <w:sz w:val="24"/>
                <w:szCs w:val="24"/>
                <w:highlight w:val="none"/>
                <w:lang w:val="en-US" w:eastAsia="zh-CN" w:bidi="ar-SA"/>
              </w:rPr>
              <w:t>/</w:t>
            </w:r>
          </w:p>
        </w:tc>
        <w:tc>
          <w:tcPr>
            <w:tcW w:w="1595" w:type="dxa"/>
            <w:noWrap w:val="0"/>
            <w:vAlign w:val="center"/>
          </w:tcPr>
          <w:p w14:paraId="7ECADCBD">
            <w:pPr>
              <w:pStyle w:val="69"/>
              <w:rPr>
                <w:rFonts w:hint="default" w:ascii="Times New Roman" w:hAnsi="Times New Roman" w:eastAsia="宋体" w:cs="Times New Roman"/>
                <w:bCs/>
                <w:snapToGrid w:val="0"/>
                <w:color w:val="auto"/>
                <w:spacing w:val="0"/>
                <w:kern w:val="21"/>
                <w:sz w:val="24"/>
                <w:szCs w:val="24"/>
                <w:highlight w:val="none"/>
                <w:lang w:val="en-US" w:eastAsia="zh-CN" w:bidi="ar-SA"/>
              </w:rPr>
            </w:pPr>
            <w:r>
              <w:rPr>
                <w:rFonts w:hint="default" w:ascii="Times New Roman" w:hAnsi="Times New Roman" w:cs="Times New Roman"/>
                <w:color w:val="auto"/>
                <w:spacing w:val="0"/>
                <w:sz w:val="24"/>
                <w:szCs w:val="24"/>
                <w:highlight w:val="none"/>
                <w:lang w:val="en-US" w:eastAsia="zh-CN"/>
              </w:rPr>
              <w:t>488.585</w:t>
            </w:r>
          </w:p>
        </w:tc>
        <w:tc>
          <w:tcPr>
            <w:tcW w:w="1416" w:type="dxa"/>
            <w:noWrap w:val="0"/>
            <w:vAlign w:val="center"/>
          </w:tcPr>
          <w:p w14:paraId="23A9A71A">
            <w:pPr>
              <w:pStyle w:val="69"/>
              <w:rPr>
                <w:rFonts w:hint="default" w:ascii="Times New Roman" w:hAnsi="Times New Roman" w:eastAsia="宋体" w:cs="Times New Roman"/>
                <w:bCs/>
                <w:snapToGrid w:val="0"/>
                <w:color w:val="auto"/>
                <w:spacing w:val="0"/>
                <w:kern w:val="21"/>
                <w:sz w:val="24"/>
                <w:szCs w:val="24"/>
                <w:highlight w:val="none"/>
                <w:lang w:val="en-US"/>
              </w:rPr>
            </w:pPr>
            <w:r>
              <w:rPr>
                <w:rFonts w:hint="default" w:ascii="Times New Roman" w:hAnsi="Times New Roman" w:cs="Times New Roman"/>
                <w:color w:val="auto"/>
                <w:spacing w:val="0"/>
                <w:sz w:val="24"/>
                <w:szCs w:val="24"/>
                <w:highlight w:val="none"/>
                <w:lang w:val="en-US" w:eastAsia="zh-CN"/>
              </w:rPr>
              <w:t>0</w:t>
            </w:r>
          </w:p>
        </w:tc>
        <w:tc>
          <w:tcPr>
            <w:tcW w:w="1745" w:type="dxa"/>
            <w:noWrap w:val="0"/>
            <w:vAlign w:val="center"/>
          </w:tcPr>
          <w:p w14:paraId="0B789FFC">
            <w:pPr>
              <w:pStyle w:val="69"/>
              <w:rPr>
                <w:rFonts w:hint="default" w:ascii="Times New Roman" w:hAnsi="Times New Roman" w:eastAsia="宋体" w:cs="Times New Roman"/>
                <w:bCs/>
                <w:snapToGrid w:val="0"/>
                <w:color w:val="auto"/>
                <w:spacing w:val="0"/>
                <w:kern w:val="21"/>
                <w:sz w:val="24"/>
                <w:szCs w:val="24"/>
                <w:highlight w:val="none"/>
                <w:lang w:val="en-US" w:eastAsia="zh-CN" w:bidi="ar-SA"/>
              </w:rPr>
            </w:pPr>
            <w:r>
              <w:rPr>
                <w:rFonts w:hint="default" w:ascii="Times New Roman" w:hAnsi="Times New Roman" w:cs="Times New Roman"/>
                <w:color w:val="auto"/>
                <w:spacing w:val="0"/>
                <w:sz w:val="24"/>
                <w:szCs w:val="24"/>
                <w:highlight w:val="none"/>
                <w:lang w:val="en-US" w:eastAsia="zh-CN"/>
              </w:rPr>
              <w:t>488.585</w:t>
            </w:r>
          </w:p>
        </w:tc>
        <w:tc>
          <w:tcPr>
            <w:tcW w:w="1506" w:type="dxa"/>
            <w:noWrap w:val="0"/>
            <w:vAlign w:val="center"/>
          </w:tcPr>
          <w:p w14:paraId="432BE7AB">
            <w:pPr>
              <w:pStyle w:val="69"/>
              <w:rPr>
                <w:rFonts w:hint="default" w:ascii="Times New Roman" w:hAnsi="Times New Roman" w:eastAsia="宋体" w:cs="Times New Roman"/>
                <w:bCs/>
                <w:snapToGrid w:val="0"/>
                <w:color w:val="auto"/>
                <w:spacing w:val="0"/>
                <w:kern w:val="21"/>
                <w:sz w:val="24"/>
                <w:szCs w:val="24"/>
                <w:highlight w:val="none"/>
                <w:lang w:val="en-US" w:eastAsia="zh-CN" w:bidi="ar-SA"/>
              </w:rPr>
            </w:pPr>
            <w:r>
              <w:rPr>
                <w:rFonts w:hint="default" w:ascii="Times New Roman" w:hAnsi="Times New Roman" w:cs="Times New Roman"/>
                <w:bCs/>
                <w:snapToGrid w:val="0"/>
                <w:color w:val="auto"/>
                <w:spacing w:val="0"/>
                <w:kern w:val="21"/>
                <w:sz w:val="24"/>
                <w:szCs w:val="24"/>
                <w:highlight w:val="none"/>
                <w:lang w:val="en-US" w:eastAsia="zh-CN" w:bidi="ar-SA"/>
              </w:rPr>
              <w:t>488.585</w:t>
            </w:r>
          </w:p>
        </w:tc>
      </w:tr>
      <w:tr w14:paraId="1307C8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2" w:type="dxa"/>
            <w:vMerge w:val="continue"/>
            <w:noWrap w:val="0"/>
            <w:vAlign w:val="center"/>
          </w:tcPr>
          <w:p w14:paraId="2A8D30F0">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p>
        </w:tc>
        <w:tc>
          <w:tcPr>
            <w:tcW w:w="1443" w:type="dxa"/>
            <w:noWrap w:val="0"/>
            <w:vAlign w:val="center"/>
          </w:tcPr>
          <w:p w14:paraId="4B99DC87">
            <w:pPr>
              <w:pStyle w:val="6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lang w:val="en-US" w:eastAsia="zh-CN"/>
              </w:rPr>
              <w:t>锅炉灰渣</w:t>
            </w:r>
          </w:p>
        </w:tc>
        <w:tc>
          <w:tcPr>
            <w:tcW w:w="1524" w:type="dxa"/>
            <w:noWrap w:val="0"/>
            <w:vAlign w:val="center"/>
          </w:tcPr>
          <w:p w14:paraId="145D8A8D">
            <w:pPr>
              <w:pStyle w:val="6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1700</w:t>
            </w:r>
          </w:p>
        </w:tc>
        <w:tc>
          <w:tcPr>
            <w:tcW w:w="1341" w:type="dxa"/>
            <w:noWrap w:val="0"/>
            <w:vAlign w:val="center"/>
          </w:tcPr>
          <w:p w14:paraId="62B7674E">
            <w:pPr>
              <w:pStyle w:val="72"/>
              <w:spacing w:beforeLines="0" w:afterLines="0" w:line="240" w:lineRule="auto"/>
              <w:ind w:firstLine="0" w:firstLineChars="0"/>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w:t>
            </w:r>
          </w:p>
        </w:tc>
        <w:tc>
          <w:tcPr>
            <w:tcW w:w="1390" w:type="dxa"/>
            <w:noWrap w:val="0"/>
            <w:vAlign w:val="center"/>
          </w:tcPr>
          <w:p w14:paraId="59600544">
            <w:pPr>
              <w:pStyle w:val="72"/>
              <w:spacing w:beforeLines="0" w:afterLines="0" w:line="240" w:lineRule="auto"/>
              <w:ind w:firstLine="0" w:firstLineChars="0"/>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w:t>
            </w:r>
          </w:p>
        </w:tc>
        <w:tc>
          <w:tcPr>
            <w:tcW w:w="1595" w:type="dxa"/>
            <w:noWrap w:val="0"/>
            <w:vAlign w:val="center"/>
          </w:tcPr>
          <w:p w14:paraId="4DAD7AD3">
            <w:pPr>
              <w:pStyle w:val="69"/>
              <w:rPr>
                <w:rFonts w:hint="default" w:ascii="Times New Roman" w:hAnsi="Times New Roman" w:eastAsia="宋体"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686.923</w:t>
            </w:r>
          </w:p>
        </w:tc>
        <w:tc>
          <w:tcPr>
            <w:tcW w:w="1416" w:type="dxa"/>
            <w:noWrap w:val="0"/>
            <w:vAlign w:val="center"/>
          </w:tcPr>
          <w:p w14:paraId="036E0FBE">
            <w:pPr>
              <w:pStyle w:val="6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color w:val="auto"/>
                <w:spacing w:val="0"/>
                <w:sz w:val="24"/>
                <w:szCs w:val="24"/>
                <w:highlight w:val="none"/>
                <w:lang w:val="en-US" w:eastAsia="zh-CN"/>
              </w:rPr>
              <w:t>1700</w:t>
            </w:r>
          </w:p>
        </w:tc>
        <w:tc>
          <w:tcPr>
            <w:tcW w:w="1745" w:type="dxa"/>
            <w:noWrap w:val="0"/>
            <w:vAlign w:val="center"/>
          </w:tcPr>
          <w:p w14:paraId="6042F427">
            <w:pPr>
              <w:pStyle w:val="69"/>
              <w:rPr>
                <w:rFonts w:hint="default" w:ascii="Times New Roman" w:hAnsi="Times New Roman" w:eastAsia="宋体"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686.923</w:t>
            </w:r>
          </w:p>
        </w:tc>
        <w:tc>
          <w:tcPr>
            <w:tcW w:w="1506" w:type="dxa"/>
            <w:noWrap w:val="0"/>
            <w:vAlign w:val="center"/>
          </w:tcPr>
          <w:p w14:paraId="4B4F75F0">
            <w:pPr>
              <w:pStyle w:val="6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w:t>
            </w:r>
            <w:r>
              <w:rPr>
                <w:rFonts w:hint="eastAsia" w:cs="Times New Roman"/>
                <w:color w:val="auto"/>
                <w:spacing w:val="0"/>
                <w:sz w:val="24"/>
                <w:szCs w:val="24"/>
                <w:highlight w:val="none"/>
                <w:lang w:val="en-US" w:eastAsia="zh-CN"/>
              </w:rPr>
              <w:t>1013.077</w:t>
            </w:r>
          </w:p>
        </w:tc>
      </w:tr>
      <w:tr w14:paraId="5D91D4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2" w:type="dxa"/>
            <w:vMerge w:val="continue"/>
            <w:noWrap w:val="0"/>
            <w:vAlign w:val="center"/>
          </w:tcPr>
          <w:p w14:paraId="56C67AB4">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p>
        </w:tc>
        <w:tc>
          <w:tcPr>
            <w:tcW w:w="1443" w:type="dxa"/>
            <w:shd w:val="clear" w:color="auto" w:fill="auto"/>
            <w:noWrap w:val="0"/>
            <w:vAlign w:val="center"/>
          </w:tcPr>
          <w:p w14:paraId="328DFCFA">
            <w:pPr>
              <w:pStyle w:val="6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2"/>
                <w:position w:val="2"/>
                <w:sz w:val="24"/>
                <w:szCs w:val="24"/>
                <w:highlight w:val="none"/>
              </w:rPr>
              <w:t>废包装物</w:t>
            </w:r>
          </w:p>
        </w:tc>
        <w:tc>
          <w:tcPr>
            <w:tcW w:w="1524" w:type="dxa"/>
            <w:shd w:val="clear" w:color="auto" w:fill="auto"/>
            <w:noWrap w:val="0"/>
            <w:vAlign w:val="center"/>
          </w:tcPr>
          <w:p w14:paraId="4D0E67A7">
            <w:pPr>
              <w:pStyle w:val="6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rPr>
              <w:t>1.2</w:t>
            </w:r>
          </w:p>
        </w:tc>
        <w:tc>
          <w:tcPr>
            <w:tcW w:w="1341" w:type="dxa"/>
            <w:noWrap w:val="0"/>
            <w:vAlign w:val="center"/>
          </w:tcPr>
          <w:p w14:paraId="07D467C1">
            <w:pPr>
              <w:pStyle w:val="72"/>
              <w:spacing w:beforeLines="0" w:afterLines="0" w:line="240" w:lineRule="auto"/>
              <w:ind w:firstLine="0" w:firstLineChars="0"/>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w:t>
            </w:r>
          </w:p>
        </w:tc>
        <w:tc>
          <w:tcPr>
            <w:tcW w:w="1390" w:type="dxa"/>
            <w:noWrap w:val="0"/>
            <w:vAlign w:val="center"/>
          </w:tcPr>
          <w:p w14:paraId="48F9D6E6">
            <w:pPr>
              <w:pStyle w:val="72"/>
              <w:spacing w:beforeLines="0" w:afterLines="0" w:line="240" w:lineRule="auto"/>
              <w:ind w:firstLine="0" w:firstLineChars="0"/>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w:t>
            </w:r>
          </w:p>
        </w:tc>
        <w:tc>
          <w:tcPr>
            <w:tcW w:w="1595" w:type="dxa"/>
            <w:noWrap w:val="0"/>
            <w:vAlign w:val="center"/>
          </w:tcPr>
          <w:p w14:paraId="360B6FB5">
            <w:pPr>
              <w:pStyle w:val="72"/>
              <w:spacing w:beforeLines="0" w:afterLines="0" w:line="240" w:lineRule="auto"/>
              <w:ind w:firstLine="0" w:firstLineChars="0"/>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kern w:val="2"/>
                <w:sz w:val="24"/>
                <w:szCs w:val="24"/>
                <w:highlight w:val="none"/>
                <w:lang w:val="en-US" w:eastAsia="zh-CN" w:bidi="ar-SA"/>
              </w:rPr>
              <w:t>3.299</w:t>
            </w:r>
          </w:p>
        </w:tc>
        <w:tc>
          <w:tcPr>
            <w:tcW w:w="1416" w:type="dxa"/>
            <w:noWrap w:val="0"/>
            <w:vAlign w:val="center"/>
          </w:tcPr>
          <w:p w14:paraId="51F85853">
            <w:pPr>
              <w:pStyle w:val="6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rPr>
              <w:t>1.2</w:t>
            </w:r>
          </w:p>
        </w:tc>
        <w:tc>
          <w:tcPr>
            <w:tcW w:w="1745" w:type="dxa"/>
            <w:noWrap w:val="0"/>
            <w:vAlign w:val="center"/>
          </w:tcPr>
          <w:p w14:paraId="71E26E3B">
            <w:pPr>
              <w:pStyle w:val="72"/>
              <w:spacing w:beforeLines="0" w:afterLines="0" w:line="240" w:lineRule="auto"/>
              <w:ind w:firstLine="0" w:firstLineChars="0"/>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kern w:val="2"/>
                <w:sz w:val="24"/>
                <w:szCs w:val="24"/>
                <w:highlight w:val="none"/>
                <w:lang w:val="en-US" w:eastAsia="zh-CN" w:bidi="ar-SA"/>
              </w:rPr>
              <w:t>3.299</w:t>
            </w:r>
          </w:p>
        </w:tc>
        <w:tc>
          <w:tcPr>
            <w:tcW w:w="1506" w:type="dxa"/>
            <w:noWrap w:val="0"/>
            <w:vAlign w:val="center"/>
          </w:tcPr>
          <w:p w14:paraId="129B3777">
            <w:pPr>
              <w:pStyle w:val="6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2.099</w:t>
            </w:r>
          </w:p>
        </w:tc>
      </w:tr>
      <w:tr w14:paraId="79C2F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2" w:type="dxa"/>
            <w:vMerge w:val="continue"/>
            <w:noWrap w:val="0"/>
            <w:vAlign w:val="center"/>
          </w:tcPr>
          <w:p w14:paraId="31A31BD0">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rPr>
            </w:pPr>
          </w:p>
        </w:tc>
        <w:tc>
          <w:tcPr>
            <w:tcW w:w="1443" w:type="dxa"/>
            <w:shd w:val="clear" w:color="auto" w:fill="auto"/>
            <w:noWrap w:val="0"/>
            <w:vAlign w:val="center"/>
          </w:tcPr>
          <w:p w14:paraId="771B8800">
            <w:pPr>
              <w:pStyle w:val="6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2"/>
                <w:position w:val="2"/>
                <w:sz w:val="24"/>
                <w:szCs w:val="24"/>
                <w:highlight w:val="none"/>
              </w:rPr>
              <w:t>废布袋</w:t>
            </w:r>
          </w:p>
        </w:tc>
        <w:tc>
          <w:tcPr>
            <w:tcW w:w="1524" w:type="dxa"/>
            <w:shd w:val="clear" w:color="auto" w:fill="auto"/>
            <w:noWrap w:val="0"/>
            <w:vAlign w:val="center"/>
          </w:tcPr>
          <w:p w14:paraId="1AFC574B">
            <w:pPr>
              <w:pStyle w:val="6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rPr>
              <w:t>0.5</w:t>
            </w:r>
          </w:p>
        </w:tc>
        <w:tc>
          <w:tcPr>
            <w:tcW w:w="1341" w:type="dxa"/>
            <w:noWrap w:val="0"/>
            <w:vAlign w:val="center"/>
          </w:tcPr>
          <w:p w14:paraId="42CD0356">
            <w:pPr>
              <w:pStyle w:val="72"/>
              <w:spacing w:beforeLines="0" w:afterLines="0" w:line="240" w:lineRule="auto"/>
              <w:ind w:firstLine="0" w:firstLineChars="0"/>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w:t>
            </w:r>
          </w:p>
        </w:tc>
        <w:tc>
          <w:tcPr>
            <w:tcW w:w="1390" w:type="dxa"/>
            <w:noWrap w:val="0"/>
            <w:vAlign w:val="center"/>
          </w:tcPr>
          <w:p w14:paraId="52F98473">
            <w:pPr>
              <w:pStyle w:val="72"/>
              <w:spacing w:beforeLines="0" w:afterLines="0" w:line="240" w:lineRule="auto"/>
              <w:ind w:firstLine="0" w:firstLineChars="0"/>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w:t>
            </w:r>
          </w:p>
        </w:tc>
        <w:tc>
          <w:tcPr>
            <w:tcW w:w="1595" w:type="dxa"/>
            <w:noWrap w:val="0"/>
            <w:vAlign w:val="center"/>
          </w:tcPr>
          <w:p w14:paraId="72BB3124">
            <w:pPr>
              <w:pStyle w:val="72"/>
              <w:spacing w:beforeLines="0" w:afterLines="0" w:line="240" w:lineRule="auto"/>
              <w:ind w:firstLine="0" w:firstLineChars="0"/>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kern w:val="2"/>
                <w:sz w:val="24"/>
                <w:szCs w:val="24"/>
                <w:highlight w:val="none"/>
                <w:lang w:val="en-US" w:eastAsia="zh-CN" w:bidi="ar-SA"/>
              </w:rPr>
              <w:t>0.5</w:t>
            </w:r>
          </w:p>
        </w:tc>
        <w:tc>
          <w:tcPr>
            <w:tcW w:w="1416" w:type="dxa"/>
            <w:noWrap w:val="0"/>
            <w:vAlign w:val="center"/>
          </w:tcPr>
          <w:p w14:paraId="1A3F6584">
            <w:pPr>
              <w:pStyle w:val="6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rPr>
              <w:t>0.5</w:t>
            </w:r>
          </w:p>
        </w:tc>
        <w:tc>
          <w:tcPr>
            <w:tcW w:w="1745" w:type="dxa"/>
            <w:noWrap w:val="0"/>
            <w:vAlign w:val="center"/>
          </w:tcPr>
          <w:p w14:paraId="21654A09">
            <w:pPr>
              <w:pStyle w:val="72"/>
              <w:spacing w:beforeLines="0" w:afterLines="0" w:line="240" w:lineRule="auto"/>
              <w:ind w:firstLine="0" w:firstLineChars="0"/>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kern w:val="2"/>
                <w:sz w:val="24"/>
                <w:szCs w:val="24"/>
                <w:highlight w:val="none"/>
                <w:lang w:val="en-US" w:eastAsia="zh-CN" w:bidi="ar-SA"/>
              </w:rPr>
              <w:t>0.5</w:t>
            </w:r>
          </w:p>
        </w:tc>
        <w:tc>
          <w:tcPr>
            <w:tcW w:w="1506" w:type="dxa"/>
            <w:noWrap w:val="0"/>
            <w:vAlign w:val="center"/>
          </w:tcPr>
          <w:p w14:paraId="42138ABB">
            <w:pPr>
              <w:pStyle w:val="6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0</w:t>
            </w:r>
          </w:p>
        </w:tc>
      </w:tr>
      <w:tr w14:paraId="0EE3C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2" w:type="dxa"/>
            <w:noWrap w:val="0"/>
            <w:vAlign w:val="center"/>
          </w:tcPr>
          <w:p w14:paraId="261CD753">
            <w:pPr>
              <w:pStyle w:val="72"/>
              <w:spacing w:beforeLines="0" w:afterLines="0" w:line="240" w:lineRule="auto"/>
              <w:ind w:firstLine="0" w:firstLineChars="0"/>
              <w:rPr>
                <w:rFonts w:hint="default" w:ascii="Times New Roman" w:hAnsi="Times New Roman" w:eastAsia="宋体" w:cs="Times New Roman"/>
                <w:bCs/>
                <w:snapToGrid w:val="0"/>
                <w:color w:val="auto"/>
                <w:spacing w:val="0"/>
                <w:kern w:val="21"/>
                <w:sz w:val="24"/>
                <w:szCs w:val="24"/>
                <w:highlight w:val="none"/>
                <w:lang w:val="en-US" w:eastAsia="zh-CN"/>
              </w:rPr>
            </w:pPr>
            <w:r>
              <w:rPr>
                <w:rFonts w:hint="default" w:ascii="Times New Roman" w:hAnsi="Times New Roman" w:eastAsia="宋体" w:cs="Times New Roman"/>
                <w:bCs/>
                <w:snapToGrid w:val="0"/>
                <w:color w:val="auto"/>
                <w:spacing w:val="0"/>
                <w:kern w:val="21"/>
                <w:sz w:val="24"/>
                <w:szCs w:val="24"/>
                <w:highlight w:val="none"/>
                <w:lang w:val="en-US" w:eastAsia="zh-CN"/>
              </w:rPr>
              <w:t>危险废物</w:t>
            </w:r>
          </w:p>
        </w:tc>
        <w:tc>
          <w:tcPr>
            <w:tcW w:w="1443" w:type="dxa"/>
            <w:shd w:val="clear" w:color="auto" w:fill="auto"/>
            <w:noWrap w:val="0"/>
            <w:vAlign w:val="center"/>
          </w:tcPr>
          <w:p w14:paraId="77611B68">
            <w:pPr>
              <w:pStyle w:val="6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rPr>
              <w:t>废</w:t>
            </w:r>
            <w:r>
              <w:rPr>
                <w:rFonts w:hint="default" w:ascii="Times New Roman" w:hAnsi="Times New Roman" w:cs="Times New Roman"/>
                <w:color w:val="auto"/>
                <w:spacing w:val="0"/>
                <w:sz w:val="24"/>
                <w:szCs w:val="24"/>
                <w:highlight w:val="none"/>
                <w:lang w:val="en-US" w:eastAsia="zh-CN"/>
              </w:rPr>
              <w:t>润滑油</w:t>
            </w:r>
          </w:p>
        </w:tc>
        <w:tc>
          <w:tcPr>
            <w:tcW w:w="1524" w:type="dxa"/>
            <w:shd w:val="clear" w:color="auto" w:fill="auto"/>
            <w:noWrap w:val="0"/>
            <w:vAlign w:val="center"/>
          </w:tcPr>
          <w:p w14:paraId="3276C1B9">
            <w:pPr>
              <w:pStyle w:val="69"/>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color w:val="auto"/>
                <w:spacing w:val="0"/>
                <w:sz w:val="24"/>
                <w:szCs w:val="24"/>
                <w:highlight w:val="none"/>
                <w:lang w:val="en-US" w:eastAsia="zh-CN"/>
              </w:rPr>
              <w:t>0.02</w:t>
            </w:r>
          </w:p>
        </w:tc>
        <w:tc>
          <w:tcPr>
            <w:tcW w:w="1341" w:type="dxa"/>
            <w:shd w:val="clear" w:color="auto" w:fill="auto"/>
            <w:noWrap w:val="0"/>
            <w:vAlign w:val="center"/>
          </w:tcPr>
          <w:p w14:paraId="543FA3A4">
            <w:pPr>
              <w:pStyle w:val="72"/>
              <w:spacing w:beforeLines="0" w:afterLines="0" w:line="240" w:lineRule="auto"/>
              <w:ind w:firstLine="0" w:firstLineChars="0"/>
              <w:rPr>
                <w:rFonts w:hint="default" w:ascii="Times New Roman" w:hAnsi="Times New Roman" w:eastAsia="宋体" w:cs="Times New Roman"/>
                <w:bCs w:val="0"/>
                <w:color w:val="auto"/>
                <w:spacing w:val="0"/>
                <w:kern w:val="2"/>
                <w:sz w:val="24"/>
                <w:szCs w:val="24"/>
                <w:highlight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w:t>
            </w:r>
          </w:p>
        </w:tc>
        <w:tc>
          <w:tcPr>
            <w:tcW w:w="1390" w:type="dxa"/>
            <w:shd w:val="clear" w:color="auto" w:fill="auto"/>
            <w:noWrap w:val="0"/>
            <w:vAlign w:val="center"/>
          </w:tcPr>
          <w:p w14:paraId="05654BF6">
            <w:pPr>
              <w:pStyle w:val="72"/>
              <w:spacing w:beforeLines="0" w:afterLines="0" w:line="240" w:lineRule="auto"/>
              <w:ind w:firstLine="0" w:firstLineChars="0"/>
              <w:rPr>
                <w:rFonts w:hint="default" w:ascii="Times New Roman" w:hAnsi="Times New Roman" w:eastAsia="宋体" w:cs="Times New Roman"/>
                <w:bCs w:val="0"/>
                <w:color w:val="auto"/>
                <w:spacing w:val="0"/>
                <w:kern w:val="2"/>
                <w:sz w:val="24"/>
                <w:szCs w:val="24"/>
                <w:highlight w:val="none"/>
                <w:lang w:val="en-US" w:eastAsia="zh-CN" w:bidi="ar-SA"/>
              </w:rPr>
            </w:pPr>
            <w:r>
              <w:rPr>
                <w:rFonts w:hint="default" w:ascii="Times New Roman" w:hAnsi="Times New Roman" w:eastAsia="宋体" w:cs="Times New Roman"/>
                <w:color w:val="auto"/>
                <w:spacing w:val="0"/>
                <w:kern w:val="2"/>
                <w:sz w:val="24"/>
                <w:szCs w:val="24"/>
                <w:highlight w:val="none"/>
                <w:lang w:val="en-US" w:eastAsia="zh-CN" w:bidi="ar-SA"/>
              </w:rPr>
              <w:t>/</w:t>
            </w:r>
          </w:p>
        </w:tc>
        <w:tc>
          <w:tcPr>
            <w:tcW w:w="1595" w:type="dxa"/>
            <w:shd w:val="clear" w:color="auto" w:fill="auto"/>
            <w:noWrap w:val="0"/>
            <w:vAlign w:val="center"/>
          </w:tcPr>
          <w:p w14:paraId="64EE96D0">
            <w:pPr>
              <w:spacing w:beforeLines="0" w:afterLines="0" w:line="240" w:lineRule="auto"/>
              <w:ind w:firstLine="480" w:firstLineChars="200"/>
              <w:rPr>
                <w:rFonts w:hint="default" w:ascii="Times New Roman" w:hAnsi="Times New Roman" w:eastAsia="宋体" w:cs="Times New Roman"/>
                <w:bCs w:val="0"/>
                <w:color w:val="auto"/>
                <w:spacing w:val="0"/>
                <w:kern w:val="2"/>
                <w:sz w:val="24"/>
                <w:szCs w:val="24"/>
                <w:highlight w:val="none"/>
                <w:lang w:val="en-US" w:eastAsia="zh-CN" w:bidi="ar-SA"/>
              </w:rPr>
            </w:pPr>
            <w:r>
              <w:rPr>
                <w:rFonts w:hint="default" w:ascii="Times New Roman" w:hAnsi="Times New Roman" w:cs="Times New Roman"/>
                <w:color w:val="auto"/>
                <w:spacing w:val="0"/>
                <w:sz w:val="24"/>
                <w:szCs w:val="24"/>
                <w:highlight w:val="none"/>
                <w:lang w:val="en-US" w:eastAsia="zh-CN"/>
              </w:rPr>
              <w:t>0.02</w:t>
            </w:r>
          </w:p>
        </w:tc>
        <w:tc>
          <w:tcPr>
            <w:tcW w:w="1416" w:type="dxa"/>
            <w:noWrap w:val="0"/>
            <w:vAlign w:val="center"/>
          </w:tcPr>
          <w:p w14:paraId="044B0002">
            <w:pPr>
              <w:spacing w:beforeLines="0" w:afterLines="0" w:line="240" w:lineRule="auto"/>
              <w:ind w:firstLine="480" w:firstLineChars="200"/>
              <w:rPr>
                <w:rFonts w:hint="default" w:ascii="Times New Roman" w:hAnsi="Times New Roman" w:eastAsia="宋体" w:cs="Times New Roman"/>
                <w:color w:val="auto"/>
                <w:spacing w:val="0"/>
                <w:kern w:val="2"/>
                <w:sz w:val="24"/>
                <w:szCs w:val="24"/>
                <w:highlight w:val="none"/>
                <w:lang w:val="en-US" w:eastAsia="zh-CN" w:bidi="ar-SA"/>
              </w:rPr>
            </w:pPr>
            <w:r>
              <w:rPr>
                <w:rFonts w:hint="default" w:ascii="Times New Roman" w:hAnsi="Times New Roman" w:cs="Times New Roman"/>
                <w:color w:val="auto"/>
                <w:spacing w:val="0"/>
                <w:sz w:val="24"/>
                <w:szCs w:val="24"/>
                <w:highlight w:val="none"/>
                <w:lang w:val="en-US" w:eastAsia="zh-CN"/>
              </w:rPr>
              <w:t>0.02</w:t>
            </w:r>
          </w:p>
        </w:tc>
        <w:tc>
          <w:tcPr>
            <w:tcW w:w="1745" w:type="dxa"/>
            <w:noWrap w:val="0"/>
            <w:vAlign w:val="center"/>
          </w:tcPr>
          <w:p w14:paraId="418FC09A">
            <w:pPr>
              <w:pStyle w:val="6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0.02</w:t>
            </w:r>
          </w:p>
        </w:tc>
        <w:tc>
          <w:tcPr>
            <w:tcW w:w="1506" w:type="dxa"/>
            <w:noWrap w:val="0"/>
            <w:vAlign w:val="center"/>
          </w:tcPr>
          <w:p w14:paraId="42318005">
            <w:pPr>
              <w:pStyle w:val="69"/>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cs="Times New Roman"/>
                <w:color w:val="auto"/>
                <w:spacing w:val="0"/>
                <w:sz w:val="24"/>
                <w:szCs w:val="24"/>
                <w:highlight w:val="none"/>
                <w:lang w:val="en-US" w:eastAsia="zh-CN"/>
              </w:rPr>
              <w:t>0</w:t>
            </w:r>
          </w:p>
        </w:tc>
      </w:tr>
    </w:tbl>
    <w:p w14:paraId="079FF6EB">
      <w:pPr>
        <w:pStyle w:val="72"/>
        <w:spacing w:before="24" w:after="24"/>
        <w:ind w:firstLine="420"/>
        <w:jc w:val="left"/>
        <w:rPr>
          <w:rFonts w:hint="default" w:ascii="Times New Roman" w:hAnsi="Times New Roman" w:cs="Times New Roman"/>
          <w:color w:val="auto"/>
          <w:sz w:val="21"/>
          <w:szCs w:val="21"/>
          <w:lang w:val="en-US" w:eastAsia="zh-CN"/>
        </w:rPr>
        <w:sectPr>
          <w:footerReference r:id="rId8" w:type="default"/>
          <w:pgSz w:w="16838" w:h="11906" w:orient="landscape"/>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snapToGrid w:val="0"/>
          <w:color w:val="auto"/>
          <w:spacing w:val="0"/>
          <w:kern w:val="21"/>
          <w:highlight w:val="none"/>
        </w:rPr>
        <w:t>注：</w:t>
      </w:r>
      <w:r>
        <w:rPr>
          <w:rFonts w:hint="default" w:ascii="Times New Roman" w:hAnsi="Times New Roman" w:eastAsia="宋体" w:cs="Times New Roman"/>
          <w:snapToGrid w:val="0"/>
          <w:color w:val="auto"/>
          <w:spacing w:val="0"/>
          <w:kern w:val="21"/>
          <w:highlight w:val="none"/>
        </w:rPr>
        <w:fldChar w:fldCharType="begin"/>
      </w:r>
      <w:r>
        <w:rPr>
          <w:rFonts w:hint="default" w:ascii="Times New Roman" w:hAnsi="Times New Roman" w:eastAsia="宋体" w:cs="Times New Roman"/>
          <w:snapToGrid w:val="0"/>
          <w:color w:val="auto"/>
          <w:spacing w:val="0"/>
          <w:kern w:val="21"/>
          <w:highlight w:val="none"/>
        </w:rPr>
        <w:instrText xml:space="preserve"> = 6 \* GB3 \* MERGEFORMAT </w:instrText>
      </w:r>
      <w:r>
        <w:rPr>
          <w:rFonts w:hint="default" w:ascii="Times New Roman" w:hAnsi="Times New Roman" w:eastAsia="宋体" w:cs="Times New Roman"/>
          <w:snapToGrid w:val="0"/>
          <w:color w:val="auto"/>
          <w:spacing w:val="0"/>
          <w:kern w:val="21"/>
          <w:highlight w:val="none"/>
        </w:rPr>
        <w:fldChar w:fldCharType="separate"/>
      </w:r>
      <w:r>
        <w:rPr>
          <w:rFonts w:hint="default" w:ascii="Times New Roman" w:hAnsi="Times New Roman" w:eastAsia="宋体" w:cs="Times New Roman"/>
          <w:color w:val="auto"/>
          <w:spacing w:val="0"/>
          <w:highlight w:val="none"/>
        </w:rPr>
        <w:t>⑥</w:t>
      </w:r>
      <w:r>
        <w:rPr>
          <w:rFonts w:hint="default" w:ascii="Times New Roman" w:hAnsi="Times New Roman" w:eastAsia="宋体" w:cs="Times New Roman"/>
          <w:snapToGrid w:val="0"/>
          <w:color w:val="auto"/>
          <w:spacing w:val="0"/>
          <w:kern w:val="21"/>
          <w:highlight w:val="none"/>
        </w:rPr>
        <w:fldChar w:fldCharType="end"/>
      </w:r>
      <w:r>
        <w:rPr>
          <w:rFonts w:hint="default" w:ascii="Times New Roman" w:hAnsi="Times New Roman" w:eastAsia="宋体" w:cs="Times New Roman"/>
          <w:snapToGrid w:val="0"/>
          <w:color w:val="auto"/>
          <w:spacing w:val="0"/>
          <w:kern w:val="21"/>
          <w:highlight w:val="none"/>
        </w:rPr>
        <w:t>=</w:t>
      </w:r>
      <w:r>
        <w:rPr>
          <w:rFonts w:hint="default" w:ascii="Times New Roman" w:hAnsi="Times New Roman" w:eastAsia="宋体" w:cs="Times New Roman"/>
          <w:snapToGrid w:val="0"/>
          <w:color w:val="auto"/>
          <w:spacing w:val="0"/>
          <w:kern w:val="21"/>
          <w:highlight w:val="none"/>
        </w:rPr>
        <w:fldChar w:fldCharType="begin"/>
      </w:r>
      <w:r>
        <w:rPr>
          <w:rFonts w:hint="default" w:ascii="Times New Roman" w:hAnsi="Times New Roman" w:eastAsia="宋体" w:cs="Times New Roman"/>
          <w:snapToGrid w:val="0"/>
          <w:color w:val="auto"/>
          <w:spacing w:val="0"/>
          <w:kern w:val="21"/>
          <w:highlight w:val="none"/>
        </w:rPr>
        <w:instrText xml:space="preserve"> = 1 \* GB3 \* MERGEFORMAT </w:instrText>
      </w:r>
      <w:r>
        <w:rPr>
          <w:rFonts w:hint="default" w:ascii="Times New Roman" w:hAnsi="Times New Roman" w:eastAsia="宋体" w:cs="Times New Roman"/>
          <w:snapToGrid w:val="0"/>
          <w:color w:val="auto"/>
          <w:spacing w:val="0"/>
          <w:kern w:val="21"/>
          <w:highlight w:val="none"/>
        </w:rPr>
        <w:fldChar w:fldCharType="separate"/>
      </w:r>
      <w:r>
        <w:rPr>
          <w:rFonts w:hint="default" w:ascii="Times New Roman" w:hAnsi="Times New Roman" w:eastAsia="宋体" w:cs="Times New Roman"/>
          <w:color w:val="auto"/>
          <w:spacing w:val="0"/>
          <w:highlight w:val="none"/>
        </w:rPr>
        <w:t>①</w:t>
      </w:r>
      <w:r>
        <w:rPr>
          <w:rFonts w:hint="default" w:ascii="Times New Roman" w:hAnsi="Times New Roman" w:eastAsia="宋体" w:cs="Times New Roman"/>
          <w:snapToGrid w:val="0"/>
          <w:color w:val="auto"/>
          <w:spacing w:val="0"/>
          <w:kern w:val="21"/>
          <w:highlight w:val="none"/>
        </w:rPr>
        <w:fldChar w:fldCharType="end"/>
      </w:r>
      <w:r>
        <w:rPr>
          <w:rFonts w:hint="default" w:ascii="Times New Roman" w:hAnsi="Times New Roman" w:eastAsia="宋体" w:cs="Times New Roman"/>
          <w:snapToGrid w:val="0"/>
          <w:color w:val="auto"/>
          <w:spacing w:val="0"/>
          <w:kern w:val="21"/>
          <w:highlight w:val="none"/>
        </w:rPr>
        <w:t>+</w:t>
      </w:r>
      <w:r>
        <w:rPr>
          <w:rFonts w:hint="default" w:ascii="Times New Roman" w:hAnsi="Times New Roman" w:eastAsia="宋体" w:cs="Times New Roman"/>
          <w:snapToGrid w:val="0"/>
          <w:color w:val="auto"/>
          <w:spacing w:val="0"/>
          <w:kern w:val="21"/>
          <w:highlight w:val="none"/>
        </w:rPr>
        <w:fldChar w:fldCharType="begin"/>
      </w:r>
      <w:r>
        <w:rPr>
          <w:rFonts w:hint="default" w:ascii="Times New Roman" w:hAnsi="Times New Roman" w:eastAsia="宋体" w:cs="Times New Roman"/>
          <w:snapToGrid w:val="0"/>
          <w:color w:val="auto"/>
          <w:spacing w:val="0"/>
          <w:kern w:val="21"/>
          <w:highlight w:val="none"/>
        </w:rPr>
        <w:instrText xml:space="preserve"> = 3 \* GB3 \* MERGEFORMAT </w:instrText>
      </w:r>
      <w:r>
        <w:rPr>
          <w:rFonts w:hint="default" w:ascii="Times New Roman" w:hAnsi="Times New Roman" w:eastAsia="宋体" w:cs="Times New Roman"/>
          <w:snapToGrid w:val="0"/>
          <w:color w:val="auto"/>
          <w:spacing w:val="0"/>
          <w:kern w:val="21"/>
          <w:highlight w:val="none"/>
        </w:rPr>
        <w:fldChar w:fldCharType="separate"/>
      </w:r>
      <w:r>
        <w:rPr>
          <w:rFonts w:hint="default" w:ascii="Times New Roman" w:hAnsi="Times New Roman" w:eastAsia="宋体" w:cs="Times New Roman"/>
          <w:color w:val="auto"/>
          <w:spacing w:val="0"/>
          <w:highlight w:val="none"/>
        </w:rPr>
        <w:t>③</w:t>
      </w:r>
      <w:r>
        <w:rPr>
          <w:rFonts w:hint="default" w:ascii="Times New Roman" w:hAnsi="Times New Roman" w:eastAsia="宋体" w:cs="Times New Roman"/>
          <w:snapToGrid w:val="0"/>
          <w:color w:val="auto"/>
          <w:spacing w:val="0"/>
          <w:kern w:val="21"/>
          <w:highlight w:val="none"/>
        </w:rPr>
        <w:fldChar w:fldCharType="end"/>
      </w:r>
      <w:r>
        <w:rPr>
          <w:rFonts w:hint="default" w:ascii="Times New Roman" w:hAnsi="Times New Roman" w:eastAsia="宋体" w:cs="Times New Roman"/>
          <w:snapToGrid w:val="0"/>
          <w:color w:val="auto"/>
          <w:spacing w:val="0"/>
          <w:kern w:val="21"/>
          <w:highlight w:val="none"/>
        </w:rPr>
        <w:t>+</w:t>
      </w:r>
      <w:r>
        <w:rPr>
          <w:rFonts w:hint="default" w:ascii="Times New Roman" w:hAnsi="Times New Roman" w:eastAsia="宋体" w:cs="Times New Roman"/>
          <w:snapToGrid w:val="0"/>
          <w:color w:val="auto"/>
          <w:spacing w:val="0"/>
          <w:kern w:val="21"/>
          <w:highlight w:val="none"/>
        </w:rPr>
        <w:fldChar w:fldCharType="begin"/>
      </w:r>
      <w:r>
        <w:rPr>
          <w:rFonts w:hint="default" w:ascii="Times New Roman" w:hAnsi="Times New Roman" w:eastAsia="宋体" w:cs="Times New Roman"/>
          <w:snapToGrid w:val="0"/>
          <w:color w:val="auto"/>
          <w:spacing w:val="0"/>
          <w:kern w:val="21"/>
          <w:highlight w:val="none"/>
        </w:rPr>
        <w:instrText xml:space="preserve"> = 4 \* GB3 \* MERGEFORMAT </w:instrText>
      </w:r>
      <w:r>
        <w:rPr>
          <w:rFonts w:hint="default" w:ascii="Times New Roman" w:hAnsi="Times New Roman" w:eastAsia="宋体" w:cs="Times New Roman"/>
          <w:snapToGrid w:val="0"/>
          <w:color w:val="auto"/>
          <w:spacing w:val="0"/>
          <w:kern w:val="21"/>
          <w:highlight w:val="none"/>
        </w:rPr>
        <w:fldChar w:fldCharType="separate"/>
      </w:r>
      <w:r>
        <w:rPr>
          <w:rFonts w:hint="default" w:ascii="Times New Roman" w:hAnsi="Times New Roman" w:eastAsia="宋体" w:cs="Times New Roman"/>
          <w:color w:val="auto"/>
          <w:spacing w:val="0"/>
          <w:highlight w:val="none"/>
        </w:rPr>
        <w:t>④</w:t>
      </w:r>
      <w:r>
        <w:rPr>
          <w:rFonts w:hint="default" w:ascii="Times New Roman" w:hAnsi="Times New Roman" w:eastAsia="宋体" w:cs="Times New Roman"/>
          <w:snapToGrid w:val="0"/>
          <w:color w:val="auto"/>
          <w:spacing w:val="0"/>
          <w:kern w:val="21"/>
          <w:highlight w:val="none"/>
        </w:rPr>
        <w:fldChar w:fldCharType="end"/>
      </w:r>
      <w:r>
        <w:rPr>
          <w:rFonts w:hint="default" w:ascii="Times New Roman" w:hAnsi="Times New Roman" w:eastAsia="宋体" w:cs="Times New Roman"/>
          <w:snapToGrid w:val="0"/>
          <w:color w:val="auto"/>
          <w:spacing w:val="0"/>
          <w:kern w:val="21"/>
          <w:highlight w:val="none"/>
        </w:rPr>
        <w:t>-</w:t>
      </w:r>
      <w:r>
        <w:rPr>
          <w:rFonts w:hint="default" w:ascii="Times New Roman" w:hAnsi="Times New Roman" w:eastAsia="宋体" w:cs="Times New Roman"/>
          <w:snapToGrid w:val="0"/>
          <w:color w:val="auto"/>
          <w:spacing w:val="0"/>
          <w:kern w:val="21"/>
          <w:highlight w:val="none"/>
        </w:rPr>
        <w:fldChar w:fldCharType="begin"/>
      </w:r>
      <w:r>
        <w:rPr>
          <w:rFonts w:hint="default" w:ascii="Times New Roman" w:hAnsi="Times New Roman" w:eastAsia="宋体" w:cs="Times New Roman"/>
          <w:snapToGrid w:val="0"/>
          <w:color w:val="auto"/>
          <w:spacing w:val="0"/>
          <w:kern w:val="21"/>
          <w:highlight w:val="none"/>
        </w:rPr>
        <w:instrText xml:space="preserve"> = 5 \* GB3 \* MERGEFORMAT </w:instrText>
      </w:r>
      <w:r>
        <w:rPr>
          <w:rFonts w:hint="default" w:ascii="Times New Roman" w:hAnsi="Times New Roman" w:eastAsia="宋体" w:cs="Times New Roman"/>
          <w:snapToGrid w:val="0"/>
          <w:color w:val="auto"/>
          <w:spacing w:val="0"/>
          <w:kern w:val="21"/>
          <w:highlight w:val="none"/>
        </w:rPr>
        <w:fldChar w:fldCharType="separate"/>
      </w:r>
      <w:r>
        <w:rPr>
          <w:rFonts w:hint="default" w:ascii="Times New Roman" w:hAnsi="Times New Roman" w:eastAsia="宋体" w:cs="Times New Roman"/>
          <w:color w:val="auto"/>
          <w:spacing w:val="0"/>
          <w:highlight w:val="none"/>
        </w:rPr>
        <w:t>⑤</w:t>
      </w:r>
      <w:r>
        <w:rPr>
          <w:rFonts w:hint="default" w:ascii="Times New Roman" w:hAnsi="Times New Roman" w:eastAsia="宋体" w:cs="Times New Roman"/>
          <w:snapToGrid w:val="0"/>
          <w:color w:val="auto"/>
          <w:spacing w:val="0"/>
          <w:kern w:val="21"/>
          <w:highlight w:val="none"/>
        </w:rPr>
        <w:fldChar w:fldCharType="end"/>
      </w:r>
      <w:r>
        <w:rPr>
          <w:rFonts w:hint="default" w:ascii="Times New Roman" w:hAnsi="Times New Roman" w:eastAsia="宋体" w:cs="Times New Roman"/>
          <w:snapToGrid w:val="0"/>
          <w:color w:val="auto"/>
          <w:spacing w:val="0"/>
          <w:kern w:val="21"/>
          <w:highlight w:val="none"/>
        </w:rPr>
        <w:t>；</w:t>
      </w:r>
      <w:r>
        <w:rPr>
          <w:rFonts w:hint="default" w:ascii="Times New Roman" w:hAnsi="Times New Roman" w:eastAsia="宋体" w:cs="Times New Roman"/>
          <w:snapToGrid w:val="0"/>
          <w:color w:val="auto"/>
          <w:spacing w:val="0"/>
          <w:kern w:val="21"/>
          <w:highlight w:val="none"/>
        </w:rPr>
        <w:fldChar w:fldCharType="begin"/>
      </w:r>
      <w:r>
        <w:rPr>
          <w:rFonts w:hint="default" w:ascii="Times New Roman" w:hAnsi="Times New Roman" w:eastAsia="宋体" w:cs="Times New Roman"/>
          <w:snapToGrid w:val="0"/>
          <w:color w:val="auto"/>
          <w:spacing w:val="0"/>
          <w:kern w:val="21"/>
          <w:highlight w:val="none"/>
        </w:rPr>
        <w:instrText xml:space="preserve"> = 7 \* GB3 \* MERGEFORMAT </w:instrText>
      </w:r>
      <w:r>
        <w:rPr>
          <w:rFonts w:hint="default" w:ascii="Times New Roman" w:hAnsi="Times New Roman" w:eastAsia="宋体" w:cs="Times New Roman"/>
          <w:snapToGrid w:val="0"/>
          <w:color w:val="auto"/>
          <w:spacing w:val="0"/>
          <w:kern w:val="21"/>
          <w:highlight w:val="none"/>
        </w:rPr>
        <w:fldChar w:fldCharType="separate"/>
      </w:r>
      <w:r>
        <w:rPr>
          <w:rFonts w:hint="default" w:ascii="Times New Roman" w:hAnsi="Times New Roman" w:eastAsia="宋体" w:cs="Times New Roman"/>
          <w:color w:val="auto"/>
          <w:spacing w:val="0"/>
          <w:highlight w:val="none"/>
        </w:rPr>
        <w:t>⑦</w:t>
      </w:r>
      <w:r>
        <w:rPr>
          <w:rFonts w:hint="default" w:ascii="Times New Roman" w:hAnsi="Times New Roman" w:eastAsia="宋体" w:cs="Times New Roman"/>
          <w:snapToGrid w:val="0"/>
          <w:color w:val="auto"/>
          <w:spacing w:val="0"/>
          <w:kern w:val="21"/>
          <w:highlight w:val="none"/>
        </w:rPr>
        <w:fldChar w:fldCharType="end"/>
      </w:r>
      <w:r>
        <w:rPr>
          <w:rFonts w:hint="default" w:ascii="Times New Roman" w:hAnsi="Times New Roman" w:eastAsia="宋体" w:cs="Times New Roman"/>
          <w:snapToGrid w:val="0"/>
          <w:color w:val="auto"/>
          <w:spacing w:val="0"/>
          <w:kern w:val="21"/>
          <w:highlight w:val="none"/>
        </w:rPr>
        <w:t>=</w:t>
      </w:r>
      <w:r>
        <w:rPr>
          <w:rFonts w:hint="default" w:ascii="Times New Roman" w:hAnsi="Times New Roman" w:eastAsia="宋体" w:cs="Times New Roman"/>
          <w:snapToGrid w:val="0"/>
          <w:color w:val="auto"/>
          <w:spacing w:val="0"/>
          <w:kern w:val="21"/>
          <w:highlight w:val="none"/>
        </w:rPr>
        <w:fldChar w:fldCharType="begin"/>
      </w:r>
      <w:r>
        <w:rPr>
          <w:rFonts w:hint="default" w:ascii="Times New Roman" w:hAnsi="Times New Roman" w:eastAsia="宋体" w:cs="Times New Roman"/>
          <w:snapToGrid w:val="0"/>
          <w:color w:val="auto"/>
          <w:spacing w:val="0"/>
          <w:kern w:val="21"/>
          <w:highlight w:val="none"/>
        </w:rPr>
        <w:instrText xml:space="preserve"> = 6 \* GB3 \* MERGEFORMAT </w:instrText>
      </w:r>
      <w:r>
        <w:rPr>
          <w:rFonts w:hint="default" w:ascii="Times New Roman" w:hAnsi="Times New Roman" w:eastAsia="宋体" w:cs="Times New Roman"/>
          <w:snapToGrid w:val="0"/>
          <w:color w:val="auto"/>
          <w:spacing w:val="0"/>
          <w:kern w:val="21"/>
          <w:highlight w:val="none"/>
        </w:rPr>
        <w:fldChar w:fldCharType="separate"/>
      </w:r>
      <w:r>
        <w:rPr>
          <w:rFonts w:hint="default" w:ascii="Times New Roman" w:hAnsi="Times New Roman" w:eastAsia="宋体" w:cs="Times New Roman"/>
          <w:color w:val="auto"/>
          <w:spacing w:val="0"/>
          <w:highlight w:val="none"/>
        </w:rPr>
        <w:t>⑥</w:t>
      </w:r>
      <w:r>
        <w:rPr>
          <w:rFonts w:hint="default" w:ascii="Times New Roman" w:hAnsi="Times New Roman" w:eastAsia="宋体" w:cs="Times New Roman"/>
          <w:snapToGrid w:val="0"/>
          <w:color w:val="auto"/>
          <w:spacing w:val="0"/>
          <w:kern w:val="21"/>
          <w:highlight w:val="none"/>
        </w:rPr>
        <w:fldChar w:fldCharType="end"/>
      </w:r>
      <w:r>
        <w:rPr>
          <w:rFonts w:hint="default" w:ascii="Times New Roman" w:hAnsi="Times New Roman" w:eastAsia="宋体" w:cs="Times New Roman"/>
          <w:snapToGrid w:val="0"/>
          <w:color w:val="auto"/>
          <w:spacing w:val="0"/>
          <w:kern w:val="21"/>
          <w:highlight w:val="none"/>
        </w:rPr>
        <w:t>-</w:t>
      </w:r>
      <w:r>
        <w:rPr>
          <w:rFonts w:hint="default" w:ascii="Times New Roman" w:hAnsi="Times New Roman" w:eastAsia="宋体" w:cs="Times New Roman"/>
          <w:snapToGrid w:val="0"/>
          <w:color w:val="auto"/>
          <w:spacing w:val="0"/>
          <w:kern w:val="21"/>
          <w:highlight w:val="none"/>
        </w:rPr>
        <w:fldChar w:fldCharType="begin"/>
      </w:r>
      <w:r>
        <w:rPr>
          <w:rFonts w:hint="default" w:ascii="Times New Roman" w:hAnsi="Times New Roman" w:eastAsia="宋体" w:cs="Times New Roman"/>
          <w:snapToGrid w:val="0"/>
          <w:color w:val="auto"/>
          <w:spacing w:val="0"/>
          <w:kern w:val="21"/>
          <w:highlight w:val="none"/>
        </w:rPr>
        <w:instrText xml:space="preserve"> = 1 \* GB3 \* MERGEFORMAT </w:instrText>
      </w:r>
      <w:r>
        <w:rPr>
          <w:rFonts w:hint="default" w:ascii="Times New Roman" w:hAnsi="Times New Roman" w:eastAsia="宋体" w:cs="Times New Roman"/>
          <w:snapToGrid w:val="0"/>
          <w:color w:val="auto"/>
          <w:spacing w:val="0"/>
          <w:kern w:val="21"/>
          <w:highlight w:val="none"/>
        </w:rPr>
        <w:fldChar w:fldCharType="separate"/>
      </w:r>
      <w:r>
        <w:rPr>
          <w:rFonts w:hint="default" w:ascii="Times New Roman" w:hAnsi="Times New Roman" w:eastAsia="宋体" w:cs="Times New Roman"/>
          <w:color w:val="auto"/>
          <w:spacing w:val="0"/>
          <w:highlight w:val="none"/>
        </w:rPr>
        <w:t>①</w:t>
      </w:r>
      <w:r>
        <w:rPr>
          <w:rFonts w:hint="default" w:ascii="Times New Roman" w:hAnsi="Times New Roman" w:eastAsia="宋体" w:cs="Times New Roman"/>
          <w:snapToGrid w:val="0"/>
          <w:color w:val="auto"/>
          <w:spacing w:val="0"/>
          <w:kern w:val="21"/>
          <w:highlight w:val="none"/>
        </w:rPr>
        <w:fldChar w:fldCharType="end"/>
      </w:r>
      <w:r>
        <w:rPr>
          <w:rFonts w:hint="default" w:ascii="Times New Roman" w:hAnsi="Times New Roman" w:eastAsia="宋体" w:cs="Times New Roman"/>
          <w:snapToGrid w:val="0"/>
          <w:color w:val="auto"/>
          <w:spacing w:val="0"/>
          <w:kern w:val="21"/>
          <w:highlight w:val="none"/>
          <w:lang w:eastAsia="zh-CN"/>
        </w:rPr>
        <w:t>；</w:t>
      </w:r>
      <w:r>
        <w:rPr>
          <w:rFonts w:hint="default" w:ascii="Times New Roman" w:hAnsi="Times New Roman" w:cs="Times New Roman"/>
          <w:b w:val="0"/>
          <w:bCs/>
          <w:color w:val="auto"/>
          <w:spacing w:val="0"/>
          <w:sz w:val="21"/>
          <w:szCs w:val="21"/>
          <w:highlight w:val="none"/>
          <w:lang w:val="en-US" w:eastAsia="zh-CN"/>
        </w:rPr>
        <w:t>现有工程排放量数据源于《绿都集团股份有限公司日处理200吨米糠制油设施建设项目环境影响评价报告表》</w:t>
      </w:r>
    </w:p>
    <w:p w14:paraId="1FC8D66F">
      <w:pPr>
        <w:ind w:left="0" w:leftChars="0" w:firstLine="0" w:firstLineChars="0"/>
        <w:outlineLvl w:val="0"/>
        <w:rPr>
          <w:rFonts w:hint="default" w:ascii="Times New Roman" w:hAnsi="Times New Roman" w:eastAsia="宋体" w:cs="Times New Roman"/>
          <w:b/>
          <w:bCs w:val="0"/>
          <w:color w:val="auto"/>
          <w:spacing w:val="0"/>
          <w:highlight w:val="none"/>
          <w:lang w:val="en-US" w:eastAsia="zh-CN"/>
        </w:rPr>
      </w:pPr>
      <w:r>
        <w:rPr>
          <w:rFonts w:hint="default" w:ascii="Times New Roman" w:hAnsi="Times New Roman" w:eastAsia="宋体" w:cs="Times New Roman"/>
          <w:b/>
          <w:bCs w:val="0"/>
          <w:color w:val="auto"/>
          <w:spacing w:val="0"/>
          <w:highlight w:val="none"/>
          <w:lang w:val="en-US" w:eastAsia="zh-CN"/>
        </w:rPr>
        <w:t>附图1项目所在位置图</w:t>
      </w:r>
    </w:p>
    <w:p w14:paraId="1569010A">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pacing w:val="0"/>
          <w:highlight w:val="none"/>
        </w:rPr>
        <w:sectPr>
          <w:pgSz w:w="16838" w:h="11906" w:orient="landscape"/>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position w:val="-29"/>
        </w:rPr>
        <w:drawing>
          <wp:anchor distT="0" distB="0" distL="0" distR="0" simplePos="0" relativeHeight="251675648" behindDoc="0" locked="0" layoutInCell="1" allowOverlap="1">
            <wp:simplePos x="0" y="0"/>
            <wp:positionH relativeFrom="column">
              <wp:posOffset>7422515</wp:posOffset>
            </wp:positionH>
            <wp:positionV relativeFrom="paragraph">
              <wp:posOffset>8890</wp:posOffset>
            </wp:positionV>
            <wp:extent cx="972185" cy="947420"/>
            <wp:effectExtent l="0" t="0" r="18415" b="508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9"/>
                    <a:stretch>
                      <a:fillRect/>
                    </a:stretch>
                  </pic:blipFill>
                  <pic:spPr>
                    <a:xfrm>
                      <a:off x="0" y="0"/>
                      <a:ext cx="972311" cy="947928"/>
                    </a:xfrm>
                    <a:prstGeom prst="rect">
                      <a:avLst/>
                    </a:prstGeom>
                  </pic:spPr>
                </pic:pic>
              </a:graphicData>
            </a:graphic>
          </wp:anchor>
        </w:drawing>
      </w:r>
      <w:r>
        <w:rPr>
          <w:rFonts w:hint="default" w:ascii="Times New Roman" w:hAnsi="Times New Roman" w:eastAsia="宋体" w:cs="Times New Roman"/>
          <w:color w:val="auto"/>
          <w:spacing w:val="0"/>
          <w:sz w:val="28"/>
          <w:highlight w:val="none"/>
        </w:rPr>
        <mc:AlternateContent>
          <mc:Choice Requires="wps">
            <w:drawing>
              <wp:anchor distT="0" distB="0" distL="114300" distR="114300" simplePos="0" relativeHeight="251661312" behindDoc="0" locked="0" layoutInCell="1" allowOverlap="1">
                <wp:simplePos x="0" y="0"/>
                <wp:positionH relativeFrom="column">
                  <wp:posOffset>4938395</wp:posOffset>
                </wp:positionH>
                <wp:positionV relativeFrom="paragraph">
                  <wp:posOffset>1745615</wp:posOffset>
                </wp:positionV>
                <wp:extent cx="787400" cy="338455"/>
                <wp:effectExtent l="245745" t="5080" r="14605" b="304165"/>
                <wp:wrapNone/>
                <wp:docPr id="7" name="自选图形 51"/>
                <wp:cNvGraphicFramePr/>
                <a:graphic xmlns:a="http://schemas.openxmlformats.org/drawingml/2006/main">
                  <a:graphicData uri="http://schemas.microsoft.com/office/word/2010/wordprocessingShape">
                    <wps:wsp>
                      <wps:cNvSpPr/>
                      <wps:spPr>
                        <a:xfrm>
                          <a:off x="0" y="0"/>
                          <a:ext cx="787400" cy="338455"/>
                        </a:xfrm>
                        <a:prstGeom prst="wedgeRectCallout">
                          <a:avLst>
                            <a:gd name="adj1" fmla="val -77009"/>
                            <a:gd name="adj2" fmla="val 128426"/>
                          </a:avLst>
                        </a:prstGeom>
                        <a:noFill/>
                        <a:ln w="9525" cap="flat" cmpd="sng">
                          <a:solidFill>
                            <a:srgbClr val="000000"/>
                          </a:solidFill>
                          <a:prstDash val="solid"/>
                          <a:miter/>
                          <a:headEnd type="none" w="med" len="med"/>
                          <a:tailEnd type="none" w="med" len="med"/>
                        </a:ln>
                      </wps:spPr>
                      <wps:txbx>
                        <w:txbxContent>
                          <w:p w14:paraId="7B2CC5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b/>
                                <w:bCs w:val="0"/>
                                <w:color w:val="auto"/>
                                <w:highlight w:val="none"/>
                                <w:lang w:val="en-US" w:eastAsia="zh-CN"/>
                              </w:rPr>
                            </w:pPr>
                            <w:r>
                              <w:rPr>
                                <w:rFonts w:hint="eastAsia"/>
                                <w:b/>
                                <w:bCs w:val="0"/>
                                <w:color w:val="auto"/>
                                <w:highlight w:val="none"/>
                                <w:lang w:val="en-US" w:eastAsia="zh-CN"/>
                              </w:rPr>
                              <w:t>本项目</w:t>
                            </w:r>
                          </w:p>
                        </w:txbxContent>
                      </wps:txbx>
                      <wps:bodyPr wrap="square" upright="1"/>
                    </wps:wsp>
                  </a:graphicData>
                </a:graphic>
              </wp:anchor>
            </w:drawing>
          </mc:Choice>
          <mc:Fallback>
            <w:pict>
              <v:shape id="自选图形 51" o:spid="_x0000_s1026" o:spt="61" type="#_x0000_t61" style="position:absolute;left:0pt;margin-left:388.85pt;margin-top:137.45pt;height:26.65pt;width:62pt;z-index:251661312;mso-width-relative:page;mso-height-relative:page;" filled="f" stroked="t" coordsize="21600,21600" o:gfxdata="UEsDBAoAAAAAAIdO4kAAAAAAAAAAAAAAAAAEAAAAZHJzL1BLAwQUAAAACACHTuJAuqFGbtoAAAAL&#10;AQAADwAAAGRycy9kb3ducmV2LnhtbE2PTU/DMAyG70j8h8hI3FjSAtta6k4IaRwmLhsVEresCW21&#10;xqma7IP9esxp8832o9ePi8XJ9eJgx9B5QkgmCoSl2puOGoTqc/kwBxGiJqN7Txbh1wZYlLc3hc6N&#10;P9LaHjaxERxCIdcIbYxDLmWoW+t0mPjBEu9+/Oh05HZspBn1kcNdL1OlptLpjvhCqwf71tp6t9k7&#10;BLfM5Pvq26iqWp+/9Mdrtnt2EfH+LlEvIKI9xQsM//qsDiU7bf2eTBA9woyLUYR09pSBYCJTCU+2&#10;CI/pPAVZFvL6h/IPUEsDBBQAAAAIAIdO4kAJFLZ7QQIAAHMEAAAOAAAAZHJzL2Uyb0RvYy54bWyt&#10;VE1y0zAU3jPDHTTaN3bcpEkzcbpoKBsGOhQOoEiyLUZ/SErs7NgxnIFdl9wBbtMZuAVPsklD2WRB&#10;Fs6T9fS97/vek5dXnZJox50XRpd4PMox4poaJnRd4vfvbs7mGPlANCPSaF7iPff4avX82bK1C16Y&#10;xkjGHQIQ7RetLXETgl1kmacNV8SPjOUaNivjFAmwdHXGHGkBXcmsyPOLrDWOWWco9x7ervtNPCC6&#10;UwBNVQnK14ZuFdehR3VckgCSfCOsx6vEtqo4DW+qyvOAZIlBaUhPKALxJj6z1ZIsakdsI+hAgZxC&#10;4YkmRYSGogeoNQkEbZ34B0oJ6ow3VRhRo7JeSHIEVIzzJ97cNcTypAWs9vZguv9/sPT17tYhwUo8&#10;w0gTBQ3/+fnbr09fHr7+ePh+j6bjaFFr/QIy7+ytG1Yewqi3q5yK/6AEdcnW/cFW3gVE4eVsPpvk&#10;YDiFrfPz+WQ6jZjZ42HrfHjJjUIxKHHLWc3fQuuuiZRmG5KxZPfKh+QwG3gS9mGMUaUkNGxHJDqb&#10;zfL8cujoUVJxnDQu5pPiYqg/YAKTPwxiAW1uhJRpMKRGbYkvp8UU2BMY9gqGDEJlwTCv68TMGylY&#10;PBIPe1dvrqVDQAh8SL+h2F9psd6a+KbPS1s9cSUCd6l2wwl7oRkKewtN0XAXcSSjOMNIcri6MUqZ&#10;gQh5SibolBqMj93s+xej0G06gInhxrA9TEML1wHkfdwSBzW31om6gbakSUiHYRZT/4Z7E4f9eJ1K&#10;PH4rV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qFGbtoAAAALAQAADwAAAAAAAAABACAAAAAi&#10;AAAAZHJzL2Rvd25yZXYueG1sUEsBAhQAFAAAAAgAh07iQAkUtntBAgAAcwQAAA4AAAAAAAAAAQAg&#10;AAAAKQEAAGRycy9lMm9Eb2MueG1sUEsFBgAAAAAGAAYAWQEAANwFAAAAAA==&#10;" adj="-5834,38540">
                <v:fill on="f" focussize="0,0"/>
                <v:stroke color="#000000" joinstyle="miter"/>
                <v:imagedata o:title=""/>
                <o:lock v:ext="edit" aspectratio="f"/>
                <v:textbox>
                  <w:txbxContent>
                    <w:p w14:paraId="7B2CC5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b/>
                          <w:bCs w:val="0"/>
                          <w:color w:val="auto"/>
                          <w:highlight w:val="none"/>
                          <w:lang w:val="en-US" w:eastAsia="zh-CN"/>
                        </w:rPr>
                      </w:pPr>
                      <w:r>
                        <w:rPr>
                          <w:rFonts w:hint="eastAsia"/>
                          <w:b/>
                          <w:bCs w:val="0"/>
                          <w:color w:val="auto"/>
                          <w:highlight w:val="none"/>
                          <w:lang w:val="en-US" w:eastAsia="zh-CN"/>
                        </w:rPr>
                        <w:t>本项目</w:t>
                      </w:r>
                    </w:p>
                  </w:txbxContent>
                </v:textbox>
              </v:shape>
            </w:pict>
          </mc:Fallback>
        </mc:AlternateContent>
      </w:r>
      <w:r>
        <w:rPr>
          <w:rFonts w:hint="default" w:ascii="Times New Roman" w:hAnsi="Times New Roman" w:eastAsia="宋体" w:cs="Times New Roman"/>
          <w:color w:val="auto"/>
          <w:spacing w:val="0"/>
          <w:sz w:val="28"/>
          <w:highlight w:val="none"/>
        </w:rPr>
        <mc:AlternateContent>
          <mc:Choice Requires="wps">
            <w:drawing>
              <wp:anchor distT="0" distB="0" distL="114300" distR="114300" simplePos="0" relativeHeight="251660288" behindDoc="0" locked="0" layoutInCell="1" allowOverlap="1">
                <wp:simplePos x="0" y="0"/>
                <wp:positionH relativeFrom="column">
                  <wp:posOffset>4449445</wp:posOffset>
                </wp:positionH>
                <wp:positionV relativeFrom="paragraph">
                  <wp:posOffset>2315845</wp:posOffset>
                </wp:positionV>
                <wp:extent cx="242570" cy="250825"/>
                <wp:effectExtent l="13970" t="16510" r="29210" b="18415"/>
                <wp:wrapNone/>
                <wp:docPr id="6" name="自选图形 52"/>
                <wp:cNvGraphicFramePr/>
                <a:graphic xmlns:a="http://schemas.openxmlformats.org/drawingml/2006/main">
                  <a:graphicData uri="http://schemas.microsoft.com/office/word/2010/wordprocessingShape">
                    <wps:wsp>
                      <wps:cNvSpPr/>
                      <wps:spPr>
                        <a:xfrm>
                          <a:off x="0" y="0"/>
                          <a:ext cx="242570" cy="250825"/>
                        </a:xfrm>
                        <a:prstGeom prst="star5">
                          <a:avLst/>
                        </a:prstGeom>
                        <a:solidFill>
                          <a:srgbClr val="FF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shape id="自选图形 52" o:spid="_x0000_s1026" style="position:absolute;left:0pt;margin-left:350.35pt;margin-top:182.35pt;height:19.75pt;width:19.1pt;z-index:251660288;mso-width-relative:page;mso-height-relative:page;" fillcolor="#FF0000" filled="t" stroked="t" coordsize="242570,250825" o:gfxdata="UEsDBAoAAAAAAIdO4kAAAAAAAAAAAAAAAAAEAAAAZHJzL1BLAwQUAAAACACHTuJAdtumsNsAAAAL&#10;AQAADwAAAGRycy9kb3ducmV2LnhtbE2PTUvDQBCG74L/YRnBi9jdtqGpMZtCC7l4UKwieNvuTrPB&#10;/QjZbRv/veNJbzPMw/s+U28m79gZx9THIGE+E8Aw6Gj60El4f2vv18BSVsEoFwNK+MYEm+b6qlaV&#10;iZfwiud97hiFhFQpCTbnoeI8aYtepVkcMNDtGEevMq1jx82oLhTuHV8IseJe9YEarBpwZ1F/7U+e&#10;Sobno/nw+ulze7d9aZ2ddrq1Ut7ezMUjsIxT/oPhV5/UoSGnQzwFk5iTUApREiphuSpoIKJcrh+A&#10;HSQUolgAb2r+/4fmB1BLAwQUAAAACACHTuJAXFE20w0CAAAzBAAADgAAAGRycy9lMm9Eb2MueG1s&#10;rVPNjtMwEL4j8Q6W7zRpRJYlaroHSrkgWGnhAaa2k1jyH7bbtDduiGfgxpF3gLdZCd6CsVO67HLp&#10;gRycGXv8zXzfjBdXe63ITvggrWnpfFZSIgyzXJq+pe/frZ9cUhIiGA7KGtHSgwj0avn40WJ0jajs&#10;YBUXniCICc3oWjrE6JqiCGwQGsLMOmHwsLNeQ0TX9wX3MCK6VkVVlhfFaD133jIRAu6upkN6RPTn&#10;ANquk0ysLNtqYeKE6oWCiJTCIF2gy1xt1wkW33ZdEJGoliLTmFdMgvYmrcVyAU3vwQ2SHUuAc0p4&#10;wEmDNJj0BLWCCGTr5T9QWjJvg+3ijFldTESyIshiXj7Q5mYAJzIXlDq4k+jh/8GyN7trTyRv6QUl&#10;BjQ2/Oenb78+fr798uP2+1dSV0mi0YUGI2/ctT96Ac3Ed995nf7IhOyzrIeTrGIfCcPN6mlVP0PB&#10;GR5VdXlZ1QmzuLvsfIivhNUkGS3F6fN1VhN2r0OcYv/EpGTBKsnXUqns+H7zQnmyA2zxel3id4S/&#10;F6YMGVv6vMbkhAHObYfzgqZ2yD2YPue7dyOcB5wKW0EYpgIyQsoPjZZRJLmgGQTwl4aTeHCor8Fn&#10;RVMxWnBKlMBXmKwcGUGqcyJRPGVQw9SYqRXJ2lh+wG6OOM7I6cMWPCbaOi/7AWWdZ1lSHM5S1v84&#10;92lY//Yz7t1bX/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tumsNsAAAALAQAADwAAAAAAAAAB&#10;ACAAAAAiAAAAZHJzL2Rvd25yZXYueG1sUEsBAhQAFAAAAAgAh07iQFxRNtMNAgAAMwQAAA4AAAAA&#10;AAAAAQAgAAAAKgEAAGRycy9lMm9Eb2MueG1sUEsFBgAAAAAGAAYAWQEAAKkFAAAAAA==&#10;" path="m0,95806l92654,95807,121285,0,149915,95807,242569,95806,167610,155017,196243,250824,121285,191611,46326,250824,74959,155017xe">
                <v:path o:connectlocs="121285,0;0,95806;46326,250824;196243,250824;242569,95806" o:connectangles="247,164,82,82,0"/>
                <v:fill on="t" focussize="0,0"/>
                <v:stroke color="#FF0000" joinstyle="miter"/>
                <v:imagedata o:title=""/>
                <o:lock v:ext="edit" aspectratio="f"/>
              </v:shape>
            </w:pict>
          </mc:Fallback>
        </mc:AlternateContent>
      </w:r>
      <w:r>
        <w:rPr>
          <w:rFonts w:hint="default" w:ascii="Times New Roman" w:hAnsi="Times New Roman" w:cs="Times New Roman"/>
          <w:color w:val="auto"/>
          <w:highlight w:val="none"/>
        </w:rPr>
        <w:drawing>
          <wp:inline distT="0" distB="0" distL="114300" distR="114300">
            <wp:extent cx="8404860" cy="4594860"/>
            <wp:effectExtent l="0" t="0" r="15240" b="1524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40"/>
                    <a:stretch>
                      <a:fillRect/>
                    </a:stretch>
                  </pic:blipFill>
                  <pic:spPr>
                    <a:xfrm>
                      <a:off x="0" y="0"/>
                      <a:ext cx="8404860" cy="4594860"/>
                    </a:xfrm>
                    <a:prstGeom prst="rect">
                      <a:avLst/>
                    </a:prstGeom>
                    <a:noFill/>
                    <a:ln>
                      <a:noFill/>
                    </a:ln>
                  </pic:spPr>
                </pic:pic>
              </a:graphicData>
            </a:graphic>
          </wp:inline>
        </w:drawing>
      </w:r>
    </w:p>
    <w:p w14:paraId="1AFB933D">
      <w:pPr>
        <w:pStyle w:val="2"/>
        <w:spacing w:line="360" w:lineRule="auto"/>
        <w:jc w:val="left"/>
        <w:rPr>
          <w:rFonts w:hint="default" w:ascii="Times New Roman" w:hAnsi="Times New Roman" w:eastAsia="宋体" w:cs="Times New Roman"/>
          <w:b/>
          <w:bCs/>
          <w:color w:val="auto"/>
          <w:spacing w:val="0"/>
          <w:sz w:val="24"/>
          <w:szCs w:val="24"/>
          <w:highlight w:val="none"/>
          <w:lang w:eastAsia="zh-CN"/>
        </w:rPr>
      </w:pPr>
      <w:r>
        <w:rPr>
          <w:rFonts w:hint="default" w:ascii="Times New Roman" w:hAnsi="Times New Roman" w:eastAsia="宋体" w:cs="Times New Roman"/>
          <w:b/>
          <w:bCs/>
          <w:color w:val="auto"/>
          <w:spacing w:val="0"/>
          <w:sz w:val="24"/>
          <w:szCs w:val="24"/>
          <w:highlight w:val="none"/>
        </w:rPr>
        <w:t>附图</w:t>
      </w:r>
      <w:r>
        <w:rPr>
          <w:rFonts w:hint="default" w:ascii="Times New Roman" w:hAnsi="Times New Roman" w:eastAsia="宋体" w:cs="Times New Roman"/>
          <w:b/>
          <w:bCs/>
          <w:color w:val="auto"/>
          <w:spacing w:val="0"/>
          <w:sz w:val="24"/>
          <w:szCs w:val="24"/>
          <w:highlight w:val="none"/>
          <w:lang w:val="en-US" w:eastAsia="zh-CN"/>
        </w:rPr>
        <w:t>2总</w:t>
      </w:r>
      <w:r>
        <w:rPr>
          <w:rFonts w:hint="default" w:ascii="Times New Roman" w:hAnsi="Times New Roman" w:eastAsia="宋体" w:cs="Times New Roman"/>
          <w:b/>
          <w:bCs/>
          <w:color w:val="auto"/>
          <w:spacing w:val="0"/>
          <w:sz w:val="24"/>
          <w:szCs w:val="24"/>
          <w:highlight w:val="none"/>
        </w:rPr>
        <w:t>平面布置图</w:t>
      </w:r>
    </w:p>
    <w:p w14:paraId="00142B81">
      <w:pPr>
        <w:pStyle w:val="17"/>
        <w:ind w:left="0" w:leftChars="0" w:firstLine="0" w:firstLineChars="0"/>
        <w:jc w:val="center"/>
        <w:rPr>
          <w:rFonts w:hint="default" w:ascii="Times New Roman" w:hAnsi="Times New Roman" w:eastAsia="宋体" w:cs="Times New Roman"/>
          <w:color w:val="auto"/>
          <w:highlight w:val="none"/>
          <w:lang w:eastAsia="zh-CN"/>
        </w:rPr>
        <w:sectPr>
          <w:pgSz w:w="16838" w:h="11906" w:orient="landscape"/>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6163310</wp:posOffset>
                </wp:positionH>
                <wp:positionV relativeFrom="paragraph">
                  <wp:posOffset>1949450</wp:posOffset>
                </wp:positionV>
                <wp:extent cx="76200" cy="90170"/>
                <wp:effectExtent l="12700" t="12700" r="25400" b="30480"/>
                <wp:wrapNone/>
                <wp:docPr id="4" name="椭圆 4"/>
                <wp:cNvGraphicFramePr/>
                <a:graphic xmlns:a="http://schemas.openxmlformats.org/drawingml/2006/main">
                  <a:graphicData uri="http://schemas.microsoft.com/office/word/2010/wordprocessingShape">
                    <wps:wsp>
                      <wps:cNvSpPr/>
                      <wps:spPr>
                        <a:xfrm>
                          <a:off x="6333490" y="3604260"/>
                          <a:ext cx="76200" cy="90170"/>
                        </a:xfrm>
                        <a:prstGeom prst="ellipse">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85.3pt;margin-top:153.5pt;height:7.1pt;width:6pt;z-index:251666432;v-text-anchor:middle;mso-width-relative:page;mso-height-relative:page;" fillcolor="#FF0000" filled="t" stroked="t" coordsize="21600,21600" o:gfxdata="UEsDBAoAAAAAAIdO4kAAAAAAAAAAAAAAAAAEAAAAZHJzL1BLAwQUAAAACACHTuJAIyRcL9kAAAAL&#10;AQAADwAAAGRycy9kb3ducmV2LnhtbE2PTUvDQBCG74L/YZmCN7ubKE0bsykYEA+CYNT7NjtNQrOz&#10;MbtNq7/e8WSP887D+1Fsz24QM06h96QhWSoQSI23PbUaPt6fbtcgQjRkzeAJNXxjgG15fVWY3PoT&#10;veFcx1awCYXcaOhiHHMpQ9OhM2HpRyT+7f3kTORzaqWdzInN3SBTpVbSmZ44oTMjVh02h/roNLR1&#10;NX4+VnPI2uf+R726l/3Xfab1zSJRDyAinuM/DH/1uTqU3Gnnj2SDGDRsMrViVMOdyngUE5t1ysqO&#10;lTRJQZaFvNxQ/gJQSwMEFAAAAAgAh07iQLeoH4ByAgAA6QQAAA4AAABkcnMvZTJvRG9jLnhtbK1U&#10;zW7bMAy+D9g7CLqvdhI3XYM6RdAgw4BiLdANOyuyHBvQ3yQlTvcAe4odd+1jbc+xT7Lbpl0PPSwH&#10;hTSpj+RHUmfneyXJTjjfGl3S0VFOidDcVK3elPTL59W795T4wHTFpNGipLfC0/P52zdnnZ2JsWmM&#10;rIQjANF+1tmSNiHYWZZ53gjF/JGxQsNYG6dYgOo2WeVYB3Qls3GeT7POuMo6w4X3+LrsjXRAdK8B&#10;NHXdcrE0fKuEDj2qE5IFlOSb1no6T9nWteDhqq69CESWFJWGdCII5HU8s/kZm20cs03LhxTYa1J4&#10;VpNirUbQB6glC4xsXfsPlGq5M97U4YgblfWFJEZQxSh/xs1Nw6xItYBqbx9I9/8Pln/aXTvSViUt&#10;KNFMoeF/ft39/vmDFJGbzvoZXG7stRs0DzEWuq+div8ogexLOp1MJsUpWL0t6WSaF+PpwK3YB8Lh&#10;cDJF8ynhsJ/mo5NkzR5hrPPhgzCKRKGkQkq0MdbOZmx36QOiw/veK372RrbVqpUyKW6zvpCO7Bj6&#10;vFrl+MX0ceWJm9SkK+n4uEipMExvjalBVsqCAa83lDC5wVrw4FLsJ7f9YZAY4uUgMckl802fTEIY&#10;cpEaKUVKexKjtDbVLRrgTD+Z3vJVi/uXzIdr5jCK4AzLGq5w1NIgezNIlDTGfX/pe/THhMBKSYfR&#10;RmXftswJSuRHjdk5HRUFYENSiuOTMRR3aFkfWvRWXRiwOsKzYHkSo3+Q92LtjPqKnV7EqDAxzRG7&#10;53BQLkK/cngVuFgskhvm37JwqW8sj+Cxi9ostsHUber2IzsDadiA1NFhW+OKHerJ6/GFmv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IyRcL9kAAAALAQAADwAAAAAAAAABACAAAAAiAAAAZHJzL2Rv&#10;d25yZXYueG1sUEsBAhQAFAAAAAgAh07iQLeoH4ByAgAA6QQAAA4AAAAAAAAAAQAgAAAAKAEAAGRy&#10;cy9lMm9Eb2MueG1sUEsFBgAAAAAGAAYAWQEAAAwGAAAAAA==&#10;">
                <v:fill on="t" focussize="0,0"/>
                <v:stroke weight="2pt" color="#000000 [3213]" joinstyle="round"/>
                <v:imagedata o:title=""/>
                <o:lock v:ext="edit" aspectratio="f"/>
              </v:shape>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5774055</wp:posOffset>
                </wp:positionH>
                <wp:positionV relativeFrom="paragraph">
                  <wp:posOffset>2070100</wp:posOffset>
                </wp:positionV>
                <wp:extent cx="495935" cy="360045"/>
                <wp:effectExtent l="12700" t="12700" r="24765" b="27305"/>
                <wp:wrapNone/>
                <wp:docPr id="106" name="矩形 106"/>
                <wp:cNvGraphicFramePr/>
                <a:graphic xmlns:a="http://schemas.openxmlformats.org/drawingml/2006/main">
                  <a:graphicData uri="http://schemas.microsoft.com/office/word/2010/wordprocessingShape">
                    <wps:wsp>
                      <wps:cNvSpPr/>
                      <wps:spPr>
                        <a:xfrm>
                          <a:off x="5795645" y="3545205"/>
                          <a:ext cx="495935" cy="36004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4.65pt;margin-top:163pt;height:28.35pt;width:39.05pt;z-index:251664384;v-text-anchor:middle;mso-width-relative:page;mso-height-relative:page;" filled="f" stroked="t" coordsize="21600,21600" o:gfxdata="UEsDBAoAAAAAAIdO4kAAAAAAAAAAAAAAAAAEAAAAZHJzL1BLAwQUAAAACACHTuJAe0tHONoAAAAL&#10;AQAADwAAAGRycy9kb3ducmV2LnhtbE2PsU7DMBCGdyTewTokFtTaTVCahDiVqEQHBiQKSzcnPpKo&#10;sR3ZTlPenmOC8e5+fff91e5qRnZBHwZnJWzWAhja1unBdhI+P15WObAQldVqdBYlfGOAXX17U6lS&#10;u8W+4+UYO0YQG0oloY9xKjkPbY9GhbWb0NLty3mjIo2+49qrheBm5IkQGTdqsPShVxPue2zPx9lI&#10;aA4nv8+f00OcHzJCn7tXfFukvL/biCdgEa/xLwy/+qQONTk1brY6sFFCIYqUohLSJKNSlCjy7SOw&#10;hjZ5sgVeV/x/h/oHUEsDBBQAAAAIAIdO4kDzUQzobAIAAMMEAAAOAAAAZHJzL2Uyb0RvYy54bWyt&#10;VEtu2zAQ3RfoHQjuG8mO5NRG5MCI4aJA0AZIi65pirIE8FeStpxepkB3PUSPU/QafaSUT9MusqgX&#10;9AzncYbz+EbnF0clyUE43xld0clJTonQ3NSd3lX044fNq9eU+MB0zaTRoqK3wtOL5csX571diKlp&#10;jayFI0ii/aK3FW1DsIss87wVivkTY4VGsDFOsQDX7bLasR7ZlcymeT7LeuNq6wwX3mN3PQTpmNE9&#10;J6Fpmo6LteF7JXQYsjohWUBLvu2sp8t026YRPLxvGi8CkRVFpyGtKAJ7G9dsec4WO8ds2/HxCuw5&#10;V3jSk2KdRtH7VGsWGNm77q9UquPOeNOEE25UNjSSGEEXk/wJNzctsyL1Aqq9vSfd/7+0/N3h2pGu&#10;hhLyGSWaKTz5r6/ff/74RuIO+OmtXwB2Y6/d6HmYsdlj41T8RxvkWNHybF7OipKS24qelkU5zcuB&#10;X3EMhANQzMv5KeI8AmZ5DiwyZg+JrPPhjTCKRKOiDs+XWGWHKx8G6B0k1tVm00mJfbaQmvQVnZZF&#10;jpflDLpsoAeYyqI3r3eUMLmD4HlwKaU3sqvj8Xjau932UjpyYJDJZpPjN97sD1isvWa+HXApNMKk&#10;Rh+RqIGaaG1NfQtqnRk05y3fdDh/xXy4Zg4iw0UxhuE9lkYa3N6MFiWtcV/+tR/xeHtEKekhWnT2&#10;ec+coES+1VDFfFIUUeXJKcqzKRz3OLJ9HNF7dWnQ8AQDb3kyIz7IO7NxRn3CtK5iVYSY5qg9cDg6&#10;l2EYJsw7F6tVgkHZloUrfWN5TD681GofTNOlR3xgZyQN2k4yGOcwDs9jP6Eevj3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tLRzjaAAAACwEAAA8AAAAAAAAAAQAgAAAAIgAAAGRycy9kb3ducmV2&#10;LnhtbFBLAQIUABQAAAAIAIdO4kDzUQzobAIAAMMEAAAOAAAAAAAAAAEAIAAAACkBAABkcnMvZTJv&#10;RG9jLnhtbFBLBQYAAAAABgAGAFkBAAAHBgAAAAA=&#10;">
                <v:fill on="f" focussize="0,0"/>
                <v:stroke weight="2pt" color="#FF0000 [2404]" joinstyle="round"/>
                <v:imagedata o:title=""/>
                <o:lock v:ext="edit" aspectratio="f"/>
              </v:rect>
            </w:pict>
          </mc:Fallback>
        </mc:AlternateContent>
      </w:r>
      <w:r>
        <w:rPr>
          <w:rFonts w:hint="default" w:ascii="Times New Roman" w:hAnsi="Times New Roman" w:cs="Times New Roman"/>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7280910</wp:posOffset>
                </wp:positionH>
                <wp:positionV relativeFrom="paragraph">
                  <wp:posOffset>756285</wp:posOffset>
                </wp:positionV>
                <wp:extent cx="676910" cy="748030"/>
                <wp:effectExtent l="0" t="0" r="0" b="0"/>
                <wp:wrapNone/>
                <wp:docPr id="107" name="矩形 107"/>
                <wp:cNvGraphicFramePr/>
                <a:graphic xmlns:a="http://schemas.openxmlformats.org/drawingml/2006/main">
                  <a:graphicData uri="http://schemas.microsoft.com/office/word/2010/wordprocessingShape">
                    <wps:wsp>
                      <wps:cNvSpPr/>
                      <wps:spPr>
                        <a:xfrm>
                          <a:off x="2355215" y="1894840"/>
                          <a:ext cx="676910" cy="74803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F005B95">
                            <w:pPr>
                              <w:ind w:left="0" w:leftChars="0" w:firstLine="0" w:firstLineChars="0"/>
                              <w:jc w:val="both"/>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锅炉房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3.3pt;margin-top:59.55pt;height:58.9pt;width:53.3pt;z-index:251665408;v-text-anchor:middle;mso-width-relative:page;mso-height-relative:page;" filled="f" stroked="f" coordsize="21600,21600" o:gfxdata="UEsDBAoAAAAAAIdO4kAAAAAAAAAAAAAAAAAEAAAAZHJzL1BLAwQUAAAACACHTuJAwUmG2doAAAAN&#10;AQAADwAAAGRycy9kb3ducmV2LnhtbE2PwU6DQBCG7ya+w2ZMvNkFWkmLLE1j1KRHi4npbWFHQNlZ&#10;wm5p+/YOJ73Nn/nyzzf59mJ7MeHoO0cK4kUEAql2pqNGwUf5+rAG4YMmo3tHqOCKHrbF7U2uM+PO&#10;9I7TITSCS8hnWkEbwpBJ6esWrfYLNyDx7suNVgeOYyPNqM9cbnuZRFEqre6IL7R6wOcW65/DySrw&#10;1bQvr8Pu8/vo62r3QrZc7d+Uur+LoycQAS/hD4ZZn9WhYKfKnch40XOOV2nK7DxtYhAzkjwuExCV&#10;gmSZbkAWufz/RfELUEsDBBQAAAAIAIdO4kDfE7zWYAIAAKUEAAAOAAAAZHJzL2Uyb0RvYy54bWyt&#10;VM1uEzEQviPxDpbvdDdp0qRRN1XUqAipgkoFcXa8dnYl/2E72ZSXQeLGQ/A4iNfgs3fbRoVDD1y8&#10;Y8/km/m+mcnF5UErshc+tNZUdHRSUiIMt3VrthX99PH6zZySEJmpmbJGVPReBHq5fP3qonMLMbaN&#10;VbXwBCAmLDpX0SZGtyiKwBuhWTixThg4pfWaRVz9tqg964CuVTEuy7Ois7523nIRAl7XvZMOiP4l&#10;gFbKlou15TstTOxRvVAsglJoWhfoMlcrpeDxg5RBRKIqCqYxn0gCe5POYnnBFlvPXNPyoQT2khKe&#10;cdKsNUj6CLVmkZGdb/+C0i33NlgZT7jVRU8kKwIWo/KZNncNcyJzgdTBPYoe/h8sf7+/9aStMQnl&#10;jBLDNFr++9uPXz+/k/QCfToXFgi7c7d+uAWYiexBep2+oEEOFR2fTqfj0ZSSe6DNzyfzyaCvOETC&#10;EXA2OzsfQXmOgNlkXp5mf/EE5HyIb4XVJBkV9WhfVpXtb0JEcoQ+hKS8xl63SuUWKkM6VDCdlAmf&#10;YS4l5gGmduAWzJYSprYYeB59hjz6bYJcs9CQPcOUBKvaOvFGMmXwSfx7xsmKh81hkGFj63uI520/&#10;VcHx6xZQNyzEW+YxRigFixY/4JDKoj47WJQ01n/913uKR3fhpaTDWKKeLzvmBSXqnUHfz0cTqEpi&#10;vkymszEu/tizOfaYnb6y4DTCSjuezRQf1YMpvdWfsY+rlBUuZjhy9yoNl6vYrws2movVKodhdh2L&#10;N+bO8QTe92K1i1a2uU1JqF6dQT9MbxZ02LS0Hsf3HPX077L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FJhtnaAAAADQEAAA8AAAAAAAAAAQAgAAAAIgAAAGRycy9kb3ducmV2LnhtbFBLAQIUABQA&#10;AAAIAIdO4kDfE7zWYAIAAKUEAAAOAAAAAAAAAAEAIAAAACkBAABkcnMvZTJvRG9jLnhtbFBLBQYA&#10;AAAABgAGAFkBAAD7BQAAAAA=&#10;">
                <v:fill on="f" focussize="0,0"/>
                <v:stroke on="f" weight="2pt"/>
                <v:imagedata o:title=""/>
                <o:lock v:ext="edit" aspectratio="f"/>
                <v:textbox>
                  <w:txbxContent>
                    <w:p w14:paraId="0F005B95">
                      <w:pPr>
                        <w:ind w:left="0" w:leftChars="0" w:firstLine="0" w:firstLineChars="0"/>
                        <w:jc w:val="both"/>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锅炉房</w:t>
                      </w:r>
                    </w:p>
                  </w:txbxContent>
                </v:textbox>
              </v:rect>
            </w:pict>
          </mc:Fallback>
        </mc:AlternateContent>
      </w:r>
      <w:r>
        <w:rPr>
          <w:rFonts w:hint="default" w:ascii="Times New Roman" w:hAnsi="Times New Roman" w:eastAsia="宋体" w:cs="Times New Roman"/>
          <w:color w:val="auto"/>
          <w:highlight w:val="none"/>
          <w:lang w:eastAsia="zh-CN"/>
        </w:rPr>
        <w:drawing>
          <wp:inline distT="0" distB="0" distL="114300" distR="114300">
            <wp:extent cx="7308215" cy="5218430"/>
            <wp:effectExtent l="0" t="0" r="6985" b="1270"/>
            <wp:docPr id="77" name="图片 77" descr="0d6c789f42be5171c54ca1d2b8e4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0d6c789f42be5171c54ca1d2b8e47710"/>
                    <pic:cNvPicPr>
                      <a:picLocks noChangeAspect="1"/>
                    </pic:cNvPicPr>
                  </pic:nvPicPr>
                  <pic:blipFill>
                    <a:blip r:embed="rId41"/>
                    <a:stretch>
                      <a:fillRect/>
                    </a:stretch>
                  </pic:blipFill>
                  <pic:spPr>
                    <a:xfrm>
                      <a:off x="0" y="0"/>
                      <a:ext cx="7308215" cy="5218430"/>
                    </a:xfrm>
                    <a:prstGeom prst="rect">
                      <a:avLst/>
                    </a:prstGeom>
                  </pic:spPr>
                </pic:pic>
              </a:graphicData>
            </a:graphic>
          </wp:inline>
        </w:drawing>
      </w:r>
    </w:p>
    <w:p w14:paraId="164516F7">
      <w:pPr>
        <w:ind w:left="0" w:leftChars="0" w:firstLine="0" w:firstLineChars="0"/>
        <w:outlineLvl w:val="0"/>
        <w:rPr>
          <w:rFonts w:hint="default" w:ascii="Times New Roman" w:hAnsi="Times New Roman" w:eastAsia="宋体" w:cs="Times New Roman"/>
          <w:b/>
          <w:bCs w:val="0"/>
          <w:color w:val="auto"/>
          <w:spacing w:val="0"/>
          <w:highlight w:val="none"/>
          <w:lang w:val="en-US" w:eastAsia="zh-CN"/>
        </w:rPr>
      </w:pPr>
      <w:r>
        <w:rPr>
          <w:rFonts w:hint="default" w:ascii="Times New Roman" w:hAnsi="Times New Roman" w:eastAsia="宋体" w:cs="Times New Roman"/>
          <w:b/>
          <w:bCs w:val="0"/>
          <w:color w:val="auto"/>
          <w:spacing w:val="0"/>
          <w:highlight w:val="none"/>
          <w:lang w:val="en-US" w:eastAsia="zh-CN"/>
        </w:rPr>
        <w:t>附图3本项目保护目标分布图</w:t>
      </w:r>
    </w:p>
    <w:p w14:paraId="28F93D50">
      <w:pPr>
        <w:spacing w:line="240" w:lineRule="auto"/>
        <w:jc w:val="left"/>
        <w:outlineLvl w:val="9"/>
        <w:rPr>
          <w:rFonts w:hint="default" w:ascii="Times New Roman" w:hAnsi="Times New Roman" w:eastAsia="宋体" w:cs="Times New Roman"/>
          <w:color w:val="auto"/>
          <w:highlight w:val="none"/>
        </w:rPr>
        <w:sectPr>
          <w:pgSz w:w="16838" w:h="11906" w:orient="landscape"/>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position w:val="-29"/>
        </w:rPr>
        <w:drawing>
          <wp:anchor distT="0" distB="0" distL="0" distR="0" simplePos="0" relativeHeight="251676672" behindDoc="0" locked="0" layoutInCell="1" allowOverlap="1">
            <wp:simplePos x="0" y="0"/>
            <wp:positionH relativeFrom="column">
              <wp:posOffset>364490</wp:posOffset>
            </wp:positionH>
            <wp:positionV relativeFrom="paragraph">
              <wp:posOffset>8890</wp:posOffset>
            </wp:positionV>
            <wp:extent cx="972185" cy="947420"/>
            <wp:effectExtent l="0" t="0" r="18415" b="5080"/>
            <wp:wrapNone/>
            <wp:docPr id="41" name="IM 66"/>
            <wp:cNvGraphicFramePr/>
            <a:graphic xmlns:a="http://schemas.openxmlformats.org/drawingml/2006/main">
              <a:graphicData uri="http://schemas.openxmlformats.org/drawingml/2006/picture">
                <pic:pic xmlns:pic="http://schemas.openxmlformats.org/drawingml/2006/picture">
                  <pic:nvPicPr>
                    <pic:cNvPr id="41" name="IM 66"/>
                    <pic:cNvPicPr/>
                  </pic:nvPicPr>
                  <pic:blipFill>
                    <a:blip r:embed="rId39"/>
                    <a:stretch>
                      <a:fillRect/>
                    </a:stretch>
                  </pic:blipFill>
                  <pic:spPr>
                    <a:xfrm>
                      <a:off x="0" y="0"/>
                      <a:ext cx="972185" cy="947420"/>
                    </a:xfrm>
                    <a:prstGeom prst="rect">
                      <a:avLst/>
                    </a:prstGeom>
                  </pic:spPr>
                </pic:pic>
              </a:graphicData>
            </a:graphic>
          </wp:anchor>
        </w:drawing>
      </w:r>
      <w:r>
        <w:rPr>
          <w:rFonts w:hint="default" w:ascii="Times New Roman" w:hAnsi="Times New Roman" w:cs="Times New Roman"/>
          <w:color w:val="auto"/>
          <w:sz w:val="28"/>
          <w:highlight w:val="none"/>
        </w:rPr>
        <mc:AlternateContent>
          <mc:Choice Requires="wps">
            <w:drawing>
              <wp:anchor distT="0" distB="0" distL="114300" distR="114300" simplePos="0" relativeHeight="251673600" behindDoc="0" locked="0" layoutInCell="1" allowOverlap="1">
                <wp:simplePos x="0" y="0"/>
                <wp:positionH relativeFrom="column">
                  <wp:posOffset>4422140</wp:posOffset>
                </wp:positionH>
                <wp:positionV relativeFrom="paragraph">
                  <wp:posOffset>3304540</wp:posOffset>
                </wp:positionV>
                <wp:extent cx="914400" cy="914400"/>
                <wp:effectExtent l="0" t="0" r="0" b="0"/>
                <wp:wrapNone/>
                <wp:docPr id="26" name="矩形 26"/>
                <wp:cNvGraphicFramePr/>
                <a:graphic xmlns:a="http://schemas.openxmlformats.org/drawingml/2006/main">
                  <a:graphicData uri="http://schemas.microsoft.com/office/word/2010/wordprocessingShape">
                    <wps:wsp>
                      <wps:cNvSpPr/>
                      <wps:spPr>
                        <a:xfrm>
                          <a:off x="0" y="0"/>
                          <a:ext cx="914400" cy="9144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4909796">
                            <w:pPr>
                              <w:ind w:left="0" w:leftChars="0" w:firstLine="0" w:firstLineChars="0"/>
                              <w:jc w:val="both"/>
                              <w:rPr>
                                <w:rFonts w:hint="default" w:eastAsia="宋体"/>
                                <w:color w:val="FFFF00"/>
                                <w:lang w:val="en-US" w:eastAsia="zh-CN"/>
                              </w:rPr>
                            </w:pPr>
                            <w:r>
                              <w:rPr>
                                <w:rFonts w:hint="eastAsia"/>
                                <w:color w:val="FFFF00"/>
                                <w:lang w:val="en-US" w:eastAsia="zh-CN"/>
                              </w:rPr>
                              <w:t>桦树村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8.2pt;margin-top:260.2pt;height:72pt;width:72pt;z-index:251673600;v-text-anchor:middle;mso-width-relative:page;mso-height-relative:page;" filled="f" stroked="f" coordsize="21600,21600" o:gfxdata="UEsDBAoAAAAAAIdO4kAAAAAAAAAAAAAAAAAEAAAAZHJzL1BLAwQUAAAACACHTuJAZQuMEtgAAAAL&#10;AQAADwAAAGRycy9kb3ducmV2LnhtbE2PwU7DMBBE70j8g7VI3KjdykQlxKkqBEg90iAhbk68JIF4&#10;HcVu2v492xPcZjVPszPF5uQHMeMU+0AGlgsFAqkJrqfWwHv1crcGEZMlZ4dAaOCMETbl9VVhcxeO&#10;9IbzPrWCQyjm1kCX0phLGZsOvY2LMCKx9xUmbxOfUyvdZI8c7ge5UiqT3vbEHzo74lOHzc/+4A3E&#10;et5V53H78f0Zm3r7TL7Su1djbm+W6hFEwlP6g+FSn6tDyZ3qcCAXxWAge8g0owbuV4oFE2t9ETVb&#10;mdYgy0L+31D+AlBLAwQUAAAACACHTuJAd7d6G0oCAACXBAAADgAAAGRycy9lMm9Eb2MueG1srVTN&#10;bhMxEL4j8Q6W73STKC0QdVNFjYKQKlopIM6O185a8h+2k015GSRuPASPg3gNPnu3TVQ49MBld+yZ&#10;/Wa+b2b28upgNNmLEJWzNR2fjSgRlrtG2W1NP31cvXpDSUzMNkw7K2p6LyK9mr98cdn5mZi41ulG&#10;BAIQG2edr2mbkp9VVeStMCyeOS8snNIFwxKOYVs1gXVAN7qajEYXVedC44PjIkbcLnsnHRDDcwCd&#10;lIqLpeM7I2zqUYPQLIFSbJWPdF6qlVLwdCtlFInomoJpKk8kgb3Jz2p+yWbbwHyr+FACe04JTzgZ&#10;piySPkItWWJkF9RfUEbx4KKT6Yw7U/VEiiJgMR490WbdMi8KF0gd/aPo8f/B8g/7u0BUU9PJBSWW&#10;GXT897cfv35+J7iAOp2PMwSt/V0YThFmpnqQweQ3SJBDUfT+UVFxSITj8u14Oh1Baw7XYAOlOn7s&#10;Q0zvhDMkGzUNaFjRke1vYupDH0JyLutWSmvcs5m2pEPV5z0+wyRKTABSGQ820W4pYXqLEecpFMiT&#10;bzPkksWW7BnmIjqtmswVdWmLV+bcs8xWOmwOcGZz45p7yBVcP0fR85UC1A2L6Y4FDA6oYrXSLR5S&#10;O9TnBouS1oWv/7rP8egnvJR0GETU82XHgqBEv7fodJENk1sO0/PXE+QIp57NqcfuzLUDpzGW2PNi&#10;5vikH0wZnPmMDVzkrHAxy5G7V2k4XKd+QbDDXCwWJQzT6lm6sWvPM3jfi8UuOalKm47qDPphXoug&#10;w27lhTg9l6jj/2T+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ULjBLYAAAACwEAAA8AAAAAAAAA&#10;AQAgAAAAIgAAAGRycy9kb3ducmV2LnhtbFBLAQIUABQAAAAIAIdO4kB3t3obSgIAAJcEAAAOAAAA&#10;AAAAAAEAIAAAACcBAABkcnMvZTJvRG9jLnhtbFBLBQYAAAAABgAGAFkBAADjBQAAAAA=&#10;">
                <v:fill on="f" focussize="0,0"/>
                <v:stroke on="f" weight="2pt"/>
                <v:imagedata o:title=""/>
                <o:lock v:ext="edit" aspectratio="f"/>
                <v:textbox>
                  <w:txbxContent>
                    <w:p w14:paraId="44909796">
                      <w:pPr>
                        <w:ind w:left="0" w:leftChars="0" w:firstLine="0" w:firstLineChars="0"/>
                        <w:jc w:val="both"/>
                        <w:rPr>
                          <w:rFonts w:hint="default" w:eastAsia="宋体"/>
                          <w:color w:val="FFFF00"/>
                          <w:lang w:val="en-US" w:eastAsia="zh-CN"/>
                        </w:rPr>
                      </w:pPr>
                      <w:r>
                        <w:rPr>
                          <w:rFonts w:hint="eastAsia"/>
                          <w:color w:val="FFFF00"/>
                          <w:lang w:val="en-US" w:eastAsia="zh-CN"/>
                        </w:rPr>
                        <w:t>桦树村</w:t>
                      </w:r>
                    </w:p>
                  </w:txbxContent>
                </v:textbox>
              </v:rect>
            </w:pict>
          </mc:Fallback>
        </mc:AlternateContent>
      </w:r>
      <w:r>
        <w:rPr>
          <w:rFonts w:hint="default" w:ascii="Times New Roman" w:hAnsi="Times New Roman" w:cs="Times New Roman"/>
          <w:color w:val="auto"/>
          <w:highlight w:val="none"/>
        </w:rPr>
        <w:drawing>
          <wp:inline distT="0" distB="0" distL="114300" distR="114300">
            <wp:extent cx="7728585" cy="5112385"/>
            <wp:effectExtent l="0" t="0" r="5715" b="12065"/>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42"/>
                    <a:stretch>
                      <a:fillRect/>
                    </a:stretch>
                  </pic:blipFill>
                  <pic:spPr>
                    <a:xfrm>
                      <a:off x="0" y="0"/>
                      <a:ext cx="7728585" cy="5112385"/>
                    </a:xfrm>
                    <a:prstGeom prst="rect">
                      <a:avLst/>
                    </a:prstGeom>
                    <a:noFill/>
                    <a:ln>
                      <a:noFill/>
                    </a:ln>
                  </pic:spPr>
                </pic:pic>
              </a:graphicData>
            </a:graphic>
          </wp:inline>
        </w:drawing>
      </w:r>
      <w:r>
        <w:rPr>
          <w:rFonts w:hint="default" w:ascii="Times New Roman" w:hAnsi="Times New Roman" w:cs="Times New Roman"/>
          <w:color w:val="auto"/>
          <w:sz w:val="28"/>
          <w:highlight w:val="none"/>
        </w:rPr>
        <mc:AlternateContent>
          <mc:Choice Requires="wps">
            <w:drawing>
              <wp:anchor distT="0" distB="0" distL="114300" distR="114300" simplePos="0" relativeHeight="251670528" behindDoc="0" locked="0" layoutInCell="1" allowOverlap="1">
                <wp:simplePos x="0" y="0"/>
                <wp:positionH relativeFrom="column">
                  <wp:posOffset>2336165</wp:posOffset>
                </wp:positionH>
                <wp:positionV relativeFrom="paragraph">
                  <wp:posOffset>1885315</wp:posOffset>
                </wp:positionV>
                <wp:extent cx="914400" cy="914400"/>
                <wp:effectExtent l="0" t="0" r="0" b="0"/>
                <wp:wrapNone/>
                <wp:docPr id="24" name="矩形 24"/>
                <wp:cNvGraphicFramePr/>
                <a:graphic xmlns:a="http://schemas.openxmlformats.org/drawingml/2006/main">
                  <a:graphicData uri="http://schemas.microsoft.com/office/word/2010/wordprocessingShape">
                    <wps:wsp>
                      <wps:cNvSpPr/>
                      <wps:spPr>
                        <a:xfrm>
                          <a:off x="3583940" y="3286125"/>
                          <a:ext cx="914400" cy="9144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A81A31E">
                            <w:pPr>
                              <w:ind w:left="0" w:leftChars="0" w:firstLine="0" w:firstLineChars="0"/>
                              <w:jc w:val="both"/>
                              <w:rPr>
                                <w:rFonts w:hint="eastAsia" w:eastAsia="宋体"/>
                                <w:color w:val="FFFF00"/>
                                <w:lang w:val="en-US" w:eastAsia="zh-CN"/>
                              </w:rPr>
                            </w:pPr>
                            <w:r>
                              <w:rPr>
                                <w:rFonts w:hint="eastAsia"/>
                                <w:color w:val="FFFF00"/>
                                <w:lang w:val="en-US" w:eastAsia="zh-CN"/>
                              </w:rPr>
                              <w:t>耕农村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95pt;margin-top:148.45pt;height:72pt;width:72pt;z-index:251670528;v-text-anchor:middle;mso-width-relative:page;mso-height-relative:page;" filled="f" stroked="f" coordsize="21600,21600" o:gfxdata="UEsDBAoAAAAAAIdO4kAAAAAAAAAAAAAAAAAEAAAAZHJzL1BLAwQUAAAACACHTuJAkeER/dkAAAAL&#10;AQAADwAAAGRycy9kb3ducmV2LnhtbE2PwU6DQBCG7ya+w2ZMvNmFiliQoWmMmvTYYmJ6W9gVUHaW&#10;sFvavr3jSW//ZL78802xPttBzGbyvSOEeBGBMNQ43VOL8F693q1A+KBIq8GRQbgYD+vy+qpQuXYn&#10;2pl5H1rBJeRzhdCFMOZS+qYzVvmFGw3x7tNNVgUep1bqSZ243A5yGUWptKonvtCp0Tx3pvneHy2C&#10;r+dtdRk3H18H39SbF7JVsn1DvL2JoycQwZzDHwy/+qwOJTvV7kjaiwHhPn3MGEVYZikHJh7imEON&#10;kCRRBrIs5P8fyh9QSwMEFAAAAAgAh07iQPJow8tXAgAAowQAAA4AAABkcnMvZTJvRG9jLnhtbK1U&#10;zW4TMRC+I/EOlu90kzQpbdRNFTUqQqpopYI4O147a8l/2E425WWQuPEQPA7iNfjs3bZR4dADF+/Y&#10;M/lmvm9mcn6xN5rsRIjK2ZqOj0aUCMtdo+ympp8+Xr05pSQmZhumnRU1vReRXixevzrv/FxMXOt0&#10;IwIBiI3zzte0TcnPqyryVhgWj5wXFk7pgmEJ17CpmsA6oBtdTUajk6pzofHBcREjXle9kw6I4SWA&#10;TkrFxcrxrRE29ahBaJZAKbbKR7oo1UopeLqRMopEdE3BNJUTSWCv81ktztl8E5hvFR9KYC8p4Rkn&#10;w5RF0keoFUuMbIP6C8ooHlx0Mh1xZ6qeSFEELMajZ9rctcyLwgVSR/8oevx/sPzD7jYQ1dR0MqXE&#10;MoOO//7249fP7wQPUKfzcY6gO38bhluEmanuZTD5CxJkX9Pj2enx2RS63sOenJ6MJ7NeXbFPhCPg&#10;bDydjuDnCBhsIFZPQD7E9E44Q7JR04DmFU3Z7jqmPvQhJOe17kppjXc215Z0YDDr8RmmUmIakMp4&#10;MIt2QwnTG4w7T6FAHvw2Q65YbMmOYUai06rJdaMubfHJ/HvG2Ur79R7ObK5dcw/pgutnKnp+pQB1&#10;zWK6ZQFDBKpYs3SDQ2qH+txgUdK68PVf7zkevYWXkg5DiXq+bFkQlOj3Fl0vsmGKy2U6eztBjnDo&#10;WR967NZcOnAaY6E9L2aOT/rBlMGZz9jGZc4KF7McuXuVhstl6pcF+8zFclnCMLmepWt753kG73ux&#10;3CYnVWnTkzqDfpjdIuiwZ3k5Du8l6um/Zf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eER/dkA&#10;AAALAQAADwAAAAAAAAABACAAAAAiAAAAZHJzL2Rvd25yZXYueG1sUEsBAhQAFAAAAAgAh07iQPJo&#10;w8tXAgAAowQAAA4AAAAAAAAAAQAgAAAAKAEAAGRycy9lMm9Eb2MueG1sUEsFBgAAAAAGAAYAWQEA&#10;APEFAAAAAA==&#10;">
                <v:fill on="f" focussize="0,0"/>
                <v:stroke on="f" weight="2pt"/>
                <v:imagedata o:title=""/>
                <o:lock v:ext="edit" aspectratio="f"/>
                <v:textbox>
                  <w:txbxContent>
                    <w:p w14:paraId="0A81A31E">
                      <w:pPr>
                        <w:ind w:left="0" w:leftChars="0" w:firstLine="0" w:firstLineChars="0"/>
                        <w:jc w:val="both"/>
                        <w:rPr>
                          <w:rFonts w:hint="eastAsia" w:eastAsia="宋体"/>
                          <w:color w:val="FFFF00"/>
                          <w:lang w:val="en-US" w:eastAsia="zh-CN"/>
                        </w:rPr>
                      </w:pPr>
                      <w:r>
                        <w:rPr>
                          <w:rFonts w:hint="eastAsia"/>
                          <w:color w:val="FFFF00"/>
                          <w:lang w:val="en-US" w:eastAsia="zh-CN"/>
                        </w:rPr>
                        <w:t>耕农村</w:t>
                      </w:r>
                    </w:p>
                  </w:txbxContent>
                </v:textbox>
              </v:rect>
            </w:pict>
          </mc:Fallback>
        </mc:AlternateContent>
      </w:r>
      <w:r>
        <w:rPr>
          <w:rFonts w:hint="default" w:ascii="Times New Roman" w:hAnsi="Times New Roman" w:eastAsia="宋体" w:cs="Times New Roman"/>
          <w:color w:val="auto"/>
          <w:sz w:val="28"/>
          <w:highlight w:val="none"/>
        </w:rPr>
        <mc:AlternateContent>
          <mc:Choice Requires="wpg">
            <w:drawing>
              <wp:anchor distT="0" distB="0" distL="114300" distR="114300" simplePos="0" relativeHeight="251663360" behindDoc="0" locked="0" layoutInCell="1" allowOverlap="1">
                <wp:simplePos x="0" y="0"/>
                <wp:positionH relativeFrom="column">
                  <wp:posOffset>401320</wp:posOffset>
                </wp:positionH>
                <wp:positionV relativeFrom="paragraph">
                  <wp:posOffset>4131945</wp:posOffset>
                </wp:positionV>
                <wp:extent cx="314325" cy="739775"/>
                <wp:effectExtent l="9525" t="9525" r="19050" b="12700"/>
                <wp:wrapNone/>
                <wp:docPr id="28" name="组合 28"/>
                <wp:cNvGraphicFramePr/>
                <a:graphic xmlns:a="http://schemas.openxmlformats.org/drawingml/2006/main">
                  <a:graphicData uri="http://schemas.microsoft.com/office/word/2010/wordprocessingGroup">
                    <wpg:wgp>
                      <wpg:cNvGrpSpPr/>
                      <wpg:grpSpPr>
                        <a:xfrm>
                          <a:off x="0" y="0"/>
                          <a:ext cx="314325" cy="739775"/>
                          <a:chOff x="12914" y="1292042"/>
                          <a:chExt cx="481" cy="1165"/>
                        </a:xfrm>
                      </wpg:grpSpPr>
                      <wps:wsp>
                        <wps:cNvPr id="9" name="矩形 62"/>
                        <wps:cNvSpPr/>
                        <wps:spPr>
                          <a:xfrm>
                            <a:off x="12914" y="1292042"/>
                            <a:ext cx="437" cy="197"/>
                          </a:xfrm>
                          <a:prstGeom prst="rect">
                            <a:avLst/>
                          </a:prstGeom>
                          <a:solidFill>
                            <a:srgbClr val="FFFFFF"/>
                          </a:solidFill>
                          <a:ln w="19050" cap="flat" cmpd="sng">
                            <a:solidFill>
                              <a:srgbClr val="FF0000"/>
                            </a:solidFill>
                            <a:prstDash val="solid"/>
                            <a:miter/>
                            <a:headEnd type="none" w="med" len="med"/>
                            <a:tailEnd type="none" w="med" len="med"/>
                          </a:ln>
                        </wps:spPr>
                        <wps:bodyPr vert="horz" wrap="square" anchor="t" anchorCtr="0" upright="1"/>
                      </wps:wsp>
                      <wps:wsp>
                        <wps:cNvPr id="10" name="矩形 61"/>
                        <wps:cNvSpPr/>
                        <wps:spPr>
                          <a:xfrm>
                            <a:off x="12954" y="1292731"/>
                            <a:ext cx="437" cy="172"/>
                          </a:xfrm>
                          <a:prstGeom prst="rect">
                            <a:avLst/>
                          </a:prstGeom>
                          <a:solidFill>
                            <a:srgbClr val="FFFFFF"/>
                          </a:solidFill>
                          <a:ln w="19050" cap="flat" cmpd="sng">
                            <a:solidFill>
                              <a:srgbClr val="FFFF00"/>
                            </a:solidFill>
                            <a:prstDash val="solid"/>
                            <a:miter/>
                            <a:headEnd type="none" w="med" len="med"/>
                            <a:tailEnd type="none" w="med" len="med"/>
                          </a:ln>
                        </wps:spPr>
                        <wps:bodyPr vert="horz" wrap="square" anchor="t" anchorCtr="0" upright="1"/>
                      </wps:wsp>
                      <wps:wsp>
                        <wps:cNvPr id="11" name="矩形 60"/>
                        <wps:cNvSpPr/>
                        <wps:spPr>
                          <a:xfrm>
                            <a:off x="12934" y="1292387"/>
                            <a:ext cx="437" cy="166"/>
                          </a:xfrm>
                          <a:prstGeom prst="rect">
                            <a:avLst/>
                          </a:prstGeom>
                          <a:solidFill>
                            <a:srgbClr val="FFFFFF"/>
                          </a:solidFill>
                          <a:ln w="19050" cap="flat" cmpd="sng">
                            <a:solidFill>
                              <a:srgbClr val="00F700"/>
                            </a:solidFill>
                            <a:prstDash val="solid"/>
                            <a:miter/>
                            <a:headEnd type="none" w="med" len="med"/>
                            <a:tailEnd type="none" w="med" len="med"/>
                          </a:ln>
                        </wps:spPr>
                        <wps:bodyPr vert="horz" wrap="square" anchor="t" anchorCtr="0" upright="1"/>
                      </wps:wsp>
                      <wps:wsp>
                        <wps:cNvPr id="15" name="矩形 88"/>
                        <wps:cNvSpPr/>
                        <wps:spPr>
                          <a:xfrm>
                            <a:off x="12959" y="1293051"/>
                            <a:ext cx="437" cy="156"/>
                          </a:xfrm>
                          <a:prstGeom prst="rect">
                            <a:avLst/>
                          </a:prstGeom>
                          <a:solidFill>
                            <a:srgbClr val="36B2B2"/>
                          </a:solidFill>
                          <a:ln w="19050" cap="flat" cmpd="sng">
                            <a:solidFill>
                              <a:schemeClr val="tx1"/>
                            </a:solidFill>
                            <a:prstDash val="solid"/>
                            <a:miter/>
                            <a:headEnd type="none" w="med" len="med"/>
                            <a:tailEnd type="none" w="med" len="med"/>
                          </a:ln>
                        </wps:spPr>
                        <wps:bodyPr vert="horz" wrap="square" anchor="t" anchorCtr="0" upright="1"/>
                      </wps:wsp>
                    </wpg:wgp>
                  </a:graphicData>
                </a:graphic>
              </wp:anchor>
            </w:drawing>
          </mc:Choice>
          <mc:Fallback>
            <w:pict>
              <v:group id="_x0000_s1026" o:spid="_x0000_s1026" o:spt="203" style="position:absolute;left:0pt;margin-left:31.6pt;margin-top:325.35pt;height:58.25pt;width:24.75pt;z-index:251663360;mso-width-relative:page;mso-height-relative:page;" coordorigin="12914,1292042" coordsize="481,1165" o:gfxdata="UEsDBAoAAAAAAIdO4kAAAAAAAAAAAAAAAAAEAAAAZHJzL1BLAwQUAAAACACHTuJAEA7FkdkAAAAK&#10;AQAADwAAAGRycy9kb3ducmV2LnhtbE2PwWrDMAyG74O9g9Fgt9V2SpORxSmjtDuVwdrB2M2N1SQ0&#10;lkPsJu3bzz2tJ0no49enYnmxHRtx8K0jBXImgCFVzrRUK/jeb15egfmgyejOESq4oodl+fhQ6Ny4&#10;ib5w3IWaxRDyuVbQhNDnnPuqQav9zPVIcXd0g9UhjkPNzaCnGG47ngiRcqtbihca3eOqweq0O1sF&#10;H5Oe3udyPW5Px9X1d7/4/NlKVOr5SYo3YAEv4R+Gm35UhzI6HdyZjGedgnSeRDLWhciA3QCZxOag&#10;IEuzBHhZ8PsXyj9QSwMEFAAAAAgAh07iQAjymKgWAwAA9QwAAA4AAABkcnMvZTJvRG9jLnhtbO1X&#10;S27bMBDdF+gdCO4b/WzLFiIHSBxnU7QB0h6AkagPIJEsSVt211102RsU6K5nKHqcoNfokJLlOh/A&#10;aZACQaOFTPEznzdvhuPDo1VdoSWVquQsxt6BixFlCU9Llsf4/bv5qzFGShOWkoozGuM1Vfho+vLF&#10;YSMi6vOCVymVCIQwFTUixoXWInIclRS0JuqAC8pgMeOyJho+Ze6kkjQgva4c33VHTsNlKiRPqFIw&#10;O2sXcSdR7iOQZ1mZ0BlPFjVlupUqaUU0uKSKUig8tdZmGU302yxTVKMqxuCptm9QAuNL83amhyTK&#10;JRFFmXQmkH1MuOZTTUoGSntRM6IJWsjyhqi6TCRXPNMHCa+d1hGLCHjhudewOZN8IawvedTkogcd&#10;AnUN9b8Wm7xZnktUpjH2Ie6M1BDxXz8+XX35jGAC0GlEHsGmMykuxLnsJvL2yzi8ymRtfsEVtLK4&#10;rntc6UqjBCYDbxD4Q4wSWAqDSRgOW9yTAoJjTnn+xBtgBMsw8t2Bv1k/7SQMxl573PNG9rCz0ewY&#10;A3t7GgGkVFuk1MOQuiiIoDYAyoDQITXpgfr6/ernNzSy5hrVsKdHSUUKALsFojuc3YA1CMLO1Ulo&#10;YOg9JZGQSp9RXiMziLEEdlvSkeVrpdutmy1Gr+JVmc7LqrIfMr88qSRaEsiEuX066TvbKoYaiMLE&#10;HUKGJATyO4O8gmEtgCOK5VbhzhG1K9mF5zbJxrIZUUVrgZXQRrkuNZVgPYkKStJTliK9FkBDBuUH&#10;G2tqmmJUUahWZmR3alJW++wE8CoGGJrgtOEwo0ueriGWUAQBxYLLj6AGSgD492FBJCglLIHpGIPj&#10;7fBEtzVjIWSZF3DKsy52dDNZ8g9450FIugztiGetMLr3Jd5wm2VhYE+T6CbxQkvop0a8+fyZeOJR&#10;Cp4HxXeXeDbD70O8YEu8YGzr2m3EG41sWm1q+5OoeK47D5+J90jEg6Zhh3jjrie5R8WD27rtKwJ3&#10;eGfFGz4a8YLRsX+8qac79+ZDr1pz0f6HxLMNH3TDtjPqOnfTbv/5bW/87b+V6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AQDsWR2QAAAAoBAAAPAAAAAAAAAAEAIAAAACIAAABkcnMvZG93bnJldi54&#10;bWxQSwECFAAUAAAACACHTuJACPKYqBYDAAD1DAAADgAAAAAAAAABACAAAAAoAQAAZHJzL2Uyb0Rv&#10;Yy54bWxQSwUGAAAAAAYABgBZAQAAsAYAAAAA&#10;">
                <o:lock v:ext="edit" aspectratio="f"/>
                <v:rect id="矩形 62" o:spid="_x0000_s1026" o:spt="1" style="position:absolute;left:12914;top:1292042;height:197;width:437;" fillcolor="#FFFFFF" filled="t" stroked="t" coordsize="21600,21600" o:gfxdata="UEsDBAoAAAAAAIdO4kAAAAAAAAAAAAAAAAAEAAAAZHJzL1BLAwQUAAAACACHTuJA9l2Gi7oAAADa&#10;AAAADwAAAGRycy9kb3ducmV2LnhtbEWPzYoCMRCE74LvEFrwphkFRUejB0FcPCz4A3psJu3MYNIZ&#10;kqyOb28WBI9FVX1FLdetNeJBPtSOFYyGGQjiwumaSwXn03YwAxEiskbjmBS8KMB61e0sMdfuyQd6&#10;HGMpEoRDjgqqGJtcylBUZDEMXUOcvJvzFmOSvpTa4zPBrZHjLJtKizWnhQob2lRU3I9/VsF+1251&#10;mI39hU/G/O7PE8fXRql+b5QtQERq4zf8af9oBXP4v5JugF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XYaLugAAANoA&#10;AAAPAAAAAAAAAAEAIAAAACIAAABkcnMvZG93bnJldi54bWxQSwECFAAUAAAACACHTuJAMy8FnjsA&#10;AAA5AAAAEAAAAAAAAAABACAAAAAJAQAAZHJzL3NoYXBleG1sLnhtbFBLBQYAAAAABgAGAFsBAACz&#10;AwAAAAA=&#10;">
                  <v:fill on="t" focussize="0,0"/>
                  <v:stroke weight="1.5pt" color="#FF0000" joinstyle="miter"/>
                  <v:imagedata o:title=""/>
                  <o:lock v:ext="edit" aspectratio="f"/>
                </v:rect>
                <v:rect id="矩形 61" o:spid="_x0000_s1026" o:spt="1" style="position:absolute;left:12954;top:1292731;height:172;width:437;" fillcolor="#FFFFFF" filled="t" stroked="t" coordsize="21600,21600" o:gfxdata="UEsDBAoAAAAAAIdO4kAAAAAAAAAAAAAAAAAEAAAAZHJzL1BLAwQUAAAACACHTuJA8PxX574AAADb&#10;AAAADwAAAGRycy9kb3ducmV2LnhtbEWPT2sCMRDF74V+hzCF3mqyFktZjR4KFelFtCI9Dptxd3Uz&#10;WZP4p9/eOQjeZnhv3vvNZHb1nTpTTG1gC8XAgCKugmu5trD5/X77BJUyssMuMFn4pwSz6fPTBEsX&#10;Lryi8zrXSkI4lWihybkvtU5VQx7TIPTEou1C9JhljbV2ES8S7js9NOZDe2xZGhrs6auh6rA+eQvL&#10;4XwUt+1mcVy6kSl+/rb1/n1u7etLYcagMl3zw3y/XjjBF3r5RQb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xX574A&#10;AADbAAAADwAAAAAAAAABACAAAAAiAAAAZHJzL2Rvd25yZXYueG1sUEsBAhQAFAAAAAgAh07iQDMv&#10;BZ47AAAAOQAAABAAAAAAAAAAAQAgAAAADQEAAGRycy9zaGFwZXhtbC54bWxQSwUGAAAAAAYABgBb&#10;AQAAtwMAAAAA&#10;">
                  <v:fill on="t" focussize="0,0"/>
                  <v:stroke weight="1.5pt" color="#FFFF00" joinstyle="miter"/>
                  <v:imagedata o:title=""/>
                  <o:lock v:ext="edit" aspectratio="f"/>
                </v:rect>
                <v:rect id="矩形 60" o:spid="_x0000_s1026" o:spt="1" style="position:absolute;left:12934;top:1292387;height:166;width:437;" fillcolor="#FFFFFF" filled="t" stroked="t" coordsize="21600,21600" o:gfxdata="UEsDBAoAAAAAAIdO4kAAAAAAAAAAAAAAAAAEAAAAZHJzL1BLAwQUAAAACACHTuJAt/TMZ7wAAADb&#10;AAAADwAAAGRycy9kb3ducmV2LnhtbEVPzWrCQBC+C77DMkIvUjdpbZXUVYhSaPGU2AcYs2M2NDsb&#10;sqtJ375bKHibj+93NrvRtuJGvW8cK0gXCQjiyumGawVfp/fHNQgfkDW2jknBD3nYbaeTDWbaDVzQ&#10;rQy1iCHsM1RgQugyKX1lyKJfuI44chfXWwwR9rXUPQ4x3LbyKUlepcWGY4PBjvaGqu/yahUc9TMf&#10;XorleDrM83x+/jxialZKPczS5A1EoDHcxf/uDx3np/D3Szx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0zGe8AAAA&#10;2wAAAA8AAAAAAAAAAQAgAAAAIgAAAGRycy9kb3ducmV2LnhtbFBLAQIUABQAAAAIAIdO4kAzLwWe&#10;OwAAADkAAAAQAAAAAAAAAAEAIAAAAAsBAABkcnMvc2hhcGV4bWwueG1sUEsFBgAAAAAGAAYAWwEA&#10;ALUDAAAAAA==&#10;">
                  <v:fill on="t" focussize="0,0"/>
                  <v:stroke weight="1.5pt" color="#00F700" joinstyle="miter"/>
                  <v:imagedata o:title=""/>
                  <o:lock v:ext="edit" aspectratio="f"/>
                </v:rect>
                <v:rect id="矩形 88" o:spid="_x0000_s1026" o:spt="1" style="position:absolute;left:12959;top:1293051;height:156;width:437;" fillcolor="#36B2B2" filled="t" stroked="t" coordsize="21600,21600" o:gfxdata="UEsDBAoAAAAAAIdO4kAAAAAAAAAAAAAAAAAEAAAAZHJzL1BLAwQUAAAACACHTuJApZZdersAAADb&#10;AAAADwAAAGRycy9kb3ducmV2LnhtbEVPTWsCMRC9C/0PYQq9aaJQka3RgyIWD2J37aG3YTPdXdxM&#10;liTu2n9vhIK3ebzPWa5vthU9+dA41jCdKBDEpTMNVxrOxW68ABEissHWMWn4owDr1ctoiZlxA39R&#10;n8dKpBAOGWqoY+wyKUNZk8UwcR1x4n6dtxgT9JU0HocUbls5U2ouLTacGmrsaFNTecmvVsNhK9vv&#10;a78v8HI6Kj/s5z95PGj99jpVHyAi3eJT/O/+NGn+Ozx+SQ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ZdersAAADb&#10;AAAADwAAAAAAAAABACAAAAAiAAAAZHJzL2Rvd25yZXYueG1sUEsBAhQAFAAAAAgAh07iQDMvBZ47&#10;AAAAOQAAABAAAAAAAAAAAQAgAAAACgEAAGRycy9zaGFwZXhtbC54bWxQSwUGAAAAAAYABgBbAQAA&#10;tAMAAAAA&#10;">
                  <v:fill on="t" focussize="0,0"/>
                  <v:stroke weight="1.5pt" color="#000000 [3213]" joinstyle="miter"/>
                  <v:imagedata o:title=""/>
                  <o:lock v:ext="edit" aspectratio="f"/>
                </v:rect>
              </v:group>
            </w:pict>
          </mc:Fallback>
        </mc:AlternateContent>
      </w:r>
      <w:r>
        <w:rPr>
          <w:rFonts w:hint="default" w:ascii="Times New Roman" w:hAnsi="Times New Roman" w:eastAsia="宋体" w:cs="Times New Roman"/>
          <w:color w:val="auto"/>
          <w:spacing w:val="0"/>
          <w:sz w:val="28"/>
          <w:highlight w:val="none"/>
        </w:rPr>
        <mc:AlternateContent>
          <mc:Choice Requires="wps">
            <w:drawing>
              <wp:anchor distT="0" distB="0" distL="114300" distR="114300" simplePos="0" relativeHeight="251662336" behindDoc="0" locked="0" layoutInCell="1" allowOverlap="1">
                <wp:simplePos x="0" y="0"/>
                <wp:positionH relativeFrom="column">
                  <wp:posOffset>273685</wp:posOffset>
                </wp:positionH>
                <wp:positionV relativeFrom="paragraph">
                  <wp:posOffset>3856990</wp:posOffset>
                </wp:positionV>
                <wp:extent cx="1719580" cy="1221105"/>
                <wp:effectExtent l="4445" t="4445" r="9525" b="12700"/>
                <wp:wrapNone/>
                <wp:docPr id="8" name="文本框 63"/>
                <wp:cNvGraphicFramePr/>
                <a:graphic xmlns:a="http://schemas.openxmlformats.org/drawingml/2006/main">
                  <a:graphicData uri="http://schemas.microsoft.com/office/word/2010/wordprocessingShape">
                    <wps:wsp>
                      <wps:cNvSpPr txBox="1"/>
                      <wps:spPr>
                        <a:xfrm>
                          <a:off x="0" y="0"/>
                          <a:ext cx="1719580" cy="12211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BB85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图例</w:t>
                            </w:r>
                          </w:p>
                          <w:p w14:paraId="0832F3DB">
                            <w:pPr>
                              <w:pStyle w:val="125"/>
                              <w:ind w:firstLine="720" w:firstLineChars="300"/>
                              <w:rPr>
                                <w:rFonts w:hint="eastAsia" w:ascii="宋体" w:hAnsi="宋体" w:eastAsia="宋体" w:cs="宋体"/>
                                <w:lang w:val="en-US" w:eastAsia="zh-CN"/>
                              </w:rPr>
                            </w:pPr>
                            <w:r>
                              <w:rPr>
                                <w:rFonts w:hint="eastAsia" w:ascii="宋体" w:hAnsi="宋体" w:eastAsia="宋体" w:cs="宋体"/>
                                <w:lang w:val="en-US" w:eastAsia="zh-CN"/>
                              </w:rPr>
                              <w:t>本项目</w:t>
                            </w:r>
                          </w:p>
                          <w:p w14:paraId="62B32F36">
                            <w:pPr>
                              <w:pStyle w:val="125"/>
                              <w:ind w:firstLine="720" w:firstLineChars="300"/>
                              <w:rPr>
                                <w:rFonts w:hint="eastAsia" w:ascii="宋体" w:hAnsi="宋体" w:eastAsia="宋体" w:cs="宋体"/>
                                <w:lang w:val="en-US" w:eastAsia="zh-CN"/>
                              </w:rPr>
                            </w:pPr>
                            <w:r>
                              <w:rPr>
                                <w:rFonts w:hint="eastAsia" w:ascii="宋体" w:hAnsi="宋体" w:eastAsia="宋体" w:cs="宋体"/>
                                <w:lang w:val="en-US" w:eastAsia="zh-CN"/>
                              </w:rPr>
                              <w:t>大气500m范围</w:t>
                            </w:r>
                          </w:p>
                          <w:p w14:paraId="6D654F96">
                            <w:pPr>
                              <w:pStyle w:val="125"/>
                              <w:ind w:firstLine="720" w:firstLineChars="300"/>
                              <w:rPr>
                                <w:rFonts w:hint="eastAsia" w:ascii="宋体" w:hAnsi="宋体" w:eastAsia="宋体" w:cs="宋体"/>
                                <w:lang w:val="en-US" w:eastAsia="zh-CN"/>
                              </w:rPr>
                            </w:pPr>
                            <w:r>
                              <w:rPr>
                                <w:rFonts w:hint="eastAsia" w:ascii="宋体" w:hAnsi="宋体" w:eastAsia="宋体" w:cs="宋体"/>
                                <w:lang w:val="en-US" w:eastAsia="zh-CN"/>
                              </w:rPr>
                              <w:t>噪声50m范围</w:t>
                            </w:r>
                          </w:p>
                          <w:p w14:paraId="4D1CAC3A">
                            <w:pPr>
                              <w:pStyle w:val="125"/>
                              <w:ind w:firstLine="720" w:firstLineChars="300"/>
                              <w:rPr>
                                <w:rFonts w:hint="default" w:ascii="宋体" w:hAnsi="宋体" w:eastAsia="宋体" w:cs="宋体"/>
                                <w:lang w:val="en-US" w:eastAsia="zh-CN"/>
                              </w:rPr>
                            </w:pPr>
                            <w:r>
                              <w:rPr>
                                <w:rFonts w:hint="eastAsia" w:ascii="宋体" w:hAnsi="宋体" w:eastAsia="宋体" w:cs="宋体"/>
                                <w:lang w:val="en-US" w:eastAsia="zh-CN"/>
                              </w:rPr>
                              <w:t>环境保护目标</w:t>
                            </w:r>
                          </w:p>
                        </w:txbxContent>
                      </wps:txbx>
                      <wps:bodyPr wrap="square" upright="1"/>
                    </wps:wsp>
                  </a:graphicData>
                </a:graphic>
              </wp:anchor>
            </w:drawing>
          </mc:Choice>
          <mc:Fallback>
            <w:pict>
              <v:shape id="文本框 63" o:spid="_x0000_s1026" o:spt="202" type="#_x0000_t202" style="position:absolute;left:0pt;margin-left:21.55pt;margin-top:303.7pt;height:96.15pt;width:135.4pt;z-index:251662336;mso-width-relative:page;mso-height-relative:page;" fillcolor="#FFFFFF" filled="t" stroked="t" coordsize="21600,21600" o:gfxdata="UEsDBAoAAAAAAIdO4kAAAAAAAAAAAAAAAAAEAAAAZHJzL1BLAwQUAAAACACHTuJAMhbDfdkAAAAK&#10;AQAADwAAAGRycy9kb3ducmV2LnhtbE2PwU7DMBBE70j8g7VIXBC1Q6KkCdn0gASCGxQEVzd2kwh7&#10;HWw3LX+POcFxNU8zb9vNyRq2aB8mRwjZSgDT1Ds10YDw9np/vQYWoiQljSON8K0DbLrzs1Y2yh3p&#10;RS/bOLBUQqGRCGOMc8N56EdtZVi5WVPK9s5bGdPpB668PKZya/iNECW3cqK0MMpZ3426/9weLMK6&#10;eFw+wlP+/N6Xe1PHq2p5+PKIlxeZuAUW9Sn+wfCrn9ShS047dyAVmEEo8iyRCKWoCmAJyLO8BrZD&#10;qOq6At61/P8L3Q9QSwMEFAAAAAgAh07iQJmv564VAgAARgQAAA4AAABkcnMvZTJvRG9jLnhtbK1T&#10;zY7TMBC+I/EOlu80SVGX3WjTlaCUCwKkhQeY2k5iyX/YbpO+ALwBJy7cea4+B2On2/2BQw/k4Iw9&#10;429mvm98fTNqRXbCB2lNQ6tZSYkwzHJpuoZ++bx+cUlJiGA4KGtEQ/ci0Jvl82fXg6vF3PZWceEJ&#10;gphQD66hfYyuLorAeqEhzKwTBp2t9Roibn1XcA8DomtVzMvyohis585bJkLA09XkpEdEfw6gbVvJ&#10;xMqyrRYmTqheKIjYUuilC3SZq21bweLHtg0iEtVQ7DTmFZOgvUlrsbyGuvPgesmOJcA5JTzpSYM0&#10;mPQEtYIIZOvlX1BaMm+DbeOMWV1MjWRGsIuqfMLNbQ9O5F6Q6uBOpIf/B8s+7D55InlDUXYDGgU/&#10;/Ph++Pn78OsbuXiZ+BlcqDHs1mFgHF/bEafm7jzgYWp7bL1Of2yIoB/Z3Z/YFWMkLF16VV0tLtHF&#10;0FfN51VVLhJOcX/d+RDfCatJMhrqUb7MKuzehziF3oWkbMEqyddSqbzx3eaN8mQHKPU6f0f0R2HK&#10;kKGhV4v5AgsBnN8W5wZN7ZCDYLqc79GN8BC4zN+/gFNhKwj9VEBGSGFQaxmFz1YvgL81nMS9Q54N&#10;Pi+aitGCU6IEvsZk5cgIUp0TidwpgxQmjSYtkhXHzYgwydxYvkfdBpxwbO/rFjzm3Dovux4Jzjrm&#10;yzheWYnjU0jz+3CfU9w//+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hbDfdkAAAAKAQAADwAA&#10;AAAAAAABACAAAAAiAAAAZHJzL2Rvd25yZXYueG1sUEsBAhQAFAAAAAgAh07iQJmv564VAgAARgQA&#10;AA4AAAAAAAAAAQAgAAAAKAEAAGRycy9lMm9Eb2MueG1sUEsFBgAAAAAGAAYAWQEAAK8FAAAAAA==&#10;">
                <v:fill on="t" focussize="0,0"/>
                <v:stroke color="#000000" joinstyle="miter"/>
                <v:imagedata o:title=""/>
                <o:lock v:ext="edit" aspectratio="f"/>
                <v:textbox>
                  <w:txbxContent>
                    <w:p w14:paraId="6CBB85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lang w:val="en-US" w:eastAsia="zh-CN"/>
                        </w:rPr>
                      </w:pPr>
                      <w:r>
                        <w:rPr>
                          <w:rFonts w:hint="eastAsia"/>
                          <w:lang w:val="en-US" w:eastAsia="zh-CN"/>
                        </w:rPr>
                        <w:t>图例</w:t>
                      </w:r>
                    </w:p>
                    <w:p w14:paraId="0832F3DB">
                      <w:pPr>
                        <w:pStyle w:val="125"/>
                        <w:ind w:firstLine="720" w:firstLineChars="300"/>
                        <w:rPr>
                          <w:rFonts w:hint="eastAsia" w:ascii="宋体" w:hAnsi="宋体" w:eastAsia="宋体" w:cs="宋体"/>
                          <w:lang w:val="en-US" w:eastAsia="zh-CN"/>
                        </w:rPr>
                      </w:pPr>
                      <w:r>
                        <w:rPr>
                          <w:rFonts w:hint="eastAsia" w:ascii="宋体" w:hAnsi="宋体" w:eastAsia="宋体" w:cs="宋体"/>
                          <w:lang w:val="en-US" w:eastAsia="zh-CN"/>
                        </w:rPr>
                        <w:t>本项目</w:t>
                      </w:r>
                    </w:p>
                    <w:p w14:paraId="62B32F36">
                      <w:pPr>
                        <w:pStyle w:val="125"/>
                        <w:ind w:firstLine="720" w:firstLineChars="300"/>
                        <w:rPr>
                          <w:rFonts w:hint="eastAsia" w:ascii="宋体" w:hAnsi="宋体" w:eastAsia="宋体" w:cs="宋体"/>
                          <w:lang w:val="en-US" w:eastAsia="zh-CN"/>
                        </w:rPr>
                      </w:pPr>
                      <w:r>
                        <w:rPr>
                          <w:rFonts w:hint="eastAsia" w:ascii="宋体" w:hAnsi="宋体" w:eastAsia="宋体" w:cs="宋体"/>
                          <w:lang w:val="en-US" w:eastAsia="zh-CN"/>
                        </w:rPr>
                        <w:t>大气500m范围</w:t>
                      </w:r>
                    </w:p>
                    <w:p w14:paraId="6D654F96">
                      <w:pPr>
                        <w:pStyle w:val="125"/>
                        <w:ind w:firstLine="720" w:firstLineChars="300"/>
                        <w:rPr>
                          <w:rFonts w:hint="eastAsia" w:ascii="宋体" w:hAnsi="宋体" w:eastAsia="宋体" w:cs="宋体"/>
                          <w:lang w:val="en-US" w:eastAsia="zh-CN"/>
                        </w:rPr>
                      </w:pPr>
                      <w:r>
                        <w:rPr>
                          <w:rFonts w:hint="eastAsia" w:ascii="宋体" w:hAnsi="宋体" w:eastAsia="宋体" w:cs="宋体"/>
                          <w:lang w:val="en-US" w:eastAsia="zh-CN"/>
                        </w:rPr>
                        <w:t>噪声50m范围</w:t>
                      </w:r>
                    </w:p>
                    <w:p w14:paraId="4D1CAC3A">
                      <w:pPr>
                        <w:pStyle w:val="125"/>
                        <w:ind w:firstLine="720" w:firstLineChars="300"/>
                        <w:rPr>
                          <w:rFonts w:hint="default" w:ascii="宋体" w:hAnsi="宋体" w:eastAsia="宋体" w:cs="宋体"/>
                          <w:lang w:val="en-US" w:eastAsia="zh-CN"/>
                        </w:rPr>
                      </w:pPr>
                      <w:r>
                        <w:rPr>
                          <w:rFonts w:hint="eastAsia" w:ascii="宋体" w:hAnsi="宋体" w:eastAsia="宋体" w:cs="宋体"/>
                          <w:lang w:val="en-US" w:eastAsia="zh-CN"/>
                        </w:rPr>
                        <w:t>环境保护目标</w:t>
                      </w:r>
                    </w:p>
                  </w:txbxContent>
                </v:textbox>
              </v:shape>
            </w:pict>
          </mc:Fallback>
        </mc:AlternateContent>
      </w:r>
    </w:p>
    <w:p w14:paraId="61EF6C04">
      <w:pPr>
        <w:spacing w:line="240" w:lineRule="auto"/>
        <w:ind w:left="0" w:leftChars="0" w:firstLine="0" w:firstLineChars="0"/>
        <w:jc w:val="left"/>
        <w:outlineLvl w:val="0"/>
        <w:rPr>
          <w:rFonts w:hint="default" w:ascii="Times New Roman" w:hAnsi="Times New Roman" w:cs="Times New Roman"/>
          <w:b/>
          <w:bCs w:val="0"/>
          <w:color w:val="auto"/>
          <w:highlight w:val="none"/>
          <w:lang w:val="en-US" w:eastAsia="zh-CN"/>
        </w:rPr>
      </w:pPr>
      <w:r>
        <w:rPr>
          <w:rFonts w:hint="default" w:ascii="Times New Roman" w:hAnsi="Times New Roman" w:cs="Times New Roman"/>
          <w:b/>
          <w:bCs w:val="0"/>
          <w:color w:val="auto"/>
          <w:highlight w:val="none"/>
          <w:lang w:val="en-US" w:eastAsia="zh-CN"/>
        </w:rPr>
        <w:t>附图4 项目四周照片</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7"/>
        <w:gridCol w:w="6727"/>
      </w:tblGrid>
      <w:tr w14:paraId="6128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7" w:type="dxa"/>
          </w:tcPr>
          <w:p w14:paraId="62A3B4A9">
            <w:pPr>
              <w:spacing w:line="240" w:lineRule="auto"/>
              <w:ind w:left="0" w:leftChars="0" w:firstLine="0" w:firstLineChars="0"/>
              <w:jc w:val="center"/>
              <w:outlineLvl w:val="9"/>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drawing>
                <wp:inline distT="0" distB="0" distL="114300" distR="114300">
                  <wp:extent cx="2899410" cy="2173605"/>
                  <wp:effectExtent l="0" t="0" r="15240" b="17145"/>
                  <wp:docPr id="2" name="图片 2" descr="a14f15243e0a1f4ea3fd55f44d3d3b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14f15243e0a1f4ea3fd55f44d3d3bb3"/>
                          <pic:cNvPicPr>
                            <a:picLocks noChangeAspect="1"/>
                          </pic:cNvPicPr>
                        </pic:nvPicPr>
                        <pic:blipFill>
                          <a:blip r:embed="rId43"/>
                          <a:stretch>
                            <a:fillRect/>
                          </a:stretch>
                        </pic:blipFill>
                        <pic:spPr>
                          <a:xfrm>
                            <a:off x="0" y="0"/>
                            <a:ext cx="2899410" cy="2173605"/>
                          </a:xfrm>
                          <a:prstGeom prst="rect">
                            <a:avLst/>
                          </a:prstGeom>
                        </pic:spPr>
                      </pic:pic>
                    </a:graphicData>
                  </a:graphic>
                </wp:inline>
              </w:drawing>
            </w:r>
          </w:p>
        </w:tc>
        <w:tc>
          <w:tcPr>
            <w:tcW w:w="6727" w:type="dxa"/>
          </w:tcPr>
          <w:p w14:paraId="2106390E">
            <w:pPr>
              <w:spacing w:line="240" w:lineRule="auto"/>
              <w:ind w:left="0" w:leftChars="0" w:firstLine="0" w:firstLineChars="0"/>
              <w:jc w:val="center"/>
              <w:outlineLvl w:val="9"/>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drawing>
                <wp:inline distT="0" distB="0" distL="114300" distR="114300">
                  <wp:extent cx="2899410" cy="2173605"/>
                  <wp:effectExtent l="0" t="0" r="15240" b="17145"/>
                  <wp:docPr id="3" name="图片 3" descr="d714d8898b447f86cb1e68e96841e0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714d8898b447f86cb1e68e96841e0af"/>
                          <pic:cNvPicPr>
                            <a:picLocks noChangeAspect="1"/>
                          </pic:cNvPicPr>
                        </pic:nvPicPr>
                        <pic:blipFill>
                          <a:blip r:embed="rId44"/>
                          <a:stretch>
                            <a:fillRect/>
                          </a:stretch>
                        </pic:blipFill>
                        <pic:spPr>
                          <a:xfrm>
                            <a:off x="0" y="0"/>
                            <a:ext cx="2899410" cy="2173605"/>
                          </a:xfrm>
                          <a:prstGeom prst="rect">
                            <a:avLst/>
                          </a:prstGeom>
                        </pic:spPr>
                      </pic:pic>
                    </a:graphicData>
                  </a:graphic>
                </wp:inline>
              </w:drawing>
            </w:r>
          </w:p>
        </w:tc>
      </w:tr>
      <w:tr w14:paraId="70E75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6727" w:type="dxa"/>
          </w:tcPr>
          <w:p w14:paraId="03E228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项目东侧</w:t>
            </w:r>
          </w:p>
        </w:tc>
        <w:tc>
          <w:tcPr>
            <w:tcW w:w="6727" w:type="dxa"/>
          </w:tcPr>
          <w:p w14:paraId="27C291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项目南侧</w:t>
            </w:r>
          </w:p>
        </w:tc>
      </w:tr>
      <w:tr w14:paraId="62D1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7" w:type="dxa"/>
          </w:tcPr>
          <w:p w14:paraId="162BE7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drawing>
                <wp:inline distT="0" distB="0" distL="114300" distR="114300">
                  <wp:extent cx="2842260" cy="2131060"/>
                  <wp:effectExtent l="0" t="0" r="15240" b="2540"/>
                  <wp:docPr id="12" name="图片 12" descr="8d2ad4090bbb19ad8acf3eec5a80d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d2ad4090bbb19ad8acf3eec5a80dddb"/>
                          <pic:cNvPicPr>
                            <a:picLocks noChangeAspect="1"/>
                          </pic:cNvPicPr>
                        </pic:nvPicPr>
                        <pic:blipFill>
                          <a:blip r:embed="rId45"/>
                          <a:stretch>
                            <a:fillRect/>
                          </a:stretch>
                        </pic:blipFill>
                        <pic:spPr>
                          <a:xfrm>
                            <a:off x="0" y="0"/>
                            <a:ext cx="2842260" cy="2131060"/>
                          </a:xfrm>
                          <a:prstGeom prst="rect">
                            <a:avLst/>
                          </a:prstGeom>
                        </pic:spPr>
                      </pic:pic>
                    </a:graphicData>
                  </a:graphic>
                </wp:inline>
              </w:drawing>
            </w:r>
          </w:p>
        </w:tc>
        <w:tc>
          <w:tcPr>
            <w:tcW w:w="6727" w:type="dxa"/>
          </w:tcPr>
          <w:p w14:paraId="3A93D0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drawing>
                <wp:inline distT="0" distB="0" distL="114300" distR="114300">
                  <wp:extent cx="2865120" cy="2148205"/>
                  <wp:effectExtent l="0" t="0" r="11430" b="4445"/>
                  <wp:docPr id="13" name="图片 13" descr="558a288adb9019a626eb6e7503b08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8a288adb9019a626eb6e7503b08dee"/>
                          <pic:cNvPicPr>
                            <a:picLocks noChangeAspect="1"/>
                          </pic:cNvPicPr>
                        </pic:nvPicPr>
                        <pic:blipFill>
                          <a:blip r:embed="rId46"/>
                          <a:stretch>
                            <a:fillRect/>
                          </a:stretch>
                        </pic:blipFill>
                        <pic:spPr>
                          <a:xfrm>
                            <a:off x="0" y="0"/>
                            <a:ext cx="2865120" cy="2148205"/>
                          </a:xfrm>
                          <a:prstGeom prst="rect">
                            <a:avLst/>
                          </a:prstGeom>
                        </pic:spPr>
                      </pic:pic>
                    </a:graphicData>
                  </a:graphic>
                </wp:inline>
              </w:drawing>
            </w:r>
          </w:p>
        </w:tc>
      </w:tr>
      <w:tr w14:paraId="7637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7" w:type="dxa"/>
          </w:tcPr>
          <w:p w14:paraId="0FFA64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项目西侧</w:t>
            </w:r>
          </w:p>
        </w:tc>
        <w:tc>
          <w:tcPr>
            <w:tcW w:w="6727" w:type="dxa"/>
          </w:tcPr>
          <w:p w14:paraId="2E3FDC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项目北侧</w:t>
            </w:r>
          </w:p>
        </w:tc>
      </w:tr>
    </w:tbl>
    <w:p w14:paraId="29277DBA">
      <w:pPr>
        <w:spacing w:line="240" w:lineRule="auto"/>
        <w:jc w:val="left"/>
        <w:outlineLvl w:val="9"/>
        <w:rPr>
          <w:rFonts w:hint="default" w:ascii="Times New Roman" w:hAnsi="Times New Roman" w:cs="Times New Roman"/>
          <w:color w:val="auto"/>
          <w:highlight w:val="none"/>
          <w:lang w:val="en-US" w:eastAsia="zh-CN"/>
        </w:rPr>
        <w:sectPr>
          <w:pgSz w:w="16838" w:h="11906" w:orient="landscape"/>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14:paraId="7B031D72">
      <w:pPr>
        <w:ind w:left="0" w:leftChars="0" w:firstLine="0" w:firstLineChars="0"/>
        <w:outlineLvl w:val="0"/>
        <w:rPr>
          <w:rFonts w:hint="default" w:ascii="Times New Roman" w:hAnsi="Times New Roman" w:cs="Times New Roman"/>
          <w:b/>
          <w:bCs w:val="0"/>
          <w:color w:val="auto"/>
          <w:spacing w:val="0"/>
          <w:highlight w:val="none"/>
          <w:lang w:val="en-US" w:eastAsia="zh-CN"/>
        </w:rPr>
      </w:pPr>
      <w:r>
        <w:rPr>
          <w:rFonts w:hint="default" w:ascii="Times New Roman" w:hAnsi="Times New Roman" w:cs="Times New Roman"/>
          <w:color w:val="auto"/>
          <w:position w:val="-29"/>
        </w:rPr>
        <w:drawing>
          <wp:anchor distT="0" distB="0" distL="0" distR="0" simplePos="0" relativeHeight="251677696" behindDoc="0" locked="0" layoutInCell="1" allowOverlap="1">
            <wp:simplePos x="0" y="0"/>
            <wp:positionH relativeFrom="column">
              <wp:posOffset>7174865</wp:posOffset>
            </wp:positionH>
            <wp:positionV relativeFrom="paragraph">
              <wp:posOffset>266700</wp:posOffset>
            </wp:positionV>
            <wp:extent cx="972185" cy="947420"/>
            <wp:effectExtent l="0" t="0" r="18415" b="5080"/>
            <wp:wrapNone/>
            <wp:docPr id="42" name="IM 66"/>
            <wp:cNvGraphicFramePr/>
            <a:graphic xmlns:a="http://schemas.openxmlformats.org/drawingml/2006/main">
              <a:graphicData uri="http://schemas.openxmlformats.org/drawingml/2006/picture">
                <pic:pic xmlns:pic="http://schemas.openxmlformats.org/drawingml/2006/picture">
                  <pic:nvPicPr>
                    <pic:cNvPr id="42" name="IM 66"/>
                    <pic:cNvPicPr/>
                  </pic:nvPicPr>
                  <pic:blipFill>
                    <a:blip r:embed="rId39"/>
                    <a:stretch>
                      <a:fillRect/>
                    </a:stretch>
                  </pic:blipFill>
                  <pic:spPr>
                    <a:xfrm>
                      <a:off x="0" y="0"/>
                      <a:ext cx="972185" cy="947420"/>
                    </a:xfrm>
                    <a:prstGeom prst="rect">
                      <a:avLst/>
                    </a:prstGeom>
                  </pic:spPr>
                </pic:pic>
              </a:graphicData>
            </a:graphic>
          </wp:anchor>
        </w:drawing>
      </w:r>
      <w:r>
        <w:rPr>
          <w:rFonts w:hint="default" w:ascii="Times New Roman" w:hAnsi="Times New Roman" w:cs="Times New Roman"/>
          <w:b/>
          <w:bCs w:val="0"/>
          <w:color w:val="auto"/>
          <w:spacing w:val="0"/>
          <w:highlight w:val="none"/>
          <w:lang w:val="en-US" w:eastAsia="zh-CN"/>
        </w:rPr>
        <w:t>附图5项目四周关系图</w:t>
      </w:r>
    </w:p>
    <w:p w14:paraId="2438799D">
      <w:pPr>
        <w:ind w:left="0" w:leftChars="0" w:firstLine="0" w:firstLineChars="0"/>
        <w:outlineLvl w:val="0"/>
        <w:rPr>
          <w:rFonts w:hint="default" w:ascii="Times New Roman" w:hAnsi="Times New Roman" w:eastAsia="宋体" w:cs="Times New Roman"/>
          <w:b/>
          <w:bCs/>
          <w:color w:val="auto"/>
          <w:spacing w:val="0"/>
          <w:sz w:val="24"/>
          <w:szCs w:val="24"/>
          <w:highlight w:val="none"/>
          <w:lang w:eastAsia="zh-CN"/>
        </w:rPr>
        <w:sectPr>
          <w:pgSz w:w="16838" w:h="11906" w:orient="landscape"/>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color w:val="auto"/>
          <w:highlight w:val="none"/>
        </w:rPr>
        <w:drawing>
          <wp:inline distT="0" distB="0" distL="114300" distR="114300">
            <wp:extent cx="8167370" cy="5189220"/>
            <wp:effectExtent l="0" t="0" r="5080" b="1143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47"/>
                    <a:stretch>
                      <a:fillRect/>
                    </a:stretch>
                  </pic:blipFill>
                  <pic:spPr>
                    <a:xfrm>
                      <a:off x="0" y="0"/>
                      <a:ext cx="8167370" cy="5189220"/>
                    </a:xfrm>
                    <a:prstGeom prst="rect">
                      <a:avLst/>
                    </a:prstGeom>
                    <a:noFill/>
                    <a:ln>
                      <a:noFill/>
                    </a:ln>
                  </pic:spPr>
                </pic:pic>
              </a:graphicData>
            </a:graphic>
          </wp:inline>
        </w:drawing>
      </w:r>
    </w:p>
    <w:p w14:paraId="0BEB0D16">
      <w:pPr>
        <w:ind w:left="0" w:leftChars="0" w:firstLine="0" w:firstLineChars="0"/>
        <w:outlineLvl w:val="0"/>
        <w:rPr>
          <w:rFonts w:hint="default" w:ascii="Times New Roman" w:hAnsi="Times New Roman" w:eastAsia="宋体" w:cs="Times New Roman"/>
          <w:b/>
          <w:bCs w:val="0"/>
          <w:color w:val="auto"/>
          <w:spacing w:val="0"/>
          <w:highlight w:val="none"/>
          <w:lang w:val="en-US" w:eastAsia="zh-CN"/>
        </w:rPr>
      </w:pPr>
      <w:r>
        <w:rPr>
          <w:rFonts w:hint="default" w:ascii="Times New Roman" w:hAnsi="Times New Roman" w:eastAsia="宋体" w:cs="Times New Roman"/>
          <w:b/>
          <w:bCs w:val="0"/>
          <w:color w:val="auto"/>
          <w:spacing w:val="0"/>
          <w:highlight w:val="none"/>
          <w:lang w:val="en-US" w:eastAsia="zh-CN"/>
        </w:rPr>
        <w:t>附件1营业执照</w:t>
      </w:r>
    </w:p>
    <w:p w14:paraId="7A337253">
      <w:pPr>
        <w:pStyle w:val="17"/>
        <w:ind w:left="0" w:leftChars="0" w:firstLine="0" w:firstLineChars="0"/>
        <w:jc w:val="center"/>
        <w:rPr>
          <w:rFonts w:hint="default" w:ascii="Times New Roman" w:hAnsi="Times New Roman" w:eastAsia="宋体" w:cs="Times New Roman"/>
          <w:color w:val="auto"/>
          <w:spacing w:val="0"/>
          <w:szCs w:val="32"/>
          <w:highlight w:val="none"/>
          <w:lang w:eastAsia="zh-CN"/>
        </w:rPr>
        <w:sectPr>
          <w:pgSz w:w="16838" w:h="11906" w:orient="landscape"/>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color w:val="auto"/>
          <w:spacing w:val="0"/>
          <w:szCs w:val="32"/>
          <w:highlight w:val="none"/>
          <w:lang w:eastAsia="zh-CN"/>
        </w:rPr>
        <w:drawing>
          <wp:inline distT="0" distB="0" distL="114300" distR="114300">
            <wp:extent cx="4597400" cy="7304405"/>
            <wp:effectExtent l="0" t="0" r="10795" b="12700"/>
            <wp:docPr id="36" name="图片 36" descr="ee104aca89276bea2c6a59d024317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e104aca89276bea2c6a59d024317dca"/>
                    <pic:cNvPicPr>
                      <a:picLocks noChangeAspect="1"/>
                    </pic:cNvPicPr>
                  </pic:nvPicPr>
                  <pic:blipFill>
                    <a:blip r:embed="rId48"/>
                    <a:srcRect t="6155" b="4525"/>
                    <a:stretch>
                      <a:fillRect/>
                    </a:stretch>
                  </pic:blipFill>
                  <pic:spPr>
                    <a:xfrm rot="16200000">
                      <a:off x="0" y="0"/>
                      <a:ext cx="4597400" cy="7304405"/>
                    </a:xfrm>
                    <a:prstGeom prst="rect">
                      <a:avLst/>
                    </a:prstGeom>
                  </pic:spPr>
                </pic:pic>
              </a:graphicData>
            </a:graphic>
          </wp:inline>
        </w:drawing>
      </w:r>
    </w:p>
    <w:p w14:paraId="7C126973">
      <w:pPr>
        <w:pStyle w:val="32"/>
        <w:keepNext w:val="0"/>
        <w:keepLines w:val="0"/>
        <w:pageBreakBefore w:val="0"/>
        <w:widowControl w:val="0"/>
        <w:kinsoku/>
        <w:wordWrap/>
        <w:overflowPunct/>
        <w:topLinePunct w:val="0"/>
        <w:autoSpaceDE/>
        <w:autoSpaceDN/>
        <w:bidi w:val="0"/>
        <w:adjustRightInd w:val="0"/>
        <w:snapToGrid w:val="0"/>
        <w:spacing w:after="0" w:line="360" w:lineRule="auto"/>
        <w:ind w:firstLine="0" w:firstLineChars="0"/>
        <w:jc w:val="left"/>
        <w:textAlignment w:val="auto"/>
        <w:outlineLvl w:val="0"/>
        <w:rPr>
          <w:rFonts w:hint="default" w:ascii="Times New Roman" w:hAnsi="Times New Roman" w:eastAsia="宋体" w:cs="Times New Roman"/>
          <w:color w:val="auto"/>
          <w:spacing w:val="0"/>
          <w:highlight w:val="none"/>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b/>
          <w:bCs/>
          <w:snapToGrid w:val="0"/>
          <w:color w:val="auto"/>
          <w:spacing w:val="0"/>
          <w:kern w:val="0"/>
          <w:sz w:val="24"/>
          <w:szCs w:val="24"/>
          <w:highlight w:val="none"/>
          <w:lang w:val="en-US" w:eastAsia="zh-CN" w:bidi="ar-SA"/>
        </w:rPr>
        <w:t>附件2</w:t>
      </w:r>
      <w:r>
        <w:rPr>
          <w:rFonts w:hint="default" w:ascii="Times New Roman" w:hAnsi="Times New Roman" w:cs="Times New Roman"/>
          <w:b/>
          <w:bCs/>
          <w:snapToGrid w:val="0"/>
          <w:color w:val="auto"/>
          <w:spacing w:val="0"/>
          <w:kern w:val="0"/>
          <w:sz w:val="24"/>
          <w:szCs w:val="24"/>
          <w:highlight w:val="none"/>
          <w:lang w:val="en-US" w:eastAsia="zh-CN" w:bidi="ar-SA"/>
        </w:rPr>
        <w:t>土地证</w:t>
      </w:r>
      <w:r>
        <w:rPr>
          <w:rFonts w:hint="default" w:ascii="Times New Roman" w:hAnsi="Times New Roman" w:eastAsia="宋体" w:cs="Times New Roman"/>
          <w:color w:val="auto"/>
          <w:spacing w:val="0"/>
          <w:highlight w:val="none"/>
          <w:lang w:val="en-US" w:eastAsia="zh-CN"/>
        </w:rPr>
        <w:drawing>
          <wp:inline distT="0" distB="0" distL="114300" distR="114300">
            <wp:extent cx="6819265" cy="4818380"/>
            <wp:effectExtent l="0" t="0" r="1270" b="635"/>
            <wp:docPr id="22" name="图片 22" descr="43102b6b6da385c195effe49665fa1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3102b6b6da385c195effe49665fa1e4"/>
                    <pic:cNvPicPr>
                      <a:picLocks noChangeAspect="1"/>
                    </pic:cNvPicPr>
                  </pic:nvPicPr>
                  <pic:blipFill>
                    <a:blip r:embed="rId49"/>
                    <a:srcRect l="4161" t="6601" r="3751" b="6612"/>
                    <a:stretch>
                      <a:fillRect/>
                    </a:stretch>
                  </pic:blipFill>
                  <pic:spPr>
                    <a:xfrm rot="5400000">
                      <a:off x="0" y="0"/>
                      <a:ext cx="6819265" cy="4818380"/>
                    </a:xfrm>
                    <a:prstGeom prst="rect">
                      <a:avLst/>
                    </a:prstGeom>
                  </pic:spPr>
                </pic:pic>
              </a:graphicData>
            </a:graphic>
          </wp:inline>
        </w:drawing>
      </w:r>
      <w:r>
        <w:rPr>
          <w:rFonts w:hint="default" w:ascii="Times New Roman" w:hAnsi="Times New Roman" w:eastAsia="宋体" w:cs="Times New Roman"/>
          <w:color w:val="auto"/>
          <w:spacing w:val="0"/>
          <w:highlight w:val="none"/>
          <w:lang w:val="en-US" w:eastAsia="zh-CN"/>
        </w:rPr>
        <w:drawing>
          <wp:inline distT="0" distB="0" distL="114300" distR="114300">
            <wp:extent cx="7458075" cy="4977130"/>
            <wp:effectExtent l="0" t="0" r="13970" b="9525"/>
            <wp:docPr id="23" name="图片 23" descr="864a32548d9d17b4507f068264f148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64a32548d9d17b4507f068264f148bd"/>
                    <pic:cNvPicPr>
                      <a:picLocks noChangeAspect="1"/>
                    </pic:cNvPicPr>
                  </pic:nvPicPr>
                  <pic:blipFill>
                    <a:blip r:embed="rId50"/>
                    <a:srcRect l="5946" t="10199" r="6151" b="11551"/>
                    <a:stretch>
                      <a:fillRect/>
                    </a:stretch>
                  </pic:blipFill>
                  <pic:spPr>
                    <a:xfrm rot="5400000">
                      <a:off x="0" y="0"/>
                      <a:ext cx="7458075" cy="4977130"/>
                    </a:xfrm>
                    <a:prstGeom prst="rect">
                      <a:avLst/>
                    </a:prstGeom>
                  </pic:spPr>
                </pic:pic>
              </a:graphicData>
            </a:graphic>
          </wp:inline>
        </w:drawing>
      </w:r>
    </w:p>
    <w:p w14:paraId="4E93AE4A">
      <w:pPr>
        <w:spacing w:line="360" w:lineRule="auto"/>
        <w:ind w:left="0" w:leftChars="0" w:firstLine="0" w:firstLineChars="0"/>
        <w:jc w:val="left"/>
        <w:outlineLvl w:val="0"/>
        <w:rPr>
          <w:rFonts w:hint="default" w:ascii="Times New Roman" w:hAnsi="Times New Roman" w:eastAsia="宋体" w:cs="Times New Roman"/>
          <w:b/>
          <w:bCs w:val="0"/>
          <w:color w:val="auto"/>
          <w:spacing w:val="0"/>
          <w:highlight w:val="none"/>
          <w:lang w:val="en-US" w:eastAsia="zh-CN"/>
        </w:rPr>
      </w:pPr>
      <w:r>
        <w:rPr>
          <w:rFonts w:hint="default" w:ascii="Times New Roman" w:hAnsi="Times New Roman" w:eastAsia="宋体" w:cs="Times New Roman"/>
          <w:b/>
          <w:bCs w:val="0"/>
          <w:color w:val="auto"/>
          <w:spacing w:val="0"/>
          <w:highlight w:val="none"/>
          <w:lang w:val="en-US" w:eastAsia="zh-CN"/>
        </w:rPr>
        <w:t>附件3排污许可证</w:t>
      </w:r>
    </w:p>
    <w:p w14:paraId="2A4E3E59">
      <w:pPr>
        <w:spacing w:line="360" w:lineRule="auto"/>
        <w:ind w:left="0" w:leftChars="0" w:firstLine="0" w:firstLineChars="0"/>
        <w:jc w:val="center"/>
        <w:outlineLvl w:val="0"/>
        <w:rPr>
          <w:rFonts w:hint="default" w:ascii="Times New Roman" w:hAnsi="Times New Roman" w:eastAsia="宋体" w:cs="Times New Roman"/>
          <w:b/>
          <w:bCs w:val="0"/>
          <w:color w:val="auto"/>
          <w:spacing w:val="0"/>
          <w:highlight w:val="none"/>
          <w:lang w:val="en-US" w:eastAsia="zh-CN"/>
        </w:rPr>
        <w:sectPr>
          <w:pgSz w:w="16838" w:h="11906" w:orient="landscape"/>
          <w:pgMar w:top="1800" w:right="1440" w:bottom="1800" w:left="1440"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b/>
          <w:bCs w:val="0"/>
          <w:color w:val="auto"/>
          <w:spacing w:val="0"/>
          <w:highlight w:val="none"/>
          <w:lang w:val="en-US" w:eastAsia="zh-CN"/>
        </w:rPr>
        <w:drawing>
          <wp:inline distT="0" distB="0" distL="114300" distR="114300">
            <wp:extent cx="6539865" cy="4596765"/>
            <wp:effectExtent l="0" t="0" r="13335" b="13335"/>
            <wp:docPr id="17" name="图片 17" descr="99e8a65b0c2592e7f4cd5d9c8a88ef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9e8a65b0c2592e7f4cd5d9c8a88ef94"/>
                    <pic:cNvPicPr>
                      <a:picLocks noChangeAspect="1"/>
                    </pic:cNvPicPr>
                  </pic:nvPicPr>
                  <pic:blipFill>
                    <a:blip r:embed="rId51"/>
                    <a:srcRect l="9263" t="6214" r="7019" b="15299"/>
                    <a:stretch>
                      <a:fillRect/>
                    </a:stretch>
                  </pic:blipFill>
                  <pic:spPr>
                    <a:xfrm>
                      <a:off x="0" y="0"/>
                      <a:ext cx="6539865" cy="4596765"/>
                    </a:xfrm>
                    <a:prstGeom prst="rect">
                      <a:avLst/>
                    </a:prstGeom>
                  </pic:spPr>
                </pic:pic>
              </a:graphicData>
            </a:graphic>
          </wp:inline>
        </w:drawing>
      </w:r>
    </w:p>
    <w:p w14:paraId="5B9AFFFA">
      <w:pPr>
        <w:spacing w:line="360" w:lineRule="auto"/>
        <w:ind w:left="0" w:leftChars="0" w:firstLine="0" w:firstLineChars="0"/>
        <w:jc w:val="left"/>
        <w:outlineLvl w:val="0"/>
        <w:rPr>
          <w:rFonts w:hint="default" w:ascii="Times New Roman" w:hAnsi="Times New Roman" w:cs="Times New Roman"/>
          <w:color w:val="auto"/>
          <w:highlight w:val="none"/>
          <w:lang w:val="en-US" w:eastAsia="zh-CN"/>
        </w:rPr>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bCs/>
          <w:color w:val="auto"/>
          <w:sz w:val="24"/>
          <w:szCs w:val="24"/>
          <w:highlight w:val="none"/>
          <w:lang w:val="en-US" w:eastAsia="zh-CN"/>
        </w:rPr>
        <w:t>附件4《关于绿都集团股份有限公司日处理 200 吨米糠制油设施建设项目环境影响报告表的批复》</w:t>
      </w:r>
      <w:r>
        <w:rPr>
          <w:rFonts w:hint="default" w:ascii="Times New Roman" w:hAnsi="Times New Roman" w:cs="Times New Roman"/>
          <w:color w:val="auto"/>
          <w:highlight w:val="none"/>
          <w:lang w:val="en-US" w:eastAsia="zh-CN"/>
        </w:rPr>
        <w:drawing>
          <wp:inline distT="0" distB="0" distL="114300" distR="114300">
            <wp:extent cx="6609715" cy="4974590"/>
            <wp:effectExtent l="0" t="0" r="16510" b="635"/>
            <wp:docPr id="31" name="图片 31" descr="caae240eada5680411da9ab93dba2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aae240eada5680411da9ab93dba28b1"/>
                    <pic:cNvPicPr>
                      <a:picLocks noChangeAspect="1"/>
                    </pic:cNvPicPr>
                  </pic:nvPicPr>
                  <pic:blipFill>
                    <a:blip r:embed="rId52"/>
                    <a:srcRect l="14137" r="11166"/>
                    <a:stretch>
                      <a:fillRect/>
                    </a:stretch>
                  </pic:blipFill>
                  <pic:spPr>
                    <a:xfrm rot="16200000">
                      <a:off x="0" y="0"/>
                      <a:ext cx="6609715" cy="4974590"/>
                    </a:xfrm>
                    <a:prstGeom prst="rect">
                      <a:avLst/>
                    </a:prstGeom>
                  </pic:spPr>
                </pic:pic>
              </a:graphicData>
            </a:graphic>
          </wp:inline>
        </w:drawing>
      </w:r>
      <w:r>
        <w:rPr>
          <w:rFonts w:hint="default" w:ascii="Times New Roman" w:hAnsi="Times New Roman" w:cs="Times New Roman"/>
          <w:color w:val="auto"/>
          <w:highlight w:val="none"/>
          <w:lang w:val="en-US" w:eastAsia="zh-CN"/>
        </w:rPr>
        <w:drawing>
          <wp:inline distT="0" distB="0" distL="114300" distR="114300">
            <wp:extent cx="5207000" cy="8211820"/>
            <wp:effectExtent l="0" t="0" r="12700" b="17780"/>
            <wp:docPr id="18" name="图片 18" descr="环评批复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环评批复_02"/>
                    <pic:cNvPicPr>
                      <a:picLocks noChangeAspect="1"/>
                    </pic:cNvPicPr>
                  </pic:nvPicPr>
                  <pic:blipFill>
                    <a:blip r:embed="rId53"/>
                    <a:srcRect l="13898" t="8903" r="17695" b="14849"/>
                    <a:stretch>
                      <a:fillRect/>
                    </a:stretch>
                  </pic:blipFill>
                  <pic:spPr>
                    <a:xfrm>
                      <a:off x="0" y="0"/>
                      <a:ext cx="5207000" cy="8211820"/>
                    </a:xfrm>
                    <a:prstGeom prst="rect">
                      <a:avLst/>
                    </a:prstGeom>
                  </pic:spPr>
                </pic:pic>
              </a:graphicData>
            </a:graphic>
          </wp:inline>
        </w:drawing>
      </w:r>
      <w:r>
        <w:rPr>
          <w:rFonts w:hint="default" w:ascii="Times New Roman" w:hAnsi="Times New Roman" w:cs="Times New Roman"/>
          <w:color w:val="auto"/>
          <w:highlight w:val="none"/>
          <w:lang w:val="en-US" w:eastAsia="zh-CN"/>
        </w:rPr>
        <w:drawing>
          <wp:inline distT="0" distB="0" distL="114300" distR="114300">
            <wp:extent cx="5127625" cy="8016875"/>
            <wp:effectExtent l="0" t="0" r="15875" b="3175"/>
            <wp:docPr id="19" name="图片 19" descr="环评批复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环评批复_03"/>
                    <pic:cNvPicPr>
                      <a:picLocks noChangeAspect="1"/>
                    </pic:cNvPicPr>
                  </pic:nvPicPr>
                  <pic:blipFill>
                    <a:blip r:embed="rId54"/>
                    <a:srcRect l="13597" t="9354" r="17394" b="14389"/>
                    <a:stretch>
                      <a:fillRect/>
                    </a:stretch>
                  </pic:blipFill>
                  <pic:spPr>
                    <a:xfrm>
                      <a:off x="0" y="0"/>
                      <a:ext cx="5127625" cy="8016875"/>
                    </a:xfrm>
                    <a:prstGeom prst="rect">
                      <a:avLst/>
                    </a:prstGeom>
                  </pic:spPr>
                </pic:pic>
              </a:graphicData>
            </a:graphic>
          </wp:inline>
        </w:drawing>
      </w:r>
      <w:r>
        <w:rPr>
          <w:rFonts w:hint="default" w:ascii="Times New Roman" w:hAnsi="Times New Roman" w:cs="Times New Roman"/>
          <w:color w:val="auto"/>
          <w:highlight w:val="none"/>
          <w:lang w:val="en-US" w:eastAsia="zh-CN"/>
        </w:rPr>
        <w:drawing>
          <wp:inline distT="0" distB="0" distL="114300" distR="114300">
            <wp:extent cx="7595235" cy="5263515"/>
            <wp:effectExtent l="0" t="0" r="13335" b="5715"/>
            <wp:docPr id="32" name="图片 32" descr="4d4b7855adde53161b0556cb46263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d4b7855adde53161b0556cb46263c52"/>
                    <pic:cNvPicPr>
                      <a:picLocks noChangeAspect="1"/>
                    </pic:cNvPicPr>
                  </pic:nvPicPr>
                  <pic:blipFill>
                    <a:blip r:embed="rId55"/>
                    <a:srcRect l="16060" t="6038" r="11023" b="4072"/>
                    <a:stretch>
                      <a:fillRect/>
                    </a:stretch>
                  </pic:blipFill>
                  <pic:spPr>
                    <a:xfrm rot="16200000">
                      <a:off x="0" y="0"/>
                      <a:ext cx="7595235" cy="5263515"/>
                    </a:xfrm>
                    <a:prstGeom prst="rect">
                      <a:avLst/>
                    </a:prstGeom>
                  </pic:spPr>
                </pic:pic>
              </a:graphicData>
            </a:graphic>
          </wp:inline>
        </w:drawing>
      </w:r>
      <w:r>
        <w:rPr>
          <w:rFonts w:hint="default" w:ascii="Times New Roman" w:hAnsi="Times New Roman" w:cs="Times New Roman"/>
          <w:color w:val="auto"/>
          <w:highlight w:val="none"/>
          <w:lang w:val="en-US" w:eastAsia="zh-CN"/>
        </w:rPr>
        <w:drawing>
          <wp:inline distT="0" distB="0" distL="114300" distR="114300">
            <wp:extent cx="7720330" cy="5324475"/>
            <wp:effectExtent l="0" t="0" r="9525" b="13970"/>
            <wp:docPr id="33" name="图片 33" descr="3923d474bbed015d82d44cdc8c990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923d474bbed015d82d44cdc8c990c61"/>
                    <pic:cNvPicPr>
                      <a:picLocks noChangeAspect="1"/>
                    </pic:cNvPicPr>
                  </pic:nvPicPr>
                  <pic:blipFill>
                    <a:blip r:embed="rId56"/>
                    <a:srcRect l="16311" t="6816" r="12587" b="5961"/>
                    <a:stretch>
                      <a:fillRect/>
                    </a:stretch>
                  </pic:blipFill>
                  <pic:spPr>
                    <a:xfrm rot="16200000">
                      <a:off x="0" y="0"/>
                      <a:ext cx="7720330" cy="5324475"/>
                    </a:xfrm>
                    <a:prstGeom prst="rect">
                      <a:avLst/>
                    </a:prstGeom>
                  </pic:spPr>
                </pic:pic>
              </a:graphicData>
            </a:graphic>
          </wp:inline>
        </w:drawing>
      </w:r>
      <w:r>
        <w:rPr>
          <w:rFonts w:hint="default" w:ascii="Times New Roman" w:hAnsi="Times New Roman" w:cs="Times New Roman"/>
          <w:color w:val="auto"/>
          <w:highlight w:val="none"/>
          <w:lang w:val="en-US" w:eastAsia="zh-CN"/>
        </w:rPr>
        <w:drawing>
          <wp:inline distT="0" distB="0" distL="114300" distR="114300">
            <wp:extent cx="7403465" cy="5158105"/>
            <wp:effectExtent l="0" t="0" r="4445" b="6985"/>
            <wp:docPr id="34" name="图片 34" descr="c02a19078fa85c4cc9c4380b56dc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02a19078fa85c4cc9c4380b56dc1132"/>
                    <pic:cNvPicPr>
                      <a:picLocks noChangeAspect="1"/>
                    </pic:cNvPicPr>
                  </pic:nvPicPr>
                  <pic:blipFill>
                    <a:blip r:embed="rId57"/>
                    <a:srcRect l="17553" t="5272" r="11152" b="6370"/>
                    <a:stretch>
                      <a:fillRect/>
                    </a:stretch>
                  </pic:blipFill>
                  <pic:spPr>
                    <a:xfrm rot="16200000">
                      <a:off x="0" y="0"/>
                      <a:ext cx="7403465" cy="5158105"/>
                    </a:xfrm>
                    <a:prstGeom prst="rect">
                      <a:avLst/>
                    </a:prstGeom>
                  </pic:spPr>
                </pic:pic>
              </a:graphicData>
            </a:graphic>
          </wp:inline>
        </w:drawing>
      </w:r>
      <w:r>
        <w:rPr>
          <w:rFonts w:hint="default" w:ascii="Times New Roman" w:hAnsi="Times New Roman" w:cs="Times New Roman"/>
          <w:color w:val="auto"/>
          <w:highlight w:val="none"/>
          <w:lang w:val="en-US" w:eastAsia="zh-CN"/>
        </w:rPr>
        <w:drawing>
          <wp:inline distT="0" distB="0" distL="114300" distR="114300">
            <wp:extent cx="8848725" cy="4974590"/>
            <wp:effectExtent l="0" t="0" r="16510" b="9525"/>
            <wp:docPr id="35" name="图片 35" descr="c9cc436e54ce34461171a526e17ec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9cc436e54ce34461171a526e17ecb23"/>
                    <pic:cNvPicPr>
                      <a:picLocks noChangeAspect="1"/>
                    </pic:cNvPicPr>
                  </pic:nvPicPr>
                  <pic:blipFill>
                    <a:blip r:embed="rId58"/>
                    <a:stretch>
                      <a:fillRect/>
                    </a:stretch>
                  </pic:blipFill>
                  <pic:spPr>
                    <a:xfrm rot="16200000">
                      <a:off x="0" y="0"/>
                      <a:ext cx="8848725" cy="4974590"/>
                    </a:xfrm>
                    <a:prstGeom prst="rect">
                      <a:avLst/>
                    </a:prstGeom>
                  </pic:spPr>
                </pic:pic>
              </a:graphicData>
            </a:graphic>
          </wp:inline>
        </w:drawing>
      </w:r>
    </w:p>
    <w:p w14:paraId="2A7DA5C9">
      <w:pPr>
        <w:spacing w:line="360" w:lineRule="auto"/>
        <w:ind w:left="630" w:hanging="723" w:hangingChars="300"/>
        <w:jc w:val="left"/>
        <w:outlineLvl w:val="0"/>
        <w:rPr>
          <w:rStyle w:val="41"/>
          <w:rFonts w:hint="default" w:ascii="Times New Roman" w:hAnsi="Times New Roman" w:eastAsia="宋体" w:cs="Times New Roman"/>
          <w:color w:val="auto"/>
          <w:highlight w:val="none"/>
        </w:rPr>
      </w:pPr>
      <w:r>
        <w:rPr>
          <w:rFonts w:hint="default" w:ascii="Times New Roman" w:hAnsi="Times New Roman" w:cs="Times New Roman"/>
          <w:b/>
          <w:bCs/>
          <w:color w:val="auto"/>
          <w:sz w:val="24"/>
          <w:szCs w:val="24"/>
          <w:highlight w:val="none"/>
          <w:lang w:val="en-US" w:eastAsia="zh-CN"/>
        </w:rPr>
        <w:t>附件5</w:t>
      </w:r>
      <w:r>
        <w:rPr>
          <w:rFonts w:hint="default" w:ascii="Times New Roman" w:hAnsi="Times New Roman" w:eastAsia="宋体" w:cs="Times New Roman"/>
          <w:b/>
          <w:bCs/>
          <w:color w:val="auto"/>
          <w:sz w:val="24"/>
          <w:szCs w:val="24"/>
          <w:highlight w:val="none"/>
          <w:lang w:val="en-US" w:eastAsia="zh-CN"/>
        </w:rPr>
        <w:t>《关于同意绿都集团股份有限公司日处理200吨米糠制油设施建设项目变更的函》</w:t>
      </w:r>
      <w:r>
        <w:rPr>
          <w:rFonts w:hint="default" w:ascii="Times New Roman" w:hAnsi="Times New Roman" w:cs="Times New Roman"/>
          <w:color w:val="auto"/>
          <w:highlight w:val="none"/>
          <w:lang w:val="en-US" w:eastAsia="zh-CN"/>
        </w:rPr>
        <w:drawing>
          <wp:inline distT="0" distB="0" distL="114300" distR="114300">
            <wp:extent cx="5269230" cy="7452360"/>
            <wp:effectExtent l="0" t="0" r="7620" b="15240"/>
            <wp:docPr id="20" name="图片 20" descr="日产200t环评批复及变更函(已优化)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日产200t环评批复及变更函(已优化)_06"/>
                    <pic:cNvPicPr>
                      <a:picLocks noChangeAspect="1"/>
                    </pic:cNvPicPr>
                  </pic:nvPicPr>
                  <pic:blipFill>
                    <a:blip r:embed="rId59"/>
                    <a:stretch>
                      <a:fillRect/>
                    </a:stretch>
                  </pic:blipFill>
                  <pic:spPr>
                    <a:xfrm>
                      <a:off x="0" y="0"/>
                      <a:ext cx="5269230" cy="7452360"/>
                    </a:xfrm>
                    <a:prstGeom prst="rect">
                      <a:avLst/>
                    </a:prstGeom>
                  </pic:spPr>
                </pic:pic>
              </a:graphicData>
            </a:graphic>
          </wp:inline>
        </w:drawing>
      </w:r>
      <w:r>
        <w:rPr>
          <w:rFonts w:hint="default" w:ascii="Times New Roman" w:hAnsi="Times New Roman" w:cs="Times New Roman"/>
          <w:color w:val="auto"/>
          <w:highlight w:val="none"/>
          <w:lang w:val="en-US" w:eastAsia="zh-CN"/>
        </w:rPr>
        <w:drawing>
          <wp:inline distT="0" distB="0" distL="114300" distR="114300">
            <wp:extent cx="5269230" cy="7452360"/>
            <wp:effectExtent l="0" t="0" r="7620" b="15240"/>
            <wp:docPr id="84" name="图片 84" descr="日产200t环评批复及变更函(已优化)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日产200t环评批复及变更函(已优化)_07"/>
                    <pic:cNvPicPr>
                      <a:picLocks noChangeAspect="1"/>
                    </pic:cNvPicPr>
                  </pic:nvPicPr>
                  <pic:blipFill>
                    <a:blip r:embed="rId60"/>
                    <a:stretch>
                      <a:fillRect/>
                    </a:stretch>
                  </pic:blipFill>
                  <pic:spPr>
                    <a:xfrm>
                      <a:off x="0" y="0"/>
                      <a:ext cx="5269230" cy="7452360"/>
                    </a:xfrm>
                    <a:prstGeom prst="rect">
                      <a:avLst/>
                    </a:prstGeom>
                  </pic:spPr>
                </pic:pic>
              </a:graphicData>
            </a:graphic>
          </wp:inline>
        </w:drawing>
      </w:r>
    </w:p>
    <w:p w14:paraId="31C158DF">
      <w:pPr>
        <w:spacing w:line="360" w:lineRule="auto"/>
        <w:ind w:left="630" w:hanging="720" w:hangingChars="300"/>
        <w:jc w:val="left"/>
        <w:rPr>
          <w:rStyle w:val="41"/>
          <w:rFonts w:hint="default" w:ascii="Times New Roman" w:hAnsi="Times New Roman" w:eastAsia="宋体" w:cs="Times New Roman"/>
          <w:color w:val="auto"/>
          <w:highlight w:val="none"/>
        </w:rPr>
      </w:pPr>
    </w:p>
    <w:p w14:paraId="31FF6271">
      <w:pPr>
        <w:spacing w:line="360" w:lineRule="auto"/>
        <w:ind w:left="630" w:hanging="720" w:hangingChars="300"/>
        <w:jc w:val="left"/>
        <w:rPr>
          <w:rStyle w:val="41"/>
          <w:rFonts w:hint="default" w:ascii="Times New Roman" w:hAnsi="Times New Roman" w:eastAsia="宋体" w:cs="Times New Roman"/>
          <w:color w:val="auto"/>
          <w:highlight w:val="none"/>
        </w:rPr>
      </w:pPr>
    </w:p>
    <w:p w14:paraId="075D682B">
      <w:pPr>
        <w:spacing w:line="360" w:lineRule="auto"/>
        <w:ind w:left="630" w:hanging="720" w:hangingChars="300"/>
        <w:jc w:val="left"/>
        <w:rPr>
          <w:rStyle w:val="41"/>
          <w:rFonts w:hint="default" w:ascii="Times New Roman" w:hAnsi="Times New Roman" w:eastAsia="宋体" w:cs="Times New Roman"/>
          <w:color w:val="auto"/>
          <w:highlight w:val="none"/>
        </w:rPr>
      </w:pPr>
    </w:p>
    <w:p w14:paraId="5845D223">
      <w:pPr>
        <w:spacing w:line="360" w:lineRule="auto"/>
        <w:ind w:left="630" w:hanging="720" w:hangingChars="300"/>
        <w:jc w:val="left"/>
        <w:rPr>
          <w:rStyle w:val="41"/>
          <w:rFonts w:hint="default" w:ascii="Times New Roman" w:hAnsi="Times New Roman" w:eastAsia="宋体" w:cs="Times New Roman"/>
          <w:color w:val="auto"/>
          <w:highlight w:val="none"/>
        </w:rPr>
      </w:pPr>
    </w:p>
    <w:p w14:paraId="659863B4">
      <w:pPr>
        <w:spacing w:line="360" w:lineRule="auto"/>
        <w:ind w:left="630" w:hanging="720" w:hangingChars="300"/>
        <w:jc w:val="left"/>
        <w:rPr>
          <w:rStyle w:val="41"/>
          <w:rFonts w:hint="default" w:ascii="Times New Roman" w:hAnsi="Times New Roman" w:eastAsia="宋体" w:cs="Times New Roman"/>
          <w:color w:val="auto"/>
          <w:highlight w:val="none"/>
        </w:rPr>
      </w:pPr>
    </w:p>
    <w:p w14:paraId="4DC415F9">
      <w:pPr>
        <w:pStyle w:val="43"/>
        <w:spacing w:line="360" w:lineRule="auto"/>
        <w:jc w:val="left"/>
        <w:outlineLvl w:val="0"/>
        <w:rPr>
          <w:rFonts w:hint="default" w:ascii="Times New Roman" w:hAnsi="Times New Roman" w:eastAsia="宋体" w:cs="Times New Roman"/>
          <w:color w:val="auto"/>
          <w:highlight w:val="none"/>
        </w:rPr>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b/>
          <w:bCs/>
          <w:snapToGrid w:val="0"/>
          <w:color w:val="auto"/>
          <w:spacing w:val="0"/>
          <w:kern w:val="0"/>
          <w:sz w:val="24"/>
          <w:szCs w:val="24"/>
          <w:highlight w:val="none"/>
          <w:lang w:val="en-US" w:eastAsia="zh-CN" w:bidi="ar-SA"/>
        </w:rPr>
        <w:t>附件6生物质检验报告</w:t>
      </w:r>
      <w:r>
        <w:rPr>
          <w:rFonts w:hint="default" w:ascii="Times New Roman" w:hAnsi="Times New Roman" w:eastAsia="宋体" w:cs="Times New Roman"/>
          <w:b/>
          <w:bCs/>
          <w:snapToGrid w:val="0"/>
          <w:color w:val="auto"/>
          <w:spacing w:val="0"/>
          <w:kern w:val="0"/>
          <w:sz w:val="24"/>
          <w:szCs w:val="24"/>
          <w:highlight w:val="none"/>
          <w:lang w:val="en-US" w:eastAsia="zh-CN" w:bidi="ar-SA"/>
        </w:rPr>
        <w:br w:type="textWrapping"/>
      </w:r>
      <w:r>
        <w:rPr>
          <w:rFonts w:hint="default" w:ascii="Times New Roman" w:hAnsi="Times New Roman" w:eastAsia="宋体" w:cs="Times New Roman"/>
          <w:color w:val="auto"/>
          <w:sz w:val="24"/>
          <w:szCs w:val="24"/>
          <w:highlight w:val="none"/>
          <w:lang w:eastAsia="zh-CN"/>
        </w:rPr>
        <w:drawing>
          <wp:inline distT="0" distB="0" distL="114300" distR="114300">
            <wp:extent cx="5271135" cy="7437120"/>
            <wp:effectExtent l="0" t="0" r="5715" b="11430"/>
            <wp:docPr id="85" name="图片 85" descr="稻壳燃料检验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稻壳燃料检验报告"/>
                    <pic:cNvPicPr>
                      <a:picLocks noChangeAspect="1"/>
                    </pic:cNvPicPr>
                  </pic:nvPicPr>
                  <pic:blipFill>
                    <a:blip r:embed="rId61"/>
                    <a:stretch>
                      <a:fillRect/>
                    </a:stretch>
                  </pic:blipFill>
                  <pic:spPr>
                    <a:xfrm>
                      <a:off x="0" y="0"/>
                      <a:ext cx="5271135" cy="7437120"/>
                    </a:xfrm>
                    <a:prstGeom prst="rect">
                      <a:avLst/>
                    </a:prstGeom>
                  </pic:spPr>
                </pic:pic>
              </a:graphicData>
            </a:graphic>
          </wp:inline>
        </w:drawing>
      </w:r>
    </w:p>
    <w:p w14:paraId="0C5AE5AB">
      <w:pPr>
        <w:pStyle w:val="2"/>
        <w:spacing w:line="360" w:lineRule="auto"/>
        <w:jc w:val="left"/>
        <w:rPr>
          <w:rFonts w:hint="default" w:ascii="Times New Roman" w:hAnsi="Times New Roman" w:eastAsia="宋体" w:cs="Times New Roman"/>
          <w:b/>
          <w:bCs/>
          <w:color w:val="auto"/>
          <w:spacing w:val="0"/>
          <w:sz w:val="24"/>
          <w:szCs w:val="24"/>
          <w:highlight w:val="none"/>
          <w:lang w:val="en-US" w:eastAsia="zh-CN"/>
        </w:rPr>
      </w:pPr>
      <w:r>
        <w:rPr>
          <w:rFonts w:hint="default" w:ascii="Times New Roman" w:hAnsi="Times New Roman" w:eastAsia="宋体" w:cs="Times New Roman"/>
          <w:b/>
          <w:bCs/>
          <w:color w:val="auto"/>
          <w:spacing w:val="0"/>
          <w:sz w:val="24"/>
          <w:szCs w:val="24"/>
          <w:highlight w:val="none"/>
        </w:rPr>
        <w:t>附件</w:t>
      </w:r>
      <w:r>
        <w:rPr>
          <w:rFonts w:hint="default" w:ascii="Times New Roman" w:hAnsi="Times New Roman" w:eastAsia="宋体" w:cs="Times New Roman"/>
          <w:b/>
          <w:bCs/>
          <w:color w:val="auto"/>
          <w:spacing w:val="0"/>
          <w:sz w:val="24"/>
          <w:szCs w:val="24"/>
          <w:highlight w:val="none"/>
          <w:lang w:val="en-US" w:eastAsia="zh-CN"/>
        </w:rPr>
        <w:t>7总量计算说明</w:t>
      </w:r>
    </w:p>
    <w:p w14:paraId="5160FF93">
      <w:pPr>
        <w:pStyle w:val="74"/>
        <w:spacing w:line="360" w:lineRule="auto"/>
        <w:ind w:firstLine="480"/>
        <w:rPr>
          <w:rFonts w:hint="default" w:ascii="Times New Roman" w:hAnsi="Times New Roman" w:eastAsia="宋体" w:cs="Times New Roman"/>
          <w:b/>
          <w:bCs/>
          <w:color w:val="auto"/>
          <w:spacing w:val="0"/>
          <w:sz w:val="24"/>
          <w:szCs w:val="24"/>
          <w:highlight w:val="none"/>
          <w:lang w:eastAsia="zh-CN"/>
        </w:rPr>
      </w:pPr>
      <w:r>
        <w:rPr>
          <w:rFonts w:hint="default" w:ascii="Times New Roman" w:hAnsi="Times New Roman" w:eastAsia="宋体" w:cs="Times New Roman"/>
          <w:b/>
          <w:bCs/>
          <w:color w:val="auto"/>
          <w:spacing w:val="0"/>
          <w:sz w:val="24"/>
          <w:szCs w:val="24"/>
          <w:highlight w:val="none"/>
        </w:rPr>
        <w:t>废</w:t>
      </w:r>
      <w:r>
        <w:rPr>
          <w:rFonts w:hint="default" w:ascii="Times New Roman" w:hAnsi="Times New Roman" w:eastAsia="宋体" w:cs="Times New Roman"/>
          <w:b/>
          <w:bCs/>
          <w:color w:val="auto"/>
          <w:spacing w:val="0"/>
          <w:sz w:val="24"/>
          <w:szCs w:val="24"/>
          <w:highlight w:val="none"/>
          <w:lang w:eastAsia="zh-CN"/>
        </w:rPr>
        <w:t>气</w:t>
      </w:r>
    </w:p>
    <w:p w14:paraId="55B9F0E8">
      <w:pPr>
        <w:keepNext w:val="0"/>
        <w:keepLines w:val="0"/>
        <w:widowControl/>
        <w:suppressLineNumbers w:val="0"/>
        <w:spacing w:line="360" w:lineRule="auto"/>
        <w:jc w:val="left"/>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b w:val="0"/>
          <w:bCs/>
          <w:color w:val="auto"/>
          <w:spacing w:val="0"/>
          <w:sz w:val="24"/>
          <w:szCs w:val="24"/>
          <w:highlight w:val="none"/>
          <w:lang w:val="en-US" w:eastAsia="zh-CN"/>
        </w:rPr>
        <w:t>本项目产生的废气主要为</w:t>
      </w:r>
      <w:r>
        <w:rPr>
          <w:rFonts w:hint="default" w:ascii="Times New Roman" w:hAnsi="Times New Roman" w:eastAsia="宋体" w:cs="Times New Roman"/>
          <w:color w:val="auto"/>
          <w:spacing w:val="0"/>
          <w:sz w:val="24"/>
          <w:szCs w:val="24"/>
          <w:highlight w:val="none"/>
          <w:lang w:val="en-US" w:eastAsia="zh-CN"/>
        </w:rPr>
        <w:t>锅炉产生的</w:t>
      </w:r>
      <w:r>
        <w:rPr>
          <w:rFonts w:hint="default" w:ascii="Times New Roman" w:hAnsi="Times New Roman" w:eastAsia="宋体" w:cs="Times New Roman"/>
          <w:b w:val="0"/>
          <w:bCs/>
          <w:color w:val="auto"/>
          <w:spacing w:val="0"/>
          <w:sz w:val="24"/>
          <w:szCs w:val="24"/>
          <w:highlight w:val="none"/>
          <w:lang w:val="en-US" w:eastAsia="zh-CN"/>
        </w:rPr>
        <w:t>颗粒物、二氧化硫、氮氧化物。产生的废气由1根</w:t>
      </w:r>
      <w:r>
        <w:rPr>
          <w:rFonts w:hint="default" w:ascii="Times New Roman" w:hAnsi="Times New Roman" w:cs="Times New Roman"/>
          <w:b w:val="0"/>
          <w:bCs/>
          <w:color w:val="auto"/>
          <w:spacing w:val="0"/>
          <w:sz w:val="24"/>
          <w:szCs w:val="24"/>
          <w:highlight w:val="none"/>
          <w:lang w:val="en-US" w:eastAsia="zh-CN"/>
        </w:rPr>
        <w:t>4</w:t>
      </w:r>
      <w:r>
        <w:rPr>
          <w:rFonts w:hint="default" w:ascii="Times New Roman" w:hAnsi="Times New Roman" w:eastAsia="宋体" w:cs="Times New Roman"/>
          <w:b w:val="0"/>
          <w:bCs/>
          <w:color w:val="auto"/>
          <w:spacing w:val="0"/>
          <w:sz w:val="24"/>
          <w:szCs w:val="24"/>
          <w:highlight w:val="none"/>
          <w:lang w:val="en-US" w:eastAsia="zh-CN"/>
        </w:rPr>
        <w:t>0m高烟囱有组织排放</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pacing w:val="0"/>
          <w:sz w:val="24"/>
          <w:szCs w:val="24"/>
          <w:highlight w:val="none"/>
          <w:lang w:val="en-US" w:eastAsia="zh-CN"/>
        </w:rPr>
        <w:t>年运行</w:t>
      </w:r>
      <w:r>
        <w:rPr>
          <w:rFonts w:hint="default" w:ascii="Times New Roman" w:hAnsi="Times New Roman" w:cs="Times New Roman"/>
          <w:color w:val="auto"/>
          <w:spacing w:val="0"/>
          <w:sz w:val="24"/>
          <w:szCs w:val="24"/>
          <w:highlight w:val="none"/>
          <w:lang w:val="en-US" w:eastAsia="zh-CN"/>
        </w:rPr>
        <w:t>4800</w:t>
      </w:r>
      <w:r>
        <w:rPr>
          <w:rFonts w:hint="default" w:ascii="Times New Roman" w:hAnsi="Times New Roman" w:eastAsia="宋体" w:cs="Times New Roman"/>
          <w:color w:val="auto"/>
          <w:spacing w:val="0"/>
          <w:sz w:val="24"/>
          <w:szCs w:val="24"/>
          <w:highlight w:val="none"/>
          <w:lang w:val="en-US" w:eastAsia="zh-CN"/>
        </w:rPr>
        <w:t>h。</w:t>
      </w:r>
    </w:p>
    <w:p w14:paraId="29834384">
      <w:pPr>
        <w:keepNext w:val="0"/>
        <w:keepLines w:val="0"/>
        <w:widowControl/>
        <w:suppressLineNumbers w:val="0"/>
        <w:jc w:val="left"/>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根据《排污许可证申请与核发技术规范 锅炉》（HJ953-2018）</w:t>
      </w:r>
      <w:r>
        <w:rPr>
          <w:rFonts w:hint="default" w:ascii="Times New Roman" w:hAnsi="Times New Roman" w:eastAsia="宋体" w:cs="Times New Roman"/>
          <w:bCs/>
          <w:color w:val="auto"/>
          <w:kern w:val="0"/>
          <w:sz w:val="24"/>
          <w:szCs w:val="24"/>
          <w:highlight w:val="none"/>
          <w:lang w:val="en-US" w:eastAsia="zh-CN" w:bidi="ar"/>
        </w:rPr>
        <w:t>锅炉排污单位应优先采用理论公式（以燃料元素分析数据或组分分析数据为依据）计算基准烟气量</w:t>
      </w:r>
      <w:r>
        <w:rPr>
          <w:rFonts w:hint="default" w:ascii="Times New Roman" w:hAnsi="Times New Roman" w:eastAsia="宋体" w:cs="Times New Roman"/>
          <w:b w:val="0"/>
          <w:bCs/>
          <w:color w:val="auto"/>
          <w:sz w:val="24"/>
          <w:szCs w:val="24"/>
          <w:highlight w:val="none"/>
        </w:rPr>
        <w:t>。根据</w:t>
      </w:r>
      <w:r>
        <w:rPr>
          <w:rFonts w:hint="default" w:ascii="Times New Roman" w:hAnsi="Times New Roman" w:cs="Times New Roman"/>
          <w:b w:val="0"/>
          <w:bCs/>
          <w:color w:val="auto"/>
          <w:sz w:val="24"/>
          <w:szCs w:val="24"/>
          <w:highlight w:val="none"/>
          <w:lang w:val="en-US" w:eastAsia="zh-CN"/>
        </w:rPr>
        <w:t>附件6</w:t>
      </w:r>
      <w:r>
        <w:rPr>
          <w:rFonts w:hint="default" w:ascii="Times New Roman" w:hAnsi="Times New Roman" w:eastAsia="宋体" w:cs="Times New Roman"/>
          <w:b w:val="0"/>
          <w:bCs/>
          <w:color w:val="auto"/>
          <w:sz w:val="24"/>
          <w:szCs w:val="24"/>
          <w:highlight w:val="none"/>
        </w:rPr>
        <w:t>燃料</w:t>
      </w:r>
      <w:r>
        <w:rPr>
          <w:rFonts w:hint="default" w:ascii="Times New Roman" w:hAnsi="Times New Roman" w:eastAsia="宋体" w:cs="Times New Roman"/>
          <w:b w:val="0"/>
          <w:bCs/>
          <w:color w:val="auto"/>
          <w:sz w:val="24"/>
          <w:szCs w:val="24"/>
          <w:highlight w:val="none"/>
          <w:lang w:eastAsia="zh-CN"/>
        </w:rPr>
        <w:t>生物质</w:t>
      </w:r>
      <w:r>
        <w:rPr>
          <w:rFonts w:hint="default" w:ascii="Times New Roman" w:hAnsi="Times New Roman" w:eastAsia="宋体" w:cs="Times New Roman"/>
          <w:b w:val="0"/>
          <w:bCs/>
          <w:color w:val="auto"/>
          <w:sz w:val="24"/>
          <w:szCs w:val="24"/>
          <w:highlight w:val="none"/>
        </w:rPr>
        <w:t>元素分析报告，本项目</w:t>
      </w:r>
    </w:p>
    <w:p w14:paraId="07E32013">
      <w:pPr>
        <w:keepNext w:val="0"/>
        <w:keepLines w:val="0"/>
        <w:widowControl/>
        <w:suppressLineNumbers w:val="0"/>
        <w:jc w:val="left"/>
        <w:rPr>
          <w:rFonts w:hint="default" w:ascii="Times New Roman" w:hAnsi="Times New Roman" w:eastAsia="宋体" w:cs="Times New Roman"/>
          <w:b w:val="0"/>
          <w:bCs/>
          <w:color w:val="auto"/>
          <w:highlight w:val="none"/>
        </w:rPr>
      </w:pPr>
      <w:r>
        <w:rPr>
          <w:rFonts w:hint="default" w:ascii="Times New Roman" w:hAnsi="Times New Roman" w:cs="Times New Roman"/>
          <w:color w:val="auto"/>
          <w:highlight w:val="none"/>
        </w:rPr>
        <w:drawing>
          <wp:inline distT="0" distB="0" distL="114300" distR="114300">
            <wp:extent cx="5043805" cy="1082040"/>
            <wp:effectExtent l="0" t="0" r="4445" b="3810"/>
            <wp:docPr id="1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
                    <pic:cNvPicPr>
                      <a:picLocks noChangeAspect="1"/>
                    </pic:cNvPicPr>
                  </pic:nvPicPr>
                  <pic:blipFill>
                    <a:blip r:embed="rId62"/>
                    <a:srcRect r="10137" b="77795"/>
                    <a:stretch>
                      <a:fillRect/>
                    </a:stretch>
                  </pic:blipFill>
                  <pic:spPr>
                    <a:xfrm>
                      <a:off x="0" y="0"/>
                      <a:ext cx="5043805" cy="1082040"/>
                    </a:xfrm>
                    <a:prstGeom prst="rect">
                      <a:avLst/>
                    </a:prstGeom>
                    <a:noFill/>
                    <a:ln>
                      <a:noFill/>
                    </a:ln>
                  </pic:spPr>
                </pic:pic>
              </a:graphicData>
            </a:graphic>
          </wp:inline>
        </w:drawing>
      </w:r>
    </w:p>
    <w:p w14:paraId="6AF81ED5">
      <w:pPr>
        <w:keepNext w:val="0"/>
        <w:keepLines w:val="0"/>
        <w:widowControl/>
        <w:suppressLineNumbers w:val="0"/>
        <w:jc w:val="left"/>
        <w:rPr>
          <w:rFonts w:hint="default" w:ascii="Times New Roman" w:hAnsi="Times New Roman" w:eastAsia="宋体" w:cs="Times New Roman"/>
          <w:b w:val="0"/>
          <w:bCs/>
          <w:color w:val="auto"/>
          <w:highlight w:val="none"/>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——理论空气量，</w:t>
      </w:r>
      <w:r>
        <w:rPr>
          <w:rFonts w:hint="default" w:ascii="Times New Roman" w:hAnsi="Times New Roman" w:eastAsia="宋体" w:cs="Times New Roman"/>
          <w:b w:val="0"/>
          <w:bCs/>
          <w:color w:val="auto"/>
          <w:highlight w:val="none"/>
        </w:rPr>
        <w:t>N</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/kg经计算得</w:t>
      </w:r>
      <w:r>
        <w:rPr>
          <w:rFonts w:hint="default" w:ascii="Times New Roman" w:hAnsi="Times New Roman" w:cs="Times New Roman"/>
          <w:color w:val="auto"/>
          <w:sz w:val="24"/>
          <w:szCs w:val="24"/>
          <w:highlight w:val="none"/>
          <w:lang w:eastAsia="zh-CN"/>
        </w:rPr>
        <w:t>3.507</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/kg；</w:t>
      </w:r>
    </w:p>
    <w:p w14:paraId="6E11153D">
      <w:pPr>
        <w:pStyle w:val="130"/>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vertAlign w:val="subscript"/>
        </w:rPr>
        <w:t>g</w:t>
      </w:r>
      <w:r>
        <w:rPr>
          <w:rFonts w:hint="default" w:ascii="Times New Roman" w:hAnsi="Times New Roman" w:cs="Times New Roman"/>
          <w:color w:val="auto"/>
          <w:sz w:val="24"/>
          <w:szCs w:val="24"/>
          <w:highlight w:val="none"/>
          <w:vertAlign w:val="subscript"/>
          <w:lang w:val="en-US" w:eastAsia="zh-CN"/>
        </w:rPr>
        <w:t>y</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基准</w:t>
      </w:r>
      <w:r>
        <w:rPr>
          <w:rFonts w:hint="default" w:ascii="Times New Roman" w:hAnsi="Times New Roman" w:eastAsia="宋体" w:cs="Times New Roman"/>
          <w:color w:val="auto"/>
          <w:sz w:val="24"/>
          <w:szCs w:val="24"/>
          <w:highlight w:val="none"/>
        </w:rPr>
        <w:t>烟气量，</w:t>
      </w:r>
      <w:r>
        <w:rPr>
          <w:rFonts w:hint="default" w:ascii="Times New Roman" w:hAnsi="Times New Roman" w:eastAsia="宋体" w:cs="Times New Roman"/>
          <w:b w:val="0"/>
          <w:bCs/>
          <w:color w:val="auto"/>
          <w:highlight w:val="none"/>
        </w:rPr>
        <w:t>N</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/kg</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经计算得</w:t>
      </w:r>
      <w:r>
        <w:rPr>
          <w:rFonts w:hint="default" w:ascii="Times New Roman" w:hAnsi="Times New Roman" w:cs="Times New Roman"/>
          <w:color w:val="auto"/>
          <w:sz w:val="24"/>
          <w:szCs w:val="24"/>
          <w:highlight w:val="none"/>
          <w:lang w:val="en-US" w:eastAsia="zh-CN"/>
        </w:rPr>
        <w:t>6.116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/kg</w:t>
      </w:r>
      <w:r>
        <w:rPr>
          <w:rFonts w:hint="default" w:ascii="Times New Roman" w:hAnsi="Times New Roman" w:eastAsia="宋体" w:cs="Times New Roman"/>
          <w:color w:val="auto"/>
          <w:sz w:val="24"/>
          <w:szCs w:val="24"/>
          <w:highlight w:val="none"/>
          <w:lang w:val="en-US" w:eastAsia="zh-CN"/>
        </w:rPr>
        <w:t>；</w:t>
      </w:r>
    </w:p>
    <w:p w14:paraId="60DE6FE0">
      <w:pPr>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Car——收到基碳的质量分数，%，根据燃料成分分析为</w:t>
      </w:r>
      <w:r>
        <w:rPr>
          <w:rFonts w:hint="default" w:ascii="Times New Roman" w:hAnsi="Times New Roman" w:cs="Times New Roman"/>
          <w:color w:val="auto"/>
          <w:sz w:val="24"/>
          <w:highlight w:val="none"/>
          <w:lang w:val="en-US" w:eastAsia="zh-CN"/>
        </w:rPr>
        <w:t>38.16</w:t>
      </w:r>
      <w:r>
        <w:rPr>
          <w:rFonts w:hint="default" w:ascii="Times New Roman" w:hAnsi="Times New Roman" w:eastAsia="宋体" w:cs="Times New Roman"/>
          <w:color w:val="auto"/>
          <w:sz w:val="24"/>
          <w:highlight w:val="none"/>
          <w:lang w:val="en-US" w:eastAsia="zh-CN"/>
        </w:rPr>
        <w:t>；</w:t>
      </w:r>
    </w:p>
    <w:p w14:paraId="22EF63CD">
      <w:pPr>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Sar——收到基硫的质量分数，%，根据燃料成分分析为</w:t>
      </w:r>
      <w:r>
        <w:rPr>
          <w:rFonts w:hint="default" w:ascii="Times New Roman" w:hAnsi="Times New Roman" w:cs="Times New Roman"/>
          <w:color w:val="auto"/>
          <w:sz w:val="24"/>
          <w:highlight w:val="none"/>
          <w:lang w:val="en-US" w:eastAsia="zh-CN"/>
        </w:rPr>
        <w:t>0.07</w:t>
      </w:r>
      <w:r>
        <w:rPr>
          <w:rFonts w:hint="default" w:ascii="Times New Roman" w:hAnsi="Times New Roman" w:eastAsia="宋体" w:cs="Times New Roman"/>
          <w:color w:val="auto"/>
          <w:sz w:val="24"/>
          <w:highlight w:val="none"/>
          <w:lang w:val="en-US" w:eastAsia="zh-CN"/>
        </w:rPr>
        <w:t>；</w:t>
      </w:r>
    </w:p>
    <w:p w14:paraId="7757612D">
      <w:pPr>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Har——收到基氢的质量分数，%，根据燃料成分分析为</w:t>
      </w:r>
      <w:r>
        <w:rPr>
          <w:rFonts w:hint="default" w:ascii="Times New Roman" w:hAnsi="Times New Roman" w:cs="Times New Roman"/>
          <w:color w:val="auto"/>
          <w:sz w:val="24"/>
          <w:highlight w:val="none"/>
          <w:lang w:val="en-US" w:eastAsia="zh-CN"/>
        </w:rPr>
        <w:t>4.32</w:t>
      </w:r>
      <w:r>
        <w:rPr>
          <w:rFonts w:hint="default" w:ascii="Times New Roman" w:hAnsi="Times New Roman" w:eastAsia="宋体" w:cs="Times New Roman"/>
          <w:color w:val="auto"/>
          <w:sz w:val="24"/>
          <w:highlight w:val="none"/>
          <w:lang w:val="en-US" w:eastAsia="zh-CN"/>
        </w:rPr>
        <w:t>；</w:t>
      </w:r>
    </w:p>
    <w:p w14:paraId="52B66CB6">
      <w:pPr>
        <w:keepNext w:val="0"/>
        <w:keepLines w:val="0"/>
        <w:pageBreakBefore w:val="0"/>
        <w:kinsoku/>
        <w:wordWrap/>
        <w:overflowPunct/>
        <w:topLinePunct w:val="0"/>
        <w:autoSpaceDE/>
        <w:autoSpaceDN/>
        <w:bidi w:val="0"/>
        <w:adjustRightInd/>
        <w:spacing w:line="360" w:lineRule="auto"/>
        <w:ind w:firstLine="48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Oar——收到基氧的质量分数，%，根据燃料成分分析为</w:t>
      </w:r>
      <w:r>
        <w:rPr>
          <w:rFonts w:hint="default" w:ascii="Times New Roman" w:hAnsi="Times New Roman" w:cs="Times New Roman"/>
          <w:color w:val="auto"/>
          <w:sz w:val="24"/>
          <w:highlight w:val="none"/>
          <w:lang w:val="en-US" w:eastAsia="zh-CN"/>
        </w:rPr>
        <w:t>31.02</w:t>
      </w:r>
      <w:r>
        <w:rPr>
          <w:rFonts w:hint="default" w:ascii="Times New Roman" w:hAnsi="Times New Roman" w:eastAsia="宋体" w:cs="Times New Roman"/>
          <w:color w:val="auto"/>
          <w:sz w:val="24"/>
          <w:highlight w:val="none"/>
          <w:lang w:val="en-US" w:eastAsia="zh-CN"/>
        </w:rPr>
        <w:t>。</w:t>
      </w:r>
    </w:p>
    <w:p w14:paraId="1E52A19F">
      <w:pPr>
        <w:pStyle w:val="130"/>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w:t>
      </w:r>
      <w:r>
        <w:rPr>
          <w:rFonts w:hint="default" w:ascii="Times New Roman" w:hAnsi="Times New Roman" w:eastAsia="宋体" w:cs="Times New Roman"/>
          <w:color w:val="auto"/>
          <w:sz w:val="24"/>
          <w:szCs w:val="24"/>
          <w:highlight w:val="none"/>
          <w:vertAlign w:val="subscript"/>
        </w:rPr>
        <w:t>ar</w:t>
      </w:r>
      <w:r>
        <w:rPr>
          <w:rFonts w:hint="default" w:ascii="Times New Roman" w:hAnsi="Times New Roman" w:eastAsia="宋体" w:cs="Times New Roman"/>
          <w:color w:val="auto"/>
          <w:sz w:val="24"/>
          <w:szCs w:val="24"/>
          <w:highlight w:val="none"/>
        </w:rPr>
        <w:t>——收到基氮的质量分数，%，根据燃料成分分析为</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34</w:t>
      </w:r>
      <w:r>
        <w:rPr>
          <w:rFonts w:hint="default" w:ascii="Times New Roman" w:hAnsi="Times New Roman" w:eastAsia="宋体" w:cs="Times New Roman"/>
          <w:color w:val="auto"/>
          <w:sz w:val="24"/>
          <w:szCs w:val="24"/>
          <w:highlight w:val="none"/>
        </w:rPr>
        <w:t>；</w:t>
      </w:r>
    </w:p>
    <w:p w14:paraId="712BCEC6">
      <w:pPr>
        <w:pStyle w:val="130"/>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α——过量空气系数，</w:t>
      </w:r>
      <w:r>
        <w:rPr>
          <w:rFonts w:hint="default" w:ascii="Times New Roman" w:hAnsi="Times New Roman" w:eastAsia="宋体" w:cs="Times New Roman"/>
          <w:color w:val="auto"/>
          <w:sz w:val="24"/>
          <w:szCs w:val="24"/>
          <w:highlight w:val="none"/>
          <w:lang w:val="en-US" w:eastAsia="zh-CN"/>
        </w:rPr>
        <w:t>燃料燃烧时实际空气供给量与理论空气需要量之比值，燃煤锅炉、</w:t>
      </w:r>
      <w:r>
        <w:rPr>
          <w:rFonts w:hint="default" w:ascii="Times New Roman" w:hAnsi="Times New Roman" w:cs="Times New Roman"/>
          <w:color w:val="auto"/>
          <w:sz w:val="24"/>
          <w:szCs w:val="24"/>
          <w:highlight w:val="none"/>
          <w:lang w:val="en-US" w:eastAsia="zh-CN"/>
        </w:rPr>
        <w:t>燃生物质</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lang w:val="en-US" w:eastAsia="zh-CN"/>
        </w:rPr>
        <w:t>燃油锅炉</w:t>
      </w:r>
      <w:r>
        <w:rPr>
          <w:rFonts w:hint="default" w:ascii="Times New Roman" w:hAnsi="Times New Roman"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过量空气系数分别为1.75、1.75</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1.2，对应基准氧含量分别为9%、9%</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3.5%。因此本项目</w:t>
      </w:r>
      <w:r>
        <w:rPr>
          <w:rFonts w:hint="default" w:ascii="Times New Roman" w:hAnsi="Times New Roman" w:eastAsia="宋体" w:cs="Times New Roman"/>
          <w:color w:val="auto"/>
          <w:sz w:val="24"/>
          <w:szCs w:val="24"/>
          <w:highlight w:val="none"/>
        </w:rPr>
        <w:t>α</w:t>
      </w:r>
      <w:r>
        <w:rPr>
          <w:rFonts w:hint="default" w:ascii="Times New Roman" w:hAnsi="Times New Roman" w:eastAsia="宋体" w:cs="Times New Roman"/>
          <w:color w:val="auto"/>
          <w:sz w:val="24"/>
          <w:szCs w:val="24"/>
          <w:highlight w:val="none"/>
          <w:lang w:val="en-US" w:eastAsia="zh-CN"/>
        </w:rPr>
        <w:t>取1.75</w:t>
      </w:r>
      <w:r>
        <w:rPr>
          <w:rFonts w:hint="default" w:ascii="Times New Roman" w:hAnsi="Times New Roman" w:eastAsia="宋体" w:cs="Times New Roman"/>
          <w:color w:val="auto"/>
          <w:sz w:val="24"/>
          <w:szCs w:val="24"/>
          <w:highlight w:val="none"/>
        </w:rPr>
        <w:t>；</w:t>
      </w:r>
    </w:p>
    <w:p w14:paraId="21FC40D2">
      <w:pPr>
        <w:keepNext w:val="0"/>
        <w:keepLines w:val="0"/>
        <w:widowControl/>
        <w:suppressLineNumbers w:val="0"/>
        <w:spacing w:line="360" w:lineRule="auto"/>
        <w:jc w:val="left"/>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本项目年燃</w:t>
      </w:r>
      <w:r>
        <w:rPr>
          <w:rFonts w:hint="default" w:ascii="Times New Roman" w:hAnsi="Times New Roman" w:eastAsia="宋体" w:cs="Times New Roman"/>
          <w:b w:val="0"/>
          <w:bCs/>
          <w:color w:val="auto"/>
          <w:highlight w:val="none"/>
          <w:lang w:eastAsia="zh-CN"/>
        </w:rPr>
        <w:t>生物质</w:t>
      </w:r>
      <w:r>
        <w:rPr>
          <w:rFonts w:hint="default" w:ascii="Times New Roman" w:hAnsi="Times New Roman" w:eastAsia="宋体" w:cs="Times New Roman"/>
          <w:b w:val="0"/>
          <w:bCs/>
          <w:color w:val="auto"/>
          <w:highlight w:val="none"/>
        </w:rPr>
        <w:t>量为</w:t>
      </w:r>
      <w:r>
        <w:rPr>
          <w:rFonts w:hint="default" w:ascii="Times New Roman" w:hAnsi="Times New Roman" w:cs="Times New Roman"/>
          <w:b w:val="0"/>
          <w:bCs/>
          <w:color w:val="auto"/>
          <w:sz w:val="24"/>
          <w:highlight w:val="none"/>
          <w:vertAlign w:val="baseline"/>
          <w:lang w:val="en-US" w:eastAsia="zh-CN"/>
        </w:rPr>
        <w:t>6598.62</w:t>
      </w:r>
      <w:r>
        <w:rPr>
          <w:rFonts w:hint="default" w:ascii="Times New Roman" w:hAnsi="Times New Roman" w:eastAsia="宋体" w:cs="Times New Roman"/>
          <w:b w:val="0"/>
          <w:bCs/>
          <w:color w:val="auto"/>
          <w:highlight w:val="none"/>
        </w:rPr>
        <w:t>吨。</w:t>
      </w:r>
    </w:p>
    <w:p w14:paraId="731B057A">
      <w:pPr>
        <w:pStyle w:val="4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firstLine="480" w:firstLineChars="200"/>
        <w:jc w:val="both"/>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则本项目的基准烟气量为Vgy=</w:t>
      </w:r>
      <w:r>
        <w:rPr>
          <w:rFonts w:hint="default" w:ascii="Times New Roman" w:hAnsi="Times New Roman" w:cs="Times New Roman"/>
          <w:b w:val="0"/>
          <w:bCs/>
          <w:color w:val="auto"/>
          <w:highlight w:val="none"/>
          <w:lang w:val="en-US" w:eastAsia="zh-CN"/>
        </w:rPr>
        <w:t>6.116</w:t>
      </w:r>
      <w:r>
        <w:rPr>
          <w:rFonts w:hint="default" w:ascii="Times New Roman" w:hAnsi="Times New Roman" w:eastAsia="宋体" w:cs="Times New Roman"/>
          <w:b w:val="0"/>
          <w:bCs/>
          <w:color w:val="auto"/>
          <w:highlight w:val="none"/>
        </w:rPr>
        <w:t>N</w:t>
      </w:r>
      <w:r>
        <w:rPr>
          <w:rFonts w:hint="default" w:ascii="Times New Roman" w:hAnsi="Times New Roman" w:eastAsia="宋体" w:cs="Times New Roman"/>
          <w:bCs/>
          <w:color w:val="auto"/>
          <w:kern w:val="2"/>
          <w:sz w:val="24"/>
          <w:szCs w:val="24"/>
          <w:highlight w:val="none"/>
          <w:lang w:val="en-US" w:eastAsia="zh-CN" w:bidi="ar-SA"/>
        </w:rPr>
        <w:t>m</w:t>
      </w:r>
      <w:r>
        <w:rPr>
          <w:rFonts w:hint="default" w:ascii="Times New Roman" w:hAnsi="Times New Roman" w:eastAsia="宋体" w:cs="Times New Roman"/>
          <w:bCs/>
          <w:color w:val="auto"/>
          <w:kern w:val="2"/>
          <w:sz w:val="24"/>
          <w:szCs w:val="24"/>
          <w:highlight w:val="none"/>
          <w:vertAlign w:val="superscript"/>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/kg</w:t>
      </w:r>
    </w:p>
    <w:p w14:paraId="33AE55D0">
      <w:pPr>
        <w:pStyle w:val="43"/>
        <w:keepNext w:val="0"/>
        <w:keepLines w:val="0"/>
        <w:pageBreakBefore w:val="0"/>
        <w:widowControl w:val="0"/>
        <w:kinsoku/>
        <w:wordWrap/>
        <w:overflowPunct/>
        <w:topLinePunct w:val="0"/>
        <w:autoSpaceDE w:val="0"/>
        <w:autoSpaceDN w:val="0"/>
        <w:bidi w:val="0"/>
        <w:adjustRightInd/>
        <w:snapToGrid/>
        <w:spacing w:before="0" w:beforeLines="0" w:line="360" w:lineRule="auto"/>
        <w:ind w:left="0" w:leftChars="0" w:firstLine="480" w:firstLineChars="200"/>
        <w:jc w:val="both"/>
        <w:textAlignment w:val="auto"/>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则总烟气量为：</w:t>
      </w:r>
      <w:r>
        <w:rPr>
          <w:rFonts w:hint="default" w:ascii="Times New Roman" w:hAnsi="Times New Roman" w:cs="Times New Roman"/>
          <w:b w:val="0"/>
          <w:bCs/>
          <w:color w:val="auto"/>
          <w:highlight w:val="none"/>
          <w:lang w:val="en-US" w:eastAsia="zh-CN"/>
        </w:rPr>
        <w:t>6.116</w:t>
      </w:r>
      <w:r>
        <w:rPr>
          <w:rFonts w:hint="default" w:ascii="Times New Roman" w:hAnsi="Times New Roman" w:eastAsia="宋体" w:cs="Times New Roman"/>
          <w:b w:val="0"/>
          <w:bCs/>
          <w:color w:val="auto"/>
          <w:highlight w:val="none"/>
        </w:rPr>
        <w:t>×</w:t>
      </w:r>
      <w:r>
        <w:rPr>
          <w:rFonts w:hint="default" w:ascii="Times New Roman" w:hAnsi="Times New Roman" w:cs="Times New Roman"/>
          <w:b w:val="0"/>
          <w:bCs/>
          <w:color w:val="auto"/>
          <w:highlight w:val="none"/>
          <w:lang w:val="en-US" w:eastAsia="zh-CN"/>
        </w:rPr>
        <w:t>6598.62×1000</w:t>
      </w:r>
      <w:r>
        <w:rPr>
          <w:rFonts w:hint="default" w:ascii="Times New Roman" w:hAnsi="Times New Roman" w:eastAsia="宋体" w:cs="Times New Roman"/>
          <w:b w:val="0"/>
          <w:bCs/>
          <w:color w:val="auto"/>
          <w:highlight w:val="none"/>
        </w:rPr>
        <w:t>=</w:t>
      </w:r>
      <w:r>
        <w:rPr>
          <w:rFonts w:hint="default" w:ascii="Times New Roman" w:hAnsi="Times New Roman" w:eastAsia="宋体" w:cs="Times New Roman"/>
          <w:b w:val="0"/>
          <w:bCs/>
          <w:color w:val="auto"/>
          <w:highlight w:val="none"/>
          <w:lang w:val="en-US" w:eastAsia="zh-CN"/>
        </w:rPr>
        <w:t>40357159.92</w:t>
      </w:r>
      <w:r>
        <w:rPr>
          <w:rFonts w:hint="default" w:ascii="Times New Roman" w:hAnsi="Times New Roman" w:eastAsia="宋体" w:cs="Times New Roman"/>
          <w:b w:val="0"/>
          <w:bCs/>
          <w:color w:val="auto"/>
          <w:highlight w:val="none"/>
        </w:rPr>
        <w:t>Nm</w:t>
      </w:r>
      <w:r>
        <w:rPr>
          <w:rFonts w:hint="default" w:ascii="Times New Roman" w:hAnsi="Times New Roman" w:eastAsia="宋体" w:cs="Times New Roman"/>
          <w:b w:val="0"/>
          <w:bCs/>
          <w:color w:val="auto"/>
          <w:highlight w:val="none"/>
          <w:vertAlign w:val="superscript"/>
        </w:rPr>
        <w:t>3</w:t>
      </w:r>
      <w:r>
        <w:rPr>
          <w:rFonts w:hint="default" w:ascii="Times New Roman" w:hAnsi="Times New Roman" w:eastAsia="宋体" w:cs="Times New Roman"/>
          <w:b w:val="0"/>
          <w:bCs/>
          <w:color w:val="auto"/>
          <w:highlight w:val="none"/>
        </w:rPr>
        <w:t>/a</w:t>
      </w:r>
    </w:p>
    <w:p w14:paraId="72164AB8">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核定排放量=锅炉排污许可基准烟气量×燃料量×排放标准×0.8=</w:t>
      </w:r>
      <w:r>
        <w:rPr>
          <w:rFonts w:hint="default" w:ascii="Times New Roman" w:hAnsi="Times New Roman" w:eastAsia="宋体" w:cs="Times New Roman"/>
          <w:b w:val="0"/>
          <w:bCs/>
          <w:color w:val="auto"/>
          <w:kern w:val="0"/>
          <w:sz w:val="24"/>
          <w:szCs w:val="24"/>
          <w:highlight w:val="none"/>
          <w:lang w:val="en-US" w:eastAsia="zh-CN" w:bidi="ar-SA"/>
        </w:rPr>
        <w:t>40357159.92</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00</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×0.8×10</w:t>
      </w:r>
      <w:r>
        <w:rPr>
          <w:rFonts w:hint="default" w:ascii="Times New Roman" w:hAnsi="Times New Roman" w:eastAsia="宋体" w:cs="Times New Roman"/>
          <w:color w:val="auto"/>
          <w:sz w:val="24"/>
          <w:szCs w:val="24"/>
          <w:highlight w:val="none"/>
          <w:vertAlign w:val="superscript"/>
        </w:rPr>
        <w:t>-9</w:t>
      </w:r>
      <w:r>
        <w:rPr>
          <w:rFonts w:hint="default" w:ascii="Times New Roman" w:hAnsi="Times New Roman" w:eastAsia="宋体"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9.686</w:t>
      </w:r>
      <w:r>
        <w:rPr>
          <w:rFonts w:hint="default" w:ascii="Times New Roman" w:hAnsi="Times New Roman" w:eastAsia="宋体" w:cs="Times New Roman"/>
          <w:color w:val="auto"/>
          <w:sz w:val="24"/>
          <w:szCs w:val="24"/>
          <w:highlight w:val="none"/>
        </w:rPr>
        <w:t>t/a</w:t>
      </w:r>
    </w:p>
    <w:p w14:paraId="51A16FF8">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rPr>
        <w:t>核定排放量=锅炉排污许可基准烟气量×燃料量×排放标准=</w:t>
      </w:r>
      <w:r>
        <w:rPr>
          <w:rFonts w:hint="default" w:ascii="Times New Roman" w:hAnsi="Times New Roman" w:eastAsia="宋体" w:cs="Times New Roman"/>
          <w:b w:val="0"/>
          <w:bCs/>
          <w:color w:val="auto"/>
          <w:kern w:val="0"/>
          <w:sz w:val="24"/>
          <w:szCs w:val="24"/>
          <w:highlight w:val="none"/>
          <w:lang w:val="en-US" w:eastAsia="zh-CN" w:bidi="ar-SA"/>
        </w:rPr>
        <w:t>40357159.92</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00</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×10</w:t>
      </w:r>
      <w:r>
        <w:rPr>
          <w:rFonts w:hint="default" w:ascii="Times New Roman" w:hAnsi="Times New Roman" w:eastAsia="宋体" w:cs="Times New Roman"/>
          <w:color w:val="auto"/>
          <w:sz w:val="24"/>
          <w:szCs w:val="24"/>
          <w:highlight w:val="none"/>
          <w:vertAlign w:val="superscript"/>
        </w:rPr>
        <w:t>-9</w:t>
      </w:r>
      <w:r>
        <w:rPr>
          <w:rFonts w:hint="default" w:ascii="Times New Roman" w:hAnsi="Times New Roman" w:eastAsia="宋体"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12.107</w:t>
      </w:r>
      <w:r>
        <w:rPr>
          <w:rFonts w:hint="default" w:ascii="Times New Roman" w:hAnsi="Times New Roman" w:eastAsia="宋体" w:cs="Times New Roman"/>
          <w:color w:val="auto"/>
          <w:sz w:val="24"/>
          <w:szCs w:val="24"/>
          <w:highlight w:val="none"/>
        </w:rPr>
        <w:t>t/a</w:t>
      </w:r>
    </w:p>
    <w:p w14:paraId="52459343">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颗粒物</w:t>
      </w:r>
      <w:r>
        <w:rPr>
          <w:rFonts w:hint="default" w:ascii="Times New Roman" w:hAnsi="Times New Roman" w:eastAsia="宋体" w:cs="Times New Roman"/>
          <w:color w:val="auto"/>
          <w:sz w:val="24"/>
          <w:szCs w:val="24"/>
          <w:highlight w:val="none"/>
        </w:rPr>
        <w:t>核定排放量=锅炉排污许可基准烟气量×燃料量×排放标准=</w:t>
      </w:r>
      <w:r>
        <w:rPr>
          <w:rFonts w:hint="default" w:ascii="Times New Roman" w:hAnsi="Times New Roman" w:cs="Times New Roman"/>
          <w:color w:val="auto"/>
          <w:spacing w:val="-1"/>
          <w:position w:val="3"/>
          <w:sz w:val="24"/>
          <w:szCs w:val="24"/>
          <w:highlight w:val="none"/>
          <w:lang w:eastAsia="zh-CN"/>
        </w:rPr>
        <w:t>40357159.92</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 xml:space="preserve"> ×10</w:t>
      </w:r>
      <w:r>
        <w:rPr>
          <w:rFonts w:hint="default" w:ascii="Times New Roman" w:hAnsi="Times New Roman" w:eastAsia="宋体" w:cs="Times New Roman"/>
          <w:color w:val="auto"/>
          <w:sz w:val="24"/>
          <w:szCs w:val="24"/>
          <w:highlight w:val="none"/>
          <w:vertAlign w:val="superscript"/>
        </w:rPr>
        <w:t>-9</w:t>
      </w:r>
      <w:r>
        <w:rPr>
          <w:rFonts w:hint="default" w:ascii="Times New Roman" w:hAnsi="Times New Roman" w:eastAsia="宋体"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2.018</w:t>
      </w:r>
      <w:r>
        <w:rPr>
          <w:rFonts w:hint="default" w:ascii="Times New Roman" w:hAnsi="Times New Roman" w:eastAsia="宋体" w:cs="Times New Roman"/>
          <w:color w:val="auto"/>
          <w:sz w:val="24"/>
          <w:szCs w:val="24"/>
          <w:highlight w:val="none"/>
        </w:rPr>
        <w:t>t/a</w:t>
      </w:r>
    </w:p>
    <w:p w14:paraId="5694EEF0">
      <w:pPr>
        <w:pStyle w:val="4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4"/>
          <w:szCs w:val="24"/>
          <w:highlight w:val="none"/>
          <w:lang w:val="en-US" w:eastAsia="zh-CN"/>
        </w:rPr>
        <w:t>根据前文本项目无组织颗粒物产生量为</w:t>
      </w:r>
      <w:r>
        <w:rPr>
          <w:rFonts w:hint="default" w:ascii="Times New Roman" w:hAnsi="Times New Roman" w:eastAsia="宋体" w:cs="Times New Roman"/>
          <w:color w:val="auto"/>
          <w:spacing w:val="-1"/>
          <w:sz w:val="24"/>
          <w:szCs w:val="24"/>
          <w:highlight w:val="none"/>
        </w:rPr>
        <w:t>年产生粉</w:t>
      </w:r>
      <w:r>
        <w:rPr>
          <w:rFonts w:hint="default" w:ascii="Times New Roman" w:hAnsi="Times New Roman" w:eastAsia="宋体" w:cs="Times New Roman"/>
          <w:color w:val="auto"/>
          <w:spacing w:val="-2"/>
          <w:sz w:val="24"/>
          <w:szCs w:val="24"/>
          <w:highlight w:val="none"/>
        </w:rPr>
        <w:t>尘量为</w:t>
      </w:r>
      <w:r>
        <w:rPr>
          <w:rFonts w:hint="eastAsia" w:ascii="Times New Roman" w:hAnsi="Times New Roman" w:cs="Times New Roman"/>
          <w:color w:val="auto"/>
          <w:spacing w:val="-2"/>
          <w:sz w:val="24"/>
          <w:szCs w:val="24"/>
          <w:highlight w:val="none"/>
          <w:lang w:val="en-US" w:eastAsia="zh-CN"/>
        </w:rPr>
        <w:t>0.035</w:t>
      </w:r>
      <w:r>
        <w:rPr>
          <w:rFonts w:hint="default" w:ascii="Times New Roman" w:hAnsi="Times New Roman" w:eastAsia="宋体" w:cs="Times New Roman"/>
          <w:color w:val="auto"/>
          <w:spacing w:val="-2"/>
          <w:sz w:val="24"/>
          <w:szCs w:val="24"/>
          <w:highlight w:val="none"/>
          <w:lang w:val="en-US" w:eastAsia="zh-CN"/>
        </w:rPr>
        <w:t>t/</w:t>
      </w:r>
      <w:r>
        <w:rPr>
          <w:rFonts w:hint="default" w:ascii="Times New Roman" w:hAnsi="Times New Roman" w:eastAsia="宋体" w:cs="Times New Roman"/>
          <w:color w:val="auto"/>
          <w:spacing w:val="-2"/>
          <w:sz w:val="24"/>
          <w:szCs w:val="24"/>
          <w:highlight w:val="none"/>
        </w:rPr>
        <w:t>a</w:t>
      </w:r>
      <w:r>
        <w:rPr>
          <w:rFonts w:hint="eastAsia" w:ascii="Times New Roman" w:hAnsi="Times New Roman" w:cs="Times New Roman"/>
          <w:color w:val="auto"/>
          <w:spacing w:val="-2"/>
          <w:sz w:val="24"/>
          <w:szCs w:val="24"/>
          <w:highlight w:val="none"/>
          <w:lang w:eastAsia="zh-CN"/>
        </w:rPr>
        <w:t>。</w:t>
      </w:r>
    </w:p>
    <w:p w14:paraId="483033CF">
      <w:pPr>
        <w:pStyle w:val="43"/>
        <w:spacing w:line="360" w:lineRule="auto"/>
        <w:ind w:firstLine="480" w:firstLineChars="200"/>
        <w:jc w:val="both"/>
        <w:rPr>
          <w:rFonts w:hint="default" w:ascii="Times New Roman" w:hAnsi="Times New Roman" w:eastAsia="宋体" w:cs="Times New Roman"/>
          <w:color w:val="auto"/>
          <w:sz w:val="24"/>
          <w:szCs w:val="24"/>
          <w:highlight w:val="none"/>
        </w:rPr>
        <w:sectPr>
          <w:headerReference r:id="rId9" w:type="default"/>
          <w:footerReference r:id="rId10" w:type="default"/>
          <w:pgSz w:w="11906" w:h="16838"/>
          <w:pgMar w:top="1701" w:right="1531" w:bottom="1701" w:left="1531" w:header="851" w:footer="1304"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color w:val="auto"/>
          <w:highlight w:val="none"/>
        </w:rPr>
        <w:t>综上，本项目</w:t>
      </w:r>
      <w:r>
        <w:rPr>
          <w:rFonts w:hint="default" w:ascii="Times New Roman" w:hAnsi="Times New Roman" w:eastAsia="宋体" w:cs="Times New Roman"/>
          <w:bCs/>
          <w:color w:val="auto"/>
          <w:highlight w:val="none"/>
        </w:rPr>
        <w:t>总量控制建议指标为</w:t>
      </w:r>
      <w:r>
        <w:rPr>
          <w:rFonts w:hint="default" w:ascii="Times New Roman" w:hAnsi="Times New Roman" w:eastAsia="宋体" w:cs="Times New Roman"/>
          <w:color w:val="auto"/>
          <w:highlight w:val="none"/>
          <w:lang w:eastAsia="zh-CN"/>
        </w:rPr>
        <w:t>颗粒物</w:t>
      </w:r>
      <w:r>
        <w:rPr>
          <w:rFonts w:hint="eastAsia" w:ascii="Times New Roman" w:hAnsi="Times New Roman" w:cs="Times New Roman"/>
          <w:color w:val="auto"/>
          <w:highlight w:val="none"/>
          <w:lang w:val="en-US" w:eastAsia="zh-CN"/>
        </w:rPr>
        <w:t>2.053</w:t>
      </w:r>
      <w:r>
        <w:rPr>
          <w:rFonts w:hint="default" w:ascii="Times New Roman" w:hAnsi="Times New Roman" w:eastAsia="宋体" w:cs="Times New Roman"/>
          <w:color w:val="auto"/>
          <w:highlight w:val="none"/>
        </w:rPr>
        <w:t>t/a，SO</w:t>
      </w:r>
      <w:r>
        <w:rPr>
          <w:rFonts w:hint="default" w:ascii="Times New Roman" w:hAnsi="Times New Roman" w:eastAsia="宋体" w:cs="Times New Roman"/>
          <w:color w:val="auto"/>
          <w:highlight w:val="none"/>
          <w:vertAlign w:val="subscript"/>
        </w:rPr>
        <w:t>2</w:t>
      </w:r>
      <w:r>
        <w:rPr>
          <w:rFonts w:hint="default" w:ascii="Times New Roman" w:hAnsi="Times New Roman" w:cs="Times New Roman"/>
          <w:color w:val="auto"/>
          <w:highlight w:val="none"/>
          <w:lang w:val="en-US" w:eastAsia="zh-CN"/>
        </w:rPr>
        <w:t>9.686t</w:t>
      </w:r>
      <w:r>
        <w:rPr>
          <w:rFonts w:hint="default" w:ascii="Times New Roman" w:hAnsi="Times New Roman" w:eastAsia="宋体" w:cs="Times New Roman"/>
          <w:color w:val="auto"/>
          <w:highlight w:val="none"/>
        </w:rPr>
        <w:t>/a、NO</w:t>
      </w:r>
      <w:r>
        <w:rPr>
          <w:rFonts w:hint="default" w:ascii="Times New Roman" w:hAnsi="Times New Roman" w:eastAsia="宋体" w:cs="Times New Roman"/>
          <w:color w:val="auto"/>
          <w:highlight w:val="none"/>
          <w:vertAlign w:val="subscript"/>
        </w:rPr>
        <w:t>X</w:t>
      </w:r>
      <w:r>
        <w:rPr>
          <w:rFonts w:hint="default" w:ascii="Times New Roman" w:hAnsi="Times New Roman" w:cs="Times New Roman"/>
          <w:color w:val="auto"/>
          <w:highlight w:val="none"/>
          <w:vertAlign w:val="baseline"/>
          <w:lang w:val="en-US" w:eastAsia="zh-CN"/>
        </w:rPr>
        <w:t>12.107</w:t>
      </w:r>
      <w:r>
        <w:rPr>
          <w:rFonts w:hint="default" w:ascii="Times New Roman" w:hAnsi="Times New Roman" w:eastAsia="宋体" w:cs="Times New Roman"/>
          <w:color w:val="auto"/>
          <w:highlight w:val="none"/>
        </w:rPr>
        <w:t>t/a</w:t>
      </w:r>
      <w:r>
        <w:rPr>
          <w:rFonts w:hint="default" w:ascii="Times New Roman" w:hAnsi="Times New Roman" w:eastAsia="宋体" w:cs="Times New Roman"/>
          <w:bCs/>
          <w:color w:val="auto"/>
          <w:highlight w:val="none"/>
        </w:rPr>
        <w:t>。</w:t>
      </w:r>
    </w:p>
    <w:p w14:paraId="48B821A7">
      <w:pPr>
        <w:ind w:left="0" w:leftChars="0" w:firstLine="0" w:firstLineChars="0"/>
        <w:jc w:val="left"/>
        <w:outlineLvl w:val="0"/>
        <w:rPr>
          <w:rFonts w:hint="default" w:ascii="Times New Roman" w:hAnsi="Times New Roman" w:eastAsia="宋体" w:cs="Times New Roman"/>
          <w:color w:val="auto"/>
          <w:highlight w:val="none"/>
          <w:lang w:val="en-US" w:eastAsia="zh-CN"/>
        </w:rPr>
        <w:sectPr>
          <w:headerReference r:id="rId11" w:type="default"/>
          <w:footerReference r:id="rId12"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b/>
          <w:bCs w:val="0"/>
          <w:color w:val="auto"/>
          <w:highlight w:val="none"/>
          <w:lang w:val="en-US" w:eastAsia="zh-CN"/>
        </w:rPr>
        <w:t>附件</w:t>
      </w:r>
      <w:r>
        <w:rPr>
          <w:rFonts w:hint="default" w:ascii="Times New Roman" w:hAnsi="Times New Roman" w:cs="Times New Roman"/>
          <w:b/>
          <w:bCs w:val="0"/>
          <w:color w:val="auto"/>
          <w:highlight w:val="none"/>
          <w:lang w:val="en-US" w:eastAsia="zh-CN"/>
        </w:rPr>
        <w:t>8</w:t>
      </w:r>
      <w:r>
        <w:rPr>
          <w:rFonts w:hint="default" w:ascii="Times New Roman" w:hAnsi="Times New Roman" w:eastAsia="宋体" w:cs="Times New Roman"/>
          <w:b/>
          <w:bCs w:val="0"/>
          <w:color w:val="auto"/>
          <w:highlight w:val="none"/>
          <w:lang w:val="en-US" w:eastAsia="zh-CN"/>
        </w:rPr>
        <w:t>生态环境分区管控分析报告</w:t>
      </w:r>
      <w:r>
        <w:rPr>
          <w:rFonts w:hint="default" w:ascii="Times New Roman" w:hAnsi="Times New Roman" w:eastAsia="宋体" w:cs="Times New Roman"/>
          <w:color w:val="auto"/>
          <w:highlight w:val="none"/>
          <w:lang w:val="en-US" w:eastAsia="zh-CN"/>
        </w:rPr>
        <w:drawing>
          <wp:inline distT="0" distB="0" distL="114300" distR="114300">
            <wp:extent cx="5271135" cy="3727450"/>
            <wp:effectExtent l="0" t="0" r="5715" b="6350"/>
            <wp:docPr id="71" name="图片 71" descr="虎林市绿都海狮油脂有限责任公司生物质锅炉建设_2025年11月24日092207_分析报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虎林市绿都海狮油脂有限责任公司生物质锅炉建设_2025年11月24日092207_分析报告_01"/>
                    <pic:cNvPicPr>
                      <a:picLocks noChangeAspect="1"/>
                    </pic:cNvPicPr>
                  </pic:nvPicPr>
                  <pic:blipFill>
                    <a:blip r:embed="rId63"/>
                    <a:stretch>
                      <a:fillRect/>
                    </a:stretch>
                  </pic:blipFill>
                  <pic:spPr>
                    <a:xfrm>
                      <a:off x="0" y="0"/>
                      <a:ext cx="5271135" cy="3727450"/>
                    </a:xfrm>
                    <a:prstGeom prst="rect">
                      <a:avLst/>
                    </a:prstGeom>
                  </pic:spPr>
                </pic:pic>
              </a:graphicData>
            </a:graphic>
          </wp:inline>
        </w:drawing>
      </w:r>
      <w:r>
        <w:rPr>
          <w:rFonts w:hint="default" w:ascii="Times New Roman" w:hAnsi="Times New Roman" w:eastAsia="宋体" w:cs="Times New Roman"/>
          <w:color w:val="auto"/>
          <w:highlight w:val="none"/>
          <w:lang w:val="en-US" w:eastAsia="zh-CN"/>
        </w:rPr>
        <w:drawing>
          <wp:inline distT="0" distB="0" distL="114300" distR="114300">
            <wp:extent cx="5271135" cy="3727450"/>
            <wp:effectExtent l="0" t="0" r="5715" b="6350"/>
            <wp:docPr id="70" name="图片 70" descr="虎林市绿都海狮油脂有限责任公司生物质锅炉建设_2025年11月24日092207_分析报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虎林市绿都海狮油脂有限责任公司生物质锅炉建设_2025年11月24日092207_分析报告_02"/>
                    <pic:cNvPicPr>
                      <a:picLocks noChangeAspect="1"/>
                    </pic:cNvPicPr>
                  </pic:nvPicPr>
                  <pic:blipFill>
                    <a:blip r:embed="rId64"/>
                    <a:stretch>
                      <a:fillRect/>
                    </a:stretch>
                  </pic:blipFill>
                  <pic:spPr>
                    <a:xfrm>
                      <a:off x="0" y="0"/>
                      <a:ext cx="5271135" cy="3727450"/>
                    </a:xfrm>
                    <a:prstGeom prst="rect">
                      <a:avLst/>
                    </a:prstGeom>
                  </pic:spPr>
                </pic:pic>
              </a:graphicData>
            </a:graphic>
          </wp:inline>
        </w:drawing>
      </w:r>
      <w:r>
        <w:rPr>
          <w:rFonts w:hint="default" w:ascii="Times New Roman" w:hAnsi="Times New Roman" w:eastAsia="宋体" w:cs="Times New Roman"/>
          <w:color w:val="auto"/>
          <w:highlight w:val="none"/>
          <w:lang w:val="en-US" w:eastAsia="zh-CN"/>
        </w:rPr>
        <w:drawing>
          <wp:inline distT="0" distB="0" distL="114300" distR="114300">
            <wp:extent cx="5271135" cy="3727450"/>
            <wp:effectExtent l="0" t="0" r="5715" b="6350"/>
            <wp:docPr id="69" name="图片 69" descr="虎林市绿都海狮油脂有限责任公司生物质锅炉建设_2025年11月24日092207_分析报告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虎林市绿都海狮油脂有限责任公司生物质锅炉建设_2025年11月24日092207_分析报告_03"/>
                    <pic:cNvPicPr>
                      <a:picLocks noChangeAspect="1"/>
                    </pic:cNvPicPr>
                  </pic:nvPicPr>
                  <pic:blipFill>
                    <a:blip r:embed="rId65"/>
                    <a:stretch>
                      <a:fillRect/>
                    </a:stretch>
                  </pic:blipFill>
                  <pic:spPr>
                    <a:xfrm>
                      <a:off x="0" y="0"/>
                      <a:ext cx="5271135" cy="3727450"/>
                    </a:xfrm>
                    <a:prstGeom prst="rect">
                      <a:avLst/>
                    </a:prstGeom>
                  </pic:spPr>
                </pic:pic>
              </a:graphicData>
            </a:graphic>
          </wp:inline>
        </w:drawing>
      </w:r>
      <w:r>
        <w:rPr>
          <w:rFonts w:hint="default" w:ascii="Times New Roman" w:hAnsi="Times New Roman" w:eastAsia="宋体" w:cs="Times New Roman"/>
          <w:color w:val="auto"/>
          <w:highlight w:val="none"/>
          <w:lang w:val="en-US" w:eastAsia="zh-CN"/>
        </w:rPr>
        <w:drawing>
          <wp:inline distT="0" distB="0" distL="114300" distR="114300">
            <wp:extent cx="5271135" cy="3727450"/>
            <wp:effectExtent l="0" t="0" r="5715" b="6350"/>
            <wp:docPr id="68" name="图片 68" descr="虎林市绿都海狮油脂有限责任公司生物质锅炉建设_2025年11月24日092207_分析报告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虎林市绿都海狮油脂有限责任公司生物质锅炉建设_2025年11月24日092207_分析报告_04"/>
                    <pic:cNvPicPr>
                      <a:picLocks noChangeAspect="1"/>
                    </pic:cNvPicPr>
                  </pic:nvPicPr>
                  <pic:blipFill>
                    <a:blip r:embed="rId66"/>
                    <a:stretch>
                      <a:fillRect/>
                    </a:stretch>
                  </pic:blipFill>
                  <pic:spPr>
                    <a:xfrm>
                      <a:off x="0" y="0"/>
                      <a:ext cx="5271135" cy="3727450"/>
                    </a:xfrm>
                    <a:prstGeom prst="rect">
                      <a:avLst/>
                    </a:prstGeom>
                  </pic:spPr>
                </pic:pic>
              </a:graphicData>
            </a:graphic>
          </wp:inline>
        </w:drawing>
      </w:r>
      <w:r>
        <w:rPr>
          <w:rFonts w:hint="default" w:ascii="Times New Roman" w:hAnsi="Times New Roman" w:eastAsia="宋体" w:cs="Times New Roman"/>
          <w:color w:val="auto"/>
          <w:highlight w:val="none"/>
          <w:lang w:val="en-US" w:eastAsia="zh-CN"/>
        </w:rPr>
        <w:drawing>
          <wp:inline distT="0" distB="0" distL="114300" distR="114300">
            <wp:extent cx="5271135" cy="3727450"/>
            <wp:effectExtent l="0" t="0" r="5715" b="6350"/>
            <wp:docPr id="67" name="图片 67" descr="虎林市绿都海狮油脂有限责任公司生物质锅炉建设_2025年11月24日092207_分析报告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虎林市绿都海狮油脂有限责任公司生物质锅炉建设_2025年11月24日092207_分析报告_05"/>
                    <pic:cNvPicPr>
                      <a:picLocks noChangeAspect="1"/>
                    </pic:cNvPicPr>
                  </pic:nvPicPr>
                  <pic:blipFill>
                    <a:blip r:embed="rId67"/>
                    <a:stretch>
                      <a:fillRect/>
                    </a:stretch>
                  </pic:blipFill>
                  <pic:spPr>
                    <a:xfrm>
                      <a:off x="0" y="0"/>
                      <a:ext cx="5271135" cy="3727450"/>
                    </a:xfrm>
                    <a:prstGeom prst="rect">
                      <a:avLst/>
                    </a:prstGeom>
                  </pic:spPr>
                </pic:pic>
              </a:graphicData>
            </a:graphic>
          </wp:inline>
        </w:drawing>
      </w:r>
      <w:r>
        <w:rPr>
          <w:rFonts w:hint="default" w:ascii="Times New Roman" w:hAnsi="Times New Roman" w:eastAsia="宋体" w:cs="Times New Roman"/>
          <w:color w:val="auto"/>
          <w:highlight w:val="none"/>
          <w:lang w:val="en-US" w:eastAsia="zh-CN"/>
        </w:rPr>
        <w:drawing>
          <wp:inline distT="0" distB="0" distL="114300" distR="114300">
            <wp:extent cx="5271135" cy="3727450"/>
            <wp:effectExtent l="0" t="0" r="5715" b="6350"/>
            <wp:docPr id="61" name="图片 61" descr="虎林市绿都海狮油脂有限责任公司生物质锅炉建设_2025年11月24日092207_分析报告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虎林市绿都海狮油脂有限责任公司生物质锅炉建设_2025年11月24日092207_分析报告_06"/>
                    <pic:cNvPicPr>
                      <a:picLocks noChangeAspect="1"/>
                    </pic:cNvPicPr>
                  </pic:nvPicPr>
                  <pic:blipFill>
                    <a:blip r:embed="rId68"/>
                    <a:stretch>
                      <a:fillRect/>
                    </a:stretch>
                  </pic:blipFill>
                  <pic:spPr>
                    <a:xfrm>
                      <a:off x="0" y="0"/>
                      <a:ext cx="5271135" cy="3727450"/>
                    </a:xfrm>
                    <a:prstGeom prst="rect">
                      <a:avLst/>
                    </a:prstGeom>
                  </pic:spPr>
                </pic:pic>
              </a:graphicData>
            </a:graphic>
          </wp:inline>
        </w:drawing>
      </w:r>
      <w:r>
        <w:rPr>
          <w:rFonts w:hint="default" w:ascii="Times New Roman" w:hAnsi="Times New Roman" w:eastAsia="宋体" w:cs="Times New Roman"/>
          <w:color w:val="auto"/>
          <w:highlight w:val="none"/>
          <w:lang w:val="en-US" w:eastAsia="zh-CN"/>
        </w:rPr>
        <w:drawing>
          <wp:inline distT="0" distB="0" distL="114300" distR="114300">
            <wp:extent cx="5271135" cy="3727450"/>
            <wp:effectExtent l="0" t="0" r="5715" b="6350"/>
            <wp:docPr id="60" name="图片 60" descr="虎林市绿都海狮油脂有限责任公司生物质锅炉建设_2025年11月24日092207_分析报告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虎林市绿都海狮油脂有限责任公司生物质锅炉建设_2025年11月24日092207_分析报告_07"/>
                    <pic:cNvPicPr>
                      <a:picLocks noChangeAspect="1"/>
                    </pic:cNvPicPr>
                  </pic:nvPicPr>
                  <pic:blipFill>
                    <a:blip r:embed="rId69"/>
                    <a:stretch>
                      <a:fillRect/>
                    </a:stretch>
                  </pic:blipFill>
                  <pic:spPr>
                    <a:xfrm>
                      <a:off x="0" y="0"/>
                      <a:ext cx="5271135" cy="3727450"/>
                    </a:xfrm>
                    <a:prstGeom prst="rect">
                      <a:avLst/>
                    </a:prstGeom>
                  </pic:spPr>
                </pic:pic>
              </a:graphicData>
            </a:graphic>
          </wp:inline>
        </w:drawing>
      </w:r>
      <w:r>
        <w:rPr>
          <w:rFonts w:hint="default" w:ascii="Times New Roman" w:hAnsi="Times New Roman" w:eastAsia="宋体" w:cs="Times New Roman"/>
          <w:color w:val="auto"/>
          <w:highlight w:val="none"/>
          <w:lang w:val="en-US" w:eastAsia="zh-CN"/>
        </w:rPr>
        <w:drawing>
          <wp:inline distT="0" distB="0" distL="114300" distR="114300">
            <wp:extent cx="5271135" cy="3727450"/>
            <wp:effectExtent l="0" t="0" r="5715" b="6350"/>
            <wp:docPr id="59" name="图片 59" descr="虎林市绿都海狮油脂有限责任公司生物质锅炉建设_2025年11月24日092207_分析报告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虎林市绿都海狮油脂有限责任公司生物质锅炉建设_2025年11月24日092207_分析报告_08"/>
                    <pic:cNvPicPr>
                      <a:picLocks noChangeAspect="1"/>
                    </pic:cNvPicPr>
                  </pic:nvPicPr>
                  <pic:blipFill>
                    <a:blip r:embed="rId70"/>
                    <a:stretch>
                      <a:fillRect/>
                    </a:stretch>
                  </pic:blipFill>
                  <pic:spPr>
                    <a:xfrm>
                      <a:off x="0" y="0"/>
                      <a:ext cx="5271135" cy="3727450"/>
                    </a:xfrm>
                    <a:prstGeom prst="rect">
                      <a:avLst/>
                    </a:prstGeom>
                  </pic:spPr>
                </pic:pic>
              </a:graphicData>
            </a:graphic>
          </wp:inline>
        </w:drawing>
      </w:r>
      <w:r>
        <w:rPr>
          <w:rFonts w:hint="default" w:ascii="Times New Roman" w:hAnsi="Times New Roman" w:eastAsia="宋体" w:cs="Times New Roman"/>
          <w:color w:val="auto"/>
          <w:highlight w:val="none"/>
          <w:lang w:val="en-US" w:eastAsia="zh-CN"/>
        </w:rPr>
        <w:drawing>
          <wp:inline distT="0" distB="0" distL="114300" distR="114300">
            <wp:extent cx="5271135" cy="3727450"/>
            <wp:effectExtent l="0" t="0" r="5715" b="6350"/>
            <wp:docPr id="57" name="图片 57" descr="虎林市绿都海狮油脂有限责任公司生物质锅炉建设_2025年11月24日092207_分析报告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虎林市绿都海狮油脂有限责任公司生物质锅炉建设_2025年11月24日092207_分析报告_09"/>
                    <pic:cNvPicPr>
                      <a:picLocks noChangeAspect="1"/>
                    </pic:cNvPicPr>
                  </pic:nvPicPr>
                  <pic:blipFill>
                    <a:blip r:embed="rId71"/>
                    <a:stretch>
                      <a:fillRect/>
                    </a:stretch>
                  </pic:blipFill>
                  <pic:spPr>
                    <a:xfrm>
                      <a:off x="0" y="0"/>
                      <a:ext cx="5271135" cy="3727450"/>
                    </a:xfrm>
                    <a:prstGeom prst="rect">
                      <a:avLst/>
                    </a:prstGeom>
                  </pic:spPr>
                </pic:pic>
              </a:graphicData>
            </a:graphic>
          </wp:inline>
        </w:drawing>
      </w:r>
      <w:r>
        <w:rPr>
          <w:rFonts w:hint="default" w:ascii="Times New Roman" w:hAnsi="Times New Roman" w:eastAsia="宋体" w:cs="Times New Roman"/>
          <w:color w:val="auto"/>
          <w:highlight w:val="none"/>
          <w:lang w:val="en-US" w:eastAsia="zh-CN"/>
        </w:rPr>
        <w:drawing>
          <wp:inline distT="0" distB="0" distL="114300" distR="114300">
            <wp:extent cx="5271135" cy="3727450"/>
            <wp:effectExtent l="0" t="0" r="5715" b="6350"/>
            <wp:docPr id="40" name="图片 40" descr="虎林市绿都海狮油脂有限责任公司生物质锅炉建设_2025年11月24日092207_分析报告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虎林市绿都海狮油脂有限责任公司生物质锅炉建设_2025年11月24日092207_分析报告_10"/>
                    <pic:cNvPicPr>
                      <a:picLocks noChangeAspect="1"/>
                    </pic:cNvPicPr>
                  </pic:nvPicPr>
                  <pic:blipFill>
                    <a:blip r:embed="rId72"/>
                    <a:stretch>
                      <a:fillRect/>
                    </a:stretch>
                  </pic:blipFill>
                  <pic:spPr>
                    <a:xfrm>
                      <a:off x="0" y="0"/>
                      <a:ext cx="5271135" cy="3727450"/>
                    </a:xfrm>
                    <a:prstGeom prst="rect">
                      <a:avLst/>
                    </a:prstGeom>
                  </pic:spPr>
                </pic:pic>
              </a:graphicData>
            </a:graphic>
          </wp:inline>
        </w:drawing>
      </w:r>
    </w:p>
    <w:p w14:paraId="603EFD75">
      <w:pPr>
        <w:pStyle w:val="43"/>
        <w:jc w:val="both"/>
        <w:outlineLvl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附件9  引用环境质量现状检测报告</w:t>
      </w:r>
    </w:p>
    <w:p w14:paraId="5F4BEC3F">
      <w:pPr>
        <w:rPr>
          <w:rFonts w:hint="default" w:ascii="Times New Roman" w:hAnsi="Times New Roman" w:cs="Times New Roman"/>
          <w:color w:val="auto"/>
          <w:highlight w:val="none"/>
          <w:lang w:val="en-US" w:eastAsia="zh-CN"/>
        </w:rPr>
      </w:pPr>
    </w:p>
    <w:p w14:paraId="5A0FD383">
      <w:pPr>
        <w:pStyle w:val="43"/>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drawing>
          <wp:inline distT="0" distB="0" distL="114300" distR="114300">
            <wp:extent cx="5269230" cy="7452360"/>
            <wp:effectExtent l="0" t="0" r="7620" b="15240"/>
            <wp:docPr id="91" name="图片 91" descr="虎林市新虎林粮库有限公司新建烘干塔项目_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虎林市新虎林粮库有限公司新建烘干塔项目_92"/>
                    <pic:cNvPicPr>
                      <a:picLocks noChangeAspect="1"/>
                    </pic:cNvPicPr>
                  </pic:nvPicPr>
                  <pic:blipFill>
                    <a:blip r:embed="rId73"/>
                    <a:stretch>
                      <a:fillRect/>
                    </a:stretch>
                  </pic:blipFill>
                  <pic:spPr>
                    <a:xfrm>
                      <a:off x="0" y="0"/>
                      <a:ext cx="5269230" cy="7452360"/>
                    </a:xfrm>
                    <a:prstGeom prst="rect">
                      <a:avLst/>
                    </a:prstGeom>
                  </pic:spPr>
                </pic:pic>
              </a:graphicData>
            </a:graphic>
          </wp:inline>
        </w:drawing>
      </w:r>
      <w:r>
        <w:rPr>
          <w:rFonts w:hint="default" w:ascii="Times New Roman" w:hAnsi="Times New Roman" w:cs="Times New Roman"/>
          <w:color w:val="auto"/>
          <w:highlight w:val="none"/>
          <w:lang w:val="en-US" w:eastAsia="zh-CN"/>
        </w:rPr>
        <w:drawing>
          <wp:inline distT="0" distB="0" distL="114300" distR="114300">
            <wp:extent cx="5269230" cy="7452360"/>
            <wp:effectExtent l="0" t="0" r="7620" b="15240"/>
            <wp:docPr id="90" name="图片 90" descr="虎林市新虎林粮库有限公司新建烘干塔项目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虎林市新虎林粮库有限公司新建烘干塔项目_93"/>
                    <pic:cNvPicPr>
                      <a:picLocks noChangeAspect="1"/>
                    </pic:cNvPicPr>
                  </pic:nvPicPr>
                  <pic:blipFill>
                    <a:blip r:embed="rId74"/>
                    <a:stretch>
                      <a:fillRect/>
                    </a:stretch>
                  </pic:blipFill>
                  <pic:spPr>
                    <a:xfrm>
                      <a:off x="0" y="0"/>
                      <a:ext cx="5269230" cy="7452360"/>
                    </a:xfrm>
                    <a:prstGeom prst="rect">
                      <a:avLst/>
                    </a:prstGeom>
                  </pic:spPr>
                </pic:pic>
              </a:graphicData>
            </a:graphic>
          </wp:inline>
        </w:drawing>
      </w:r>
      <w:r>
        <w:rPr>
          <w:rFonts w:hint="default" w:ascii="Times New Roman" w:hAnsi="Times New Roman" w:cs="Times New Roman"/>
          <w:color w:val="auto"/>
          <w:highlight w:val="none"/>
          <w:lang w:val="en-US" w:eastAsia="zh-CN"/>
        </w:rPr>
        <w:drawing>
          <wp:inline distT="0" distB="0" distL="114300" distR="114300">
            <wp:extent cx="5269230" cy="7452360"/>
            <wp:effectExtent l="0" t="0" r="7620" b="15240"/>
            <wp:docPr id="89" name="图片 89" descr="虎林市新虎林粮库有限公司新建烘干塔项目_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虎林市新虎林粮库有限公司新建烘干塔项目_94"/>
                    <pic:cNvPicPr>
                      <a:picLocks noChangeAspect="1"/>
                    </pic:cNvPicPr>
                  </pic:nvPicPr>
                  <pic:blipFill>
                    <a:blip r:embed="rId75"/>
                    <a:stretch>
                      <a:fillRect/>
                    </a:stretch>
                  </pic:blipFill>
                  <pic:spPr>
                    <a:xfrm>
                      <a:off x="0" y="0"/>
                      <a:ext cx="5269230" cy="7452360"/>
                    </a:xfrm>
                    <a:prstGeom prst="rect">
                      <a:avLst/>
                    </a:prstGeom>
                  </pic:spPr>
                </pic:pic>
              </a:graphicData>
            </a:graphic>
          </wp:inline>
        </w:drawing>
      </w:r>
      <w:r>
        <w:rPr>
          <w:rFonts w:hint="default" w:ascii="Times New Roman" w:hAnsi="Times New Roman" w:cs="Times New Roman"/>
          <w:color w:val="auto"/>
          <w:highlight w:val="none"/>
          <w:lang w:val="en-US" w:eastAsia="zh-CN"/>
        </w:rPr>
        <w:drawing>
          <wp:inline distT="0" distB="0" distL="114300" distR="114300">
            <wp:extent cx="5269230" cy="7452360"/>
            <wp:effectExtent l="0" t="0" r="7620" b="15240"/>
            <wp:docPr id="88" name="图片 88" descr="虎林市新虎林粮库有限公司新建烘干塔项目_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虎林市新虎林粮库有限公司新建烘干塔项目_95"/>
                    <pic:cNvPicPr>
                      <a:picLocks noChangeAspect="1"/>
                    </pic:cNvPicPr>
                  </pic:nvPicPr>
                  <pic:blipFill>
                    <a:blip r:embed="rId76"/>
                    <a:stretch>
                      <a:fillRect/>
                    </a:stretch>
                  </pic:blipFill>
                  <pic:spPr>
                    <a:xfrm>
                      <a:off x="0" y="0"/>
                      <a:ext cx="5269230" cy="7452360"/>
                    </a:xfrm>
                    <a:prstGeom prst="rect">
                      <a:avLst/>
                    </a:prstGeom>
                  </pic:spPr>
                </pic:pic>
              </a:graphicData>
            </a:graphic>
          </wp:inline>
        </w:drawing>
      </w:r>
    </w:p>
    <w:sectPr>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D569FAD-EC23-440E-9AD4-A7A56C93471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embedRegular r:id="rId2" w:fontKey="{26F7BBEE-DE60-4EE4-AE39-34414CD9E12E}"/>
  </w:font>
  <w:font w:name="Wingdings 2">
    <w:panose1 w:val="05020102010507070707"/>
    <w:charset w:val="02"/>
    <w:family w:val="auto"/>
    <w:pitch w:val="default"/>
    <w:sig w:usb0="00000000" w:usb1="00000000" w:usb2="00000000" w:usb3="00000000" w:csb0="80000000" w:csb1="00000000"/>
    <w:embedRegular r:id="rId3" w:fontKey="{4A1E0E13-6233-47C6-9091-47C299E54072}"/>
  </w:font>
  <w:font w:name="Helvetica">
    <w:altName w:val="Arial"/>
    <w:panose1 w:val="00000000000000000000"/>
    <w:charset w:val="00"/>
    <w:family w:val="auto"/>
    <w:pitch w:val="default"/>
    <w:sig w:usb0="00000000" w:usb1="00000000" w:usb2="00000000" w:usb3="00000000" w:csb0="00000000" w:csb1="00000000"/>
    <w:embedRegular r:id="rId4" w:fontKey="{C78C8128-4126-4BCD-8601-BCD8171460A6}"/>
  </w:font>
  <w:font w:name="KaTeX_Math">
    <w:altName w:val="Segoe Print"/>
    <w:panose1 w:val="00000000000000000000"/>
    <w:charset w:val="00"/>
    <w:family w:val="auto"/>
    <w:pitch w:val="default"/>
    <w:sig w:usb0="00000000" w:usb1="00000000" w:usb2="00000000" w:usb3="00000000" w:csb0="00000000" w:csb1="00000000"/>
    <w:embedRegular r:id="rId5" w:fontKey="{96A966F8-9DA4-4651-A978-ECE04F6CAE8A}"/>
  </w:font>
  <w:font w:name="Segoe Print">
    <w:panose1 w:val="02000600000000000000"/>
    <w:charset w:val="00"/>
    <w:family w:val="auto"/>
    <w:pitch w:val="default"/>
    <w:sig w:usb0="0000028F" w:usb1="00000000" w:usb2="00000000" w:usb3="00000000" w:csb0="2000009F" w:csb1="47010000"/>
  </w:font>
  <w:font w:name="WPSEMBED2">
    <w:panose1 w:val="05020102010507070707"/>
    <w:charset w:val="00"/>
    <w:family w:val="auto"/>
    <w:pitch w:val="default"/>
    <w:sig w:usb0="00000000" w:usb1="00000000" w:usb2="00000000" w:usb3="00000000" w:csb0="80000000" w:csb1="00000000"/>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A6A3A">
    <w:pPr>
      <w:pStyle w:val="1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4EC06">
    <w:pPr>
      <w:pStyle w:val="19"/>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CF08FA">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Z7ALt4BAAC/AwAADgAAAGRycy9lMm9Eb2MueG1srVPBjtMwEL0j8Q+W&#10;7zTZaoWqqOkKqBYhIUBa9gNcx2ks2R7LnjYpHwB/wIkLd76r38HYSbqwXPbAJRnPjN/MezNe3wzW&#10;sKMKUYOr+dWi5Ew5CY12+5rff759seIsonCNMOBUzU8q8pvN82fr3ldqCR2YRgVGIC5Wva95h+ir&#10;ooiyU1bEBXjlKNhCsALpGPZFE0RP6NYUy7J8WfQQGh9AqhjJux2DfEIMTwGEttVSbUEerHI4ogZl&#10;BBKl2Gkf+SZ327ZK4se2jQqZqTkxxfylImTv0rfYrEW1D8J3Wk4tiKe08IiTFdpR0QvUVqBgh6D/&#10;gbJaBojQ4kKCLUYiWRFicVU+0uauE15lLiR19BfR4/+DlR+OnwLTTc2vae5OWJr4+fu3849f559f&#10;2XXSp/exorQ7T4k4vIaBtmb2R3Im2kMbbPoTIUZxUvd0UVcNyGS6tFquViWFJMXmA+EXD9d9iPhW&#10;gWXJqHmg8WVVxfF9xDF1TknVHNxqY/IIjfvLQZjJU6Texx6ThcNumAjtoDkRH3oHVKeD8IWznrag&#10;5o6WnjPzzpHIaWFmI8zGbjaEk3Sx5sjZaL7BcbEOPuh9l1ctNRX9qwNSp5lAamOsPXVHc80STDuY&#10;FufPc856eHe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xnsAu3gEAAL8DAAAOAAAAAAAA&#10;AAEAIAAAAB4BAABkcnMvZTJvRG9jLnhtbFBLBQYAAAAABgAGAFkBAABuBQAAAAA=&#10;">
              <v:fill on="f" focussize="0,0"/>
              <v:stroke on="f"/>
              <v:imagedata o:title=""/>
              <o:lock v:ext="edit" aspectratio="f"/>
              <v:textbox inset="0mm,0mm,0mm,0mm" style="mso-fit-shape-to-text:t;">
                <w:txbxContent>
                  <w:p w14:paraId="23CF08FA">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E209">
    <w:pPr>
      <w:pStyle w:val="19"/>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FA3E52">
                          <w:pPr>
                            <w:pStyle w:val="19"/>
                          </w:pPr>
                          <w:r>
                            <w:fldChar w:fldCharType="begin"/>
                          </w:r>
                          <w:r>
                            <w:instrText xml:space="preserve"> PAGE  \* MERGEFORMAT </w:instrText>
                          </w:r>
                          <w:r>
                            <w:fldChar w:fldCharType="separate"/>
                          </w:r>
                          <w:r>
                            <w:t>70</w:t>
                          </w:r>
                          <w:r>
                            <w:fldChar w:fldCharType="end"/>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aVAvN4BAAC/AwAADgAAAGRycy9lMm9Eb2MueG1srVPNjtMwEL4j8Q6W&#10;7zTZSqyqqOkKqBYhIUBa9gFcx2ks+U+eaZPyAPAGnLhw57n6HIydpAvLZQ9ckvGM/c33fR6vbwZr&#10;2FFF0N7V/GpRcqac9I12+5rff759seIMULhGGO9UzU8K+M3m+bN1Hyq19J03jYqMQBxUfah5hxiq&#10;ogDZKStg4YNyVGx9tAJpGfdFE0VP6NYUy7K8LnofmxC9VACU3Y5FPiHGpwD6ttVSbb08WOVwRI3K&#10;CCRJ0OkAfJPZtq2S+LFtQSEzNSelmL/UhOJd+habtaj2UYROy4mCeAqFR5qs0I6aXqC2AgU7RP0P&#10;lNUyevAtLqS3xSgkO0IqrspH3tx1IqishayGcDEd/h+s/HD8FJluav6SLHHC0o2fv387//h1/vmV&#10;XSd/+gAVbbsLtBGH136gqZnzQMkke2ijTX8SxKhOUKeLu2pAJtOh1XK1KqkkqTYvCL94OB4i4Fvl&#10;LUtBzSNdX3ZVHN8DjlvnLamb87famHyFxv2VIMyUKRL3kWOKcNgNk6Cdb06kh94B9el8/MJZT1NQ&#10;c0dDz5l558hk4opzEOdgNwfCSTpYc+RsDN/gOFiHEPW+y6OWSEF4dUBimgUkGmPviR3da7ZgmsE0&#10;OH+u866Hd7f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1pUC83gEAAL8DAAAOAAAAAAAA&#10;AAEAIAAAAB4BAABkcnMvZTJvRG9jLnhtbFBLBQYAAAAABgAGAFkBAABuBQAAAAA=&#10;">
              <v:fill on="f" focussize="0,0"/>
              <v:stroke on="f"/>
              <v:imagedata o:title=""/>
              <o:lock v:ext="edit" aspectratio="f"/>
              <v:textbox inset="0mm,0mm,0mm,0mm" style="mso-fit-shape-to-text:t;">
                <w:txbxContent>
                  <w:p w14:paraId="0CFA3E52">
                    <w:pPr>
                      <w:pStyle w:val="1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970AE">
    <w:pPr>
      <w:pStyle w:val="19"/>
      <w:ind w:right="360" w:firstLine="360"/>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3E91B">
                          <w:pPr>
                            <w:pStyle w:val="19"/>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4343E91B">
                    <w:pPr>
                      <w:pStyle w:val="19"/>
                    </w:pPr>
                    <w:r>
                      <w:fldChar w:fldCharType="begin"/>
                    </w:r>
                    <w:r>
                      <w:instrText xml:space="preserve"> PAGE  \* MERGEFORMAT </w:instrText>
                    </w:r>
                    <w:r>
                      <w:fldChar w:fldCharType="separate"/>
                    </w:r>
                    <w:r>
                      <w:t>111</w:t>
                    </w:r>
                    <w:r>
                      <w:fldChar w:fldCharType="end"/>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446DE6"/>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sga0MoBAACd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nVG0octzjy888f51+P54fv&#10;JDtRoj5AjZl3AXPT8N4PmD77AZ2Z+aCizV/kRDCOAp8uAsshEZEfrZarVYUhgbH5gvjs6XmIkD5I&#10;b0k2GhpxgkVYfvwEaUydU3I152+1MWWKxv3lQMzsYbn3scdspWE3TIR2vj0hnx6H31CHu06J+ehQ&#10;27wnsxFnYzcbhxD1viuLlOtBeHdI2ETpLVcYYafCOLXCbtqwvBZ/3kvW01+1+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sga0MoBAACdAwAADgAAAAAAAAABACAAAAAeAQAAZHJzL2Uyb0Rv&#10;Yy54bWxQSwUGAAAAAAYABgBZAQAAWgUAAAAA&#10;">
              <v:fill on="f" focussize="0,0"/>
              <v:stroke on="f"/>
              <v:imagedata o:title=""/>
              <o:lock v:ext="edit" aspectratio="f"/>
              <v:textbox inset="0mm,0mm,0mm,0mm" style="mso-fit-shape-to-text:t;">
                <w:txbxContent>
                  <w:p w14:paraId="75446DE6"/>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E9067">
    <w:pPr>
      <w:pStyle w:val="19"/>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F99A3B">
                          <w:pPr>
                            <w:pStyle w:val="19"/>
                          </w:pPr>
                          <w:r>
                            <w:fldChar w:fldCharType="begin"/>
                          </w:r>
                          <w:r>
                            <w:instrText xml:space="preserve"> PAGE  \* MERGEFORMAT </w:instrText>
                          </w:r>
                          <w:r>
                            <w:fldChar w:fldCharType="separate"/>
                          </w:r>
                          <w:r>
                            <w:t>97</w:t>
                          </w:r>
                          <w:r>
                            <w:fldChar w:fldCharType="end"/>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HkDXd8BAAC/AwAADgAAAGRycy9lMm9Eb2MueG1srVPBjtMwEL0j8Q+W&#10;7zRpJaCqmq6AahESAqSFD3Adp7Fkeyx72qR8APwBJy7c+a5+x46dpAu7lz3sJRnPjN/MezNeX/XW&#10;sKMKUYOr+HxWcqachFq7fcW/fb1+seQsonC1MOBUxU8q8qvN82frzq/UAlowtQqMQFxcdb7iLaJf&#10;FUWUrbIizsArR8EGghVIx7Av6iA6QremWJTlq6KDUPsAUsVI3u0Q5CNieAwgNI2WagvyYJXDATUo&#10;I5AoxVb7yDe526ZREj83TVTITMWJKeYvFSF7l77FZi1W+yB8q+XYgnhMC/c4WaEdFb1AbQUKdgj6&#10;AZTVMkCEBmcSbDEQyYoQi3l5T5ubVniVuZDU0V9Ej08HKz8dvwSm64q/nHPmhKWJn3/9PP/+e/7z&#10;g71O+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wHkDXd8BAAC/AwAADgAAAAAA&#10;AAABACAAAAAeAQAAZHJzL2Uyb0RvYy54bWxQSwUGAAAAAAYABgBZAQAAbwUAAAAA&#10;">
              <v:fill on="f" focussize="0,0"/>
              <v:stroke on="f"/>
              <v:imagedata o:title=""/>
              <o:lock v:ext="edit" aspectratio="f"/>
              <v:textbox inset="0mm,0mm,0mm,0mm" style="mso-fit-shape-to-text:t;">
                <w:txbxContent>
                  <w:p w14:paraId="74F99A3B">
                    <w:pPr>
                      <w:pStyle w:val="19"/>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EA52F">
    <w:pPr>
      <w:ind w:firstLine="0" w:firstLineChars="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06F2A">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B6A99">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2001A5"/>
    <w:multiLevelType w:val="singleLevel"/>
    <w:tmpl w:val="932001A5"/>
    <w:lvl w:ilvl="0" w:tentative="0">
      <w:start w:val="4"/>
      <w:numFmt w:val="decimal"/>
      <w:suff w:val="nothing"/>
      <w:lvlText w:val="%1、"/>
      <w:lvlJc w:val="left"/>
    </w:lvl>
  </w:abstractNum>
  <w:abstractNum w:abstractNumId="1">
    <w:nsid w:val="CC1C477A"/>
    <w:multiLevelType w:val="singleLevel"/>
    <w:tmpl w:val="CC1C477A"/>
    <w:lvl w:ilvl="0" w:tentative="0">
      <w:start w:val="5"/>
      <w:numFmt w:val="decimal"/>
      <w:suff w:val="nothing"/>
      <w:lvlText w:val="%1、"/>
      <w:lvlJc w:val="left"/>
    </w:lvl>
  </w:abstractNum>
  <w:abstractNum w:abstractNumId="2">
    <w:nsid w:val="CD09E40C"/>
    <w:multiLevelType w:val="singleLevel"/>
    <w:tmpl w:val="CD09E40C"/>
    <w:lvl w:ilvl="0" w:tentative="0">
      <w:start w:val="3"/>
      <w:numFmt w:val="chineseCounting"/>
      <w:suff w:val="nothing"/>
      <w:lvlText w:val="%1、"/>
      <w:lvlJc w:val="left"/>
      <w:rPr>
        <w:rFonts w:hint="eastAsia"/>
      </w:rPr>
    </w:lvl>
  </w:abstractNum>
  <w:abstractNum w:abstractNumId="3">
    <w:nsid w:val="DE36C9E0"/>
    <w:multiLevelType w:val="singleLevel"/>
    <w:tmpl w:val="DE36C9E0"/>
    <w:lvl w:ilvl="0" w:tentative="0">
      <w:start w:val="7"/>
      <w:numFmt w:val="decimal"/>
      <w:suff w:val="nothing"/>
      <w:lvlText w:val="%1、"/>
      <w:lvlJc w:val="left"/>
    </w:lvl>
  </w:abstractNum>
  <w:abstractNum w:abstractNumId="4">
    <w:nsid w:val="0E5D6063"/>
    <w:multiLevelType w:val="singleLevel"/>
    <w:tmpl w:val="0E5D6063"/>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5">
    <w:nsid w:val="15606CD3"/>
    <w:multiLevelType w:val="singleLevel"/>
    <w:tmpl w:val="15606CD3"/>
    <w:lvl w:ilvl="0" w:tentative="0">
      <w:start w:val="1"/>
      <w:numFmt w:val="chineseCounting"/>
      <w:suff w:val="nothing"/>
      <w:lvlText w:val="%1、"/>
      <w:lvlJc w:val="left"/>
      <w:rPr>
        <w:rFonts w:hint="eastAsia"/>
      </w:rPr>
    </w:lvl>
  </w:abstractNum>
  <w:abstractNum w:abstractNumId="6">
    <w:nsid w:val="28E99984"/>
    <w:multiLevelType w:val="singleLevel"/>
    <w:tmpl w:val="28E99984"/>
    <w:lvl w:ilvl="0" w:tentative="0">
      <w:start w:val="11"/>
      <w:numFmt w:val="chineseCounting"/>
      <w:suff w:val="nothing"/>
      <w:lvlText w:val="（%1）"/>
      <w:lvlJc w:val="left"/>
      <w:rPr>
        <w:rFonts w:hint="eastAsia"/>
      </w:rPr>
    </w:lvl>
  </w:abstractNum>
  <w:abstractNum w:abstractNumId="7">
    <w:nsid w:val="2FBC2613"/>
    <w:multiLevelType w:val="singleLevel"/>
    <w:tmpl w:val="2FBC2613"/>
    <w:lvl w:ilvl="0" w:tentative="0">
      <w:start w:val="1"/>
      <w:numFmt w:val="decimal"/>
      <w:suff w:val="nothing"/>
      <w:lvlText w:val="%1、"/>
      <w:lvlJc w:val="left"/>
    </w:lvl>
  </w:abstractNum>
  <w:abstractNum w:abstractNumId="8">
    <w:nsid w:val="331252AE"/>
    <w:multiLevelType w:val="singleLevel"/>
    <w:tmpl w:val="331252AE"/>
    <w:lvl w:ilvl="0" w:tentative="0">
      <w:start w:val="5"/>
      <w:numFmt w:val="chineseCounting"/>
      <w:suff w:val="nothing"/>
      <w:lvlText w:val="（%1）"/>
      <w:lvlJc w:val="left"/>
      <w:rPr>
        <w:rFonts w:hint="eastAsia"/>
      </w:rPr>
    </w:lvl>
  </w:abstractNum>
  <w:abstractNum w:abstractNumId="9">
    <w:nsid w:val="4164DA95"/>
    <w:multiLevelType w:val="singleLevel"/>
    <w:tmpl w:val="4164DA95"/>
    <w:lvl w:ilvl="0" w:tentative="0">
      <w:start w:val="1"/>
      <w:numFmt w:val="decimal"/>
      <w:suff w:val="nothing"/>
      <w:lvlText w:val="（%1）"/>
      <w:lvlJc w:val="left"/>
    </w:lvl>
  </w:abstractNum>
  <w:abstractNum w:abstractNumId="10">
    <w:nsid w:val="524A8F44"/>
    <w:multiLevelType w:val="singleLevel"/>
    <w:tmpl w:val="524A8F44"/>
    <w:lvl w:ilvl="0" w:tentative="0">
      <w:start w:val="1"/>
      <w:numFmt w:val="decimal"/>
      <w:suff w:val="nothing"/>
      <w:lvlText w:val="%1、"/>
      <w:lvlJc w:val="left"/>
    </w:lvl>
  </w:abstractNum>
  <w:num w:numId="1">
    <w:abstractNumId w:val="4"/>
  </w:num>
  <w:num w:numId="2">
    <w:abstractNumId w:val="8"/>
  </w:num>
  <w:num w:numId="3">
    <w:abstractNumId w:val="6"/>
  </w:num>
  <w:num w:numId="4">
    <w:abstractNumId w:val="7"/>
  </w:num>
  <w:num w:numId="5">
    <w:abstractNumId w:val="0"/>
  </w:num>
  <w:num w:numId="6">
    <w:abstractNumId w:val="1"/>
  </w:num>
  <w:num w:numId="7">
    <w:abstractNumId w:val="5"/>
  </w:num>
  <w:num w:numId="8">
    <w:abstractNumId w:val="2"/>
  </w:num>
  <w:num w:numId="9">
    <w:abstractNumId w:val="10"/>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5ODdmMjkxZWJiNzIzY2YzZmVkNmUxZDhmZjA5ZjUifQ=="/>
  </w:docVars>
  <w:rsids>
    <w:rsidRoot w:val="00172A27"/>
    <w:rsid w:val="00003236"/>
    <w:rsid w:val="000060B3"/>
    <w:rsid w:val="000172C8"/>
    <w:rsid w:val="00024231"/>
    <w:rsid w:val="00037513"/>
    <w:rsid w:val="0004364B"/>
    <w:rsid w:val="00061B1F"/>
    <w:rsid w:val="00072469"/>
    <w:rsid w:val="000733C4"/>
    <w:rsid w:val="00073ECC"/>
    <w:rsid w:val="00074783"/>
    <w:rsid w:val="0008070B"/>
    <w:rsid w:val="000810AC"/>
    <w:rsid w:val="00081A02"/>
    <w:rsid w:val="00082231"/>
    <w:rsid w:val="00086069"/>
    <w:rsid w:val="00087265"/>
    <w:rsid w:val="00091AC5"/>
    <w:rsid w:val="00092D38"/>
    <w:rsid w:val="0009352F"/>
    <w:rsid w:val="0009377B"/>
    <w:rsid w:val="000A20C9"/>
    <w:rsid w:val="000A29AF"/>
    <w:rsid w:val="000B058F"/>
    <w:rsid w:val="000B4467"/>
    <w:rsid w:val="000B4DB9"/>
    <w:rsid w:val="000C09AC"/>
    <w:rsid w:val="000C2B13"/>
    <w:rsid w:val="000C767F"/>
    <w:rsid w:val="000D5A44"/>
    <w:rsid w:val="000E3ED2"/>
    <w:rsid w:val="00114652"/>
    <w:rsid w:val="001203E5"/>
    <w:rsid w:val="00124346"/>
    <w:rsid w:val="00130C7C"/>
    <w:rsid w:val="00131F42"/>
    <w:rsid w:val="001357F1"/>
    <w:rsid w:val="00140FA8"/>
    <w:rsid w:val="00142FEB"/>
    <w:rsid w:val="00143A2D"/>
    <w:rsid w:val="00145A41"/>
    <w:rsid w:val="00151675"/>
    <w:rsid w:val="0015218A"/>
    <w:rsid w:val="00157435"/>
    <w:rsid w:val="00171932"/>
    <w:rsid w:val="00173291"/>
    <w:rsid w:val="00173B58"/>
    <w:rsid w:val="0017504D"/>
    <w:rsid w:val="0017671A"/>
    <w:rsid w:val="00177422"/>
    <w:rsid w:val="00184590"/>
    <w:rsid w:val="001870D1"/>
    <w:rsid w:val="0018781E"/>
    <w:rsid w:val="0019262D"/>
    <w:rsid w:val="00194BAF"/>
    <w:rsid w:val="001A01DE"/>
    <w:rsid w:val="001A190C"/>
    <w:rsid w:val="001A1B35"/>
    <w:rsid w:val="001A48A2"/>
    <w:rsid w:val="001A6F61"/>
    <w:rsid w:val="001B72B8"/>
    <w:rsid w:val="001C2B13"/>
    <w:rsid w:val="001C69B3"/>
    <w:rsid w:val="001D4F2B"/>
    <w:rsid w:val="001D5595"/>
    <w:rsid w:val="001D6C8B"/>
    <w:rsid w:val="001D7874"/>
    <w:rsid w:val="001D7F22"/>
    <w:rsid w:val="001F0F17"/>
    <w:rsid w:val="001F3347"/>
    <w:rsid w:val="001F69E4"/>
    <w:rsid w:val="001F6BD8"/>
    <w:rsid w:val="00201541"/>
    <w:rsid w:val="00205F31"/>
    <w:rsid w:val="002125B4"/>
    <w:rsid w:val="00213BDC"/>
    <w:rsid w:val="002155B8"/>
    <w:rsid w:val="00215FA6"/>
    <w:rsid w:val="00224839"/>
    <w:rsid w:val="002249B2"/>
    <w:rsid w:val="00226574"/>
    <w:rsid w:val="002278EC"/>
    <w:rsid w:val="00227F55"/>
    <w:rsid w:val="00230302"/>
    <w:rsid w:val="0023280E"/>
    <w:rsid w:val="002377D1"/>
    <w:rsid w:val="002467D9"/>
    <w:rsid w:val="002506BC"/>
    <w:rsid w:val="00253944"/>
    <w:rsid w:val="00254345"/>
    <w:rsid w:val="002602ED"/>
    <w:rsid w:val="00264557"/>
    <w:rsid w:val="002701D9"/>
    <w:rsid w:val="00276D2E"/>
    <w:rsid w:val="002805AB"/>
    <w:rsid w:val="00280650"/>
    <w:rsid w:val="00284204"/>
    <w:rsid w:val="00285373"/>
    <w:rsid w:val="00287B81"/>
    <w:rsid w:val="00291773"/>
    <w:rsid w:val="0029456E"/>
    <w:rsid w:val="002A168C"/>
    <w:rsid w:val="002A3DC7"/>
    <w:rsid w:val="002B49E2"/>
    <w:rsid w:val="002B4BB2"/>
    <w:rsid w:val="002B7B00"/>
    <w:rsid w:val="002B7C44"/>
    <w:rsid w:val="002C2B17"/>
    <w:rsid w:val="002C5701"/>
    <w:rsid w:val="002C5F61"/>
    <w:rsid w:val="002D0A5A"/>
    <w:rsid w:val="002D3DD0"/>
    <w:rsid w:val="002E1F3A"/>
    <w:rsid w:val="002E298A"/>
    <w:rsid w:val="00301978"/>
    <w:rsid w:val="0030332C"/>
    <w:rsid w:val="003051C2"/>
    <w:rsid w:val="003075BC"/>
    <w:rsid w:val="00310544"/>
    <w:rsid w:val="003120BC"/>
    <w:rsid w:val="00312296"/>
    <w:rsid w:val="00314F0E"/>
    <w:rsid w:val="00321D8E"/>
    <w:rsid w:val="00325928"/>
    <w:rsid w:val="00332863"/>
    <w:rsid w:val="0033350C"/>
    <w:rsid w:val="0033684D"/>
    <w:rsid w:val="00337B42"/>
    <w:rsid w:val="00341B42"/>
    <w:rsid w:val="0034348F"/>
    <w:rsid w:val="003507DF"/>
    <w:rsid w:val="00355E08"/>
    <w:rsid w:val="00356125"/>
    <w:rsid w:val="00356653"/>
    <w:rsid w:val="0035743F"/>
    <w:rsid w:val="00357BE2"/>
    <w:rsid w:val="0036170C"/>
    <w:rsid w:val="00366E0F"/>
    <w:rsid w:val="00373320"/>
    <w:rsid w:val="00373BF2"/>
    <w:rsid w:val="00377D06"/>
    <w:rsid w:val="00381A72"/>
    <w:rsid w:val="00384676"/>
    <w:rsid w:val="00387770"/>
    <w:rsid w:val="00390857"/>
    <w:rsid w:val="003936DF"/>
    <w:rsid w:val="003A4BF3"/>
    <w:rsid w:val="003A5379"/>
    <w:rsid w:val="003B3F2A"/>
    <w:rsid w:val="003B419F"/>
    <w:rsid w:val="003B420D"/>
    <w:rsid w:val="003C6C16"/>
    <w:rsid w:val="003D3E8A"/>
    <w:rsid w:val="003D794D"/>
    <w:rsid w:val="003E3058"/>
    <w:rsid w:val="003E76A9"/>
    <w:rsid w:val="003F0809"/>
    <w:rsid w:val="003F64B8"/>
    <w:rsid w:val="003F6A8C"/>
    <w:rsid w:val="003F755C"/>
    <w:rsid w:val="0040210F"/>
    <w:rsid w:val="00406F01"/>
    <w:rsid w:val="00410556"/>
    <w:rsid w:val="00414D62"/>
    <w:rsid w:val="00416D50"/>
    <w:rsid w:val="00416FD5"/>
    <w:rsid w:val="00417772"/>
    <w:rsid w:val="00420E6A"/>
    <w:rsid w:val="00425A9E"/>
    <w:rsid w:val="00426D6B"/>
    <w:rsid w:val="00431E6C"/>
    <w:rsid w:val="00433CE7"/>
    <w:rsid w:val="00435B20"/>
    <w:rsid w:val="00452738"/>
    <w:rsid w:val="00456091"/>
    <w:rsid w:val="0046290C"/>
    <w:rsid w:val="00466321"/>
    <w:rsid w:val="0047037F"/>
    <w:rsid w:val="00484B9B"/>
    <w:rsid w:val="00485120"/>
    <w:rsid w:val="004855F6"/>
    <w:rsid w:val="0048661E"/>
    <w:rsid w:val="00494670"/>
    <w:rsid w:val="004A3823"/>
    <w:rsid w:val="004B17F3"/>
    <w:rsid w:val="004D38E9"/>
    <w:rsid w:val="004D521E"/>
    <w:rsid w:val="004E6946"/>
    <w:rsid w:val="004F1AD8"/>
    <w:rsid w:val="00500573"/>
    <w:rsid w:val="005034E2"/>
    <w:rsid w:val="005039CB"/>
    <w:rsid w:val="0050558F"/>
    <w:rsid w:val="00505EC0"/>
    <w:rsid w:val="0050615C"/>
    <w:rsid w:val="00506286"/>
    <w:rsid w:val="00510813"/>
    <w:rsid w:val="00511990"/>
    <w:rsid w:val="00511DE0"/>
    <w:rsid w:val="00514870"/>
    <w:rsid w:val="00514B9B"/>
    <w:rsid w:val="00517F02"/>
    <w:rsid w:val="00524303"/>
    <w:rsid w:val="005258A2"/>
    <w:rsid w:val="005276CB"/>
    <w:rsid w:val="00531AF3"/>
    <w:rsid w:val="005401AE"/>
    <w:rsid w:val="00542403"/>
    <w:rsid w:val="00542E07"/>
    <w:rsid w:val="00545424"/>
    <w:rsid w:val="0055447B"/>
    <w:rsid w:val="00554A7B"/>
    <w:rsid w:val="0055572C"/>
    <w:rsid w:val="00556975"/>
    <w:rsid w:val="0056106A"/>
    <w:rsid w:val="005720AE"/>
    <w:rsid w:val="00581B8B"/>
    <w:rsid w:val="0059172E"/>
    <w:rsid w:val="00594D77"/>
    <w:rsid w:val="005969E4"/>
    <w:rsid w:val="005A06B7"/>
    <w:rsid w:val="005A0AAB"/>
    <w:rsid w:val="005A1759"/>
    <w:rsid w:val="005A1FDE"/>
    <w:rsid w:val="005A68A7"/>
    <w:rsid w:val="005B5534"/>
    <w:rsid w:val="005D36AB"/>
    <w:rsid w:val="005D64C9"/>
    <w:rsid w:val="00601B03"/>
    <w:rsid w:val="00617CC3"/>
    <w:rsid w:val="0063331D"/>
    <w:rsid w:val="006352CC"/>
    <w:rsid w:val="006377A6"/>
    <w:rsid w:val="00637A3D"/>
    <w:rsid w:val="006411EF"/>
    <w:rsid w:val="00650B23"/>
    <w:rsid w:val="00660580"/>
    <w:rsid w:val="0066143E"/>
    <w:rsid w:val="006664CF"/>
    <w:rsid w:val="006748B8"/>
    <w:rsid w:val="00677229"/>
    <w:rsid w:val="006775C3"/>
    <w:rsid w:val="00677E69"/>
    <w:rsid w:val="006823FE"/>
    <w:rsid w:val="00687021"/>
    <w:rsid w:val="00691E36"/>
    <w:rsid w:val="0069290A"/>
    <w:rsid w:val="00693724"/>
    <w:rsid w:val="0069775A"/>
    <w:rsid w:val="00697813"/>
    <w:rsid w:val="006A1276"/>
    <w:rsid w:val="006A1809"/>
    <w:rsid w:val="006A22B1"/>
    <w:rsid w:val="006A3EE8"/>
    <w:rsid w:val="006A72BF"/>
    <w:rsid w:val="006B03F2"/>
    <w:rsid w:val="006B37DC"/>
    <w:rsid w:val="006B4F68"/>
    <w:rsid w:val="006B529E"/>
    <w:rsid w:val="006B531E"/>
    <w:rsid w:val="006C0592"/>
    <w:rsid w:val="006C272E"/>
    <w:rsid w:val="006C38F9"/>
    <w:rsid w:val="006C5479"/>
    <w:rsid w:val="006D13B5"/>
    <w:rsid w:val="006D2458"/>
    <w:rsid w:val="006D474F"/>
    <w:rsid w:val="006E12FF"/>
    <w:rsid w:val="006E152D"/>
    <w:rsid w:val="006E37C7"/>
    <w:rsid w:val="006E607E"/>
    <w:rsid w:val="00706C5D"/>
    <w:rsid w:val="007115DC"/>
    <w:rsid w:val="00717AD2"/>
    <w:rsid w:val="00717FC5"/>
    <w:rsid w:val="00732922"/>
    <w:rsid w:val="007465BA"/>
    <w:rsid w:val="00750CCB"/>
    <w:rsid w:val="0075162E"/>
    <w:rsid w:val="00754034"/>
    <w:rsid w:val="00756556"/>
    <w:rsid w:val="007618C4"/>
    <w:rsid w:val="0076736C"/>
    <w:rsid w:val="00767980"/>
    <w:rsid w:val="00770B19"/>
    <w:rsid w:val="0077463F"/>
    <w:rsid w:val="007768C8"/>
    <w:rsid w:val="00781C1D"/>
    <w:rsid w:val="007836EA"/>
    <w:rsid w:val="00784CDA"/>
    <w:rsid w:val="00786642"/>
    <w:rsid w:val="007906C4"/>
    <w:rsid w:val="007940EA"/>
    <w:rsid w:val="007967E8"/>
    <w:rsid w:val="007A2170"/>
    <w:rsid w:val="007A22BF"/>
    <w:rsid w:val="007A3323"/>
    <w:rsid w:val="007B72B8"/>
    <w:rsid w:val="007B7A58"/>
    <w:rsid w:val="007C21B5"/>
    <w:rsid w:val="007C48C5"/>
    <w:rsid w:val="007E4BD2"/>
    <w:rsid w:val="0080071F"/>
    <w:rsid w:val="00801393"/>
    <w:rsid w:val="00802F88"/>
    <w:rsid w:val="0080571F"/>
    <w:rsid w:val="00810CF9"/>
    <w:rsid w:val="00810D80"/>
    <w:rsid w:val="008120B6"/>
    <w:rsid w:val="0081293E"/>
    <w:rsid w:val="00813266"/>
    <w:rsid w:val="00815465"/>
    <w:rsid w:val="00817E9A"/>
    <w:rsid w:val="008232FC"/>
    <w:rsid w:val="008306BD"/>
    <w:rsid w:val="00830B9B"/>
    <w:rsid w:val="00831666"/>
    <w:rsid w:val="00831A80"/>
    <w:rsid w:val="00831ECF"/>
    <w:rsid w:val="00833743"/>
    <w:rsid w:val="008340A4"/>
    <w:rsid w:val="00834AF3"/>
    <w:rsid w:val="00857B54"/>
    <w:rsid w:val="0087135F"/>
    <w:rsid w:val="00872D94"/>
    <w:rsid w:val="00880364"/>
    <w:rsid w:val="00887896"/>
    <w:rsid w:val="00891592"/>
    <w:rsid w:val="00891E9E"/>
    <w:rsid w:val="008A2F68"/>
    <w:rsid w:val="008A48EA"/>
    <w:rsid w:val="008A5AFB"/>
    <w:rsid w:val="008B4FA6"/>
    <w:rsid w:val="008B5282"/>
    <w:rsid w:val="008B7C17"/>
    <w:rsid w:val="008C2D01"/>
    <w:rsid w:val="008C40E6"/>
    <w:rsid w:val="008C6F40"/>
    <w:rsid w:val="008D0F7A"/>
    <w:rsid w:val="008D5D1F"/>
    <w:rsid w:val="008D68E4"/>
    <w:rsid w:val="008D734E"/>
    <w:rsid w:val="008E0506"/>
    <w:rsid w:val="008E0CFF"/>
    <w:rsid w:val="008E5D6B"/>
    <w:rsid w:val="008E76F0"/>
    <w:rsid w:val="008E7BB9"/>
    <w:rsid w:val="008F15FE"/>
    <w:rsid w:val="008F2D29"/>
    <w:rsid w:val="008F4057"/>
    <w:rsid w:val="008F5187"/>
    <w:rsid w:val="008F60D8"/>
    <w:rsid w:val="00901125"/>
    <w:rsid w:val="0090239C"/>
    <w:rsid w:val="00902727"/>
    <w:rsid w:val="0090312B"/>
    <w:rsid w:val="0091736D"/>
    <w:rsid w:val="00923AC9"/>
    <w:rsid w:val="00924AE9"/>
    <w:rsid w:val="0093037A"/>
    <w:rsid w:val="0094154D"/>
    <w:rsid w:val="0094714D"/>
    <w:rsid w:val="0095155F"/>
    <w:rsid w:val="00954429"/>
    <w:rsid w:val="009563CE"/>
    <w:rsid w:val="009664C0"/>
    <w:rsid w:val="00976328"/>
    <w:rsid w:val="0097680D"/>
    <w:rsid w:val="00982438"/>
    <w:rsid w:val="0098404C"/>
    <w:rsid w:val="00985283"/>
    <w:rsid w:val="00995992"/>
    <w:rsid w:val="0099684F"/>
    <w:rsid w:val="009A03E5"/>
    <w:rsid w:val="009A0F3B"/>
    <w:rsid w:val="009A0F81"/>
    <w:rsid w:val="009A1BB4"/>
    <w:rsid w:val="009A2628"/>
    <w:rsid w:val="009A3200"/>
    <w:rsid w:val="009B0897"/>
    <w:rsid w:val="009B7BD9"/>
    <w:rsid w:val="009B7EB2"/>
    <w:rsid w:val="009C7DD5"/>
    <w:rsid w:val="009E227D"/>
    <w:rsid w:val="009E5019"/>
    <w:rsid w:val="009F004C"/>
    <w:rsid w:val="009F7B58"/>
    <w:rsid w:val="00A04F1B"/>
    <w:rsid w:val="00A0501B"/>
    <w:rsid w:val="00A14947"/>
    <w:rsid w:val="00A16E83"/>
    <w:rsid w:val="00A22653"/>
    <w:rsid w:val="00A226FF"/>
    <w:rsid w:val="00A32A83"/>
    <w:rsid w:val="00A368DB"/>
    <w:rsid w:val="00A423AA"/>
    <w:rsid w:val="00A44AD2"/>
    <w:rsid w:val="00A53EC6"/>
    <w:rsid w:val="00A55C0F"/>
    <w:rsid w:val="00A60DC3"/>
    <w:rsid w:val="00A70155"/>
    <w:rsid w:val="00A8713F"/>
    <w:rsid w:val="00A90BA1"/>
    <w:rsid w:val="00A91E36"/>
    <w:rsid w:val="00A97A9A"/>
    <w:rsid w:val="00AA0671"/>
    <w:rsid w:val="00AA2531"/>
    <w:rsid w:val="00AB1E09"/>
    <w:rsid w:val="00AB2FA2"/>
    <w:rsid w:val="00AB5330"/>
    <w:rsid w:val="00AB7747"/>
    <w:rsid w:val="00AB7ED2"/>
    <w:rsid w:val="00AC14CE"/>
    <w:rsid w:val="00AC2A56"/>
    <w:rsid w:val="00AD055E"/>
    <w:rsid w:val="00AD47A7"/>
    <w:rsid w:val="00AD7501"/>
    <w:rsid w:val="00AF0CBF"/>
    <w:rsid w:val="00AF257F"/>
    <w:rsid w:val="00AF33CF"/>
    <w:rsid w:val="00AF4D50"/>
    <w:rsid w:val="00AF6179"/>
    <w:rsid w:val="00B00C56"/>
    <w:rsid w:val="00B035C1"/>
    <w:rsid w:val="00B11A0D"/>
    <w:rsid w:val="00B1295A"/>
    <w:rsid w:val="00B207F5"/>
    <w:rsid w:val="00B20A45"/>
    <w:rsid w:val="00B22C5C"/>
    <w:rsid w:val="00B24F30"/>
    <w:rsid w:val="00B257F9"/>
    <w:rsid w:val="00B31ABF"/>
    <w:rsid w:val="00B33BE3"/>
    <w:rsid w:val="00B3768C"/>
    <w:rsid w:val="00B51FDD"/>
    <w:rsid w:val="00B53B5D"/>
    <w:rsid w:val="00B6055E"/>
    <w:rsid w:val="00B62014"/>
    <w:rsid w:val="00B6317D"/>
    <w:rsid w:val="00B7577B"/>
    <w:rsid w:val="00B7723F"/>
    <w:rsid w:val="00B80534"/>
    <w:rsid w:val="00B81ABC"/>
    <w:rsid w:val="00B8433C"/>
    <w:rsid w:val="00B87491"/>
    <w:rsid w:val="00B91D44"/>
    <w:rsid w:val="00BA29E9"/>
    <w:rsid w:val="00BA7142"/>
    <w:rsid w:val="00BB237C"/>
    <w:rsid w:val="00BB41A3"/>
    <w:rsid w:val="00BC32DC"/>
    <w:rsid w:val="00BC35B6"/>
    <w:rsid w:val="00BC65DD"/>
    <w:rsid w:val="00BD1B51"/>
    <w:rsid w:val="00BD3CE6"/>
    <w:rsid w:val="00BD4596"/>
    <w:rsid w:val="00BE1405"/>
    <w:rsid w:val="00BE312D"/>
    <w:rsid w:val="00BF1C20"/>
    <w:rsid w:val="00BF4FB1"/>
    <w:rsid w:val="00C067DE"/>
    <w:rsid w:val="00C10578"/>
    <w:rsid w:val="00C135BC"/>
    <w:rsid w:val="00C15C95"/>
    <w:rsid w:val="00C2170B"/>
    <w:rsid w:val="00C21C33"/>
    <w:rsid w:val="00C23EB9"/>
    <w:rsid w:val="00C2596A"/>
    <w:rsid w:val="00C27537"/>
    <w:rsid w:val="00C328FE"/>
    <w:rsid w:val="00C33507"/>
    <w:rsid w:val="00C42026"/>
    <w:rsid w:val="00C4409D"/>
    <w:rsid w:val="00C44E72"/>
    <w:rsid w:val="00C45A06"/>
    <w:rsid w:val="00C47E5B"/>
    <w:rsid w:val="00C60D54"/>
    <w:rsid w:val="00C61E4B"/>
    <w:rsid w:val="00C64BFF"/>
    <w:rsid w:val="00C704E9"/>
    <w:rsid w:val="00C737BD"/>
    <w:rsid w:val="00C74A45"/>
    <w:rsid w:val="00C763C9"/>
    <w:rsid w:val="00C80057"/>
    <w:rsid w:val="00C80869"/>
    <w:rsid w:val="00C82232"/>
    <w:rsid w:val="00C82913"/>
    <w:rsid w:val="00C859A3"/>
    <w:rsid w:val="00C865A1"/>
    <w:rsid w:val="00C972B1"/>
    <w:rsid w:val="00C976F1"/>
    <w:rsid w:val="00CA2CCE"/>
    <w:rsid w:val="00CA43FD"/>
    <w:rsid w:val="00CA7EF8"/>
    <w:rsid w:val="00CB0014"/>
    <w:rsid w:val="00CB78BF"/>
    <w:rsid w:val="00CC42B3"/>
    <w:rsid w:val="00CC489B"/>
    <w:rsid w:val="00CD2BCD"/>
    <w:rsid w:val="00CD3A4C"/>
    <w:rsid w:val="00CD6220"/>
    <w:rsid w:val="00CE01A3"/>
    <w:rsid w:val="00CE10E9"/>
    <w:rsid w:val="00CE2910"/>
    <w:rsid w:val="00CE47EA"/>
    <w:rsid w:val="00CE5393"/>
    <w:rsid w:val="00CF36BE"/>
    <w:rsid w:val="00CF4CC9"/>
    <w:rsid w:val="00CF6000"/>
    <w:rsid w:val="00D003F3"/>
    <w:rsid w:val="00D00C42"/>
    <w:rsid w:val="00D02137"/>
    <w:rsid w:val="00D02955"/>
    <w:rsid w:val="00D0364F"/>
    <w:rsid w:val="00D06834"/>
    <w:rsid w:val="00D1660E"/>
    <w:rsid w:val="00D2588B"/>
    <w:rsid w:val="00D308ED"/>
    <w:rsid w:val="00D339BE"/>
    <w:rsid w:val="00D36D86"/>
    <w:rsid w:val="00D428AA"/>
    <w:rsid w:val="00D50A34"/>
    <w:rsid w:val="00D53EFA"/>
    <w:rsid w:val="00D553E8"/>
    <w:rsid w:val="00D6190C"/>
    <w:rsid w:val="00D76F9B"/>
    <w:rsid w:val="00D94A7C"/>
    <w:rsid w:val="00D95896"/>
    <w:rsid w:val="00DB2983"/>
    <w:rsid w:val="00DC1257"/>
    <w:rsid w:val="00DC3DC0"/>
    <w:rsid w:val="00DC5B2B"/>
    <w:rsid w:val="00DC5BFC"/>
    <w:rsid w:val="00DD318D"/>
    <w:rsid w:val="00DF252B"/>
    <w:rsid w:val="00DF2E12"/>
    <w:rsid w:val="00DF2F17"/>
    <w:rsid w:val="00DF514A"/>
    <w:rsid w:val="00DF6690"/>
    <w:rsid w:val="00DF6804"/>
    <w:rsid w:val="00E0358D"/>
    <w:rsid w:val="00E04323"/>
    <w:rsid w:val="00E04675"/>
    <w:rsid w:val="00E070A2"/>
    <w:rsid w:val="00E26243"/>
    <w:rsid w:val="00E2656A"/>
    <w:rsid w:val="00E32413"/>
    <w:rsid w:val="00E32DC9"/>
    <w:rsid w:val="00E412D0"/>
    <w:rsid w:val="00E50736"/>
    <w:rsid w:val="00E5141D"/>
    <w:rsid w:val="00E56322"/>
    <w:rsid w:val="00E60982"/>
    <w:rsid w:val="00E60D4F"/>
    <w:rsid w:val="00E61030"/>
    <w:rsid w:val="00E62C62"/>
    <w:rsid w:val="00E63036"/>
    <w:rsid w:val="00E654C1"/>
    <w:rsid w:val="00E65D97"/>
    <w:rsid w:val="00E72A5A"/>
    <w:rsid w:val="00E73354"/>
    <w:rsid w:val="00E778E0"/>
    <w:rsid w:val="00E9242D"/>
    <w:rsid w:val="00E9605A"/>
    <w:rsid w:val="00EA148C"/>
    <w:rsid w:val="00EB0B25"/>
    <w:rsid w:val="00EB0B8D"/>
    <w:rsid w:val="00EB5255"/>
    <w:rsid w:val="00EB5C47"/>
    <w:rsid w:val="00EC5499"/>
    <w:rsid w:val="00ED0639"/>
    <w:rsid w:val="00ED7304"/>
    <w:rsid w:val="00EF4755"/>
    <w:rsid w:val="00EF4F2C"/>
    <w:rsid w:val="00EF7135"/>
    <w:rsid w:val="00F004BA"/>
    <w:rsid w:val="00F027DB"/>
    <w:rsid w:val="00F112EC"/>
    <w:rsid w:val="00F14A7A"/>
    <w:rsid w:val="00F22985"/>
    <w:rsid w:val="00F3383E"/>
    <w:rsid w:val="00F378B6"/>
    <w:rsid w:val="00F465A7"/>
    <w:rsid w:val="00F50B7C"/>
    <w:rsid w:val="00F550E6"/>
    <w:rsid w:val="00F6343B"/>
    <w:rsid w:val="00F64C8E"/>
    <w:rsid w:val="00F74345"/>
    <w:rsid w:val="00F74EF3"/>
    <w:rsid w:val="00F76060"/>
    <w:rsid w:val="00F77E22"/>
    <w:rsid w:val="00F80A0A"/>
    <w:rsid w:val="00F82B19"/>
    <w:rsid w:val="00F9212D"/>
    <w:rsid w:val="00F965DA"/>
    <w:rsid w:val="00FA406A"/>
    <w:rsid w:val="00FB503A"/>
    <w:rsid w:val="00FB516C"/>
    <w:rsid w:val="00FD0236"/>
    <w:rsid w:val="00FD18F4"/>
    <w:rsid w:val="00FD2B06"/>
    <w:rsid w:val="00FD3915"/>
    <w:rsid w:val="00FD54DB"/>
    <w:rsid w:val="00FD619F"/>
    <w:rsid w:val="00FE3760"/>
    <w:rsid w:val="00FF095A"/>
    <w:rsid w:val="00FF68A3"/>
    <w:rsid w:val="010867C9"/>
    <w:rsid w:val="01290F7E"/>
    <w:rsid w:val="01300A27"/>
    <w:rsid w:val="01460A76"/>
    <w:rsid w:val="015D1E09"/>
    <w:rsid w:val="01663F90"/>
    <w:rsid w:val="01666B5F"/>
    <w:rsid w:val="017C59C2"/>
    <w:rsid w:val="01A9280E"/>
    <w:rsid w:val="01B90ABA"/>
    <w:rsid w:val="01CF21B0"/>
    <w:rsid w:val="01EA636A"/>
    <w:rsid w:val="02064377"/>
    <w:rsid w:val="021A2D94"/>
    <w:rsid w:val="02393082"/>
    <w:rsid w:val="023B2CD8"/>
    <w:rsid w:val="0256613B"/>
    <w:rsid w:val="02697903"/>
    <w:rsid w:val="027C41D4"/>
    <w:rsid w:val="02995CE7"/>
    <w:rsid w:val="02BE247E"/>
    <w:rsid w:val="02C22A03"/>
    <w:rsid w:val="02C9569D"/>
    <w:rsid w:val="02DF17B7"/>
    <w:rsid w:val="02E24107"/>
    <w:rsid w:val="02E30E4D"/>
    <w:rsid w:val="02F96569"/>
    <w:rsid w:val="032D7D1B"/>
    <w:rsid w:val="0350167A"/>
    <w:rsid w:val="036850EB"/>
    <w:rsid w:val="0372606E"/>
    <w:rsid w:val="037635EA"/>
    <w:rsid w:val="038F7C57"/>
    <w:rsid w:val="03A339C4"/>
    <w:rsid w:val="03B46A51"/>
    <w:rsid w:val="03BF588C"/>
    <w:rsid w:val="03C017BA"/>
    <w:rsid w:val="03C62363"/>
    <w:rsid w:val="03D07BE1"/>
    <w:rsid w:val="03D1684D"/>
    <w:rsid w:val="03EA7B21"/>
    <w:rsid w:val="03EF5C41"/>
    <w:rsid w:val="04184EE5"/>
    <w:rsid w:val="04285347"/>
    <w:rsid w:val="04454295"/>
    <w:rsid w:val="044D75CE"/>
    <w:rsid w:val="04741F14"/>
    <w:rsid w:val="047857D5"/>
    <w:rsid w:val="047A4A97"/>
    <w:rsid w:val="04840C27"/>
    <w:rsid w:val="04D203B0"/>
    <w:rsid w:val="04D45D6E"/>
    <w:rsid w:val="04E13EAC"/>
    <w:rsid w:val="04F263D9"/>
    <w:rsid w:val="050302DF"/>
    <w:rsid w:val="051C20D1"/>
    <w:rsid w:val="05485182"/>
    <w:rsid w:val="05512885"/>
    <w:rsid w:val="05595109"/>
    <w:rsid w:val="056015BF"/>
    <w:rsid w:val="05AC2477"/>
    <w:rsid w:val="05DD7067"/>
    <w:rsid w:val="05F83EAE"/>
    <w:rsid w:val="05FC5C90"/>
    <w:rsid w:val="06091BEB"/>
    <w:rsid w:val="060F5438"/>
    <w:rsid w:val="06371BBC"/>
    <w:rsid w:val="063D54C5"/>
    <w:rsid w:val="063E7D85"/>
    <w:rsid w:val="064236D8"/>
    <w:rsid w:val="06471ACB"/>
    <w:rsid w:val="064D0B68"/>
    <w:rsid w:val="065C17E8"/>
    <w:rsid w:val="06636A09"/>
    <w:rsid w:val="06654933"/>
    <w:rsid w:val="06654AE8"/>
    <w:rsid w:val="068E2C6F"/>
    <w:rsid w:val="069D39AB"/>
    <w:rsid w:val="069E1A1A"/>
    <w:rsid w:val="06B0795D"/>
    <w:rsid w:val="06BE122C"/>
    <w:rsid w:val="06D87510"/>
    <w:rsid w:val="06DA1C43"/>
    <w:rsid w:val="06E635A4"/>
    <w:rsid w:val="06F80762"/>
    <w:rsid w:val="06FF299A"/>
    <w:rsid w:val="070237CC"/>
    <w:rsid w:val="07091CFF"/>
    <w:rsid w:val="07246295"/>
    <w:rsid w:val="07260B5E"/>
    <w:rsid w:val="07293586"/>
    <w:rsid w:val="07295285"/>
    <w:rsid w:val="073F33A8"/>
    <w:rsid w:val="07465DF0"/>
    <w:rsid w:val="074A6A54"/>
    <w:rsid w:val="07636392"/>
    <w:rsid w:val="076A6353"/>
    <w:rsid w:val="076A7D33"/>
    <w:rsid w:val="0776775C"/>
    <w:rsid w:val="07770C56"/>
    <w:rsid w:val="077D1FAE"/>
    <w:rsid w:val="07B45450"/>
    <w:rsid w:val="07BB4CCE"/>
    <w:rsid w:val="07E31BCF"/>
    <w:rsid w:val="07EB4288"/>
    <w:rsid w:val="07F8081C"/>
    <w:rsid w:val="08030D99"/>
    <w:rsid w:val="080B2D42"/>
    <w:rsid w:val="081748E2"/>
    <w:rsid w:val="081E77D0"/>
    <w:rsid w:val="08402FB0"/>
    <w:rsid w:val="0891753F"/>
    <w:rsid w:val="089E4348"/>
    <w:rsid w:val="08AA054E"/>
    <w:rsid w:val="08AB74B7"/>
    <w:rsid w:val="08AC711D"/>
    <w:rsid w:val="08AF7028"/>
    <w:rsid w:val="08B9275D"/>
    <w:rsid w:val="08BC0E66"/>
    <w:rsid w:val="08C416C3"/>
    <w:rsid w:val="08F82719"/>
    <w:rsid w:val="08F96C82"/>
    <w:rsid w:val="09074462"/>
    <w:rsid w:val="09105520"/>
    <w:rsid w:val="092217DD"/>
    <w:rsid w:val="092B588E"/>
    <w:rsid w:val="093A7294"/>
    <w:rsid w:val="0950494E"/>
    <w:rsid w:val="0966210B"/>
    <w:rsid w:val="096B4234"/>
    <w:rsid w:val="0979739A"/>
    <w:rsid w:val="097A1C21"/>
    <w:rsid w:val="098344E6"/>
    <w:rsid w:val="09877907"/>
    <w:rsid w:val="099C655D"/>
    <w:rsid w:val="09B74ED1"/>
    <w:rsid w:val="09BF2DCD"/>
    <w:rsid w:val="09EC589B"/>
    <w:rsid w:val="0A006EBA"/>
    <w:rsid w:val="0A0540CC"/>
    <w:rsid w:val="0A0D5232"/>
    <w:rsid w:val="0A163DFC"/>
    <w:rsid w:val="0A177C1C"/>
    <w:rsid w:val="0A1C1B29"/>
    <w:rsid w:val="0A201028"/>
    <w:rsid w:val="0A263993"/>
    <w:rsid w:val="0A2D3AC2"/>
    <w:rsid w:val="0A616ED6"/>
    <w:rsid w:val="0A656AA4"/>
    <w:rsid w:val="0A760186"/>
    <w:rsid w:val="0A805952"/>
    <w:rsid w:val="0A9B4E2F"/>
    <w:rsid w:val="0AA755DF"/>
    <w:rsid w:val="0ABC03A3"/>
    <w:rsid w:val="0AC05EBA"/>
    <w:rsid w:val="0AC920E4"/>
    <w:rsid w:val="0ACA117A"/>
    <w:rsid w:val="0ACC1910"/>
    <w:rsid w:val="0B120D44"/>
    <w:rsid w:val="0B340EA0"/>
    <w:rsid w:val="0B4932C3"/>
    <w:rsid w:val="0BB208A1"/>
    <w:rsid w:val="0BC746FC"/>
    <w:rsid w:val="0BD27BF6"/>
    <w:rsid w:val="0BEF0F1F"/>
    <w:rsid w:val="0BEF322F"/>
    <w:rsid w:val="0BFA2D2F"/>
    <w:rsid w:val="0BFC18E3"/>
    <w:rsid w:val="0C05226C"/>
    <w:rsid w:val="0C1621E1"/>
    <w:rsid w:val="0C1E2E71"/>
    <w:rsid w:val="0C2F1E06"/>
    <w:rsid w:val="0C3B3C7D"/>
    <w:rsid w:val="0C4A1EDF"/>
    <w:rsid w:val="0C5C64A7"/>
    <w:rsid w:val="0C8A10DB"/>
    <w:rsid w:val="0C8E4631"/>
    <w:rsid w:val="0C9D239C"/>
    <w:rsid w:val="0CA52046"/>
    <w:rsid w:val="0CAB2EAE"/>
    <w:rsid w:val="0CD52054"/>
    <w:rsid w:val="0CDB522D"/>
    <w:rsid w:val="0CE7033B"/>
    <w:rsid w:val="0CEA6E40"/>
    <w:rsid w:val="0CF11954"/>
    <w:rsid w:val="0CF32576"/>
    <w:rsid w:val="0D1362C7"/>
    <w:rsid w:val="0D1403B2"/>
    <w:rsid w:val="0D227EC5"/>
    <w:rsid w:val="0D2968DE"/>
    <w:rsid w:val="0D3F1EEE"/>
    <w:rsid w:val="0D621C7D"/>
    <w:rsid w:val="0D6413A9"/>
    <w:rsid w:val="0D6E6802"/>
    <w:rsid w:val="0D720D1E"/>
    <w:rsid w:val="0D84706A"/>
    <w:rsid w:val="0DB86830"/>
    <w:rsid w:val="0DBF37F9"/>
    <w:rsid w:val="0DC1607F"/>
    <w:rsid w:val="0DE87E11"/>
    <w:rsid w:val="0E021F8C"/>
    <w:rsid w:val="0E3D0C6E"/>
    <w:rsid w:val="0E600EA9"/>
    <w:rsid w:val="0E73034D"/>
    <w:rsid w:val="0E7856C7"/>
    <w:rsid w:val="0E790BB9"/>
    <w:rsid w:val="0E9B4BB8"/>
    <w:rsid w:val="0EA84EFB"/>
    <w:rsid w:val="0EAF7D9C"/>
    <w:rsid w:val="0EB65B0F"/>
    <w:rsid w:val="0EBF25A6"/>
    <w:rsid w:val="0ED767DC"/>
    <w:rsid w:val="0EDB687C"/>
    <w:rsid w:val="0EE96B98"/>
    <w:rsid w:val="0EF10B71"/>
    <w:rsid w:val="0F094B6F"/>
    <w:rsid w:val="0F13775A"/>
    <w:rsid w:val="0F157EEA"/>
    <w:rsid w:val="0F457629"/>
    <w:rsid w:val="0F5F45FE"/>
    <w:rsid w:val="0F61376D"/>
    <w:rsid w:val="0F7E381E"/>
    <w:rsid w:val="0F7F2C6A"/>
    <w:rsid w:val="0F887398"/>
    <w:rsid w:val="0F8F47A8"/>
    <w:rsid w:val="0F983509"/>
    <w:rsid w:val="0F9A112B"/>
    <w:rsid w:val="0F9D3180"/>
    <w:rsid w:val="0FBE309A"/>
    <w:rsid w:val="0FEA0047"/>
    <w:rsid w:val="0FEC1938"/>
    <w:rsid w:val="100844F6"/>
    <w:rsid w:val="104C2584"/>
    <w:rsid w:val="106D2F64"/>
    <w:rsid w:val="108C5181"/>
    <w:rsid w:val="10930CC0"/>
    <w:rsid w:val="10B63710"/>
    <w:rsid w:val="10BD72C7"/>
    <w:rsid w:val="10E26C0C"/>
    <w:rsid w:val="10F10820"/>
    <w:rsid w:val="10F46657"/>
    <w:rsid w:val="110D5972"/>
    <w:rsid w:val="111C2F7A"/>
    <w:rsid w:val="1125116C"/>
    <w:rsid w:val="11452919"/>
    <w:rsid w:val="116377AF"/>
    <w:rsid w:val="11665CA1"/>
    <w:rsid w:val="117143B2"/>
    <w:rsid w:val="11C216D3"/>
    <w:rsid w:val="11D16950"/>
    <w:rsid w:val="11DD2D71"/>
    <w:rsid w:val="121C60CC"/>
    <w:rsid w:val="12256CAD"/>
    <w:rsid w:val="12324BD9"/>
    <w:rsid w:val="12403AD9"/>
    <w:rsid w:val="12451BBE"/>
    <w:rsid w:val="127D54E3"/>
    <w:rsid w:val="1282472F"/>
    <w:rsid w:val="12A60C13"/>
    <w:rsid w:val="12A91AF5"/>
    <w:rsid w:val="12AF5DFA"/>
    <w:rsid w:val="12B01B9D"/>
    <w:rsid w:val="12B71E90"/>
    <w:rsid w:val="12B72DB9"/>
    <w:rsid w:val="12C62CAF"/>
    <w:rsid w:val="12E10B94"/>
    <w:rsid w:val="12EE1C08"/>
    <w:rsid w:val="1304431A"/>
    <w:rsid w:val="130703CD"/>
    <w:rsid w:val="131840B3"/>
    <w:rsid w:val="132C5175"/>
    <w:rsid w:val="1332117A"/>
    <w:rsid w:val="133574DA"/>
    <w:rsid w:val="133E04D1"/>
    <w:rsid w:val="136141C9"/>
    <w:rsid w:val="13951726"/>
    <w:rsid w:val="139705EA"/>
    <w:rsid w:val="139A11EF"/>
    <w:rsid w:val="13A762FD"/>
    <w:rsid w:val="13A9243A"/>
    <w:rsid w:val="13B970D0"/>
    <w:rsid w:val="13D77D64"/>
    <w:rsid w:val="13EC7FAA"/>
    <w:rsid w:val="13F5371E"/>
    <w:rsid w:val="13FE664D"/>
    <w:rsid w:val="140E0234"/>
    <w:rsid w:val="14373358"/>
    <w:rsid w:val="14396509"/>
    <w:rsid w:val="143D47C6"/>
    <w:rsid w:val="14434DD1"/>
    <w:rsid w:val="145A657E"/>
    <w:rsid w:val="14624318"/>
    <w:rsid w:val="147748BC"/>
    <w:rsid w:val="14BB63E8"/>
    <w:rsid w:val="14DD2C3C"/>
    <w:rsid w:val="14E44334"/>
    <w:rsid w:val="14FB22E6"/>
    <w:rsid w:val="151503C0"/>
    <w:rsid w:val="15226E2D"/>
    <w:rsid w:val="152504A9"/>
    <w:rsid w:val="15254EA0"/>
    <w:rsid w:val="15377A08"/>
    <w:rsid w:val="15432254"/>
    <w:rsid w:val="154E4847"/>
    <w:rsid w:val="155142DE"/>
    <w:rsid w:val="155713D3"/>
    <w:rsid w:val="156A1312"/>
    <w:rsid w:val="158D6A08"/>
    <w:rsid w:val="159C4635"/>
    <w:rsid w:val="15AE5C33"/>
    <w:rsid w:val="15B047E5"/>
    <w:rsid w:val="15C56000"/>
    <w:rsid w:val="15E76D5B"/>
    <w:rsid w:val="15EF6763"/>
    <w:rsid w:val="16087E1D"/>
    <w:rsid w:val="16095CCF"/>
    <w:rsid w:val="16114D0A"/>
    <w:rsid w:val="16331C36"/>
    <w:rsid w:val="1636219B"/>
    <w:rsid w:val="164B5DE4"/>
    <w:rsid w:val="16531CFB"/>
    <w:rsid w:val="166C7CB8"/>
    <w:rsid w:val="16B125E7"/>
    <w:rsid w:val="16B72D18"/>
    <w:rsid w:val="16D20E9B"/>
    <w:rsid w:val="170C7B07"/>
    <w:rsid w:val="170D3A96"/>
    <w:rsid w:val="17126B58"/>
    <w:rsid w:val="171657DF"/>
    <w:rsid w:val="172A58BB"/>
    <w:rsid w:val="173E694A"/>
    <w:rsid w:val="17546E02"/>
    <w:rsid w:val="17577289"/>
    <w:rsid w:val="175C3F04"/>
    <w:rsid w:val="175F366B"/>
    <w:rsid w:val="17613B7A"/>
    <w:rsid w:val="176E0C2C"/>
    <w:rsid w:val="17701D14"/>
    <w:rsid w:val="17721666"/>
    <w:rsid w:val="17735226"/>
    <w:rsid w:val="17AF0AEF"/>
    <w:rsid w:val="17BE3D70"/>
    <w:rsid w:val="17C517A1"/>
    <w:rsid w:val="17C97F2D"/>
    <w:rsid w:val="18097B5B"/>
    <w:rsid w:val="180B401D"/>
    <w:rsid w:val="183236C3"/>
    <w:rsid w:val="183408CF"/>
    <w:rsid w:val="1847640E"/>
    <w:rsid w:val="184C62A3"/>
    <w:rsid w:val="189F624C"/>
    <w:rsid w:val="18A47A76"/>
    <w:rsid w:val="18DF21CB"/>
    <w:rsid w:val="19153B64"/>
    <w:rsid w:val="1945116D"/>
    <w:rsid w:val="19645810"/>
    <w:rsid w:val="19904874"/>
    <w:rsid w:val="199827F0"/>
    <w:rsid w:val="199B7F69"/>
    <w:rsid w:val="19D37B4F"/>
    <w:rsid w:val="19E05946"/>
    <w:rsid w:val="19E1017F"/>
    <w:rsid w:val="19F91BA8"/>
    <w:rsid w:val="19FC3617"/>
    <w:rsid w:val="1A0A0EFF"/>
    <w:rsid w:val="1A1175D1"/>
    <w:rsid w:val="1A182C08"/>
    <w:rsid w:val="1A1C66C0"/>
    <w:rsid w:val="1A331172"/>
    <w:rsid w:val="1A42393B"/>
    <w:rsid w:val="1A5747A5"/>
    <w:rsid w:val="1A5C2AF6"/>
    <w:rsid w:val="1A5D57CD"/>
    <w:rsid w:val="1A5D6F31"/>
    <w:rsid w:val="1A630246"/>
    <w:rsid w:val="1A7235DA"/>
    <w:rsid w:val="1A92760D"/>
    <w:rsid w:val="1A96543D"/>
    <w:rsid w:val="1A967104"/>
    <w:rsid w:val="1A976860"/>
    <w:rsid w:val="1A9E49DD"/>
    <w:rsid w:val="1AA7213B"/>
    <w:rsid w:val="1AAD45DE"/>
    <w:rsid w:val="1ABA5EC8"/>
    <w:rsid w:val="1ACD3016"/>
    <w:rsid w:val="1ADB773D"/>
    <w:rsid w:val="1AE325CA"/>
    <w:rsid w:val="1AF7627B"/>
    <w:rsid w:val="1AF831C3"/>
    <w:rsid w:val="1B03508B"/>
    <w:rsid w:val="1B046F80"/>
    <w:rsid w:val="1B0A1B40"/>
    <w:rsid w:val="1B1531FC"/>
    <w:rsid w:val="1B1905E9"/>
    <w:rsid w:val="1B1E276D"/>
    <w:rsid w:val="1B24437D"/>
    <w:rsid w:val="1B3267B5"/>
    <w:rsid w:val="1B40161D"/>
    <w:rsid w:val="1B441859"/>
    <w:rsid w:val="1B522B5E"/>
    <w:rsid w:val="1B6225F9"/>
    <w:rsid w:val="1B6606B1"/>
    <w:rsid w:val="1B662FB8"/>
    <w:rsid w:val="1B8555F2"/>
    <w:rsid w:val="1B8E2EC4"/>
    <w:rsid w:val="1B992192"/>
    <w:rsid w:val="1BA736D7"/>
    <w:rsid w:val="1BAD1694"/>
    <w:rsid w:val="1BD55245"/>
    <w:rsid w:val="1BE717DE"/>
    <w:rsid w:val="1BE92F0C"/>
    <w:rsid w:val="1BF0073E"/>
    <w:rsid w:val="1C031B3A"/>
    <w:rsid w:val="1C205197"/>
    <w:rsid w:val="1C32334A"/>
    <w:rsid w:val="1C376A21"/>
    <w:rsid w:val="1C4E5A1B"/>
    <w:rsid w:val="1C5B7FB2"/>
    <w:rsid w:val="1C5C7FF6"/>
    <w:rsid w:val="1C5E7925"/>
    <w:rsid w:val="1C634FB9"/>
    <w:rsid w:val="1C916D0A"/>
    <w:rsid w:val="1CB6536F"/>
    <w:rsid w:val="1CD6444F"/>
    <w:rsid w:val="1CDB47CB"/>
    <w:rsid w:val="1CFD070F"/>
    <w:rsid w:val="1D2C60E4"/>
    <w:rsid w:val="1D475B85"/>
    <w:rsid w:val="1D543DA2"/>
    <w:rsid w:val="1D5F6196"/>
    <w:rsid w:val="1D607642"/>
    <w:rsid w:val="1D6132A5"/>
    <w:rsid w:val="1D635BEB"/>
    <w:rsid w:val="1D88007A"/>
    <w:rsid w:val="1D8D6D69"/>
    <w:rsid w:val="1D8E56D5"/>
    <w:rsid w:val="1D911E78"/>
    <w:rsid w:val="1D95202E"/>
    <w:rsid w:val="1D9962E4"/>
    <w:rsid w:val="1DAD68B4"/>
    <w:rsid w:val="1DBD340A"/>
    <w:rsid w:val="1DF2075D"/>
    <w:rsid w:val="1DFB5D40"/>
    <w:rsid w:val="1E0E6763"/>
    <w:rsid w:val="1E1570DE"/>
    <w:rsid w:val="1E226714"/>
    <w:rsid w:val="1E2908E7"/>
    <w:rsid w:val="1E324005"/>
    <w:rsid w:val="1E606046"/>
    <w:rsid w:val="1E641501"/>
    <w:rsid w:val="1E6B2BF2"/>
    <w:rsid w:val="1E7A43DA"/>
    <w:rsid w:val="1EA82FFE"/>
    <w:rsid w:val="1EB012FF"/>
    <w:rsid w:val="1EC82BCC"/>
    <w:rsid w:val="1EEB326A"/>
    <w:rsid w:val="1F0423D1"/>
    <w:rsid w:val="1F11463E"/>
    <w:rsid w:val="1F1F0C24"/>
    <w:rsid w:val="1F2127CD"/>
    <w:rsid w:val="1F300909"/>
    <w:rsid w:val="1F3879C6"/>
    <w:rsid w:val="1F3B1FFC"/>
    <w:rsid w:val="1F4324C7"/>
    <w:rsid w:val="1F451771"/>
    <w:rsid w:val="1F83778A"/>
    <w:rsid w:val="1F84517F"/>
    <w:rsid w:val="1F861D90"/>
    <w:rsid w:val="1F9C5DA0"/>
    <w:rsid w:val="1FA152CA"/>
    <w:rsid w:val="1FB41730"/>
    <w:rsid w:val="1FC54A80"/>
    <w:rsid w:val="1FD45061"/>
    <w:rsid w:val="1FD55731"/>
    <w:rsid w:val="1FE7539E"/>
    <w:rsid w:val="1FEB5C4B"/>
    <w:rsid w:val="1FFC753C"/>
    <w:rsid w:val="2016308A"/>
    <w:rsid w:val="20360C34"/>
    <w:rsid w:val="203F5D2D"/>
    <w:rsid w:val="204549CB"/>
    <w:rsid w:val="20487358"/>
    <w:rsid w:val="204C261F"/>
    <w:rsid w:val="204D5AF5"/>
    <w:rsid w:val="20671BE0"/>
    <w:rsid w:val="206E4856"/>
    <w:rsid w:val="20750AEE"/>
    <w:rsid w:val="208970CB"/>
    <w:rsid w:val="208C6A3B"/>
    <w:rsid w:val="20963CB8"/>
    <w:rsid w:val="209E0C68"/>
    <w:rsid w:val="20A81A1B"/>
    <w:rsid w:val="20B07FB6"/>
    <w:rsid w:val="20B441AC"/>
    <w:rsid w:val="20B646FB"/>
    <w:rsid w:val="20C63571"/>
    <w:rsid w:val="20CA24A2"/>
    <w:rsid w:val="20ED67A3"/>
    <w:rsid w:val="20F008ED"/>
    <w:rsid w:val="21052EB3"/>
    <w:rsid w:val="211F0A7F"/>
    <w:rsid w:val="21213A63"/>
    <w:rsid w:val="213B74B1"/>
    <w:rsid w:val="215A0888"/>
    <w:rsid w:val="215A2310"/>
    <w:rsid w:val="215C01BC"/>
    <w:rsid w:val="21612C00"/>
    <w:rsid w:val="21793E98"/>
    <w:rsid w:val="217F3513"/>
    <w:rsid w:val="21863EB8"/>
    <w:rsid w:val="219E4563"/>
    <w:rsid w:val="21A8288A"/>
    <w:rsid w:val="21D75FCF"/>
    <w:rsid w:val="21DE318A"/>
    <w:rsid w:val="21DF4E18"/>
    <w:rsid w:val="21E11254"/>
    <w:rsid w:val="21EF5B80"/>
    <w:rsid w:val="22087549"/>
    <w:rsid w:val="22131D3A"/>
    <w:rsid w:val="2219214C"/>
    <w:rsid w:val="22576990"/>
    <w:rsid w:val="22667476"/>
    <w:rsid w:val="227B4BD4"/>
    <w:rsid w:val="22882321"/>
    <w:rsid w:val="22BD1A49"/>
    <w:rsid w:val="22E04820"/>
    <w:rsid w:val="22EA5E9B"/>
    <w:rsid w:val="22F47480"/>
    <w:rsid w:val="22FF1876"/>
    <w:rsid w:val="230972D4"/>
    <w:rsid w:val="23396B67"/>
    <w:rsid w:val="23417FB4"/>
    <w:rsid w:val="23565B95"/>
    <w:rsid w:val="23835679"/>
    <w:rsid w:val="23863EB6"/>
    <w:rsid w:val="23AE6894"/>
    <w:rsid w:val="23C72311"/>
    <w:rsid w:val="23DE1C48"/>
    <w:rsid w:val="23E10C24"/>
    <w:rsid w:val="23F7122B"/>
    <w:rsid w:val="23F93549"/>
    <w:rsid w:val="240210CD"/>
    <w:rsid w:val="242E1C8E"/>
    <w:rsid w:val="24414D43"/>
    <w:rsid w:val="24511A45"/>
    <w:rsid w:val="246E05DA"/>
    <w:rsid w:val="248554CD"/>
    <w:rsid w:val="249246E6"/>
    <w:rsid w:val="24963975"/>
    <w:rsid w:val="24BF09F7"/>
    <w:rsid w:val="24D06096"/>
    <w:rsid w:val="24D61335"/>
    <w:rsid w:val="24D74947"/>
    <w:rsid w:val="24D85DC1"/>
    <w:rsid w:val="24DB4282"/>
    <w:rsid w:val="24E24C38"/>
    <w:rsid w:val="24F10547"/>
    <w:rsid w:val="25082082"/>
    <w:rsid w:val="250E45B1"/>
    <w:rsid w:val="2515011E"/>
    <w:rsid w:val="251B39DB"/>
    <w:rsid w:val="251C5519"/>
    <w:rsid w:val="25287243"/>
    <w:rsid w:val="252D53FE"/>
    <w:rsid w:val="25A2482D"/>
    <w:rsid w:val="25A90B0A"/>
    <w:rsid w:val="25E04F5A"/>
    <w:rsid w:val="25EC2D81"/>
    <w:rsid w:val="25F04016"/>
    <w:rsid w:val="260333D3"/>
    <w:rsid w:val="2611108C"/>
    <w:rsid w:val="261E217E"/>
    <w:rsid w:val="26284522"/>
    <w:rsid w:val="26321B73"/>
    <w:rsid w:val="265B7A3B"/>
    <w:rsid w:val="2661244A"/>
    <w:rsid w:val="268C3924"/>
    <w:rsid w:val="2691167F"/>
    <w:rsid w:val="26A530D5"/>
    <w:rsid w:val="26D273CF"/>
    <w:rsid w:val="26D5763B"/>
    <w:rsid w:val="26FA33CA"/>
    <w:rsid w:val="274B5418"/>
    <w:rsid w:val="277057A2"/>
    <w:rsid w:val="2778315D"/>
    <w:rsid w:val="278A4A25"/>
    <w:rsid w:val="27933CD0"/>
    <w:rsid w:val="27A20992"/>
    <w:rsid w:val="27BD725A"/>
    <w:rsid w:val="27CA37EF"/>
    <w:rsid w:val="27CF7F00"/>
    <w:rsid w:val="280A304D"/>
    <w:rsid w:val="280C59E4"/>
    <w:rsid w:val="280D3CB7"/>
    <w:rsid w:val="28273D82"/>
    <w:rsid w:val="28524E45"/>
    <w:rsid w:val="28565E54"/>
    <w:rsid w:val="28613050"/>
    <w:rsid w:val="287F6F5C"/>
    <w:rsid w:val="288427F2"/>
    <w:rsid w:val="289C0A39"/>
    <w:rsid w:val="28A7255A"/>
    <w:rsid w:val="28E15EFF"/>
    <w:rsid w:val="28E83CAF"/>
    <w:rsid w:val="290D6316"/>
    <w:rsid w:val="291B5FC8"/>
    <w:rsid w:val="29206EB8"/>
    <w:rsid w:val="293D6F46"/>
    <w:rsid w:val="29593039"/>
    <w:rsid w:val="29595666"/>
    <w:rsid w:val="295F32F9"/>
    <w:rsid w:val="29736389"/>
    <w:rsid w:val="29874881"/>
    <w:rsid w:val="29890A5A"/>
    <w:rsid w:val="299C73FB"/>
    <w:rsid w:val="29AA5CD0"/>
    <w:rsid w:val="29CB6716"/>
    <w:rsid w:val="29CD08C2"/>
    <w:rsid w:val="29DC68FB"/>
    <w:rsid w:val="29E325E0"/>
    <w:rsid w:val="29EE7784"/>
    <w:rsid w:val="2A314286"/>
    <w:rsid w:val="2A3479E3"/>
    <w:rsid w:val="2A420242"/>
    <w:rsid w:val="2A452503"/>
    <w:rsid w:val="2A476ABE"/>
    <w:rsid w:val="2A773A72"/>
    <w:rsid w:val="2A7A3C32"/>
    <w:rsid w:val="2A810432"/>
    <w:rsid w:val="2A9769F6"/>
    <w:rsid w:val="2A9847A9"/>
    <w:rsid w:val="2A9A42EB"/>
    <w:rsid w:val="2AA76D2F"/>
    <w:rsid w:val="2ACE1068"/>
    <w:rsid w:val="2AFE7B18"/>
    <w:rsid w:val="2B072BE4"/>
    <w:rsid w:val="2B0A3367"/>
    <w:rsid w:val="2B0A6FB1"/>
    <w:rsid w:val="2B234F0D"/>
    <w:rsid w:val="2B356FA1"/>
    <w:rsid w:val="2B611EFD"/>
    <w:rsid w:val="2B682F41"/>
    <w:rsid w:val="2B7365F7"/>
    <w:rsid w:val="2B913161"/>
    <w:rsid w:val="2B936F03"/>
    <w:rsid w:val="2BA748D0"/>
    <w:rsid w:val="2BA936A8"/>
    <w:rsid w:val="2BDD26D5"/>
    <w:rsid w:val="2BE03CF2"/>
    <w:rsid w:val="2C0733A9"/>
    <w:rsid w:val="2C113D11"/>
    <w:rsid w:val="2C1A42E8"/>
    <w:rsid w:val="2C1F4178"/>
    <w:rsid w:val="2C295603"/>
    <w:rsid w:val="2C315A5A"/>
    <w:rsid w:val="2C4B1C25"/>
    <w:rsid w:val="2C4B3942"/>
    <w:rsid w:val="2C6A18D9"/>
    <w:rsid w:val="2CB217E3"/>
    <w:rsid w:val="2CBD29B0"/>
    <w:rsid w:val="2CF843FD"/>
    <w:rsid w:val="2D1A7254"/>
    <w:rsid w:val="2D2D5F77"/>
    <w:rsid w:val="2D331AC9"/>
    <w:rsid w:val="2D790641"/>
    <w:rsid w:val="2D81217C"/>
    <w:rsid w:val="2D8208A3"/>
    <w:rsid w:val="2D9E56F5"/>
    <w:rsid w:val="2DBA28CE"/>
    <w:rsid w:val="2DCD3447"/>
    <w:rsid w:val="2DE04014"/>
    <w:rsid w:val="2DE43670"/>
    <w:rsid w:val="2DE522E0"/>
    <w:rsid w:val="2DE72470"/>
    <w:rsid w:val="2DEA1E2C"/>
    <w:rsid w:val="2DEB4B31"/>
    <w:rsid w:val="2DF46AB8"/>
    <w:rsid w:val="2E055C28"/>
    <w:rsid w:val="2E2B600A"/>
    <w:rsid w:val="2E2D7726"/>
    <w:rsid w:val="2E3031D3"/>
    <w:rsid w:val="2E30624D"/>
    <w:rsid w:val="2E4A4FA4"/>
    <w:rsid w:val="2E5806CC"/>
    <w:rsid w:val="2E667F96"/>
    <w:rsid w:val="2E756942"/>
    <w:rsid w:val="2E7669E3"/>
    <w:rsid w:val="2E8226AB"/>
    <w:rsid w:val="2E8D600E"/>
    <w:rsid w:val="2E910F9F"/>
    <w:rsid w:val="2E970A54"/>
    <w:rsid w:val="2E9E03AD"/>
    <w:rsid w:val="2EA25753"/>
    <w:rsid w:val="2EDD7E41"/>
    <w:rsid w:val="2EE3638F"/>
    <w:rsid w:val="2EF305A3"/>
    <w:rsid w:val="2EFA572F"/>
    <w:rsid w:val="2F1131E6"/>
    <w:rsid w:val="2F551940"/>
    <w:rsid w:val="2F64219A"/>
    <w:rsid w:val="2F883999"/>
    <w:rsid w:val="2FA32719"/>
    <w:rsid w:val="2FA75995"/>
    <w:rsid w:val="2FAD27F0"/>
    <w:rsid w:val="2FBA04FC"/>
    <w:rsid w:val="2FD065E6"/>
    <w:rsid w:val="2FD96870"/>
    <w:rsid w:val="2FDE5857"/>
    <w:rsid w:val="302A47C7"/>
    <w:rsid w:val="30335488"/>
    <w:rsid w:val="30580BC9"/>
    <w:rsid w:val="306F1026"/>
    <w:rsid w:val="308E18D5"/>
    <w:rsid w:val="309249F7"/>
    <w:rsid w:val="30E92438"/>
    <w:rsid w:val="31105E7F"/>
    <w:rsid w:val="311E2ED7"/>
    <w:rsid w:val="3126192F"/>
    <w:rsid w:val="31315A06"/>
    <w:rsid w:val="313D0F53"/>
    <w:rsid w:val="315619EE"/>
    <w:rsid w:val="315C449C"/>
    <w:rsid w:val="31703102"/>
    <w:rsid w:val="317825C0"/>
    <w:rsid w:val="31797F39"/>
    <w:rsid w:val="318A21B6"/>
    <w:rsid w:val="31996BCE"/>
    <w:rsid w:val="31A25EFF"/>
    <w:rsid w:val="31AC0AD4"/>
    <w:rsid w:val="31B82709"/>
    <w:rsid w:val="31BA1B94"/>
    <w:rsid w:val="31C20893"/>
    <w:rsid w:val="31CD7FB6"/>
    <w:rsid w:val="31D05482"/>
    <w:rsid w:val="31E247E4"/>
    <w:rsid w:val="31E337DF"/>
    <w:rsid w:val="3225408E"/>
    <w:rsid w:val="32282AFE"/>
    <w:rsid w:val="3229451B"/>
    <w:rsid w:val="322E33E2"/>
    <w:rsid w:val="32400B34"/>
    <w:rsid w:val="32454E0D"/>
    <w:rsid w:val="324F4DC0"/>
    <w:rsid w:val="326B0BB5"/>
    <w:rsid w:val="327227C1"/>
    <w:rsid w:val="32827D75"/>
    <w:rsid w:val="32983F19"/>
    <w:rsid w:val="3299130F"/>
    <w:rsid w:val="329A6510"/>
    <w:rsid w:val="329E6876"/>
    <w:rsid w:val="32A76D49"/>
    <w:rsid w:val="32AA36D6"/>
    <w:rsid w:val="32BA29DD"/>
    <w:rsid w:val="32C136BE"/>
    <w:rsid w:val="32C8370C"/>
    <w:rsid w:val="32CA6D9F"/>
    <w:rsid w:val="32DB5CD7"/>
    <w:rsid w:val="32FC42B7"/>
    <w:rsid w:val="330C16E5"/>
    <w:rsid w:val="331C631F"/>
    <w:rsid w:val="33296CA7"/>
    <w:rsid w:val="333015F2"/>
    <w:rsid w:val="333773D4"/>
    <w:rsid w:val="334B6320"/>
    <w:rsid w:val="334C079D"/>
    <w:rsid w:val="33557385"/>
    <w:rsid w:val="335711A5"/>
    <w:rsid w:val="33877693"/>
    <w:rsid w:val="33A25C0F"/>
    <w:rsid w:val="33A80923"/>
    <w:rsid w:val="33BD5E72"/>
    <w:rsid w:val="33D934D4"/>
    <w:rsid w:val="33FE2F6A"/>
    <w:rsid w:val="340E07E5"/>
    <w:rsid w:val="34235BF7"/>
    <w:rsid w:val="34336383"/>
    <w:rsid w:val="343F6DF9"/>
    <w:rsid w:val="34757159"/>
    <w:rsid w:val="348424FD"/>
    <w:rsid w:val="34A46F07"/>
    <w:rsid w:val="34A642FE"/>
    <w:rsid w:val="34B82A8C"/>
    <w:rsid w:val="34C1184D"/>
    <w:rsid w:val="34C920C6"/>
    <w:rsid w:val="34FA1A35"/>
    <w:rsid w:val="34FA4F3C"/>
    <w:rsid w:val="350A489C"/>
    <w:rsid w:val="350B3333"/>
    <w:rsid w:val="351121C1"/>
    <w:rsid w:val="35212AE3"/>
    <w:rsid w:val="35251E29"/>
    <w:rsid w:val="35265D3D"/>
    <w:rsid w:val="35496928"/>
    <w:rsid w:val="356B742C"/>
    <w:rsid w:val="356D7D9E"/>
    <w:rsid w:val="358C5FA8"/>
    <w:rsid w:val="35951697"/>
    <w:rsid w:val="35970EF6"/>
    <w:rsid w:val="35AB4451"/>
    <w:rsid w:val="35B55468"/>
    <w:rsid w:val="35C15DF1"/>
    <w:rsid w:val="35D64F26"/>
    <w:rsid w:val="35E804F5"/>
    <w:rsid w:val="35F511BE"/>
    <w:rsid w:val="3605537E"/>
    <w:rsid w:val="36074A7F"/>
    <w:rsid w:val="360B1E2F"/>
    <w:rsid w:val="36271489"/>
    <w:rsid w:val="3641505C"/>
    <w:rsid w:val="365219E1"/>
    <w:rsid w:val="36712378"/>
    <w:rsid w:val="367A375C"/>
    <w:rsid w:val="368C7F57"/>
    <w:rsid w:val="36923549"/>
    <w:rsid w:val="36977C6B"/>
    <w:rsid w:val="36B75FBF"/>
    <w:rsid w:val="36BC4BCF"/>
    <w:rsid w:val="36BD0C45"/>
    <w:rsid w:val="36BF2268"/>
    <w:rsid w:val="36C079A4"/>
    <w:rsid w:val="36C43473"/>
    <w:rsid w:val="36C6458F"/>
    <w:rsid w:val="36E71C9A"/>
    <w:rsid w:val="36EF6B43"/>
    <w:rsid w:val="36F35CDD"/>
    <w:rsid w:val="36F37BB4"/>
    <w:rsid w:val="36F56754"/>
    <w:rsid w:val="37011928"/>
    <w:rsid w:val="371D2ADC"/>
    <w:rsid w:val="37294C4E"/>
    <w:rsid w:val="37550A06"/>
    <w:rsid w:val="37566220"/>
    <w:rsid w:val="376F1C80"/>
    <w:rsid w:val="378C32AC"/>
    <w:rsid w:val="37991DE9"/>
    <w:rsid w:val="37B27B48"/>
    <w:rsid w:val="37B426A4"/>
    <w:rsid w:val="37C22663"/>
    <w:rsid w:val="37D766CE"/>
    <w:rsid w:val="37E00298"/>
    <w:rsid w:val="37E6149A"/>
    <w:rsid w:val="37F561C3"/>
    <w:rsid w:val="380A1955"/>
    <w:rsid w:val="381470B3"/>
    <w:rsid w:val="381D7270"/>
    <w:rsid w:val="38267DA4"/>
    <w:rsid w:val="38385519"/>
    <w:rsid w:val="383B5237"/>
    <w:rsid w:val="38567186"/>
    <w:rsid w:val="38590FF7"/>
    <w:rsid w:val="386B7DEF"/>
    <w:rsid w:val="387115AC"/>
    <w:rsid w:val="38853DEF"/>
    <w:rsid w:val="38961245"/>
    <w:rsid w:val="38B302F9"/>
    <w:rsid w:val="38BC1F81"/>
    <w:rsid w:val="38BF4E5C"/>
    <w:rsid w:val="38D86F16"/>
    <w:rsid w:val="38DF57B3"/>
    <w:rsid w:val="38F12CD3"/>
    <w:rsid w:val="38F15E2F"/>
    <w:rsid w:val="38F94775"/>
    <w:rsid w:val="390B5AA7"/>
    <w:rsid w:val="392971ED"/>
    <w:rsid w:val="392A3C5D"/>
    <w:rsid w:val="392E0D8E"/>
    <w:rsid w:val="392F2C4B"/>
    <w:rsid w:val="39325651"/>
    <w:rsid w:val="396D1F0F"/>
    <w:rsid w:val="397D464B"/>
    <w:rsid w:val="39803344"/>
    <w:rsid w:val="398919E9"/>
    <w:rsid w:val="39916B44"/>
    <w:rsid w:val="39B24D12"/>
    <w:rsid w:val="39CC6575"/>
    <w:rsid w:val="39DC5ADB"/>
    <w:rsid w:val="39E37FD5"/>
    <w:rsid w:val="39EC6471"/>
    <w:rsid w:val="39F8681F"/>
    <w:rsid w:val="3A01033C"/>
    <w:rsid w:val="3A2B695F"/>
    <w:rsid w:val="3A2D77DA"/>
    <w:rsid w:val="3A344255"/>
    <w:rsid w:val="3A5D0F3A"/>
    <w:rsid w:val="3A865FA2"/>
    <w:rsid w:val="3A872856"/>
    <w:rsid w:val="3A8E0536"/>
    <w:rsid w:val="3A992026"/>
    <w:rsid w:val="3A9A0908"/>
    <w:rsid w:val="3AC26C7E"/>
    <w:rsid w:val="3ADB6940"/>
    <w:rsid w:val="3AF82852"/>
    <w:rsid w:val="3AFB0F35"/>
    <w:rsid w:val="3B3748EF"/>
    <w:rsid w:val="3B3763D1"/>
    <w:rsid w:val="3B38684A"/>
    <w:rsid w:val="3B3D4B50"/>
    <w:rsid w:val="3B604598"/>
    <w:rsid w:val="3B6A75AA"/>
    <w:rsid w:val="3B7663F4"/>
    <w:rsid w:val="3B7C716A"/>
    <w:rsid w:val="3B855DC3"/>
    <w:rsid w:val="3BA23236"/>
    <w:rsid w:val="3BA25D6E"/>
    <w:rsid w:val="3BAA78CC"/>
    <w:rsid w:val="3BAF12F6"/>
    <w:rsid w:val="3BB3088C"/>
    <w:rsid w:val="3BC0184D"/>
    <w:rsid w:val="3BC10E58"/>
    <w:rsid w:val="3BC208CA"/>
    <w:rsid w:val="3BEB0739"/>
    <w:rsid w:val="3C082077"/>
    <w:rsid w:val="3C157400"/>
    <w:rsid w:val="3C216984"/>
    <w:rsid w:val="3C2F6E1E"/>
    <w:rsid w:val="3C376A68"/>
    <w:rsid w:val="3C4F64BA"/>
    <w:rsid w:val="3C58488B"/>
    <w:rsid w:val="3C5B58E7"/>
    <w:rsid w:val="3C766A18"/>
    <w:rsid w:val="3C7C0CEA"/>
    <w:rsid w:val="3C902AC7"/>
    <w:rsid w:val="3C960F8B"/>
    <w:rsid w:val="3CA619C8"/>
    <w:rsid w:val="3CA813CD"/>
    <w:rsid w:val="3CA9691F"/>
    <w:rsid w:val="3CAB2902"/>
    <w:rsid w:val="3CC2196E"/>
    <w:rsid w:val="3CCA5744"/>
    <w:rsid w:val="3CCE2AD3"/>
    <w:rsid w:val="3CDA245A"/>
    <w:rsid w:val="3D0A791C"/>
    <w:rsid w:val="3D1E06B7"/>
    <w:rsid w:val="3D6C0394"/>
    <w:rsid w:val="3D790817"/>
    <w:rsid w:val="3D7A1A80"/>
    <w:rsid w:val="3D7D4AE2"/>
    <w:rsid w:val="3DBB693C"/>
    <w:rsid w:val="3DBC6467"/>
    <w:rsid w:val="3DCF4EA0"/>
    <w:rsid w:val="3DF35D91"/>
    <w:rsid w:val="3E073C93"/>
    <w:rsid w:val="3E2238C4"/>
    <w:rsid w:val="3E2F3683"/>
    <w:rsid w:val="3E324AA9"/>
    <w:rsid w:val="3E3314C3"/>
    <w:rsid w:val="3E660D33"/>
    <w:rsid w:val="3E9410B0"/>
    <w:rsid w:val="3E967927"/>
    <w:rsid w:val="3E98782D"/>
    <w:rsid w:val="3E9F613B"/>
    <w:rsid w:val="3EAB1E08"/>
    <w:rsid w:val="3EAE5A4E"/>
    <w:rsid w:val="3EB00999"/>
    <w:rsid w:val="3EDA0523"/>
    <w:rsid w:val="3EE1055C"/>
    <w:rsid w:val="3EE13230"/>
    <w:rsid w:val="3EFE7CDA"/>
    <w:rsid w:val="3F0E2CA6"/>
    <w:rsid w:val="3F1366B5"/>
    <w:rsid w:val="3F3571AC"/>
    <w:rsid w:val="3F47042A"/>
    <w:rsid w:val="3F490242"/>
    <w:rsid w:val="3F7660DD"/>
    <w:rsid w:val="3F780403"/>
    <w:rsid w:val="3F891C2A"/>
    <w:rsid w:val="3F9F2EEF"/>
    <w:rsid w:val="3FB032C6"/>
    <w:rsid w:val="3FB23F93"/>
    <w:rsid w:val="3FBD2D80"/>
    <w:rsid w:val="3FC94FEB"/>
    <w:rsid w:val="3FE545D3"/>
    <w:rsid w:val="3FFB5B15"/>
    <w:rsid w:val="3FFD2BEF"/>
    <w:rsid w:val="4004790F"/>
    <w:rsid w:val="402D7889"/>
    <w:rsid w:val="40456EC3"/>
    <w:rsid w:val="405502F9"/>
    <w:rsid w:val="405C5BA6"/>
    <w:rsid w:val="405F5752"/>
    <w:rsid w:val="4069101A"/>
    <w:rsid w:val="40693846"/>
    <w:rsid w:val="406B0186"/>
    <w:rsid w:val="407A6407"/>
    <w:rsid w:val="40854E6B"/>
    <w:rsid w:val="409262FC"/>
    <w:rsid w:val="40B208BE"/>
    <w:rsid w:val="40C005C6"/>
    <w:rsid w:val="40C03386"/>
    <w:rsid w:val="40CF02AB"/>
    <w:rsid w:val="40D65F15"/>
    <w:rsid w:val="40DA5738"/>
    <w:rsid w:val="40EA3C11"/>
    <w:rsid w:val="40F11DC2"/>
    <w:rsid w:val="411068AA"/>
    <w:rsid w:val="41223652"/>
    <w:rsid w:val="41367327"/>
    <w:rsid w:val="41386CA8"/>
    <w:rsid w:val="41513586"/>
    <w:rsid w:val="41641E0C"/>
    <w:rsid w:val="4186432B"/>
    <w:rsid w:val="41A50BA0"/>
    <w:rsid w:val="41D617B7"/>
    <w:rsid w:val="41DF4DF4"/>
    <w:rsid w:val="41E954FB"/>
    <w:rsid w:val="41F914D4"/>
    <w:rsid w:val="4200449D"/>
    <w:rsid w:val="42096B41"/>
    <w:rsid w:val="420E7B11"/>
    <w:rsid w:val="423A3BCC"/>
    <w:rsid w:val="42430EC0"/>
    <w:rsid w:val="424E57D2"/>
    <w:rsid w:val="425278D3"/>
    <w:rsid w:val="42873C60"/>
    <w:rsid w:val="428F1B58"/>
    <w:rsid w:val="42B06238"/>
    <w:rsid w:val="42B26C49"/>
    <w:rsid w:val="42C3423D"/>
    <w:rsid w:val="42C44BB0"/>
    <w:rsid w:val="42D55C6E"/>
    <w:rsid w:val="42F70A4F"/>
    <w:rsid w:val="42FD5A3B"/>
    <w:rsid w:val="430330BE"/>
    <w:rsid w:val="431028EA"/>
    <w:rsid w:val="432A12C5"/>
    <w:rsid w:val="432E2B24"/>
    <w:rsid w:val="433A6FE6"/>
    <w:rsid w:val="43480868"/>
    <w:rsid w:val="4350713C"/>
    <w:rsid w:val="435C2BBB"/>
    <w:rsid w:val="436653E0"/>
    <w:rsid w:val="438065BE"/>
    <w:rsid w:val="438A0EF7"/>
    <w:rsid w:val="43BE0520"/>
    <w:rsid w:val="43C4431A"/>
    <w:rsid w:val="43C86FAA"/>
    <w:rsid w:val="43CD0FA0"/>
    <w:rsid w:val="43D00D85"/>
    <w:rsid w:val="43D06EB8"/>
    <w:rsid w:val="44041103"/>
    <w:rsid w:val="441F3E1D"/>
    <w:rsid w:val="4429387E"/>
    <w:rsid w:val="44351627"/>
    <w:rsid w:val="444E0CFB"/>
    <w:rsid w:val="44710869"/>
    <w:rsid w:val="44821D53"/>
    <w:rsid w:val="44A02F03"/>
    <w:rsid w:val="44B566D8"/>
    <w:rsid w:val="44B951CC"/>
    <w:rsid w:val="44C36623"/>
    <w:rsid w:val="44CD14E0"/>
    <w:rsid w:val="44DA3BDA"/>
    <w:rsid w:val="44E16052"/>
    <w:rsid w:val="44E946BA"/>
    <w:rsid w:val="44F20B0B"/>
    <w:rsid w:val="44F66736"/>
    <w:rsid w:val="44FF2FDA"/>
    <w:rsid w:val="451236AE"/>
    <w:rsid w:val="4529113C"/>
    <w:rsid w:val="452E5F4C"/>
    <w:rsid w:val="452F697A"/>
    <w:rsid w:val="45324AF5"/>
    <w:rsid w:val="453A6303"/>
    <w:rsid w:val="45564501"/>
    <w:rsid w:val="45612018"/>
    <w:rsid w:val="456816EC"/>
    <w:rsid w:val="458946E9"/>
    <w:rsid w:val="459C6CE8"/>
    <w:rsid w:val="45A47C0E"/>
    <w:rsid w:val="45BB117C"/>
    <w:rsid w:val="45C4595F"/>
    <w:rsid w:val="45E32481"/>
    <w:rsid w:val="4603688D"/>
    <w:rsid w:val="460904A2"/>
    <w:rsid w:val="460F308D"/>
    <w:rsid w:val="4611016B"/>
    <w:rsid w:val="461E3474"/>
    <w:rsid w:val="46210CE8"/>
    <w:rsid w:val="46470C62"/>
    <w:rsid w:val="46577FD6"/>
    <w:rsid w:val="4676339E"/>
    <w:rsid w:val="46A309FA"/>
    <w:rsid w:val="46A3314C"/>
    <w:rsid w:val="46B307EE"/>
    <w:rsid w:val="46C928C3"/>
    <w:rsid w:val="46D304B9"/>
    <w:rsid w:val="46D955A7"/>
    <w:rsid w:val="46D97A51"/>
    <w:rsid w:val="46E9257A"/>
    <w:rsid w:val="47067B9F"/>
    <w:rsid w:val="47133957"/>
    <w:rsid w:val="473577F9"/>
    <w:rsid w:val="474E51F3"/>
    <w:rsid w:val="47552FB3"/>
    <w:rsid w:val="47694F04"/>
    <w:rsid w:val="47722122"/>
    <w:rsid w:val="478558D8"/>
    <w:rsid w:val="47A07E0C"/>
    <w:rsid w:val="47A91369"/>
    <w:rsid w:val="47B966BC"/>
    <w:rsid w:val="47DA1C29"/>
    <w:rsid w:val="48221E3C"/>
    <w:rsid w:val="484E4028"/>
    <w:rsid w:val="486D7A14"/>
    <w:rsid w:val="4870272E"/>
    <w:rsid w:val="487D037C"/>
    <w:rsid w:val="48921F28"/>
    <w:rsid w:val="48AB4F23"/>
    <w:rsid w:val="48B658AC"/>
    <w:rsid w:val="48BD28B3"/>
    <w:rsid w:val="48D03A71"/>
    <w:rsid w:val="49237EA8"/>
    <w:rsid w:val="49344400"/>
    <w:rsid w:val="494A21D1"/>
    <w:rsid w:val="49544B61"/>
    <w:rsid w:val="496A193C"/>
    <w:rsid w:val="497D154B"/>
    <w:rsid w:val="497F1F6E"/>
    <w:rsid w:val="499D6B4B"/>
    <w:rsid w:val="49A11142"/>
    <w:rsid w:val="49A37E83"/>
    <w:rsid w:val="49D51923"/>
    <w:rsid w:val="49DC7715"/>
    <w:rsid w:val="49E25E62"/>
    <w:rsid w:val="49F2609F"/>
    <w:rsid w:val="4A023139"/>
    <w:rsid w:val="4A287C92"/>
    <w:rsid w:val="4A33679C"/>
    <w:rsid w:val="4A3F2009"/>
    <w:rsid w:val="4A531577"/>
    <w:rsid w:val="4A775F7C"/>
    <w:rsid w:val="4A7B576F"/>
    <w:rsid w:val="4A8A2340"/>
    <w:rsid w:val="4A9179DA"/>
    <w:rsid w:val="4AA960C4"/>
    <w:rsid w:val="4AAD73FA"/>
    <w:rsid w:val="4AB12490"/>
    <w:rsid w:val="4AC156BC"/>
    <w:rsid w:val="4AC72371"/>
    <w:rsid w:val="4AD0278D"/>
    <w:rsid w:val="4AE90738"/>
    <w:rsid w:val="4AF561A9"/>
    <w:rsid w:val="4AF87D03"/>
    <w:rsid w:val="4B463B32"/>
    <w:rsid w:val="4B5A3DEF"/>
    <w:rsid w:val="4B87023F"/>
    <w:rsid w:val="4B872C5E"/>
    <w:rsid w:val="4BA53ED7"/>
    <w:rsid w:val="4BA84145"/>
    <w:rsid w:val="4BBC00C6"/>
    <w:rsid w:val="4BC34673"/>
    <w:rsid w:val="4BC943E4"/>
    <w:rsid w:val="4BD8010B"/>
    <w:rsid w:val="4BEC3E43"/>
    <w:rsid w:val="4C1C2621"/>
    <w:rsid w:val="4C325336"/>
    <w:rsid w:val="4C3C44EB"/>
    <w:rsid w:val="4C4A0649"/>
    <w:rsid w:val="4C4A325A"/>
    <w:rsid w:val="4C5749C8"/>
    <w:rsid w:val="4C5F280A"/>
    <w:rsid w:val="4C64273C"/>
    <w:rsid w:val="4C68224E"/>
    <w:rsid w:val="4C7E5ECA"/>
    <w:rsid w:val="4C876AA5"/>
    <w:rsid w:val="4C89602F"/>
    <w:rsid w:val="4C8C75D8"/>
    <w:rsid w:val="4CAA190D"/>
    <w:rsid w:val="4CAB73DF"/>
    <w:rsid w:val="4CB23F88"/>
    <w:rsid w:val="4CC640AF"/>
    <w:rsid w:val="4CC95028"/>
    <w:rsid w:val="4CDC3E03"/>
    <w:rsid w:val="4CF41227"/>
    <w:rsid w:val="4D0E00FB"/>
    <w:rsid w:val="4D176606"/>
    <w:rsid w:val="4D1F22ED"/>
    <w:rsid w:val="4D2567E7"/>
    <w:rsid w:val="4D3076E0"/>
    <w:rsid w:val="4D324036"/>
    <w:rsid w:val="4D3818CA"/>
    <w:rsid w:val="4D554927"/>
    <w:rsid w:val="4D55712F"/>
    <w:rsid w:val="4D5A6C0B"/>
    <w:rsid w:val="4D6F7566"/>
    <w:rsid w:val="4DBD4CAA"/>
    <w:rsid w:val="4DC81938"/>
    <w:rsid w:val="4DD03C33"/>
    <w:rsid w:val="4DDC5CDE"/>
    <w:rsid w:val="4DEC4FB0"/>
    <w:rsid w:val="4DF12F98"/>
    <w:rsid w:val="4E075D8A"/>
    <w:rsid w:val="4E185931"/>
    <w:rsid w:val="4E8D43B0"/>
    <w:rsid w:val="4E9A3EA0"/>
    <w:rsid w:val="4EC00FAD"/>
    <w:rsid w:val="4EC3027C"/>
    <w:rsid w:val="4EE20DC3"/>
    <w:rsid w:val="4F3E2B89"/>
    <w:rsid w:val="4F676250"/>
    <w:rsid w:val="4F6B64A4"/>
    <w:rsid w:val="4F86399B"/>
    <w:rsid w:val="4F8C7FFF"/>
    <w:rsid w:val="4F94690C"/>
    <w:rsid w:val="4F9843DC"/>
    <w:rsid w:val="4F9B247B"/>
    <w:rsid w:val="4FA53375"/>
    <w:rsid w:val="4FAF1E73"/>
    <w:rsid w:val="4FC62A8C"/>
    <w:rsid w:val="4FC76DCC"/>
    <w:rsid w:val="4FE20F0D"/>
    <w:rsid w:val="4FE51552"/>
    <w:rsid w:val="500238BF"/>
    <w:rsid w:val="5008564A"/>
    <w:rsid w:val="503C6765"/>
    <w:rsid w:val="504D2202"/>
    <w:rsid w:val="50504C4B"/>
    <w:rsid w:val="50583834"/>
    <w:rsid w:val="506D0D24"/>
    <w:rsid w:val="50736AF1"/>
    <w:rsid w:val="5076405B"/>
    <w:rsid w:val="50795EBC"/>
    <w:rsid w:val="50862BBE"/>
    <w:rsid w:val="509C6E7C"/>
    <w:rsid w:val="50EF080A"/>
    <w:rsid w:val="50F52F01"/>
    <w:rsid w:val="51187D13"/>
    <w:rsid w:val="51237D2E"/>
    <w:rsid w:val="514F6BF7"/>
    <w:rsid w:val="515B3813"/>
    <w:rsid w:val="515D758B"/>
    <w:rsid w:val="5162104E"/>
    <w:rsid w:val="516E79EA"/>
    <w:rsid w:val="51896E68"/>
    <w:rsid w:val="51932FAD"/>
    <w:rsid w:val="51B56A75"/>
    <w:rsid w:val="51F06E3E"/>
    <w:rsid w:val="51FB38BE"/>
    <w:rsid w:val="52137977"/>
    <w:rsid w:val="522E62CD"/>
    <w:rsid w:val="523227C6"/>
    <w:rsid w:val="525810D0"/>
    <w:rsid w:val="525F10E1"/>
    <w:rsid w:val="528A2602"/>
    <w:rsid w:val="52904AFC"/>
    <w:rsid w:val="529138CC"/>
    <w:rsid w:val="529F5982"/>
    <w:rsid w:val="52C062CC"/>
    <w:rsid w:val="53020DB7"/>
    <w:rsid w:val="53452EE6"/>
    <w:rsid w:val="53A039CC"/>
    <w:rsid w:val="53A1505A"/>
    <w:rsid w:val="53BF452D"/>
    <w:rsid w:val="53CA3948"/>
    <w:rsid w:val="53E47E6C"/>
    <w:rsid w:val="53EF7B49"/>
    <w:rsid w:val="53F54ADB"/>
    <w:rsid w:val="53FC2150"/>
    <w:rsid w:val="54063E08"/>
    <w:rsid w:val="54273E81"/>
    <w:rsid w:val="5427683E"/>
    <w:rsid w:val="543437E8"/>
    <w:rsid w:val="545A70EC"/>
    <w:rsid w:val="5474748E"/>
    <w:rsid w:val="54A90FAB"/>
    <w:rsid w:val="54C32227"/>
    <w:rsid w:val="54CC782F"/>
    <w:rsid w:val="54F73313"/>
    <w:rsid w:val="54F80955"/>
    <w:rsid w:val="54FA584E"/>
    <w:rsid w:val="55050EF8"/>
    <w:rsid w:val="552A032B"/>
    <w:rsid w:val="553D4623"/>
    <w:rsid w:val="555170A7"/>
    <w:rsid w:val="55541946"/>
    <w:rsid w:val="55666ED8"/>
    <w:rsid w:val="557E1A2A"/>
    <w:rsid w:val="5587536D"/>
    <w:rsid w:val="558A0B6B"/>
    <w:rsid w:val="55933A8C"/>
    <w:rsid w:val="559B174B"/>
    <w:rsid w:val="55A15F72"/>
    <w:rsid w:val="55CE0CF4"/>
    <w:rsid w:val="55F07F0E"/>
    <w:rsid w:val="55F427CF"/>
    <w:rsid w:val="55F42FF2"/>
    <w:rsid w:val="56145B5F"/>
    <w:rsid w:val="56150435"/>
    <w:rsid w:val="562A2CE9"/>
    <w:rsid w:val="563C6E39"/>
    <w:rsid w:val="56491A3B"/>
    <w:rsid w:val="5659306C"/>
    <w:rsid w:val="56875F18"/>
    <w:rsid w:val="56A92793"/>
    <w:rsid w:val="56B22A9C"/>
    <w:rsid w:val="56CC6A03"/>
    <w:rsid w:val="56F31707"/>
    <w:rsid w:val="5707051B"/>
    <w:rsid w:val="57210934"/>
    <w:rsid w:val="573F5DB1"/>
    <w:rsid w:val="574C257C"/>
    <w:rsid w:val="57614CFF"/>
    <w:rsid w:val="577077E9"/>
    <w:rsid w:val="577C30E0"/>
    <w:rsid w:val="5788784B"/>
    <w:rsid w:val="578B4448"/>
    <w:rsid w:val="57B72A76"/>
    <w:rsid w:val="57BE563F"/>
    <w:rsid w:val="57C2787C"/>
    <w:rsid w:val="57C3426C"/>
    <w:rsid w:val="57C71C02"/>
    <w:rsid w:val="57CE1F93"/>
    <w:rsid w:val="58101989"/>
    <w:rsid w:val="58275F2F"/>
    <w:rsid w:val="5836771A"/>
    <w:rsid w:val="583C7A8D"/>
    <w:rsid w:val="58497555"/>
    <w:rsid w:val="584C68E6"/>
    <w:rsid w:val="58692CBA"/>
    <w:rsid w:val="587972C4"/>
    <w:rsid w:val="588743D1"/>
    <w:rsid w:val="5887701A"/>
    <w:rsid w:val="5898457B"/>
    <w:rsid w:val="58B35501"/>
    <w:rsid w:val="58C139F4"/>
    <w:rsid w:val="58C63F41"/>
    <w:rsid w:val="58D63878"/>
    <w:rsid w:val="58E95558"/>
    <w:rsid w:val="59511B4A"/>
    <w:rsid w:val="595E6675"/>
    <w:rsid w:val="597E4543"/>
    <w:rsid w:val="598147D3"/>
    <w:rsid w:val="59845BCA"/>
    <w:rsid w:val="598D3F90"/>
    <w:rsid w:val="59936EDC"/>
    <w:rsid w:val="599635D2"/>
    <w:rsid w:val="59C0439F"/>
    <w:rsid w:val="59D50177"/>
    <w:rsid w:val="59D93841"/>
    <w:rsid w:val="5A480656"/>
    <w:rsid w:val="5A5377BA"/>
    <w:rsid w:val="5A6E45B7"/>
    <w:rsid w:val="5A812A69"/>
    <w:rsid w:val="5A843DDB"/>
    <w:rsid w:val="5A893E45"/>
    <w:rsid w:val="5A9F1062"/>
    <w:rsid w:val="5AAE5BF0"/>
    <w:rsid w:val="5ABB7C64"/>
    <w:rsid w:val="5ABE2233"/>
    <w:rsid w:val="5ACF0364"/>
    <w:rsid w:val="5ADE54D7"/>
    <w:rsid w:val="5AE84ACF"/>
    <w:rsid w:val="5B001F98"/>
    <w:rsid w:val="5B061E54"/>
    <w:rsid w:val="5B266C40"/>
    <w:rsid w:val="5B335E53"/>
    <w:rsid w:val="5B561CFC"/>
    <w:rsid w:val="5B5F1291"/>
    <w:rsid w:val="5B7401DE"/>
    <w:rsid w:val="5B882D47"/>
    <w:rsid w:val="5B9200CE"/>
    <w:rsid w:val="5B9D5815"/>
    <w:rsid w:val="5BC36E68"/>
    <w:rsid w:val="5BDF5D95"/>
    <w:rsid w:val="5BE03D67"/>
    <w:rsid w:val="5BED78CD"/>
    <w:rsid w:val="5BF37EFE"/>
    <w:rsid w:val="5BFC4F87"/>
    <w:rsid w:val="5BFE7528"/>
    <w:rsid w:val="5C4E0805"/>
    <w:rsid w:val="5C964D33"/>
    <w:rsid w:val="5C9930B4"/>
    <w:rsid w:val="5CA04D2D"/>
    <w:rsid w:val="5CA45A32"/>
    <w:rsid w:val="5CB642DE"/>
    <w:rsid w:val="5CBA25E8"/>
    <w:rsid w:val="5CBF3A85"/>
    <w:rsid w:val="5CE047DB"/>
    <w:rsid w:val="5D015BB7"/>
    <w:rsid w:val="5D052DB6"/>
    <w:rsid w:val="5D0D2190"/>
    <w:rsid w:val="5D234810"/>
    <w:rsid w:val="5D3850E2"/>
    <w:rsid w:val="5D3B2A81"/>
    <w:rsid w:val="5D3D68EA"/>
    <w:rsid w:val="5D7E59F8"/>
    <w:rsid w:val="5D98436E"/>
    <w:rsid w:val="5DAB78D0"/>
    <w:rsid w:val="5DFF2DE1"/>
    <w:rsid w:val="5E0228E4"/>
    <w:rsid w:val="5E2467F1"/>
    <w:rsid w:val="5E5A0423"/>
    <w:rsid w:val="5E674DC9"/>
    <w:rsid w:val="5EA44A4C"/>
    <w:rsid w:val="5EC1019F"/>
    <w:rsid w:val="5ED47ECF"/>
    <w:rsid w:val="5EE934B9"/>
    <w:rsid w:val="5F024D2B"/>
    <w:rsid w:val="5F0E6CD2"/>
    <w:rsid w:val="5F1A2B43"/>
    <w:rsid w:val="5F1C25A7"/>
    <w:rsid w:val="5F2160EC"/>
    <w:rsid w:val="5F341239"/>
    <w:rsid w:val="5F422B99"/>
    <w:rsid w:val="5F477882"/>
    <w:rsid w:val="5F4910A4"/>
    <w:rsid w:val="5F70213D"/>
    <w:rsid w:val="5F8E0DD0"/>
    <w:rsid w:val="5FB51493"/>
    <w:rsid w:val="5FB837BB"/>
    <w:rsid w:val="5FBB4D1D"/>
    <w:rsid w:val="5FCD25D0"/>
    <w:rsid w:val="5FE502A1"/>
    <w:rsid w:val="5FF16360"/>
    <w:rsid w:val="5FF91A19"/>
    <w:rsid w:val="60185CDD"/>
    <w:rsid w:val="604B7C3C"/>
    <w:rsid w:val="605A6092"/>
    <w:rsid w:val="608A02F3"/>
    <w:rsid w:val="609C0C5E"/>
    <w:rsid w:val="609D6352"/>
    <w:rsid w:val="60C8256A"/>
    <w:rsid w:val="60CC405A"/>
    <w:rsid w:val="60DF1247"/>
    <w:rsid w:val="60E60C51"/>
    <w:rsid w:val="60FB6339"/>
    <w:rsid w:val="61497B2C"/>
    <w:rsid w:val="614F25AA"/>
    <w:rsid w:val="616A14E3"/>
    <w:rsid w:val="61740AD9"/>
    <w:rsid w:val="61891E39"/>
    <w:rsid w:val="61923B97"/>
    <w:rsid w:val="619B73E2"/>
    <w:rsid w:val="61B76886"/>
    <w:rsid w:val="61CD250B"/>
    <w:rsid w:val="61DC685D"/>
    <w:rsid w:val="61E215D8"/>
    <w:rsid w:val="61E21FA9"/>
    <w:rsid w:val="61F54084"/>
    <w:rsid w:val="620E3A5E"/>
    <w:rsid w:val="621B3775"/>
    <w:rsid w:val="622D2C8B"/>
    <w:rsid w:val="62343D48"/>
    <w:rsid w:val="62364782"/>
    <w:rsid w:val="623709E5"/>
    <w:rsid w:val="62796BBA"/>
    <w:rsid w:val="62B95DAA"/>
    <w:rsid w:val="62C83944"/>
    <w:rsid w:val="62D03090"/>
    <w:rsid w:val="62F20323"/>
    <w:rsid w:val="62F276B1"/>
    <w:rsid w:val="62FA46DB"/>
    <w:rsid w:val="63072935"/>
    <w:rsid w:val="63234EDD"/>
    <w:rsid w:val="63550DA9"/>
    <w:rsid w:val="63642674"/>
    <w:rsid w:val="63694076"/>
    <w:rsid w:val="638A4CF2"/>
    <w:rsid w:val="6394356A"/>
    <w:rsid w:val="639440E0"/>
    <w:rsid w:val="63A56719"/>
    <w:rsid w:val="63A6046B"/>
    <w:rsid w:val="63C61B2C"/>
    <w:rsid w:val="63D01F2A"/>
    <w:rsid w:val="63D40BE9"/>
    <w:rsid w:val="63E401E0"/>
    <w:rsid w:val="63EE44F8"/>
    <w:rsid w:val="63F460D4"/>
    <w:rsid w:val="64102431"/>
    <w:rsid w:val="64167AB3"/>
    <w:rsid w:val="64484C89"/>
    <w:rsid w:val="64594476"/>
    <w:rsid w:val="646C2EC6"/>
    <w:rsid w:val="647864C3"/>
    <w:rsid w:val="648C3241"/>
    <w:rsid w:val="64A5243A"/>
    <w:rsid w:val="64A860F4"/>
    <w:rsid w:val="64D51F90"/>
    <w:rsid w:val="64DC259F"/>
    <w:rsid w:val="64E74293"/>
    <w:rsid w:val="64F531DE"/>
    <w:rsid w:val="65216E1C"/>
    <w:rsid w:val="65373578"/>
    <w:rsid w:val="65491655"/>
    <w:rsid w:val="654C1410"/>
    <w:rsid w:val="655509A6"/>
    <w:rsid w:val="655A3DBF"/>
    <w:rsid w:val="655D0A3C"/>
    <w:rsid w:val="655D4741"/>
    <w:rsid w:val="65743DF8"/>
    <w:rsid w:val="657505AD"/>
    <w:rsid w:val="65775CE1"/>
    <w:rsid w:val="657D3F8C"/>
    <w:rsid w:val="65906A86"/>
    <w:rsid w:val="659E34C7"/>
    <w:rsid w:val="65A4132B"/>
    <w:rsid w:val="65B37C6A"/>
    <w:rsid w:val="65B75967"/>
    <w:rsid w:val="65BB4BEA"/>
    <w:rsid w:val="65C15AE7"/>
    <w:rsid w:val="65C9123C"/>
    <w:rsid w:val="65D069AC"/>
    <w:rsid w:val="65D23352"/>
    <w:rsid w:val="65E61483"/>
    <w:rsid w:val="65F02653"/>
    <w:rsid w:val="660E3C5F"/>
    <w:rsid w:val="661B1AC2"/>
    <w:rsid w:val="6635475A"/>
    <w:rsid w:val="663F08DD"/>
    <w:rsid w:val="664178E5"/>
    <w:rsid w:val="664408C2"/>
    <w:rsid w:val="6668443D"/>
    <w:rsid w:val="66A445CD"/>
    <w:rsid w:val="66A54284"/>
    <w:rsid w:val="66B303E4"/>
    <w:rsid w:val="66B6348E"/>
    <w:rsid w:val="66BF3C86"/>
    <w:rsid w:val="67095D94"/>
    <w:rsid w:val="671F124A"/>
    <w:rsid w:val="67241EB6"/>
    <w:rsid w:val="674F3E6F"/>
    <w:rsid w:val="67602B04"/>
    <w:rsid w:val="677A33C6"/>
    <w:rsid w:val="678D79C8"/>
    <w:rsid w:val="6798370E"/>
    <w:rsid w:val="67A44D54"/>
    <w:rsid w:val="67A57D4D"/>
    <w:rsid w:val="67AF75D1"/>
    <w:rsid w:val="67CA10E9"/>
    <w:rsid w:val="67F22010"/>
    <w:rsid w:val="67F3323F"/>
    <w:rsid w:val="680E64EC"/>
    <w:rsid w:val="68101EB6"/>
    <w:rsid w:val="68160FA6"/>
    <w:rsid w:val="681F6961"/>
    <w:rsid w:val="683D4A21"/>
    <w:rsid w:val="68610A2F"/>
    <w:rsid w:val="686B65DA"/>
    <w:rsid w:val="687F3E33"/>
    <w:rsid w:val="68805514"/>
    <w:rsid w:val="68840009"/>
    <w:rsid w:val="68AE0E23"/>
    <w:rsid w:val="68B90E46"/>
    <w:rsid w:val="68CF2E67"/>
    <w:rsid w:val="68D15979"/>
    <w:rsid w:val="68DD6955"/>
    <w:rsid w:val="69316E2F"/>
    <w:rsid w:val="694E2071"/>
    <w:rsid w:val="69766163"/>
    <w:rsid w:val="697A3B33"/>
    <w:rsid w:val="698955CA"/>
    <w:rsid w:val="699C4A92"/>
    <w:rsid w:val="69A23A2D"/>
    <w:rsid w:val="69C4382B"/>
    <w:rsid w:val="69D44760"/>
    <w:rsid w:val="69D60195"/>
    <w:rsid w:val="69D83854"/>
    <w:rsid w:val="69E17066"/>
    <w:rsid w:val="69F148BD"/>
    <w:rsid w:val="69F52A27"/>
    <w:rsid w:val="6A0A3065"/>
    <w:rsid w:val="6A244F80"/>
    <w:rsid w:val="6A3F7E58"/>
    <w:rsid w:val="6A520EC7"/>
    <w:rsid w:val="6A820763"/>
    <w:rsid w:val="6A994AE2"/>
    <w:rsid w:val="6AA66F7C"/>
    <w:rsid w:val="6AB10BD3"/>
    <w:rsid w:val="6AB12D99"/>
    <w:rsid w:val="6AE34DE1"/>
    <w:rsid w:val="6AF25099"/>
    <w:rsid w:val="6AF87E20"/>
    <w:rsid w:val="6AFC520A"/>
    <w:rsid w:val="6B322639"/>
    <w:rsid w:val="6B576161"/>
    <w:rsid w:val="6B6100CB"/>
    <w:rsid w:val="6B7B3B40"/>
    <w:rsid w:val="6BAB7E58"/>
    <w:rsid w:val="6BB47915"/>
    <w:rsid w:val="6BF07BAF"/>
    <w:rsid w:val="6BF23F0B"/>
    <w:rsid w:val="6C04436B"/>
    <w:rsid w:val="6C3F4006"/>
    <w:rsid w:val="6C404415"/>
    <w:rsid w:val="6C4B73F8"/>
    <w:rsid w:val="6C4E659A"/>
    <w:rsid w:val="6C62760D"/>
    <w:rsid w:val="6C636C38"/>
    <w:rsid w:val="6C742106"/>
    <w:rsid w:val="6C7B7312"/>
    <w:rsid w:val="6C8167B5"/>
    <w:rsid w:val="6CA41FF3"/>
    <w:rsid w:val="6CB21D21"/>
    <w:rsid w:val="6CDE344F"/>
    <w:rsid w:val="6CE43E11"/>
    <w:rsid w:val="6CE56E71"/>
    <w:rsid w:val="6CF65614"/>
    <w:rsid w:val="6D1C561D"/>
    <w:rsid w:val="6D257D4A"/>
    <w:rsid w:val="6D3E0BDB"/>
    <w:rsid w:val="6D4C1A7F"/>
    <w:rsid w:val="6D536BAA"/>
    <w:rsid w:val="6D6249E7"/>
    <w:rsid w:val="6D8667CE"/>
    <w:rsid w:val="6D8810AE"/>
    <w:rsid w:val="6DA32372"/>
    <w:rsid w:val="6DB34098"/>
    <w:rsid w:val="6DB545B6"/>
    <w:rsid w:val="6DB66549"/>
    <w:rsid w:val="6DE02FB4"/>
    <w:rsid w:val="6DFF059B"/>
    <w:rsid w:val="6E0C76AD"/>
    <w:rsid w:val="6E1811A2"/>
    <w:rsid w:val="6E211F2B"/>
    <w:rsid w:val="6E2163FE"/>
    <w:rsid w:val="6E2D1323"/>
    <w:rsid w:val="6E514CED"/>
    <w:rsid w:val="6E5B161E"/>
    <w:rsid w:val="6E632992"/>
    <w:rsid w:val="6E643FCD"/>
    <w:rsid w:val="6E712470"/>
    <w:rsid w:val="6E7D5818"/>
    <w:rsid w:val="6E8D4441"/>
    <w:rsid w:val="6EA47239"/>
    <w:rsid w:val="6EAA19AE"/>
    <w:rsid w:val="6EAD7EF0"/>
    <w:rsid w:val="6EB43055"/>
    <w:rsid w:val="6EB563D5"/>
    <w:rsid w:val="6ED421B0"/>
    <w:rsid w:val="6ED43FCC"/>
    <w:rsid w:val="6ED92677"/>
    <w:rsid w:val="6EEB45FF"/>
    <w:rsid w:val="6F225983"/>
    <w:rsid w:val="6F2D2B98"/>
    <w:rsid w:val="6F3A54CF"/>
    <w:rsid w:val="6F3B2175"/>
    <w:rsid w:val="6F484F7F"/>
    <w:rsid w:val="6F787A06"/>
    <w:rsid w:val="6F927D49"/>
    <w:rsid w:val="6F990653"/>
    <w:rsid w:val="6FE963F8"/>
    <w:rsid w:val="6FEF206C"/>
    <w:rsid w:val="6FF2592F"/>
    <w:rsid w:val="6FF95FC5"/>
    <w:rsid w:val="6FFB385C"/>
    <w:rsid w:val="6FFC5590"/>
    <w:rsid w:val="702C64C3"/>
    <w:rsid w:val="70550631"/>
    <w:rsid w:val="706D1DD0"/>
    <w:rsid w:val="707709B0"/>
    <w:rsid w:val="70815EAF"/>
    <w:rsid w:val="70856B87"/>
    <w:rsid w:val="708E36BC"/>
    <w:rsid w:val="709C2434"/>
    <w:rsid w:val="70AD66BA"/>
    <w:rsid w:val="70D527EE"/>
    <w:rsid w:val="70F92088"/>
    <w:rsid w:val="710D1F4B"/>
    <w:rsid w:val="7142463B"/>
    <w:rsid w:val="71475197"/>
    <w:rsid w:val="714C7BC5"/>
    <w:rsid w:val="715055ED"/>
    <w:rsid w:val="7152179F"/>
    <w:rsid w:val="715B5300"/>
    <w:rsid w:val="717160B8"/>
    <w:rsid w:val="71847067"/>
    <w:rsid w:val="718E603F"/>
    <w:rsid w:val="719654E0"/>
    <w:rsid w:val="7197149A"/>
    <w:rsid w:val="71A67ECD"/>
    <w:rsid w:val="71A71273"/>
    <w:rsid w:val="71C3602A"/>
    <w:rsid w:val="71C84B3A"/>
    <w:rsid w:val="71C8627B"/>
    <w:rsid w:val="71CA5019"/>
    <w:rsid w:val="71D27F8A"/>
    <w:rsid w:val="71EC17EA"/>
    <w:rsid w:val="71FD65FB"/>
    <w:rsid w:val="72035CCB"/>
    <w:rsid w:val="72210E8B"/>
    <w:rsid w:val="72287BB2"/>
    <w:rsid w:val="722F09F5"/>
    <w:rsid w:val="72345C8F"/>
    <w:rsid w:val="72352D15"/>
    <w:rsid w:val="724816AF"/>
    <w:rsid w:val="72553024"/>
    <w:rsid w:val="728B76C7"/>
    <w:rsid w:val="72A808CE"/>
    <w:rsid w:val="72BB015E"/>
    <w:rsid w:val="72E14E43"/>
    <w:rsid w:val="7306587D"/>
    <w:rsid w:val="73122968"/>
    <w:rsid w:val="73124E05"/>
    <w:rsid w:val="731F5D5E"/>
    <w:rsid w:val="732F7BB3"/>
    <w:rsid w:val="733439D7"/>
    <w:rsid w:val="73401623"/>
    <w:rsid w:val="7341582F"/>
    <w:rsid w:val="735769E0"/>
    <w:rsid w:val="73610D05"/>
    <w:rsid w:val="736E01C2"/>
    <w:rsid w:val="73803C8C"/>
    <w:rsid w:val="738B77F0"/>
    <w:rsid w:val="73920B2B"/>
    <w:rsid w:val="739D5F65"/>
    <w:rsid w:val="73AA76C3"/>
    <w:rsid w:val="73C51AD5"/>
    <w:rsid w:val="73C649FF"/>
    <w:rsid w:val="73D131F4"/>
    <w:rsid w:val="73DE3E07"/>
    <w:rsid w:val="73DF2DE4"/>
    <w:rsid w:val="73F9696E"/>
    <w:rsid w:val="741E530E"/>
    <w:rsid w:val="741E793C"/>
    <w:rsid w:val="74365CEE"/>
    <w:rsid w:val="745354C8"/>
    <w:rsid w:val="745E3944"/>
    <w:rsid w:val="745F2280"/>
    <w:rsid w:val="74755226"/>
    <w:rsid w:val="747669A3"/>
    <w:rsid w:val="74CB3654"/>
    <w:rsid w:val="74DE2737"/>
    <w:rsid w:val="74EC5D3B"/>
    <w:rsid w:val="74EE4752"/>
    <w:rsid w:val="75090455"/>
    <w:rsid w:val="7513098D"/>
    <w:rsid w:val="75494DAE"/>
    <w:rsid w:val="754A01B9"/>
    <w:rsid w:val="75790340"/>
    <w:rsid w:val="75842A89"/>
    <w:rsid w:val="758B2419"/>
    <w:rsid w:val="758F5D3E"/>
    <w:rsid w:val="759479F6"/>
    <w:rsid w:val="75D0384E"/>
    <w:rsid w:val="75E8379C"/>
    <w:rsid w:val="75FF758E"/>
    <w:rsid w:val="76017432"/>
    <w:rsid w:val="7607051D"/>
    <w:rsid w:val="760B58AA"/>
    <w:rsid w:val="76112AEB"/>
    <w:rsid w:val="7618711C"/>
    <w:rsid w:val="761E4C44"/>
    <w:rsid w:val="761F7CB8"/>
    <w:rsid w:val="76265C1A"/>
    <w:rsid w:val="762A1B21"/>
    <w:rsid w:val="7635099D"/>
    <w:rsid w:val="76514558"/>
    <w:rsid w:val="768238DD"/>
    <w:rsid w:val="769030B5"/>
    <w:rsid w:val="77106A9B"/>
    <w:rsid w:val="771B501D"/>
    <w:rsid w:val="776053F3"/>
    <w:rsid w:val="77762421"/>
    <w:rsid w:val="77774B2A"/>
    <w:rsid w:val="77885C49"/>
    <w:rsid w:val="779A541A"/>
    <w:rsid w:val="779D2DAD"/>
    <w:rsid w:val="77A0012D"/>
    <w:rsid w:val="77A13454"/>
    <w:rsid w:val="77B56B1F"/>
    <w:rsid w:val="77D5220E"/>
    <w:rsid w:val="77DC54A3"/>
    <w:rsid w:val="77E141C3"/>
    <w:rsid w:val="77E92200"/>
    <w:rsid w:val="780F09F4"/>
    <w:rsid w:val="785B6DA1"/>
    <w:rsid w:val="78844BC3"/>
    <w:rsid w:val="78885037"/>
    <w:rsid w:val="78A90480"/>
    <w:rsid w:val="78C00935"/>
    <w:rsid w:val="78D45603"/>
    <w:rsid w:val="78EB2A67"/>
    <w:rsid w:val="78F4782D"/>
    <w:rsid w:val="791F5D67"/>
    <w:rsid w:val="7922128C"/>
    <w:rsid w:val="79236323"/>
    <w:rsid w:val="792D1F94"/>
    <w:rsid w:val="79306721"/>
    <w:rsid w:val="7940368F"/>
    <w:rsid w:val="796653B0"/>
    <w:rsid w:val="797C1A84"/>
    <w:rsid w:val="798E263E"/>
    <w:rsid w:val="79945603"/>
    <w:rsid w:val="79AE1080"/>
    <w:rsid w:val="79BD71CD"/>
    <w:rsid w:val="79D566AA"/>
    <w:rsid w:val="79F91D7C"/>
    <w:rsid w:val="7A0642F2"/>
    <w:rsid w:val="7A1268B5"/>
    <w:rsid w:val="7A216263"/>
    <w:rsid w:val="7A364017"/>
    <w:rsid w:val="7A3B58BD"/>
    <w:rsid w:val="7A55285F"/>
    <w:rsid w:val="7A55402B"/>
    <w:rsid w:val="7A64589D"/>
    <w:rsid w:val="7A747699"/>
    <w:rsid w:val="7A7F6EF2"/>
    <w:rsid w:val="7A8265E1"/>
    <w:rsid w:val="7A8A4B16"/>
    <w:rsid w:val="7A933949"/>
    <w:rsid w:val="7AB45BBF"/>
    <w:rsid w:val="7AB718AF"/>
    <w:rsid w:val="7ACE4BAF"/>
    <w:rsid w:val="7B0320BB"/>
    <w:rsid w:val="7B0912C4"/>
    <w:rsid w:val="7B482A53"/>
    <w:rsid w:val="7B4A3E77"/>
    <w:rsid w:val="7B535CF3"/>
    <w:rsid w:val="7B5A29D7"/>
    <w:rsid w:val="7B686D42"/>
    <w:rsid w:val="7B712CBB"/>
    <w:rsid w:val="7B79673B"/>
    <w:rsid w:val="7B841746"/>
    <w:rsid w:val="7B8B6F6F"/>
    <w:rsid w:val="7B967E93"/>
    <w:rsid w:val="7BC96724"/>
    <w:rsid w:val="7BD83B2F"/>
    <w:rsid w:val="7C045E47"/>
    <w:rsid w:val="7C23124E"/>
    <w:rsid w:val="7C354ADD"/>
    <w:rsid w:val="7C4C4E83"/>
    <w:rsid w:val="7C6C5AC7"/>
    <w:rsid w:val="7C8A0685"/>
    <w:rsid w:val="7C8B6DF3"/>
    <w:rsid w:val="7CC6544B"/>
    <w:rsid w:val="7CD05733"/>
    <w:rsid w:val="7CD11DEB"/>
    <w:rsid w:val="7D0239FF"/>
    <w:rsid w:val="7D0E2DC4"/>
    <w:rsid w:val="7D0F6292"/>
    <w:rsid w:val="7D213F67"/>
    <w:rsid w:val="7D2949FE"/>
    <w:rsid w:val="7D366025"/>
    <w:rsid w:val="7D5E40CD"/>
    <w:rsid w:val="7D5F2B5E"/>
    <w:rsid w:val="7D702FEA"/>
    <w:rsid w:val="7D707897"/>
    <w:rsid w:val="7DC73BEA"/>
    <w:rsid w:val="7DCD56F2"/>
    <w:rsid w:val="7DE45683"/>
    <w:rsid w:val="7DEA63FC"/>
    <w:rsid w:val="7DED696A"/>
    <w:rsid w:val="7DEF72F3"/>
    <w:rsid w:val="7E2236B7"/>
    <w:rsid w:val="7E2F3B8A"/>
    <w:rsid w:val="7E5C4BE1"/>
    <w:rsid w:val="7E6B1EE9"/>
    <w:rsid w:val="7E6B6D02"/>
    <w:rsid w:val="7E897751"/>
    <w:rsid w:val="7E941052"/>
    <w:rsid w:val="7E962BB7"/>
    <w:rsid w:val="7E992FF9"/>
    <w:rsid w:val="7EB531AF"/>
    <w:rsid w:val="7EDD15CA"/>
    <w:rsid w:val="7EEA248D"/>
    <w:rsid w:val="7EEF35BD"/>
    <w:rsid w:val="7F001CE7"/>
    <w:rsid w:val="7F346D5B"/>
    <w:rsid w:val="7F3D50A1"/>
    <w:rsid w:val="7F551B0F"/>
    <w:rsid w:val="7F777D64"/>
    <w:rsid w:val="7F833DB1"/>
    <w:rsid w:val="7F952830"/>
    <w:rsid w:val="7FAD0148"/>
    <w:rsid w:val="7FB66B42"/>
    <w:rsid w:val="7FD34ADC"/>
    <w:rsid w:val="7FE47E50"/>
    <w:rsid w:val="7FF44CE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iPriority="39" w:semiHidden="0" w:name="toc 9" w:locked="1"/>
    <w:lsdException w:qFormat="1"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iPriority="99"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qFormat="1"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9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宋体" w:hAnsi="宋体" w:eastAsia="宋体" w:cs="宋体"/>
      <w:bCs/>
      <w:kern w:val="2"/>
      <w:sz w:val="24"/>
      <w:szCs w:val="24"/>
      <w:lang w:val="en-US" w:eastAsia="zh-CN" w:bidi="ar-SA"/>
    </w:rPr>
  </w:style>
  <w:style w:type="paragraph" w:styleId="2">
    <w:name w:val="heading 1"/>
    <w:basedOn w:val="1"/>
    <w:next w:val="1"/>
    <w:qFormat/>
    <w:locked/>
    <w:uiPriority w:val="0"/>
    <w:pPr>
      <w:widowControl/>
      <w:adjustRightInd/>
      <w:snapToGrid/>
      <w:spacing w:line="240" w:lineRule="auto"/>
      <w:ind w:firstLine="0" w:firstLineChars="0"/>
      <w:jc w:val="center"/>
      <w:outlineLvl w:val="0"/>
    </w:pPr>
    <w:rPr>
      <w:rFonts w:ascii="黑体" w:hAnsi="黑体" w:eastAsia="黑体" w:cs="Times New Roman"/>
      <w:bCs w:val="0"/>
      <w:snapToGrid w:val="0"/>
      <w:kern w:val="0"/>
      <w:sz w:val="30"/>
      <w:szCs w:val="30"/>
    </w:rPr>
  </w:style>
  <w:style w:type="paragraph" w:styleId="3">
    <w:name w:val="heading 2"/>
    <w:basedOn w:val="1"/>
    <w:next w:val="1"/>
    <w:qFormat/>
    <w:locked/>
    <w:uiPriority w:val="9"/>
    <w:pPr>
      <w:keepNext/>
      <w:keepLines/>
      <w:spacing w:before="260" w:after="260" w:line="416" w:lineRule="auto"/>
      <w:outlineLvl w:val="1"/>
    </w:pPr>
    <w:rPr>
      <w:rFonts w:ascii="Cambria" w:hAnsi="Cambria" w:eastAsia="宋体" w:cs="Times New Roman"/>
      <w:b/>
      <w:sz w:val="32"/>
      <w:szCs w:val="32"/>
    </w:rPr>
  </w:style>
  <w:style w:type="paragraph" w:styleId="4">
    <w:name w:val="heading 3"/>
    <w:basedOn w:val="1"/>
    <w:next w:val="1"/>
    <w:semiHidden/>
    <w:unhideWhenUsed/>
    <w:qFormat/>
    <w:locked/>
    <w:uiPriority w:val="0"/>
    <w:pPr>
      <w:spacing w:before="0" w:beforeAutospacing="1" w:after="0" w:afterAutospacing="1"/>
      <w:jc w:val="left"/>
    </w:pPr>
    <w:rPr>
      <w:rFonts w:hint="eastAsia" w:ascii="宋体" w:hAnsi="宋体" w:eastAsia="宋体" w:cs="宋体"/>
      <w:b/>
      <w:color w:val="auto"/>
      <w:kern w:val="0"/>
      <w:sz w:val="27"/>
      <w:szCs w:val="27"/>
      <w:lang w:val="en-US" w:eastAsia="zh-CN" w:bidi="ar"/>
    </w:rPr>
  </w:style>
  <w:style w:type="paragraph" w:styleId="5">
    <w:name w:val="heading 4"/>
    <w:basedOn w:val="1"/>
    <w:next w:val="1"/>
    <w:qFormat/>
    <w:locked/>
    <w:uiPriority w:val="0"/>
    <w:pPr>
      <w:keepNext/>
      <w:keepLines/>
      <w:spacing w:before="280" w:beforeLines="0" w:beforeAutospacing="0" w:after="290" w:afterLines="0" w:afterAutospacing="0" w:line="372" w:lineRule="auto"/>
      <w:jc w:val="center"/>
      <w:outlineLvl w:val="3"/>
    </w:pPr>
    <w:rPr>
      <w:rFonts w:ascii="Times New Roman" w:hAnsi="Times New Roman" w:eastAsia="宋体"/>
      <w:b/>
    </w:rPr>
  </w:style>
  <w:style w:type="character" w:default="1" w:styleId="38">
    <w:name w:val="Default Paragraph Font"/>
    <w:semiHidden/>
    <w:qFormat/>
    <w:uiPriority w:val="0"/>
  </w:style>
  <w:style w:type="table" w:default="1" w:styleId="35">
    <w:name w:val="Normal Table"/>
    <w:semiHidden/>
    <w:qFormat/>
    <w:uiPriority w:val="0"/>
    <w:tblPr>
      <w:tblCellMar>
        <w:top w:w="0" w:type="dxa"/>
        <w:left w:w="108" w:type="dxa"/>
        <w:bottom w:w="0" w:type="dxa"/>
        <w:right w:w="108" w:type="dxa"/>
      </w:tblCellMar>
    </w:tblPr>
  </w:style>
  <w:style w:type="paragraph" w:styleId="6">
    <w:name w:val="Normal Indent"/>
    <w:basedOn w:val="1"/>
    <w:next w:val="7"/>
    <w:unhideWhenUsed/>
    <w:qFormat/>
    <w:locked/>
    <w:uiPriority w:val="0"/>
    <w:pPr>
      <w:spacing w:line="520" w:lineRule="exact"/>
      <w:ind w:firstLine="624"/>
    </w:pPr>
    <w:rPr>
      <w:rFonts w:ascii="Calibri" w:hAnsi="Calibri" w:eastAsia="宋体" w:cs="Times New Roman"/>
      <w:sz w:val="28"/>
      <w:szCs w:val="22"/>
    </w:rPr>
  </w:style>
  <w:style w:type="paragraph" w:styleId="7">
    <w:name w:val="Body Text"/>
    <w:basedOn w:val="1"/>
    <w:next w:val="1"/>
    <w:link w:val="48"/>
    <w:qFormat/>
    <w:uiPriority w:val="0"/>
    <w:pPr>
      <w:widowControl/>
      <w:snapToGrid w:val="0"/>
      <w:spacing w:before="60" w:after="160" w:line="259" w:lineRule="auto"/>
      <w:ind w:right="113"/>
    </w:pPr>
    <w:rPr>
      <w:rFonts w:ascii="Times New Roman" w:hAnsi="Times New Roman" w:cs="Times New Roman"/>
      <w:bCs w:val="0"/>
      <w:kern w:val="0"/>
      <w:sz w:val="18"/>
      <w:szCs w:val="20"/>
    </w:rPr>
  </w:style>
  <w:style w:type="paragraph" w:styleId="8">
    <w:name w:val="caption"/>
    <w:basedOn w:val="1"/>
    <w:next w:val="1"/>
    <w:unhideWhenUsed/>
    <w:qFormat/>
    <w:locked/>
    <w:uiPriority w:val="0"/>
    <w:pPr>
      <w:spacing w:before="152" w:after="160"/>
      <w:jc w:val="center"/>
    </w:pPr>
    <w:rPr>
      <w:sz w:val="21"/>
      <w:szCs w:val="21"/>
    </w:rPr>
  </w:style>
  <w:style w:type="paragraph" w:styleId="9">
    <w:name w:val="Document Map"/>
    <w:basedOn w:val="1"/>
    <w:link w:val="49"/>
    <w:qFormat/>
    <w:locked/>
    <w:uiPriority w:val="0"/>
    <w:rPr>
      <w:rFonts w:hAnsi="Times New Roman" w:cs="Times New Roman"/>
      <w:bCs w:val="0"/>
      <w:sz w:val="18"/>
      <w:szCs w:val="18"/>
    </w:rPr>
  </w:style>
  <w:style w:type="paragraph" w:styleId="10">
    <w:name w:val="toa heading"/>
    <w:basedOn w:val="1"/>
    <w:next w:val="1"/>
    <w:semiHidden/>
    <w:qFormat/>
    <w:locked/>
    <w:uiPriority w:val="0"/>
    <w:pPr>
      <w:spacing w:before="120"/>
    </w:pPr>
    <w:rPr>
      <w:rFonts w:ascii="Arial" w:hAnsi="宋体" w:cs="宋体"/>
      <w:kern w:val="0"/>
      <w:sz w:val="24"/>
      <w:szCs w:val="20"/>
    </w:rPr>
  </w:style>
  <w:style w:type="paragraph" w:styleId="11">
    <w:name w:val="annotation text"/>
    <w:basedOn w:val="1"/>
    <w:link w:val="50"/>
    <w:semiHidden/>
    <w:qFormat/>
    <w:uiPriority w:val="0"/>
    <w:pPr>
      <w:jc w:val="left"/>
    </w:pPr>
    <w:rPr>
      <w:rFonts w:ascii="Times New Roman" w:hAnsi="Times New Roman" w:cs="Times New Roman"/>
      <w:bCs w:val="0"/>
      <w:kern w:val="0"/>
      <w:szCs w:val="20"/>
    </w:rPr>
  </w:style>
  <w:style w:type="paragraph" w:styleId="12">
    <w:name w:val="Body Text Indent"/>
    <w:basedOn w:val="1"/>
    <w:next w:val="1"/>
    <w:link w:val="51"/>
    <w:qFormat/>
    <w:uiPriority w:val="0"/>
    <w:pPr>
      <w:spacing w:after="120"/>
      <w:ind w:left="420" w:leftChars="200"/>
    </w:pPr>
    <w:rPr>
      <w:rFonts w:ascii="Times New Roman" w:hAnsi="Times New Roman" w:cs="Times New Roman"/>
      <w:bCs w:val="0"/>
      <w:kern w:val="0"/>
      <w:szCs w:val="20"/>
    </w:rPr>
  </w:style>
  <w:style w:type="paragraph" w:styleId="13">
    <w:name w:val="Block Text"/>
    <w:basedOn w:val="1"/>
    <w:next w:val="1"/>
    <w:qFormat/>
    <w:locked/>
    <w:uiPriority w:val="0"/>
    <w:pPr>
      <w:spacing w:after="120"/>
      <w:ind w:left="1440" w:leftChars="700" w:rightChars="700"/>
    </w:pPr>
    <w:rPr>
      <w:szCs w:val="21"/>
    </w:rPr>
  </w:style>
  <w:style w:type="paragraph" w:styleId="14">
    <w:name w:val="Plain Text"/>
    <w:basedOn w:val="1"/>
    <w:qFormat/>
    <w:locked/>
    <w:uiPriority w:val="0"/>
    <w:rPr>
      <w:rFonts w:ascii="宋体" w:hAnsi="Courier New" w:eastAsia="仿宋_GB2312"/>
      <w:kern w:val="0"/>
      <w:sz w:val="28"/>
      <w:szCs w:val="20"/>
    </w:rPr>
  </w:style>
  <w:style w:type="paragraph" w:styleId="15">
    <w:name w:val="List Bullet 5"/>
    <w:basedOn w:val="1"/>
    <w:qFormat/>
    <w:locked/>
    <w:uiPriority w:val="0"/>
    <w:pPr>
      <w:numPr>
        <w:ilvl w:val="0"/>
        <w:numId w:val="1"/>
      </w:numPr>
    </w:pPr>
  </w:style>
  <w:style w:type="paragraph" w:styleId="16">
    <w:name w:val="Date"/>
    <w:basedOn w:val="1"/>
    <w:next w:val="1"/>
    <w:link w:val="52"/>
    <w:qFormat/>
    <w:uiPriority w:val="0"/>
    <w:pPr>
      <w:ind w:left="100" w:leftChars="2500"/>
    </w:pPr>
    <w:rPr>
      <w:rFonts w:ascii="Times New Roman" w:hAnsi="Times New Roman" w:cs="Times New Roman"/>
      <w:bCs w:val="0"/>
      <w:kern w:val="0"/>
      <w:szCs w:val="20"/>
    </w:rPr>
  </w:style>
  <w:style w:type="paragraph" w:styleId="17">
    <w:name w:val="Body Text Indent 2"/>
    <w:basedOn w:val="1"/>
    <w:qFormat/>
    <w:locked/>
    <w:uiPriority w:val="0"/>
    <w:pPr>
      <w:spacing w:after="120" w:afterLines="0" w:line="480" w:lineRule="auto"/>
      <w:ind w:left="420" w:leftChars="200"/>
    </w:pPr>
    <w:rPr>
      <w:kern w:val="0"/>
      <w:sz w:val="28"/>
      <w:szCs w:val="20"/>
    </w:rPr>
  </w:style>
  <w:style w:type="paragraph" w:styleId="18">
    <w:name w:val="Balloon Text"/>
    <w:basedOn w:val="1"/>
    <w:link w:val="53"/>
    <w:semiHidden/>
    <w:qFormat/>
    <w:uiPriority w:val="0"/>
    <w:rPr>
      <w:rFonts w:ascii="Times New Roman" w:hAnsi="Times New Roman" w:cs="Times New Roman"/>
      <w:bCs w:val="0"/>
      <w:kern w:val="0"/>
      <w:sz w:val="18"/>
      <w:szCs w:val="20"/>
    </w:rPr>
  </w:style>
  <w:style w:type="paragraph" w:styleId="19">
    <w:name w:val="footer"/>
    <w:basedOn w:val="1"/>
    <w:link w:val="54"/>
    <w:qFormat/>
    <w:uiPriority w:val="99"/>
    <w:pPr>
      <w:tabs>
        <w:tab w:val="center" w:pos="4153"/>
        <w:tab w:val="right" w:pos="8306"/>
      </w:tabs>
      <w:snapToGrid w:val="0"/>
      <w:jc w:val="left"/>
    </w:pPr>
    <w:rPr>
      <w:rFonts w:ascii="Times New Roman" w:hAnsi="Times New Roman" w:cs="Times New Roman"/>
      <w:bCs w:val="0"/>
      <w:kern w:val="0"/>
      <w:sz w:val="18"/>
      <w:szCs w:val="20"/>
    </w:rPr>
  </w:style>
  <w:style w:type="paragraph" w:styleId="20">
    <w:name w:val="header"/>
    <w:basedOn w:val="1"/>
    <w:link w:val="55"/>
    <w:qFormat/>
    <w:uiPriority w:val="0"/>
    <w:pPr>
      <w:pBdr>
        <w:bottom w:val="single" w:color="auto" w:sz="6" w:space="1"/>
      </w:pBdr>
      <w:tabs>
        <w:tab w:val="center" w:pos="4153"/>
        <w:tab w:val="right" w:pos="8306"/>
      </w:tabs>
      <w:snapToGrid w:val="0"/>
      <w:jc w:val="center"/>
    </w:pPr>
    <w:rPr>
      <w:rFonts w:ascii="Times New Roman" w:hAnsi="Times New Roman" w:cs="Times New Roman"/>
      <w:bCs w:val="0"/>
      <w:kern w:val="0"/>
      <w:sz w:val="18"/>
      <w:szCs w:val="20"/>
    </w:rPr>
  </w:style>
  <w:style w:type="paragraph" w:styleId="21">
    <w:name w:val="toc 1"/>
    <w:basedOn w:val="1"/>
    <w:next w:val="1"/>
    <w:qFormat/>
    <w:locked/>
    <w:uiPriority w:val="39"/>
  </w:style>
  <w:style w:type="paragraph" w:styleId="22">
    <w:name w:val="List"/>
    <w:basedOn w:val="1"/>
    <w:qFormat/>
    <w:locked/>
    <w:uiPriority w:val="0"/>
    <w:pPr>
      <w:spacing w:line="360" w:lineRule="exact"/>
      <w:jc w:val="center"/>
    </w:pPr>
    <w:rPr>
      <w:rFonts w:ascii="仿宋_GB2312" w:eastAsia="仿宋_GB2312"/>
      <w:sz w:val="24"/>
      <w:szCs w:val="20"/>
    </w:rPr>
  </w:style>
  <w:style w:type="paragraph" w:styleId="23">
    <w:name w:val="table of figures"/>
    <w:basedOn w:val="1"/>
    <w:next w:val="1"/>
    <w:qFormat/>
    <w:locked/>
    <w:uiPriority w:val="0"/>
    <w:pPr>
      <w:autoSpaceDE w:val="0"/>
      <w:autoSpaceDN w:val="0"/>
      <w:spacing w:line="360" w:lineRule="auto"/>
      <w:ind w:left="200" w:leftChars="200" w:hanging="200" w:hangingChars="200"/>
    </w:pPr>
    <w:rPr>
      <w:sz w:val="28"/>
      <w:szCs w:val="20"/>
    </w:rPr>
  </w:style>
  <w:style w:type="paragraph" w:styleId="24">
    <w:name w:val="toc 2"/>
    <w:basedOn w:val="1"/>
    <w:next w:val="1"/>
    <w:unhideWhenUsed/>
    <w:qFormat/>
    <w:locked/>
    <w:uiPriority w:val="39"/>
    <w:pPr>
      <w:widowControl/>
      <w:spacing w:after="100" w:afterLines="0" w:line="276" w:lineRule="auto"/>
      <w:ind w:left="220"/>
      <w:jc w:val="left"/>
    </w:pPr>
    <w:rPr>
      <w:rFonts w:ascii="Calibri" w:hAnsi="Calibri" w:eastAsia="宋体" w:cs="Times New Roman"/>
      <w:kern w:val="0"/>
      <w:sz w:val="22"/>
      <w:szCs w:val="22"/>
    </w:rPr>
  </w:style>
  <w:style w:type="paragraph" w:styleId="25">
    <w:name w:val="toc 9"/>
    <w:basedOn w:val="1"/>
    <w:next w:val="1"/>
    <w:unhideWhenUsed/>
    <w:qFormat/>
    <w:locked/>
    <w:uiPriority w:val="39"/>
    <w:pPr>
      <w:ind w:left="1680"/>
      <w:jc w:val="left"/>
    </w:pPr>
    <w:rPr>
      <w:rFonts w:ascii="Calibri" w:hAnsi="Calibri" w:cs="Calibri"/>
      <w:sz w:val="20"/>
      <w:szCs w:val="20"/>
    </w:rPr>
  </w:style>
  <w:style w:type="paragraph" w:styleId="26">
    <w:name w:val="Body Text 2"/>
    <w:basedOn w:val="1"/>
    <w:unhideWhenUsed/>
    <w:qFormat/>
    <w:locked/>
    <w:uiPriority w:val="0"/>
    <w:pPr>
      <w:spacing w:after="120" w:line="480" w:lineRule="auto"/>
    </w:pPr>
  </w:style>
  <w:style w:type="paragraph" w:styleId="27">
    <w:name w:val="Message Header"/>
    <w:basedOn w:val="1"/>
    <w:link w:val="56"/>
    <w:qFormat/>
    <w:locked/>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rPr>
  </w:style>
  <w:style w:type="paragraph" w:styleId="28">
    <w:name w:val="HTML Preformatted"/>
    <w:basedOn w:val="1"/>
    <w:unhideWhenUsed/>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9">
    <w:name w:val="Normal (Web)"/>
    <w:basedOn w:val="1"/>
    <w:link w:val="57"/>
    <w:qFormat/>
    <w:uiPriority w:val="0"/>
    <w:pPr>
      <w:widowControl/>
      <w:spacing w:before="100" w:beforeAutospacing="1" w:after="100" w:afterAutospacing="1"/>
      <w:jc w:val="left"/>
    </w:pPr>
    <w:rPr>
      <w:rFonts w:cs="Times New Roman"/>
      <w:bCs w:val="0"/>
      <w:kern w:val="0"/>
      <w:szCs w:val="20"/>
    </w:rPr>
  </w:style>
  <w:style w:type="paragraph" w:styleId="30">
    <w:name w:val="Title"/>
    <w:basedOn w:val="1"/>
    <w:next w:val="1"/>
    <w:qFormat/>
    <w:locked/>
    <w:uiPriority w:val="0"/>
    <w:pPr>
      <w:pageBreakBefore/>
      <w:jc w:val="left"/>
      <w:outlineLvl w:val="0"/>
    </w:pPr>
    <w:rPr>
      <w:rFonts w:ascii="Cambria" w:hAnsi="Cambria"/>
      <w:b/>
      <w:sz w:val="32"/>
      <w:szCs w:val="32"/>
    </w:rPr>
  </w:style>
  <w:style w:type="paragraph" w:styleId="31">
    <w:name w:val="annotation subject"/>
    <w:basedOn w:val="11"/>
    <w:next w:val="11"/>
    <w:link w:val="58"/>
    <w:semiHidden/>
    <w:qFormat/>
    <w:uiPriority w:val="0"/>
    <w:rPr>
      <w:b/>
      <w:kern w:val="2"/>
    </w:rPr>
  </w:style>
  <w:style w:type="paragraph" w:styleId="32">
    <w:name w:val="Body Text First Indent"/>
    <w:basedOn w:val="1"/>
    <w:next w:val="33"/>
    <w:qFormat/>
    <w:locked/>
    <w:uiPriority w:val="0"/>
    <w:pPr>
      <w:spacing w:after="120"/>
      <w:ind w:firstLine="420" w:firstLineChars="100"/>
    </w:pPr>
  </w:style>
  <w:style w:type="paragraph" w:customStyle="1" w:styleId="33">
    <w:name w:val="样式 正文首行缩进 + 首行缩进:  2 字符1"/>
    <w:basedOn w:val="1"/>
    <w:next w:val="21"/>
    <w:qFormat/>
    <w:uiPriority w:val="0"/>
    <w:pPr>
      <w:spacing w:line="360" w:lineRule="auto"/>
      <w:ind w:firstLine="480" w:firstLineChars="200"/>
    </w:pPr>
    <w:rPr>
      <w:sz w:val="24"/>
    </w:rPr>
  </w:style>
  <w:style w:type="paragraph" w:styleId="34">
    <w:name w:val="Body Text First Indent 2"/>
    <w:basedOn w:val="12"/>
    <w:next w:val="1"/>
    <w:qFormat/>
    <w:locked/>
    <w:uiPriority w:val="0"/>
    <w:pPr>
      <w:ind w:firstLine="420" w:firstLineChars="200"/>
    </w:pPr>
  </w:style>
  <w:style w:type="table" w:styleId="36">
    <w:name w:val="Table Grid"/>
    <w:basedOn w:val="35"/>
    <w:qFormat/>
    <w:uiPriority w:val="9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7">
    <w:name w:val="Table Classic 1"/>
    <w:basedOn w:val="35"/>
    <w:qFormat/>
    <w:locked/>
    <w:uiPriority w:val="0"/>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39">
    <w:name w:val="Strong"/>
    <w:qFormat/>
    <w:locked/>
    <w:uiPriority w:val="0"/>
    <w:rPr>
      <w:rFonts w:ascii="Times New Roman" w:hAnsi="Times New Roman" w:eastAsia="宋体" w:cs="Times New Roman"/>
      <w:b/>
      <w:bCs/>
      <w:kern w:val="0"/>
      <w:sz w:val="24"/>
      <w:szCs w:val="20"/>
    </w:rPr>
  </w:style>
  <w:style w:type="character" w:styleId="40">
    <w:name w:val="page number"/>
    <w:basedOn w:val="38"/>
    <w:qFormat/>
    <w:locked/>
    <w:uiPriority w:val="0"/>
  </w:style>
  <w:style w:type="character" w:styleId="41">
    <w:name w:val="Hyperlink"/>
    <w:basedOn w:val="38"/>
    <w:unhideWhenUsed/>
    <w:qFormat/>
    <w:locked/>
    <w:uiPriority w:val="99"/>
    <w:rPr>
      <w:color w:val="0000FF"/>
      <w:u w:val="single"/>
    </w:rPr>
  </w:style>
  <w:style w:type="character" w:styleId="42">
    <w:name w:val="annotation reference"/>
    <w:semiHidden/>
    <w:qFormat/>
    <w:uiPriority w:val="0"/>
    <w:rPr>
      <w:sz w:val="21"/>
    </w:rPr>
  </w:style>
  <w:style w:type="paragraph" w:customStyle="1" w:styleId="43">
    <w:name w:val="Default"/>
    <w:basedOn w:val="44"/>
    <w:next w:val="1"/>
    <w:qFormat/>
    <w:uiPriority w:val="0"/>
    <w:pPr>
      <w:widowControl w:val="0"/>
      <w:autoSpaceDE w:val="0"/>
      <w:autoSpaceDN w:val="0"/>
      <w:adjustRightInd w:val="0"/>
    </w:pPr>
    <w:rPr>
      <w:rFonts w:ascii="华文宋体" w:hAnsi="华文宋体" w:cs="华文宋体"/>
      <w:color w:val="000000"/>
      <w:sz w:val="24"/>
      <w:szCs w:val="24"/>
      <w:lang w:val="en-US" w:eastAsia="zh-CN" w:bidi="ar-SA"/>
    </w:rPr>
  </w:style>
  <w:style w:type="paragraph" w:customStyle="1" w:styleId="44">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45">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color w:val="000000"/>
      <w:kern w:val="0"/>
      <w:sz w:val="18"/>
      <w:szCs w:val="18"/>
    </w:rPr>
  </w:style>
  <w:style w:type="paragraph" w:customStyle="1" w:styleId="46">
    <w:name w:val="Normal (Web)1"/>
    <w:basedOn w:val="1"/>
    <w:next w:val="47"/>
    <w:qFormat/>
    <w:uiPriority w:val="0"/>
    <w:pPr>
      <w:widowControl/>
    </w:pPr>
    <w:rPr>
      <w:rFonts w:ascii="宋体" w:eastAsia="宋体" w:cs="Times New Roman"/>
      <w:sz w:val="24"/>
      <w:szCs w:val="21"/>
    </w:rPr>
  </w:style>
  <w:style w:type="paragraph" w:customStyle="1" w:styleId="47">
    <w:name w:val="Date1"/>
    <w:basedOn w:val="1"/>
    <w:next w:val="1"/>
    <w:qFormat/>
    <w:uiPriority w:val="0"/>
    <w:pPr>
      <w:ind w:left="2500" w:leftChars="2500"/>
    </w:pPr>
  </w:style>
  <w:style w:type="character" w:customStyle="1" w:styleId="48">
    <w:name w:val="正文文本 字符"/>
    <w:link w:val="7"/>
    <w:qFormat/>
    <w:locked/>
    <w:uiPriority w:val="0"/>
    <w:rPr>
      <w:sz w:val="18"/>
    </w:rPr>
  </w:style>
  <w:style w:type="character" w:customStyle="1" w:styleId="49">
    <w:name w:val="文档结构图 字符"/>
    <w:link w:val="9"/>
    <w:qFormat/>
    <w:uiPriority w:val="0"/>
    <w:rPr>
      <w:rFonts w:ascii="宋体"/>
      <w:kern w:val="2"/>
      <w:sz w:val="18"/>
      <w:szCs w:val="18"/>
    </w:rPr>
  </w:style>
  <w:style w:type="character" w:customStyle="1" w:styleId="50">
    <w:name w:val="批注文字 字符"/>
    <w:link w:val="11"/>
    <w:qFormat/>
    <w:locked/>
    <w:uiPriority w:val="0"/>
    <w:rPr>
      <w:rFonts w:ascii="Times New Roman" w:hAnsi="Times New Roman" w:eastAsia="宋体"/>
      <w:sz w:val="24"/>
    </w:rPr>
  </w:style>
  <w:style w:type="character" w:customStyle="1" w:styleId="51">
    <w:name w:val="正文文本缩进 字符"/>
    <w:link w:val="12"/>
    <w:semiHidden/>
    <w:qFormat/>
    <w:locked/>
    <w:uiPriority w:val="0"/>
    <w:rPr>
      <w:rFonts w:ascii="Times New Roman" w:hAnsi="Times New Roman" w:eastAsia="宋体"/>
      <w:sz w:val="24"/>
    </w:rPr>
  </w:style>
  <w:style w:type="character" w:customStyle="1" w:styleId="52">
    <w:name w:val="日期 字符1"/>
    <w:link w:val="16"/>
    <w:qFormat/>
    <w:locked/>
    <w:uiPriority w:val="0"/>
    <w:rPr>
      <w:rFonts w:ascii="Times New Roman" w:hAnsi="Times New Roman" w:eastAsia="宋体"/>
      <w:sz w:val="24"/>
    </w:rPr>
  </w:style>
  <w:style w:type="character" w:customStyle="1" w:styleId="53">
    <w:name w:val="批注框文本 字符"/>
    <w:link w:val="18"/>
    <w:semiHidden/>
    <w:qFormat/>
    <w:locked/>
    <w:uiPriority w:val="0"/>
    <w:rPr>
      <w:rFonts w:ascii="Times New Roman" w:hAnsi="Times New Roman" w:eastAsia="宋体"/>
      <w:sz w:val="18"/>
    </w:rPr>
  </w:style>
  <w:style w:type="character" w:customStyle="1" w:styleId="54">
    <w:name w:val="页脚 字符1"/>
    <w:link w:val="19"/>
    <w:qFormat/>
    <w:locked/>
    <w:uiPriority w:val="99"/>
    <w:rPr>
      <w:sz w:val="18"/>
    </w:rPr>
  </w:style>
  <w:style w:type="character" w:customStyle="1" w:styleId="55">
    <w:name w:val="页眉 字符"/>
    <w:link w:val="20"/>
    <w:qFormat/>
    <w:locked/>
    <w:uiPriority w:val="0"/>
    <w:rPr>
      <w:sz w:val="18"/>
    </w:rPr>
  </w:style>
  <w:style w:type="character" w:customStyle="1" w:styleId="56">
    <w:name w:val="信息标题 字符"/>
    <w:link w:val="27"/>
    <w:qFormat/>
    <w:uiPriority w:val="0"/>
    <w:rPr>
      <w:rFonts w:ascii="Cambria" w:hAnsi="Cambria" w:eastAsia="宋体" w:cs="Times New Roman"/>
      <w:bCs/>
      <w:kern w:val="2"/>
      <w:sz w:val="24"/>
      <w:szCs w:val="24"/>
      <w:shd w:val="pct20" w:color="auto" w:fill="auto"/>
    </w:rPr>
  </w:style>
  <w:style w:type="character" w:customStyle="1" w:styleId="57">
    <w:name w:val="普通(网站) 字符"/>
    <w:link w:val="29"/>
    <w:qFormat/>
    <w:locked/>
    <w:uiPriority w:val="0"/>
    <w:rPr>
      <w:rFonts w:ascii="宋体" w:hAnsi="宋体" w:eastAsia="宋体"/>
      <w:sz w:val="24"/>
    </w:rPr>
  </w:style>
  <w:style w:type="character" w:customStyle="1" w:styleId="58">
    <w:name w:val="批注主题 字符"/>
    <w:link w:val="31"/>
    <w:semiHidden/>
    <w:qFormat/>
    <w:locked/>
    <w:uiPriority w:val="0"/>
    <w:rPr>
      <w:rFonts w:ascii="Times New Roman" w:hAnsi="Times New Roman" w:eastAsia="宋体"/>
      <w:b/>
      <w:kern w:val="2"/>
      <w:sz w:val="24"/>
    </w:rPr>
  </w:style>
  <w:style w:type="character" w:customStyle="1" w:styleId="59">
    <w:name w:val="日期 字符"/>
    <w:semiHidden/>
    <w:qFormat/>
    <w:uiPriority w:val="0"/>
    <w:rPr>
      <w:rFonts w:ascii="Times New Roman" w:hAnsi="Times New Roman" w:eastAsia="宋体"/>
      <w:sz w:val="24"/>
    </w:rPr>
  </w:style>
  <w:style w:type="character" w:customStyle="1" w:styleId="60">
    <w:name w:val="正文文本 (2) Exact"/>
    <w:basedOn w:val="61"/>
    <w:unhideWhenUsed/>
    <w:qFormat/>
    <w:uiPriority w:val="99"/>
    <w:rPr>
      <w:rFonts w:hint="default" w:ascii="宋体" w:hAnsi="宋体" w:eastAsia="宋体"/>
      <w:sz w:val="22"/>
      <w:lang w:val="en-US" w:eastAsia="en-US"/>
    </w:rPr>
  </w:style>
  <w:style w:type="character" w:customStyle="1" w:styleId="61">
    <w:name w:val="正文文本 (2)_"/>
    <w:basedOn w:val="38"/>
    <w:link w:val="62"/>
    <w:unhideWhenUsed/>
    <w:qFormat/>
    <w:uiPriority w:val="99"/>
    <w:rPr>
      <w:rFonts w:hint="eastAsia" w:ascii="宋体" w:hAnsi="宋体" w:eastAsia="宋体"/>
      <w:sz w:val="22"/>
    </w:rPr>
  </w:style>
  <w:style w:type="paragraph" w:customStyle="1" w:styleId="62">
    <w:name w:val="正文文本 (2)"/>
    <w:basedOn w:val="1"/>
    <w:link w:val="61"/>
    <w:unhideWhenUsed/>
    <w:qFormat/>
    <w:uiPriority w:val="99"/>
    <w:pPr>
      <w:shd w:val="clear" w:color="auto" w:fill="FFFFFF"/>
      <w:spacing w:before="720" w:beforeLines="0" w:afterLines="0" w:line="499" w:lineRule="exact"/>
    </w:pPr>
    <w:rPr>
      <w:rFonts w:hint="eastAsia" w:ascii="宋体" w:hAnsi="宋体" w:eastAsia="宋体"/>
      <w:sz w:val="22"/>
    </w:rPr>
  </w:style>
  <w:style w:type="character" w:customStyle="1" w:styleId="63">
    <w:name w:val="NormalCharacter"/>
    <w:semiHidden/>
    <w:qFormat/>
    <w:uiPriority w:val="0"/>
    <w:rPr>
      <w:rFonts w:ascii="宋体" w:hAnsi="宋体" w:cs="宋体"/>
      <w:bCs/>
      <w:kern w:val="2"/>
      <w:sz w:val="24"/>
      <w:szCs w:val="24"/>
      <w:lang w:val="en-US" w:eastAsia="zh-CN" w:bidi="ar-SA"/>
    </w:rPr>
  </w:style>
  <w:style w:type="character" w:customStyle="1" w:styleId="64">
    <w:name w:val="批注文字 字符1"/>
    <w:semiHidden/>
    <w:qFormat/>
    <w:uiPriority w:val="0"/>
    <w:rPr>
      <w:rFonts w:ascii="Times New Roman" w:hAnsi="Times New Roman" w:eastAsia="宋体"/>
      <w:sz w:val="24"/>
    </w:rPr>
  </w:style>
  <w:style w:type="character" w:customStyle="1" w:styleId="65">
    <w:name w:val="页脚 字符"/>
    <w:basedOn w:val="38"/>
    <w:qFormat/>
    <w:uiPriority w:val="99"/>
  </w:style>
  <w:style w:type="character" w:customStyle="1" w:styleId="66">
    <w:name w:val="fontstyle01"/>
    <w:qFormat/>
    <w:uiPriority w:val="0"/>
    <w:rPr>
      <w:rFonts w:hint="eastAsia" w:ascii="宋体" w:hAnsi="宋体" w:eastAsia="宋体"/>
      <w:color w:val="000000"/>
      <w:sz w:val="24"/>
      <w:szCs w:val="24"/>
    </w:rPr>
  </w:style>
  <w:style w:type="character" w:customStyle="1" w:styleId="67">
    <w:name w:val="【正文】 Char"/>
    <w:qFormat/>
    <w:uiPriority w:val="0"/>
    <w:rPr>
      <w:sz w:val="24"/>
      <w:szCs w:val="24"/>
    </w:rPr>
  </w:style>
  <w:style w:type="character" w:customStyle="1" w:styleId="68">
    <w:name w:val="表中字 Char"/>
    <w:link w:val="69"/>
    <w:qFormat/>
    <w:uiPriority w:val="0"/>
    <w:rPr>
      <w:kern w:val="2"/>
      <w:sz w:val="21"/>
      <w:szCs w:val="22"/>
      <w:lang w:val="zh-CN" w:bidi="ar-SA"/>
    </w:rPr>
  </w:style>
  <w:style w:type="paragraph" w:customStyle="1" w:styleId="69">
    <w:name w:val="表中字"/>
    <w:link w:val="68"/>
    <w:qFormat/>
    <w:uiPriority w:val="0"/>
    <w:pPr>
      <w:jc w:val="center"/>
    </w:pPr>
    <w:rPr>
      <w:rFonts w:ascii="Times New Roman" w:hAnsi="Times New Roman" w:eastAsia="宋体" w:cs="Times New Roman"/>
      <w:kern w:val="2"/>
      <w:sz w:val="21"/>
      <w:szCs w:val="22"/>
      <w:lang w:val="zh-CN" w:eastAsia="zh-CN" w:bidi="ar-SA"/>
    </w:rPr>
  </w:style>
  <w:style w:type="character" w:customStyle="1" w:styleId="70">
    <w:name w:val="正文文本 字符1"/>
    <w:semiHidden/>
    <w:qFormat/>
    <w:uiPriority w:val="0"/>
    <w:rPr>
      <w:rFonts w:ascii="Times New Roman" w:hAnsi="Times New Roman" w:eastAsia="宋体"/>
      <w:sz w:val="24"/>
    </w:rPr>
  </w:style>
  <w:style w:type="character" w:customStyle="1" w:styleId="71">
    <w:name w:val="表格 Char"/>
    <w:link w:val="72"/>
    <w:qFormat/>
    <w:locked/>
    <w:uiPriority w:val="0"/>
    <w:rPr>
      <w:rFonts w:ascii="宋体"/>
      <w:sz w:val="21"/>
    </w:rPr>
  </w:style>
  <w:style w:type="paragraph" w:customStyle="1" w:styleId="72">
    <w:name w:val="表格"/>
    <w:basedOn w:val="22"/>
    <w:next w:val="1"/>
    <w:link w:val="71"/>
    <w:qFormat/>
    <w:uiPriority w:val="0"/>
    <w:pPr>
      <w:adjustRightInd w:val="0"/>
      <w:snapToGrid w:val="0"/>
      <w:spacing w:beforeLines="10" w:afterLines="10" w:line="259" w:lineRule="auto"/>
      <w:jc w:val="center"/>
    </w:pPr>
    <w:rPr>
      <w:rFonts w:hAnsi="Times New Roman" w:cs="Times New Roman"/>
      <w:bCs w:val="0"/>
      <w:kern w:val="0"/>
      <w:sz w:val="21"/>
      <w:szCs w:val="20"/>
    </w:rPr>
  </w:style>
  <w:style w:type="character" w:customStyle="1" w:styleId="73">
    <w:name w:val="【正文】 Char1"/>
    <w:link w:val="74"/>
    <w:qFormat/>
    <w:locked/>
    <w:uiPriority w:val="0"/>
    <w:rPr>
      <w:kern w:val="2"/>
      <w:sz w:val="24"/>
      <w:szCs w:val="24"/>
    </w:rPr>
  </w:style>
  <w:style w:type="paragraph" w:customStyle="1" w:styleId="74">
    <w:name w:val="【正文】"/>
    <w:basedOn w:val="1"/>
    <w:next w:val="27"/>
    <w:link w:val="73"/>
    <w:qFormat/>
    <w:uiPriority w:val="0"/>
    <w:pPr>
      <w:adjustRightInd/>
      <w:snapToGrid/>
      <w:ind w:firstLine="200"/>
    </w:pPr>
    <w:rPr>
      <w:rFonts w:ascii="Times New Roman" w:hAnsi="Times New Roman" w:cs="Times New Roman"/>
      <w:bCs w:val="0"/>
      <w:kern w:val="0"/>
    </w:rPr>
  </w:style>
  <w:style w:type="character" w:customStyle="1" w:styleId="75">
    <w:name w:val="表头 Char"/>
    <w:link w:val="76"/>
    <w:qFormat/>
    <w:uiPriority w:val="0"/>
    <w:rPr>
      <w:rFonts w:cs="宋体"/>
      <w:b/>
      <w:kern w:val="2"/>
      <w:sz w:val="24"/>
      <w:szCs w:val="24"/>
      <w:lang w:val="en-US" w:eastAsia="zh-CN" w:bidi="ar-SA"/>
    </w:rPr>
  </w:style>
  <w:style w:type="paragraph" w:customStyle="1" w:styleId="76">
    <w:name w:val="表头"/>
    <w:basedOn w:val="77"/>
    <w:link w:val="75"/>
    <w:qFormat/>
    <w:uiPriority w:val="0"/>
    <w:pPr>
      <w:adjustRightInd w:val="0"/>
      <w:snapToGrid w:val="0"/>
      <w:jc w:val="center"/>
    </w:pPr>
    <w:rPr>
      <w:rFonts w:cs="宋体"/>
      <w:b/>
      <w:kern w:val="2"/>
      <w:sz w:val="24"/>
      <w:szCs w:val="24"/>
      <w:lang w:val="en-US" w:eastAsia="zh-CN" w:bidi="ar-SA"/>
    </w:rPr>
  </w:style>
  <w:style w:type="paragraph" w:customStyle="1" w:styleId="77">
    <w:name w:val="样式4"/>
    <w:basedOn w:val="1"/>
    <w:qFormat/>
    <w:uiPriority w:val="0"/>
    <w:pPr>
      <w:adjustRightInd w:val="0"/>
      <w:snapToGrid w:val="0"/>
      <w:jc w:val="center"/>
    </w:pPr>
    <w:rPr>
      <w:sz w:val="24"/>
      <w:szCs w:val="20"/>
    </w:rPr>
  </w:style>
  <w:style w:type="paragraph" w:customStyle="1" w:styleId="78">
    <w:name w:val="②JM正文"/>
    <w:basedOn w:val="79"/>
    <w:qFormat/>
    <w:uiPriority w:val="0"/>
    <w:pPr>
      <w:ind w:firstLine="720" w:firstLineChars="200"/>
    </w:pPr>
  </w:style>
  <w:style w:type="paragraph" w:customStyle="1" w:styleId="79">
    <w:name w:val="②JM正文 顶格"/>
    <w:basedOn w:val="80"/>
    <w:next w:val="78"/>
    <w:qFormat/>
    <w:uiPriority w:val="0"/>
    <w:pPr>
      <w:jc w:val="left"/>
    </w:pPr>
  </w:style>
  <w:style w:type="paragraph" w:customStyle="1" w:styleId="80">
    <w:name w:val="①JM表格 居中"/>
    <w:basedOn w:val="1"/>
    <w:next w:val="1"/>
    <w:qFormat/>
    <w:uiPriority w:val="0"/>
    <w:pPr>
      <w:spacing w:line="240" w:lineRule="auto"/>
      <w:ind w:firstLine="0" w:firstLineChars="0"/>
      <w:jc w:val="center"/>
    </w:pPr>
    <w:rPr>
      <w:rFonts w:ascii="Times New Roman" w:hAnsi="Times New Roman"/>
      <w:sz w:val="21"/>
    </w:rPr>
  </w:style>
  <w:style w:type="paragraph" w:customStyle="1" w:styleId="81">
    <w:name w:val="首行缩进正文"/>
    <w:basedOn w:val="74"/>
    <w:qFormat/>
    <w:uiPriority w:val="0"/>
    <w:pPr>
      <w:spacing w:line="240" w:lineRule="auto"/>
    </w:pPr>
    <w:rPr>
      <w:sz w:val="21"/>
    </w:rPr>
  </w:style>
  <w:style w:type="paragraph" w:customStyle="1" w:styleId="82">
    <w:name w:val="_Style 75"/>
    <w:semiHidden/>
    <w:qFormat/>
    <w:uiPriority w:val="99"/>
    <w:rPr>
      <w:rFonts w:ascii="宋体" w:hAnsi="宋体" w:eastAsia="宋体" w:cs="宋体"/>
      <w:bCs/>
      <w:kern w:val="2"/>
      <w:sz w:val="24"/>
      <w:szCs w:val="24"/>
      <w:lang w:val="en-US" w:eastAsia="zh-CN" w:bidi="ar-SA"/>
    </w:rPr>
  </w:style>
  <w:style w:type="paragraph" w:customStyle="1" w:styleId="83">
    <w:name w:val="_Style 76"/>
    <w:basedOn w:val="2"/>
    <w:next w:val="1"/>
    <w:qFormat/>
    <w:uiPriority w:val="39"/>
    <w:pPr>
      <w:keepLines/>
      <w:widowControl/>
      <w:overflowPunct/>
      <w:snapToGrid/>
      <w:spacing w:before="480" w:after="0" w:line="276" w:lineRule="auto"/>
      <w:ind w:left="0" w:firstLine="0"/>
      <w:jc w:val="left"/>
      <w:outlineLvl w:val="9"/>
    </w:pPr>
    <w:rPr>
      <w:rFonts w:ascii="Cambria" w:hAnsi="Cambria" w:eastAsia="宋体" w:cs="Times New Roman"/>
      <w:color w:val="365F91"/>
      <w:kern w:val="0"/>
      <w:sz w:val="28"/>
      <w:szCs w:val="28"/>
    </w:rPr>
  </w:style>
  <w:style w:type="paragraph" w:customStyle="1" w:styleId="84">
    <w:name w:val="D表内1磅"/>
    <w:basedOn w:val="1"/>
    <w:qFormat/>
    <w:uiPriority w:val="0"/>
    <w:pPr>
      <w:spacing w:before="20" w:after="20"/>
      <w:jc w:val="center"/>
    </w:pPr>
    <w:rPr>
      <w:szCs w:val="21"/>
    </w:rPr>
  </w:style>
  <w:style w:type="paragraph" w:customStyle="1" w:styleId="85">
    <w:name w:val="ZH表头"/>
    <w:basedOn w:val="1"/>
    <w:qFormat/>
    <w:uiPriority w:val="0"/>
    <w:pPr>
      <w:spacing w:beforeLines="50" w:after="100" w:afterAutospacing="1" w:line="360" w:lineRule="auto"/>
      <w:jc w:val="center"/>
    </w:pPr>
    <w:rPr>
      <w:b/>
      <w:szCs w:val="21"/>
    </w:rPr>
  </w:style>
  <w:style w:type="paragraph" w:customStyle="1" w:styleId="86">
    <w:name w:val="②JM表格 居中 仿宋"/>
    <w:basedOn w:val="87"/>
    <w:next w:val="78"/>
    <w:qFormat/>
    <w:uiPriority w:val="0"/>
    <w:rPr>
      <w:b w:val="0"/>
    </w:rPr>
  </w:style>
  <w:style w:type="paragraph" w:customStyle="1" w:styleId="87">
    <w:name w:val="②JM表格小标题 仿宋"/>
    <w:basedOn w:val="80"/>
    <w:next w:val="78"/>
    <w:qFormat/>
    <w:uiPriority w:val="0"/>
    <w:rPr>
      <w:rFonts w:eastAsia="仿宋"/>
      <w:b/>
    </w:rPr>
  </w:style>
  <w:style w:type="paragraph" w:customStyle="1" w:styleId="88">
    <w:name w:val="设计表格"/>
    <w:basedOn w:val="1"/>
    <w:qFormat/>
    <w:uiPriority w:val="0"/>
    <w:pPr>
      <w:adjustRightInd w:val="0"/>
      <w:jc w:val="center"/>
    </w:pPr>
    <w:rPr>
      <w:kern w:val="0"/>
      <w:sz w:val="24"/>
    </w:rPr>
  </w:style>
  <w:style w:type="paragraph" w:customStyle="1" w:styleId="89">
    <w:name w:val="内容"/>
    <w:basedOn w:val="1"/>
    <w:qFormat/>
    <w:uiPriority w:val="0"/>
    <w:pPr>
      <w:spacing w:beforeLines="50" w:afterLines="50"/>
      <w:ind w:firstLine="200" w:firstLineChars="200"/>
    </w:pPr>
    <w:rPr>
      <w:rFonts w:ascii="Times New Roman" w:hAnsi="Times New Roman" w:cs="Times New Roman"/>
      <w:color w:val="000000"/>
      <w:kern w:val="0"/>
      <w:sz w:val="24"/>
      <w:szCs w:val="24"/>
    </w:rPr>
  </w:style>
  <w:style w:type="paragraph" w:customStyle="1" w:styleId="90">
    <w:name w:val="正文样式1"/>
    <w:basedOn w:val="1"/>
    <w:qFormat/>
    <w:uiPriority w:val="0"/>
    <w:pPr>
      <w:adjustRightInd w:val="0"/>
      <w:spacing w:line="288" w:lineRule="auto"/>
      <w:ind w:firstLine="360" w:firstLineChars="150"/>
      <w:textAlignment w:val="baseline"/>
    </w:pPr>
    <w:rPr>
      <w:kern w:val="0"/>
      <w:sz w:val="24"/>
      <w:szCs w:val="20"/>
    </w:rPr>
  </w:style>
  <w:style w:type="paragraph" w:customStyle="1" w:styleId="91">
    <w:name w:val="BodyTextIndent2"/>
    <w:basedOn w:val="1"/>
    <w:qFormat/>
    <w:uiPriority w:val="0"/>
    <w:pPr>
      <w:spacing w:after="120" w:line="480" w:lineRule="auto"/>
      <w:ind w:left="420" w:leftChars="200"/>
      <w:jc w:val="both"/>
      <w:textAlignment w:val="baseline"/>
    </w:pPr>
    <w:rPr>
      <w:rFonts w:ascii="Calibri" w:hAnsi="Calibri"/>
      <w:kern w:val="2"/>
      <w:sz w:val="28"/>
      <w:szCs w:val="20"/>
      <w:lang w:val="en-US" w:eastAsia="zh-CN" w:bidi="ar-SA"/>
    </w:rPr>
  </w:style>
  <w:style w:type="paragraph" w:styleId="92">
    <w:name w:val="List Paragraph"/>
    <w:basedOn w:val="1"/>
    <w:qFormat/>
    <w:uiPriority w:val="34"/>
    <w:pPr>
      <w:ind w:firstLine="420" w:firstLineChars="200"/>
    </w:pPr>
  </w:style>
  <w:style w:type="paragraph" w:customStyle="1" w:styleId="93">
    <w:name w:val="Body text|1"/>
    <w:basedOn w:val="1"/>
    <w:qFormat/>
    <w:uiPriority w:val="0"/>
    <w:pPr>
      <w:widowControl w:val="0"/>
      <w:shd w:val="clear" w:color="auto" w:fill="auto"/>
      <w:spacing w:line="379" w:lineRule="auto"/>
      <w:ind w:firstLine="70"/>
    </w:pPr>
    <w:rPr>
      <w:rFonts w:ascii="宋体" w:hAnsi="宋体" w:eastAsia="宋体" w:cs="宋体"/>
      <w:sz w:val="20"/>
      <w:szCs w:val="20"/>
      <w:u w:val="none"/>
      <w:shd w:val="clear" w:color="auto" w:fill="auto"/>
      <w:lang w:val="zh-TW" w:eastAsia="zh-TW" w:bidi="zh-TW"/>
    </w:rPr>
  </w:style>
  <w:style w:type="paragraph" w:customStyle="1" w:styleId="94">
    <w:name w:val="报告书正文"/>
    <w:basedOn w:val="1"/>
    <w:qFormat/>
    <w:uiPriority w:val="0"/>
    <w:pPr>
      <w:adjustRightInd w:val="0"/>
      <w:snapToGrid w:val="0"/>
      <w:spacing w:line="360" w:lineRule="auto"/>
      <w:ind w:firstLine="425"/>
      <w:textAlignment w:val="baseline"/>
    </w:pPr>
    <w:rPr>
      <w:rFonts w:ascii="Arial" w:hAnsi="Arial"/>
      <w:kern w:val="0"/>
      <w:sz w:val="24"/>
    </w:rPr>
  </w:style>
  <w:style w:type="paragraph" w:customStyle="1" w:styleId="95">
    <w:name w:val="正文首行缩进1"/>
    <w:basedOn w:val="7"/>
    <w:next w:val="1"/>
    <w:qFormat/>
    <w:uiPriority w:val="0"/>
    <w:pPr>
      <w:widowControl w:val="0"/>
      <w:adjustRightInd/>
      <w:snapToGrid/>
      <w:spacing w:before="100" w:beforeAutospacing="1" w:after="120" w:line="240" w:lineRule="auto"/>
      <w:ind w:right="0" w:firstLine="420" w:firstLineChars="100"/>
    </w:pPr>
    <w:rPr>
      <w:kern w:val="2"/>
      <w:sz w:val="21"/>
      <w:szCs w:val="21"/>
      <w:lang w:val="en-US" w:eastAsia="zh-CN"/>
    </w:rPr>
  </w:style>
  <w:style w:type="paragraph" w:customStyle="1" w:styleId="96">
    <w:name w:val="表中文字（工大）"/>
    <w:basedOn w:val="1"/>
    <w:qFormat/>
    <w:uiPriority w:val="0"/>
    <w:pPr>
      <w:adjustRightInd/>
      <w:snapToGrid/>
      <w:spacing w:line="400" w:lineRule="exact"/>
      <w:ind w:firstLine="0" w:firstLineChars="0"/>
      <w:jc w:val="center"/>
    </w:pPr>
    <w:rPr>
      <w:rFonts w:ascii="Times New Roman" w:hAnsi="Times New Roman" w:cs="Times New Roman"/>
      <w:bCs w:val="0"/>
      <w:sz w:val="21"/>
      <w:szCs w:val="21"/>
    </w:rPr>
  </w:style>
  <w:style w:type="paragraph" w:customStyle="1" w:styleId="97">
    <w:name w:val="文章正文样式"/>
    <w:basedOn w:val="1"/>
    <w:qFormat/>
    <w:uiPriority w:val="0"/>
    <w:pPr>
      <w:spacing w:line="520" w:lineRule="exact"/>
      <w:ind w:firstLine="480" w:firstLineChars="200"/>
      <w:jc w:val="left"/>
    </w:pPr>
    <w:rPr>
      <w:rFonts w:ascii="宋体" w:hAnsi="宋体"/>
      <w:sz w:val="24"/>
    </w:rPr>
  </w:style>
  <w:style w:type="paragraph" w:customStyle="1" w:styleId="98">
    <w:name w:val="表格题目"/>
    <w:basedOn w:val="1"/>
    <w:qFormat/>
    <w:uiPriority w:val="0"/>
    <w:pPr>
      <w:spacing w:line="240" w:lineRule="atLeast"/>
      <w:jc w:val="center"/>
    </w:pPr>
    <w:rPr>
      <w:rFonts w:ascii="黑体" w:hAnsi="宋体" w:eastAsia="黑体"/>
      <w:sz w:val="24"/>
    </w:rPr>
  </w:style>
  <w:style w:type="paragraph" w:customStyle="1" w:styleId="99">
    <w:name w:val="UserStyle_3"/>
    <w:qFormat/>
    <w:uiPriority w:val="0"/>
    <w:pPr>
      <w:widowControl/>
      <w:jc w:val="center"/>
      <w:textAlignment w:val="baseline"/>
    </w:pPr>
    <w:rPr>
      <w:rFonts w:ascii="Times New Roman" w:hAnsi="Times New Roman" w:eastAsia="宋体" w:cs="Times New Roman"/>
      <w:kern w:val="2"/>
      <w:sz w:val="21"/>
      <w:szCs w:val="22"/>
      <w:lang w:val="zh-CN" w:eastAsia="zh-CN" w:bidi="ar-SA"/>
    </w:rPr>
  </w:style>
  <w:style w:type="paragraph" w:customStyle="1" w:styleId="100">
    <w:name w:val="正文1"/>
    <w:basedOn w:val="1"/>
    <w:qFormat/>
    <w:uiPriority w:val="0"/>
    <w:pPr>
      <w:adjustRightInd w:val="0"/>
      <w:spacing w:line="360" w:lineRule="atLeast"/>
      <w:jc w:val="left"/>
      <w:textAlignment w:val="baseline"/>
    </w:pPr>
    <w:rPr>
      <w:rFonts w:ascii="宋体"/>
      <w:kern w:val="0"/>
      <w:sz w:val="24"/>
      <w:szCs w:val="20"/>
    </w:rPr>
  </w:style>
  <w:style w:type="paragraph" w:customStyle="1" w:styleId="101">
    <w:name w:val="正文_1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2">
    <w:name w:val="表格内容"/>
    <w:basedOn w:val="103"/>
    <w:next w:val="1"/>
    <w:qFormat/>
    <w:uiPriority w:val="0"/>
    <w:pPr>
      <w:adjustRightInd/>
      <w:snapToGrid/>
      <w:ind w:firstLine="0" w:firstLineChars="0"/>
      <w:jc w:val="center"/>
      <w:textAlignment w:val="baseline"/>
    </w:pPr>
    <w:rPr>
      <w:rFonts w:ascii="Times New Roman" w:hAnsi="Times New Roman" w:cs="Times New Roman"/>
      <w:bCs w:val="0"/>
      <w:sz w:val="21"/>
      <w:szCs w:val="21"/>
    </w:rPr>
  </w:style>
  <w:style w:type="paragraph" w:customStyle="1" w:styleId="103">
    <w:name w:val="封皮-证书编号"/>
    <w:basedOn w:val="1"/>
    <w:qFormat/>
    <w:uiPriority w:val="0"/>
    <w:pPr>
      <w:jc w:val="center"/>
    </w:pPr>
    <w:rPr>
      <w:rFonts w:eastAsia="黑体"/>
      <w:sz w:val="28"/>
    </w:rPr>
  </w:style>
  <w:style w:type="paragraph" w:customStyle="1" w:styleId="104">
    <w:name w:val="正文 首行缩进:  2 字符"/>
    <w:basedOn w:val="1"/>
    <w:qFormat/>
    <w:uiPriority w:val="0"/>
    <w:pPr>
      <w:ind w:firstLine="579" w:firstLineChars="200"/>
    </w:pPr>
    <w:rPr>
      <w:sz w:val="28"/>
      <w:szCs w:val="20"/>
    </w:rPr>
  </w:style>
  <w:style w:type="paragraph" w:customStyle="1" w:styleId="105">
    <w:name w:val="表头和图片"/>
    <w:basedOn w:val="14"/>
    <w:next w:val="1"/>
    <w:qFormat/>
    <w:uiPriority w:val="0"/>
    <w:pPr>
      <w:spacing w:line="480" w:lineRule="exact"/>
      <w:jc w:val="center"/>
    </w:pPr>
    <w:rPr>
      <w:rFonts w:ascii="Times New Roman" w:hAnsi="Times New Roman" w:eastAsia="黑体"/>
      <w:b/>
      <w:kern w:val="0"/>
      <w:sz w:val="20"/>
      <w:szCs w:val="20"/>
    </w:rPr>
  </w:style>
  <w:style w:type="paragraph" w:customStyle="1" w:styleId="10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7">
    <w:name w:val="四级标题"/>
    <w:basedOn w:val="5"/>
    <w:next w:val="1"/>
    <w:qFormat/>
    <w:uiPriority w:val="0"/>
    <w:pPr>
      <w:spacing w:before="0" w:after="0" w:line="480" w:lineRule="exact"/>
    </w:pPr>
    <w:rPr>
      <w:rFonts w:ascii="Times New Roman" w:hAnsi="Times New Roman"/>
      <w:color w:val="0070C0"/>
      <w:sz w:val="24"/>
    </w:rPr>
  </w:style>
  <w:style w:type="paragraph" w:customStyle="1" w:styleId="108">
    <w:name w:val="样式 标题 2"/>
    <w:basedOn w:val="3"/>
    <w:qFormat/>
    <w:uiPriority w:val="0"/>
    <w:pPr>
      <w:spacing w:before="50" w:beforeLines="0" w:after="50" w:afterLines="0" w:line="416" w:lineRule="auto"/>
      <w:ind w:firstLine="0"/>
    </w:pPr>
    <w:rPr>
      <w:rFonts w:ascii="Arial" w:hAnsi="Arial" w:eastAsia="黑体"/>
      <w:kern w:val="2"/>
      <w:sz w:val="32"/>
      <w:szCs w:val="28"/>
    </w:rPr>
  </w:style>
  <w:style w:type="paragraph" w:customStyle="1" w:styleId="109">
    <w:name w:val="Table Paragraph"/>
    <w:basedOn w:val="1"/>
    <w:qFormat/>
    <w:uiPriority w:val="0"/>
    <w:pPr>
      <w:jc w:val="left"/>
    </w:pPr>
    <w:rPr>
      <w:rFonts w:ascii="Calibri" w:hAnsi="Calibri"/>
      <w:kern w:val="0"/>
      <w:sz w:val="22"/>
      <w:szCs w:val="22"/>
      <w:lang w:eastAsia="en-US"/>
    </w:rPr>
  </w:style>
  <w:style w:type="paragraph" w:customStyle="1" w:styleId="110">
    <w:name w:val="表格式"/>
    <w:basedOn w:val="22"/>
    <w:qFormat/>
    <w:uiPriority w:val="0"/>
    <w:pPr>
      <w:widowControl/>
      <w:spacing w:line="400" w:lineRule="exact"/>
      <w:ind w:left="0" w:firstLine="0" w:firstLineChars="0"/>
      <w:jc w:val="center"/>
    </w:pPr>
    <w:rPr>
      <w:rFonts w:ascii="宋体" w:hAnsi="宋体" w:cs="宋体"/>
      <w:kern w:val="0"/>
      <w:sz w:val="24"/>
    </w:rPr>
  </w:style>
  <w:style w:type="paragraph" w:customStyle="1" w:styleId="111">
    <w:name w:val="表格文字"/>
    <w:basedOn w:val="7"/>
    <w:qFormat/>
    <w:uiPriority w:val="0"/>
    <w:pPr>
      <w:widowControl/>
      <w:adjustRightInd/>
      <w:snapToGrid/>
      <w:spacing w:line="240" w:lineRule="auto"/>
      <w:ind w:firstLine="0" w:firstLineChars="0"/>
      <w:jc w:val="center"/>
    </w:pPr>
    <w:rPr>
      <w:kern w:val="0"/>
      <w:sz w:val="21"/>
      <w:szCs w:val="21"/>
    </w:rPr>
  </w:style>
  <w:style w:type="paragraph" w:customStyle="1" w:styleId="112">
    <w:name w:val="11111"/>
    <w:basedOn w:val="1"/>
    <w:next w:val="1"/>
    <w:qFormat/>
    <w:uiPriority w:val="0"/>
    <w:pPr>
      <w:adjustRightInd/>
      <w:snapToGrid/>
      <w:ind w:firstLine="200"/>
    </w:pPr>
    <w:rPr>
      <w:bCs w:val="0"/>
    </w:rPr>
  </w:style>
  <w:style w:type="paragraph" w:customStyle="1" w:styleId="113">
    <w:name w:val="C【表中文字】-"/>
    <w:basedOn w:val="1"/>
    <w:qFormat/>
    <w:uiPriority w:val="0"/>
    <w:pPr>
      <w:adjustRightInd w:val="0"/>
      <w:snapToGrid w:val="0"/>
      <w:jc w:val="center"/>
    </w:pPr>
    <w:rPr>
      <w:kern w:val="0"/>
      <w:sz w:val="18"/>
      <w:szCs w:val="20"/>
    </w:rPr>
  </w:style>
  <w:style w:type="paragraph" w:customStyle="1" w:styleId="114">
    <w:name w:val="C首行缩进正文"/>
    <w:basedOn w:val="74"/>
    <w:qFormat/>
    <w:uiPriority w:val="0"/>
  </w:style>
  <w:style w:type="paragraph" w:customStyle="1" w:styleId="115">
    <w:name w:val="样式 标题 1 + 首行缩进:  2 字符"/>
    <w:basedOn w:val="2"/>
    <w:qFormat/>
    <w:uiPriority w:val="0"/>
    <w:pPr>
      <w:tabs>
        <w:tab w:val="left" w:leader="middleDot" w:pos="7371"/>
      </w:tabs>
      <w:ind w:firstLine="200" w:firstLineChars="200"/>
    </w:pPr>
    <w:rPr>
      <w:rFonts w:cs="宋体"/>
      <w:szCs w:val="20"/>
    </w:rPr>
  </w:style>
  <w:style w:type="paragraph" w:customStyle="1" w:styleId="116">
    <w:name w:val="表格正文"/>
    <w:basedOn w:val="1"/>
    <w:qFormat/>
    <w:uiPriority w:val="0"/>
    <w:pPr>
      <w:jc w:val="center"/>
    </w:pPr>
    <w:rPr>
      <w:rFonts w:ascii="Times New Roman" w:hAnsi="Times New Roman"/>
      <w:szCs w:val="20"/>
    </w:rPr>
  </w:style>
  <w:style w:type="paragraph" w:customStyle="1" w:styleId="117">
    <w:name w:val="报告表正文"/>
    <w:basedOn w:val="1"/>
    <w:qFormat/>
    <w:uiPriority w:val="0"/>
    <w:pPr>
      <w:adjustRightInd w:val="0"/>
      <w:spacing w:line="312" w:lineRule="auto"/>
      <w:ind w:left="113" w:right="113" w:firstLine="482"/>
      <w:jc w:val="left"/>
      <w:textAlignment w:val="baseline"/>
    </w:pPr>
    <w:rPr>
      <w:rFonts w:ascii="Times New Roman" w:hAnsi="Times New Roman" w:eastAsia="宋体" w:cs="Times New Roman"/>
    </w:rPr>
  </w:style>
  <w:style w:type="paragraph" w:customStyle="1" w:styleId="118">
    <w:name w:val="【表头】"/>
    <w:basedOn w:val="1"/>
    <w:next w:val="1"/>
    <w:qFormat/>
    <w:uiPriority w:val="0"/>
    <w:pPr>
      <w:keepNext/>
      <w:adjustRightInd w:val="0"/>
      <w:snapToGrid w:val="0"/>
      <w:jc w:val="center"/>
    </w:pPr>
    <w:rPr>
      <w:rFonts w:eastAsia="黑体"/>
      <w:b/>
      <w:kern w:val="0"/>
      <w:szCs w:val="20"/>
    </w:rPr>
  </w:style>
  <w:style w:type="paragraph" w:customStyle="1" w:styleId="11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20">
    <w:name w:val="【正文四号】"/>
    <w:basedOn w:val="1"/>
    <w:qFormat/>
    <w:uiPriority w:val="0"/>
    <w:pPr>
      <w:spacing w:line="360" w:lineRule="auto"/>
      <w:ind w:firstLine="480" w:firstLineChars="200"/>
    </w:pPr>
    <w:rPr>
      <w:rFonts w:ascii="Times New Roman" w:hAnsi="Times New Roman"/>
      <w:sz w:val="28"/>
      <w:szCs w:val="24"/>
    </w:rPr>
  </w:style>
  <w:style w:type="paragraph" w:customStyle="1" w:styleId="121">
    <w:name w:val="正文五号缩进正文（首行缩进两字） + 宋体 行距: 1.5 倍行距"/>
    <w:basedOn w:val="6"/>
    <w:qFormat/>
    <w:uiPriority w:val="0"/>
    <w:pPr>
      <w:spacing w:after="120" w:afterLines="50" w:line="300" w:lineRule="auto"/>
      <w:ind w:firstLine="482"/>
      <w:jc w:val="left"/>
    </w:pPr>
    <w:rPr>
      <w:rFonts w:ascii="宋体" w:hAnsi="宋体" w:eastAsia="宋体"/>
      <w:sz w:val="21"/>
      <w:szCs w:val="28"/>
    </w:rPr>
  </w:style>
  <w:style w:type="paragraph" w:customStyle="1" w:styleId="122">
    <w:name w:val="文本"/>
    <w:basedOn w:val="1"/>
    <w:qFormat/>
    <w:uiPriority w:val="0"/>
    <w:pPr>
      <w:adjustRightInd w:val="0"/>
      <w:jc w:val="left"/>
      <w:textAlignment w:val="baseline"/>
    </w:pPr>
    <w:rPr>
      <w:rFonts w:ascii="宋体"/>
      <w:kern w:val="0"/>
      <w:sz w:val="28"/>
      <w:szCs w:val="20"/>
    </w:rPr>
  </w:style>
  <w:style w:type="paragraph" w:customStyle="1" w:styleId="123">
    <w:name w:val="我的正文"/>
    <w:basedOn w:val="1"/>
    <w:qFormat/>
    <w:uiPriority w:val="0"/>
    <w:pPr>
      <w:adjustRightInd w:val="0"/>
      <w:snapToGrid w:val="0"/>
      <w:spacing w:line="480" w:lineRule="exact"/>
      <w:ind w:firstLine="720" w:firstLineChars="200"/>
      <w:jc w:val="left"/>
    </w:pPr>
    <w:rPr>
      <w:rFonts w:cs="宋体"/>
      <w:kern w:val="0"/>
      <w:sz w:val="20"/>
      <w:szCs w:val="21"/>
    </w:rPr>
  </w:style>
  <w:style w:type="paragraph" w:customStyle="1" w:styleId="124">
    <w:name w:val="【表中文字】-"/>
    <w:basedOn w:val="1"/>
    <w:qFormat/>
    <w:uiPriority w:val="0"/>
    <w:pPr>
      <w:jc w:val="center"/>
    </w:pPr>
    <w:rPr>
      <w:kern w:val="0"/>
      <w:sz w:val="20"/>
      <w:szCs w:val="20"/>
    </w:rPr>
  </w:style>
  <w:style w:type="paragraph" w:customStyle="1" w:styleId="125">
    <w:name w:val="_Style 4"/>
    <w:qFormat/>
    <w:uiPriority w:val="0"/>
    <w:pPr>
      <w:widowControl w:val="0"/>
      <w:jc w:val="both"/>
    </w:pPr>
    <w:rPr>
      <w:rFonts w:ascii="Times New Roman" w:hAnsi="Times New Roman" w:eastAsia="仿宋_GB2312" w:cs="Times New Roman"/>
      <w:kern w:val="2"/>
      <w:sz w:val="24"/>
      <w:szCs w:val="22"/>
      <w:lang w:val="en-US" w:eastAsia="zh-CN" w:bidi="ar-SA"/>
    </w:rPr>
  </w:style>
  <w:style w:type="paragraph" w:customStyle="1" w:styleId="126">
    <w:name w:val="表格填充项"/>
    <w:basedOn w:val="1"/>
    <w:qFormat/>
    <w:uiPriority w:val="0"/>
    <w:pPr>
      <w:spacing w:line="240" w:lineRule="atLeast"/>
      <w:jc w:val="center"/>
    </w:pPr>
    <w:rPr>
      <w:rFonts w:ascii="宋体" w:hAnsi="宋体"/>
      <w:b/>
      <w:szCs w:val="24"/>
    </w:rPr>
  </w:style>
  <w:style w:type="paragraph" w:customStyle="1" w:styleId="127">
    <w:name w:val="我的表格"/>
    <w:basedOn w:val="1"/>
    <w:next w:val="1"/>
    <w:qFormat/>
    <w:uiPriority w:val="0"/>
    <w:pPr>
      <w:adjustRightInd w:val="0"/>
      <w:snapToGrid w:val="0"/>
      <w:spacing w:before="10" w:beforeLines="10" w:after="10" w:afterLines="10" w:line="240" w:lineRule="atLeast"/>
      <w:jc w:val="center"/>
    </w:pPr>
    <w:rPr>
      <w:kern w:val="0"/>
      <w:szCs w:val="20"/>
    </w:rPr>
  </w:style>
  <w:style w:type="paragraph" w:customStyle="1" w:styleId="128">
    <w:name w:val="【表中文字】"/>
    <w:basedOn w:val="1"/>
    <w:qFormat/>
    <w:uiPriority w:val="0"/>
    <w:pPr>
      <w:adjustRightInd/>
      <w:snapToGrid/>
      <w:spacing w:line="240" w:lineRule="auto"/>
      <w:ind w:firstLine="0" w:firstLineChars="0"/>
      <w:jc w:val="center"/>
    </w:pPr>
    <w:rPr>
      <w:rFonts w:ascii="Times New Roman" w:hAnsi="Times New Roman" w:cs="Times New Roman"/>
      <w:bCs w:val="0"/>
      <w:sz w:val="21"/>
      <w:szCs w:val="21"/>
    </w:rPr>
  </w:style>
  <w:style w:type="paragraph" w:customStyle="1" w:styleId="129">
    <w:name w:val="正文首行缩进 21"/>
    <w:basedOn w:val="12"/>
    <w:qFormat/>
    <w:uiPriority w:val="0"/>
    <w:pPr>
      <w:adjustRightInd/>
      <w:snapToGrid/>
      <w:spacing w:before="100" w:beforeAutospacing="1"/>
      <w:ind w:firstLine="420"/>
    </w:pPr>
    <w:rPr>
      <w:kern w:val="2"/>
      <w:sz w:val="21"/>
      <w:szCs w:val="21"/>
      <w:lang w:val="en-US" w:eastAsia="zh-CN"/>
    </w:rPr>
  </w:style>
  <w:style w:type="paragraph" w:customStyle="1" w:styleId="130">
    <w:name w:val="首行缩进表格正文"/>
    <w:basedOn w:val="1"/>
    <w:qFormat/>
    <w:uiPriority w:val="0"/>
    <w:pPr>
      <w:spacing w:line="360" w:lineRule="auto"/>
      <w:ind w:firstLine="720" w:firstLineChars="200"/>
      <w:jc w:val="left"/>
    </w:pPr>
  </w:style>
  <w:style w:type="paragraph" w:customStyle="1" w:styleId="131">
    <w:name w:val="正文_1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2">
    <w:name w:val="Char Char Char Char1"/>
    <w:basedOn w:val="1"/>
    <w:qFormat/>
    <w:uiPriority w:val="0"/>
    <w:pPr>
      <w:tabs>
        <w:tab w:val="left" w:pos="1080"/>
      </w:tabs>
      <w:jc w:val="left"/>
    </w:pPr>
    <w:rPr>
      <w:szCs w:val="21"/>
    </w:rPr>
  </w:style>
  <w:style w:type="paragraph" w:customStyle="1" w:styleId="133">
    <w:name w:val="表中文字"/>
    <w:basedOn w:val="1"/>
    <w:qFormat/>
    <w:uiPriority w:val="0"/>
    <w:pPr>
      <w:snapToGrid w:val="0"/>
      <w:spacing w:line="300" w:lineRule="exact"/>
      <w:jc w:val="center"/>
    </w:pPr>
    <w:rPr>
      <w:sz w:val="18"/>
      <w:szCs w:val="18"/>
    </w:rPr>
  </w:style>
  <w:style w:type="character" w:customStyle="1" w:styleId="134">
    <w:name w:val="font11"/>
    <w:basedOn w:val="38"/>
    <w:qFormat/>
    <w:uiPriority w:val="0"/>
    <w:rPr>
      <w:rFonts w:hint="eastAsia" w:ascii="宋体" w:hAnsi="宋体" w:eastAsia="宋体" w:cs="宋体"/>
      <w:color w:val="000000"/>
      <w:sz w:val="24"/>
      <w:szCs w:val="24"/>
      <w:u w:val="none"/>
    </w:rPr>
  </w:style>
  <w:style w:type="character" w:customStyle="1" w:styleId="135">
    <w:name w:val="font21"/>
    <w:basedOn w:val="38"/>
    <w:qFormat/>
    <w:uiPriority w:val="0"/>
    <w:rPr>
      <w:rFonts w:hint="eastAsia" w:ascii="宋体" w:hAnsi="宋体" w:eastAsia="宋体" w:cs="宋体"/>
      <w:color w:val="000000"/>
      <w:sz w:val="24"/>
      <w:szCs w:val="24"/>
      <w:u w:val="none"/>
    </w:rPr>
  </w:style>
  <w:style w:type="paragraph" w:customStyle="1" w:styleId="136">
    <w:name w:val="表文"/>
    <w:basedOn w:val="1"/>
    <w:qFormat/>
    <w:uiPriority w:val="0"/>
    <w:pPr>
      <w:jc w:val="center"/>
    </w:pPr>
    <w:rPr>
      <w:szCs w:val="21"/>
    </w:rPr>
  </w:style>
  <w:style w:type="paragraph" w:customStyle="1" w:styleId="137">
    <w:name w:val="正文格式"/>
    <w:basedOn w:val="1"/>
    <w:qFormat/>
    <w:uiPriority w:val="0"/>
    <w:pPr>
      <w:spacing w:line="360" w:lineRule="auto"/>
      <w:ind w:firstLine="482"/>
    </w:pPr>
    <w:rPr>
      <w:sz w:val="24"/>
    </w:rPr>
  </w:style>
  <w:style w:type="paragraph" w:customStyle="1" w:styleId="138">
    <w:name w:val="正文3"/>
    <w:basedOn w:val="1"/>
    <w:qFormat/>
    <w:uiPriority w:val="0"/>
    <w:pPr>
      <w:keepNext/>
      <w:adjustRightInd w:val="0"/>
      <w:jc w:val="center"/>
      <w:textAlignment w:val="baseline"/>
    </w:pPr>
    <w:rPr>
      <w:kern w:val="0"/>
      <w:sz w:val="28"/>
    </w:rPr>
  </w:style>
  <w:style w:type="character" w:customStyle="1" w:styleId="139">
    <w:name w:val="font31"/>
    <w:basedOn w:val="38"/>
    <w:qFormat/>
    <w:uiPriority w:val="0"/>
    <w:rPr>
      <w:rFonts w:ascii="宋体" w:hAnsi="宋体" w:eastAsia="宋体" w:cs="宋体"/>
      <w:color w:val="000000"/>
      <w:sz w:val="34"/>
      <w:szCs w:val="34"/>
      <w:u w:val="none"/>
    </w:rPr>
  </w:style>
  <w:style w:type="character" w:customStyle="1" w:styleId="140">
    <w:name w:val="font41"/>
    <w:basedOn w:val="38"/>
    <w:qFormat/>
    <w:uiPriority w:val="0"/>
    <w:rPr>
      <w:rFonts w:ascii="黑体" w:hAnsi="宋体" w:eastAsia="黑体" w:cs="黑体"/>
      <w:color w:val="000000"/>
      <w:sz w:val="34"/>
      <w:szCs w:val="34"/>
      <w:u w:val="none"/>
    </w:rPr>
  </w:style>
  <w:style w:type="character" w:customStyle="1" w:styleId="141">
    <w:name w:val="font51"/>
    <w:basedOn w:val="38"/>
    <w:qFormat/>
    <w:uiPriority w:val="0"/>
    <w:rPr>
      <w:rFonts w:ascii="黑体" w:hAnsi="宋体" w:eastAsia="黑体" w:cs="黑体"/>
      <w:color w:val="000000"/>
      <w:sz w:val="30"/>
      <w:szCs w:val="30"/>
      <w:u w:val="none"/>
    </w:rPr>
  </w:style>
  <w:style w:type="character" w:customStyle="1" w:styleId="142">
    <w:name w:val="font61"/>
    <w:basedOn w:val="38"/>
    <w:qFormat/>
    <w:uiPriority w:val="0"/>
    <w:rPr>
      <w:rFonts w:hint="default" w:ascii="Arial" w:hAnsi="Arial" w:cs="Arial"/>
      <w:color w:val="000000"/>
      <w:sz w:val="30"/>
      <w:szCs w:val="30"/>
      <w:u w:val="none"/>
    </w:rPr>
  </w:style>
  <w:style w:type="character" w:customStyle="1" w:styleId="143">
    <w:name w:val="font71"/>
    <w:basedOn w:val="38"/>
    <w:qFormat/>
    <w:uiPriority w:val="0"/>
    <w:rPr>
      <w:rFonts w:hint="default" w:ascii="Arial" w:hAnsi="Arial" w:cs="Arial"/>
      <w:color w:val="000000"/>
      <w:sz w:val="34"/>
      <w:szCs w:val="34"/>
      <w:u w:val="none"/>
    </w:rPr>
  </w:style>
  <w:style w:type="character" w:customStyle="1" w:styleId="144">
    <w:name w:val="font81"/>
    <w:basedOn w:val="38"/>
    <w:qFormat/>
    <w:uiPriority w:val="0"/>
    <w:rPr>
      <w:rFonts w:ascii="宋体" w:hAnsi="宋体" w:eastAsia="宋体" w:cs="宋体"/>
      <w:color w:val="000000"/>
      <w:sz w:val="40"/>
      <w:szCs w:val="40"/>
      <w:u w:val="none"/>
    </w:rPr>
  </w:style>
  <w:style w:type="character" w:customStyle="1" w:styleId="145">
    <w:name w:val="font91"/>
    <w:basedOn w:val="38"/>
    <w:qFormat/>
    <w:uiPriority w:val="0"/>
    <w:rPr>
      <w:rFonts w:ascii="宋体" w:hAnsi="宋体" w:eastAsia="宋体" w:cs="宋体"/>
      <w:color w:val="000000"/>
      <w:sz w:val="30"/>
      <w:szCs w:val="30"/>
      <w:u w:val="none"/>
    </w:rPr>
  </w:style>
  <w:style w:type="character" w:customStyle="1" w:styleId="146">
    <w:name w:val="font101"/>
    <w:basedOn w:val="38"/>
    <w:qFormat/>
    <w:uiPriority w:val="0"/>
    <w:rPr>
      <w:rFonts w:hint="default" w:ascii="Arial" w:hAnsi="Arial" w:cs="Arial"/>
      <w:color w:val="2BC6FF"/>
      <w:sz w:val="34"/>
      <w:szCs w:val="34"/>
      <w:u w:val="none"/>
    </w:rPr>
  </w:style>
  <w:style w:type="paragraph" w:customStyle="1" w:styleId="147">
    <w:name w:val="Table Text"/>
    <w:basedOn w:val="1"/>
    <w:semiHidden/>
    <w:qFormat/>
    <w:uiPriority w:val="0"/>
    <w:rPr>
      <w:rFonts w:ascii="宋体" w:hAnsi="宋体" w:eastAsia="宋体" w:cs="宋体"/>
      <w:sz w:val="20"/>
      <w:szCs w:val="20"/>
      <w:lang w:val="en-US" w:eastAsia="en-US" w:bidi="ar-SA"/>
    </w:rPr>
  </w:style>
  <w:style w:type="table" w:customStyle="1" w:styleId="148">
    <w:name w:val="Table Normal"/>
    <w:unhideWhenUsed/>
    <w:qFormat/>
    <w:uiPriority w:val="0"/>
    <w:tblPr>
      <w:tblCellMar>
        <w:top w:w="0" w:type="dxa"/>
        <w:left w:w="0" w:type="dxa"/>
        <w:bottom w:w="0" w:type="dxa"/>
        <w:right w:w="0" w:type="dxa"/>
      </w:tblCellMar>
    </w:tblPr>
  </w:style>
  <w:style w:type="character" w:customStyle="1" w:styleId="149">
    <w:name w:val="zhengwencolor1"/>
    <w:qFormat/>
    <w:uiPriority w:val="0"/>
    <w:rPr>
      <w:color w:val="000000"/>
      <w:sz w:val="18"/>
      <w:szCs w:val="18"/>
    </w:rPr>
  </w:style>
  <w:style w:type="paragraph" w:customStyle="1" w:styleId="150">
    <w:name w:val="正文小"/>
    <w:basedOn w:val="1"/>
    <w:qFormat/>
    <w:uiPriority w:val="0"/>
    <w:pPr>
      <w:keepNext w:val="0"/>
      <w:keepLines w:val="0"/>
      <w:spacing w:line="560" w:lineRule="exact"/>
      <w:ind w:left="0" w:firstLine="1440" w:firstLineChars="200"/>
      <w:outlineLvl w:val="9"/>
    </w:pPr>
    <w:rPr>
      <w:rFonts w:hint="eastAsia" w:ascii="Times New Roman" w:hAnsi="Times New Roman" w:eastAsia="仿宋_GB2312"/>
      <w:sz w:val="28"/>
      <w:szCs w:val="32"/>
    </w:rPr>
  </w:style>
  <w:style w:type="paragraph" w:customStyle="1" w:styleId="151">
    <w:name w:val="C【表头】"/>
    <w:basedOn w:val="1"/>
    <w:qFormat/>
    <w:uiPriority w:val="0"/>
    <w:pPr>
      <w:widowControl/>
      <w:adjustRightInd w:val="0"/>
      <w:snapToGrid w:val="0"/>
      <w:jc w:val="center"/>
    </w:pPr>
    <w:rPr>
      <w:rFonts w:eastAsia="黑体" w:cs="宋体"/>
      <w:kern w:val="0"/>
      <w:szCs w:val="20"/>
    </w:rPr>
  </w:style>
  <w:style w:type="paragraph" w:customStyle="1" w:styleId="152">
    <w:name w:val="神-安表格"/>
    <w:basedOn w:val="1"/>
    <w:qFormat/>
    <w:uiPriority w:val="0"/>
    <w:pPr>
      <w:adjustRightInd w:val="0"/>
      <w:snapToGrid w:val="0"/>
      <w:jc w:val="center"/>
    </w:pPr>
    <w:rPr>
      <w:color w:val="000000"/>
    </w:rPr>
  </w:style>
  <w:style w:type="paragraph" w:customStyle="1" w:styleId="153">
    <w:name w:val="Char Char Char Char Char Char Char2"/>
    <w:basedOn w:val="1"/>
    <w:qFormat/>
    <w:uiPriority w:val="0"/>
    <w:pPr>
      <w:snapToGrid w:val="0"/>
      <w:spacing w:line="360" w:lineRule="auto"/>
      <w:ind w:firstLine="529" w:firstLineChars="200"/>
    </w:pPr>
    <w:rPr>
      <w:rFonts w:ascii="Times New Roman" w:hAnsi="Times New Roman" w:cs="Times New Roman"/>
      <w:szCs w:val="24"/>
    </w:rPr>
  </w:style>
  <w:style w:type="paragraph" w:customStyle="1" w:styleId="154">
    <w:name w:val="正文缩进1"/>
    <w:basedOn w:val="1"/>
    <w:qFormat/>
    <w:uiPriority w:val="0"/>
    <w:pPr>
      <w:spacing w:line="520" w:lineRule="exact"/>
      <w:ind w:firstLine="624"/>
    </w:pPr>
    <w:rPr>
      <w:rFonts w:ascii="Times New Roman" w:hAnsi="Times New Roman" w:cs="Times New Roman"/>
      <w:sz w:val="28"/>
      <w:szCs w:val="24"/>
    </w:rPr>
  </w:style>
  <w:style w:type="paragraph" w:customStyle="1" w:styleId="155">
    <w:name w:val="准 正文 左侧:  2 字符 + 首行缩进:  2 字符"/>
    <w:basedOn w:val="1"/>
    <w:qFormat/>
    <w:uiPriority w:val="0"/>
    <w:pPr>
      <w:spacing w:line="360" w:lineRule="auto"/>
      <w:ind w:firstLine="480" w:firstLineChars="200"/>
    </w:pPr>
    <w:rPr>
      <w:sz w:val="24"/>
    </w:rPr>
  </w:style>
  <w:style w:type="paragraph" w:customStyle="1" w:styleId="156">
    <w:name w:val="cucd-0"/>
    <w:autoRedefine/>
    <w:qFormat/>
    <w:uiPriority w:val="0"/>
    <w:pPr>
      <w:spacing w:line="360" w:lineRule="auto"/>
      <w:ind w:firstLine="472" w:firstLineChars="200"/>
      <w:jc w:val="both"/>
    </w:pPr>
    <w:rPr>
      <w:rFonts w:ascii="Times New Roman" w:hAnsi="Times New Roman" w:eastAsia="宋体" w:cs="Times New Roman"/>
      <w:color w:val="FF0000"/>
      <w:spacing w:val="-4"/>
      <w:kern w:val="2"/>
      <w:sz w:val="24"/>
      <w:szCs w:val="24"/>
      <w:lang w:val="en-US" w:eastAsia="zh-CN" w:bidi="ar-SA"/>
    </w:rPr>
  </w:style>
  <w:style w:type="paragraph" w:customStyle="1" w:styleId="157">
    <w:name w:val="图头00"/>
    <w:basedOn w:val="1"/>
    <w:qFormat/>
    <w:uiPriority w:val="0"/>
    <w:pPr>
      <w:adjustRightInd w:val="0"/>
      <w:spacing w:line="360" w:lineRule="auto"/>
      <w:jc w:val="center"/>
      <w:textAlignment w:val="baseline"/>
    </w:pPr>
    <w:rPr>
      <w:rFonts w:ascii="宋体" w:eastAsia="黑体"/>
      <w:kern w:val="0"/>
      <w:sz w:val="24"/>
      <w:szCs w:val="20"/>
    </w:rPr>
  </w:style>
  <w:style w:type="paragraph" w:customStyle="1" w:styleId="158">
    <w:name w:val="JM正文 表格  居中"/>
    <w:basedOn w:val="1"/>
    <w:next w:val="1"/>
    <w:qFormat/>
    <w:uiPriority w:val="0"/>
    <w:pPr>
      <w:jc w:val="center"/>
    </w:pPr>
  </w:style>
  <w:style w:type="paragraph" w:customStyle="1" w:styleId="159">
    <w:name w:val="正文01"/>
    <w:basedOn w:val="6"/>
    <w:qFormat/>
    <w:uiPriority w:val="0"/>
    <w:pPr>
      <w:spacing w:line="360" w:lineRule="auto"/>
      <w:ind w:firstLine="200" w:firstLineChars="200"/>
    </w:pPr>
    <w:rPr>
      <w:sz w:val="24"/>
    </w:rPr>
  </w:style>
  <w:style w:type="paragraph" w:customStyle="1" w:styleId="160">
    <w:name w:val="样式3"/>
    <w:basedOn w:val="1"/>
    <w:qFormat/>
    <w:uiPriority w:val="0"/>
    <w:pPr>
      <w:spacing w:line="500" w:lineRule="exact"/>
      <w:ind w:firstLine="640" w:firstLineChars="200"/>
      <w:jc w:val="both"/>
    </w:pPr>
    <w:rPr>
      <w:color w:val="000000"/>
      <w:spacing w:val="20"/>
      <w:sz w:val="28"/>
      <w:szCs w:val="28"/>
    </w:rPr>
  </w:style>
  <w:style w:type="paragraph" w:customStyle="1" w:styleId="161">
    <w:name w:val="正文00"/>
    <w:basedOn w:val="1"/>
    <w:qFormat/>
    <w:uiPriority w:val="0"/>
    <w:pPr>
      <w:widowControl w:val="0"/>
      <w:spacing w:line="500" w:lineRule="exact"/>
      <w:ind w:firstLine="200" w:firstLineChars="200"/>
      <w:jc w:val="both"/>
    </w:pPr>
    <w:rPr>
      <w:rFonts w:eastAsia="华文中宋"/>
      <w:kern w:val="2"/>
      <w:sz w:val="28"/>
      <w:szCs w:val="28"/>
    </w:rPr>
  </w:style>
  <w:style w:type="paragraph" w:customStyle="1" w:styleId="162">
    <w:name w:val="正文_42"/>
    <w:qFormat/>
    <w:uiPriority w:val="0"/>
    <w:pPr>
      <w:widowControl w:val="0"/>
      <w:jc w:val="both"/>
    </w:pPr>
    <w:rPr>
      <w:rFonts w:ascii="Calibri" w:hAnsi="Calibri" w:eastAsia="宋体" w:cs="Times New Roman"/>
      <w:kern w:val="2"/>
      <w:sz w:val="21"/>
      <w:lang w:val="en-US" w:eastAsia="zh-CN" w:bidi="ar-SA"/>
    </w:rPr>
  </w:style>
  <w:style w:type="paragraph" w:customStyle="1" w:styleId="163">
    <w:name w:val="注"/>
    <w:qFormat/>
    <w:uiPriority w:val="0"/>
    <w:pPr>
      <w:tabs>
        <w:tab w:val="left" w:pos="4345"/>
        <w:tab w:val="center" w:pos="6679"/>
      </w:tabs>
      <w:spacing w:line="240" w:lineRule="auto"/>
      <w:jc w:val="left"/>
    </w:pPr>
    <w:rPr>
      <w:rFonts w:hint="eastAsia" w:ascii="Times New Roman" w:hAnsi="Times New Roman" w:eastAsia="宋体" w:cs="Times New Roman"/>
      <w:b/>
      <w:color w:val="auto"/>
      <w:sz w:val="18"/>
      <w:szCs w:val="18"/>
    </w:rPr>
  </w:style>
  <w:style w:type="paragraph" w:customStyle="1" w:styleId="164">
    <w:name w:val="正文_34"/>
    <w:qFormat/>
    <w:uiPriority w:val="0"/>
    <w:pPr>
      <w:widowControl w:val="0"/>
      <w:jc w:val="both"/>
    </w:pPr>
    <w:rPr>
      <w:rFonts w:ascii="Calibri" w:hAnsi="Calibri"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0" Type="http://schemas.openxmlformats.org/officeDocument/2006/relationships/fontTable" Target="fontTable.xml"/><Relationship Id="rId8" Type="http://schemas.openxmlformats.org/officeDocument/2006/relationships/footer" Target="footer3.xml"/><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58.jpeg"/><Relationship Id="rId75" Type="http://schemas.openxmlformats.org/officeDocument/2006/relationships/image" Target="media/image57.jpeg"/><Relationship Id="rId74" Type="http://schemas.openxmlformats.org/officeDocument/2006/relationships/image" Target="media/image56.jpeg"/><Relationship Id="rId73" Type="http://schemas.openxmlformats.org/officeDocument/2006/relationships/image" Target="media/image55.jpeg"/><Relationship Id="rId72" Type="http://schemas.openxmlformats.org/officeDocument/2006/relationships/image" Target="media/image54.jpeg"/><Relationship Id="rId71" Type="http://schemas.openxmlformats.org/officeDocument/2006/relationships/image" Target="media/image53.jpeg"/><Relationship Id="rId70" Type="http://schemas.openxmlformats.org/officeDocument/2006/relationships/image" Target="media/image52.jpeg"/><Relationship Id="rId7" Type="http://schemas.openxmlformats.org/officeDocument/2006/relationships/footer" Target="footer2.xml"/><Relationship Id="rId69" Type="http://schemas.openxmlformats.org/officeDocument/2006/relationships/image" Target="media/image51.jpeg"/><Relationship Id="rId68" Type="http://schemas.openxmlformats.org/officeDocument/2006/relationships/image" Target="media/image50.jpeg"/><Relationship Id="rId67" Type="http://schemas.openxmlformats.org/officeDocument/2006/relationships/image" Target="media/image49.jpeg"/><Relationship Id="rId66" Type="http://schemas.openxmlformats.org/officeDocument/2006/relationships/image" Target="media/image48.jpeg"/><Relationship Id="rId65" Type="http://schemas.openxmlformats.org/officeDocument/2006/relationships/image" Target="media/image47.jpeg"/><Relationship Id="rId64" Type="http://schemas.openxmlformats.org/officeDocument/2006/relationships/image" Target="media/image46.jpeg"/><Relationship Id="rId63" Type="http://schemas.openxmlformats.org/officeDocument/2006/relationships/image" Target="media/image45.jpeg"/><Relationship Id="rId62" Type="http://schemas.openxmlformats.org/officeDocument/2006/relationships/image" Target="media/image44.png"/><Relationship Id="rId61" Type="http://schemas.openxmlformats.org/officeDocument/2006/relationships/image" Target="media/image43.jpeg"/><Relationship Id="rId60" Type="http://schemas.openxmlformats.org/officeDocument/2006/relationships/image" Target="media/image42.jpeg"/><Relationship Id="rId6" Type="http://schemas.openxmlformats.org/officeDocument/2006/relationships/footer" Target="footer1.xml"/><Relationship Id="rId59" Type="http://schemas.openxmlformats.org/officeDocument/2006/relationships/image" Target="media/image41.jpeg"/><Relationship Id="rId58" Type="http://schemas.openxmlformats.org/officeDocument/2006/relationships/image" Target="media/image40.jpeg"/><Relationship Id="rId57" Type="http://schemas.openxmlformats.org/officeDocument/2006/relationships/image" Target="media/image39.jpeg"/><Relationship Id="rId56" Type="http://schemas.openxmlformats.org/officeDocument/2006/relationships/image" Target="media/image38.jpeg"/><Relationship Id="rId55" Type="http://schemas.openxmlformats.org/officeDocument/2006/relationships/image" Target="media/image37.jpeg"/><Relationship Id="rId54" Type="http://schemas.openxmlformats.org/officeDocument/2006/relationships/image" Target="media/image36.jpeg"/><Relationship Id="rId53" Type="http://schemas.openxmlformats.org/officeDocument/2006/relationships/image" Target="media/image35.jpeg"/><Relationship Id="rId52" Type="http://schemas.openxmlformats.org/officeDocument/2006/relationships/image" Target="media/image34.jpeg"/><Relationship Id="rId51" Type="http://schemas.openxmlformats.org/officeDocument/2006/relationships/image" Target="media/image33.jpeg"/><Relationship Id="rId50" Type="http://schemas.openxmlformats.org/officeDocument/2006/relationships/image" Target="media/image32.jpeg"/><Relationship Id="rId5" Type="http://schemas.openxmlformats.org/officeDocument/2006/relationships/header" Target="header1.xml"/><Relationship Id="rId49" Type="http://schemas.openxmlformats.org/officeDocument/2006/relationships/image" Target="media/image31.jpeg"/><Relationship Id="rId48" Type="http://schemas.openxmlformats.org/officeDocument/2006/relationships/image" Target="media/image30.jpeg"/><Relationship Id="rId47" Type="http://schemas.openxmlformats.org/officeDocument/2006/relationships/image" Target="media/image29.png"/><Relationship Id="rId46" Type="http://schemas.openxmlformats.org/officeDocument/2006/relationships/image" Target="media/image28.jpeg"/><Relationship Id="rId45" Type="http://schemas.openxmlformats.org/officeDocument/2006/relationships/image" Target="media/image27.jpeg"/><Relationship Id="rId44" Type="http://schemas.openxmlformats.org/officeDocument/2006/relationships/image" Target="media/image26.jpeg"/><Relationship Id="rId43" Type="http://schemas.openxmlformats.org/officeDocument/2006/relationships/image" Target="media/image25.jpe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jpe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wmf"/><Relationship Id="rId34" Type="http://schemas.openxmlformats.org/officeDocument/2006/relationships/oleObject" Target="embeddings/oleObject5.bin"/><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wmf"/><Relationship Id="rId26" Type="http://schemas.openxmlformats.org/officeDocument/2006/relationships/oleObject" Target="embeddings/oleObject4.bin"/><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emf"/><Relationship Id="rId21" Type="http://schemas.openxmlformats.org/officeDocument/2006/relationships/oleObject" Target="embeddings/oleObject3.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4.emf"/><Relationship Id="rId17" Type="http://schemas.openxmlformats.org/officeDocument/2006/relationships/oleObject" Target="embeddings/oleObject1.bin"/><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665bd723-ac70-4e93-bb75-2b708736de9f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33E05BD7</paraID>
      <start>7</start>
      <end>8</end>
      <status>ignored</status>
      <modifiedWord/>
      <trackRevisions>false</trackRevisions>
    </reviewItem>
    <reviewItem>
      <errorID>fb96b0b5-2f14-4345-8d37-1926d3f6e551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42C1B54C</paraID>
      <start>0</start>
      <end>2</end>
      <status>unmodified</status>
      <modifiedWord/>
      <trackRevisions>false</trackRevisions>
    </reviewItem>
    <reviewItem>
      <errorID>4a4644c9-1c73-4c20-91b0-a76a2c1d1f15</errorID>
      <errorWord>涉</errorWord>
      <group>L1_Word</group>
      <groupName>字词问题</groupName>
      <ability>L2_Typo</ability>
      <abilityName>字词错误</abilityName>
      <candidateList>
        <item>设</item>
      </candidateList>
      <explain/>
      <paraID>77CD506B</paraID>
      <start>96</start>
      <end>97</end>
      <status>unmodified</status>
      <modifiedWord/>
      <trackRevisions>false</trackRevisions>
    </reviewItem>
    <reviewItem>
      <errorID>efcb4e6a-5004-40b7-89b4-51832ede4165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5B5A69E7</paraID>
      <start>7</start>
      <end>8</end>
      <status>unmodified</status>
      <modifiedWord/>
      <trackRevisions>false</trackRevisions>
    </reviewItem>
    <reviewItem>
      <errorID>18e98779-20f2-44fe-894b-8e277630f71c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41EFE674</paraID>
      <start>0</start>
      <end>2</end>
      <status>unmodified</status>
      <modifiedWord/>
      <trackRevisions>false</trackRevisions>
    </reviewItem>
    <reviewItem>
      <errorID>5b6e2223-5cfc-49b4-9842-4b036bb56947</errorID>
      <errorWord>加强</errorWord>
      <group>L1_Grammar</group>
      <groupName>语法问题</groupName>
      <ability>L2_Grammar</ability>
      <abilityName>语法错误</abilityName>
      <candidateList>
        <item>加大</item>
      </candidateList>
      <explain>“加强～力度”搭配不当，建议修改为“加大～力度”。</explain>
      <paraID>6A0C655F</paraID>
      <start>60</start>
      <end>62</end>
      <status>unmodified</status>
      <modifiedWord/>
      <trackRevisions>false</trackRevisions>
    </reviewItem>
    <reviewItem>
      <errorID>319950b5-263e-4135-9d74-0fd7acc8b3ac</errorID>
      <errorWord>城乡结合部</errorWord>
      <group>L1_Word</group>
      <groupName>字词问题</groupName>
      <ability>L2_Typo</ability>
      <abilityName>字词错误</abilityName>
      <candidateList>
        <item>城乡接合部</item>
      </candidateList>
      <explain/>
      <paraID> 9DDC3A8</paraID>
      <start>44</start>
      <end>49</end>
      <status>unmodified</status>
      <modifiedWord/>
      <trackRevisions>false</trackRevisions>
    </reviewItem>
    <reviewItem>
      <errorID>7a386d90-2d9a-42af-ac98-b0c2e8d1f8be</errorID>
      <errorWord>城乡结合部</errorWord>
      <group>L1_Word</group>
      <groupName>字词问题</groupName>
      <ability>L2_Typo</ability>
      <abilityName>字词错误</abilityName>
      <candidateList>
        <item>城乡接合部</item>
      </candidateList>
      <explain/>
      <paraID>7723EFBD</paraID>
      <start>67</start>
      <end>72</end>
      <status>unmodified</status>
      <modifiedWord/>
      <trackRevisions>false</trackRevisions>
    </reviewItem>
    <reviewItem>
      <errorID>c79fcc6c-cb63-4c4f-85b9-4fb47343e9bb</errorID>
      <errorWord>，</errorWord>
      <group>L1_Word</group>
      <groupName>字词问题</groupName>
      <ability>L2_Typo</ability>
      <abilityName>字词错误</abilityName>
      <candidateList>
        <item>，对</item>
      </candidateList>
      <explain/>
      <paraID>7723EFBD</paraID>
      <start>83</start>
      <end>84</end>
      <status>unmodified</status>
      <modifiedWord/>
      <trackRevisions>false</trackRevisions>
    </reviewItem>
    <reviewItem>
      <errorID>b3e1bd91-4c05-4d0a-bd96-1ae766264b9c</errorID>
      <errorWord>法律、法规</errorWord>
      <group>L1_Word</group>
      <groupName>字词问题</groupName>
      <ability>L2_Typo</ability>
      <abilityName>字词错误</abilityName>
      <candidateList>
        <item>法律法规</item>
      </candidateList>
      <explain/>
      <paraID>74F6D265</paraID>
      <start>85</start>
      <end>90</end>
      <status>unmodified</status>
      <modifiedWord/>
      <trackRevisions>false</trackRevisions>
    </reviewItem>
    <reviewItem>
      <errorID>9903770f-f809-4b41-9577-bc33911f00e2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7627A3D9</paraID>
      <start>0</start>
      <end>2</end>
      <status>unmodified</status>
      <modifiedWord/>
      <trackRevisions>false</trackRevisions>
    </reviewItem>
    <reviewItem>
      <errorID>780658f2-686d-4d9f-b524-760ffe274577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7B33735D</paraID>
      <start>0</start>
      <end>2</end>
      <status>unmodified</status>
      <modifiedWord/>
      <trackRevisions>false</trackRevisions>
    </reviewItem>
    <reviewItem>
      <errorID>b26a87cd-fb96-47a1-9a9f-3bac6c5b29ca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574679C9</paraID>
      <start>0</start>
      <end>2</end>
      <status>unmodified</status>
      <modifiedWord/>
      <trackRevisions>false</trackRevisions>
    </reviewItem>
    <reviewItem>
      <errorID>223222ac-ff9a-46d0-a64b-3a6402148ce1</errorID>
      <errorWord>检斤</errorWord>
      <group>L1_Word</group>
      <groupName>字词问题</groupName>
      <ability>L2_Typo</ability>
      <abilityName>字词错误</abilityName>
      <candidateList>
        <item>检验</item>
      </candidateList>
      <explain/>
      <paraID>2585D4CA</paraID>
      <start>32</start>
      <end>34</end>
      <status>unmodified</status>
      <modifiedWord/>
      <trackRevisions>false</trackRevisions>
    </reviewItem>
    <reviewItem>
      <errorID>566035d1-74ed-4d67-88e6-5e6e7ba0e6f2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14090EEF</paraID>
      <start>0</start>
      <end>2</end>
      <status>unmodified</status>
      <modifiedWord/>
      <trackRevisions>false</trackRevisions>
    </reviewItem>
    <reviewItem>
      <errorID>ac733a58-2eda-40ee-ad23-e6379e434168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11C2433C</paraID>
      <start>0</start>
      <end>2</end>
      <status>unmodified</status>
      <modifiedWord/>
      <trackRevisions>false</trackRevisions>
    </reviewItem>
    <reviewItem>
      <errorID>3ce2b3a1-a627-4321-8872-63564ab30166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232D22E2</paraID>
      <start>23</start>
      <end>24</end>
      <status>ignored</status>
      <modifiedWord/>
      <trackRevisions>false</trackRevisions>
    </reviewItem>
    <reviewItem>
      <errorID>f167c7df-f14f-4765-b8fb-a4321e32a46f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18C7E5F1</paraID>
      <start>0</start>
      <end>2</end>
      <status>unmodified</status>
      <modifiedWord/>
      <trackRevisions>false</trackRevisions>
    </reviewItem>
    <reviewItem>
      <errorID>a27c7906-2c31-4c44-b566-0355483d16d8</errorID>
      <errorWord>-</errorWord>
      <group>L1_Format</group>
      <groupName>格式问题</groupName>
      <ability>L2_HalfPunc</ability>
      <abilityName>全半角检查</abilityName>
      <candidateList>
        <item>－</item>
      </candidateList>
      <explain>文本全半角错误。</explain>
      <paraID> F4796D1</paraID>
      <start>153</start>
      <end>154</end>
      <status>unmodified</status>
      <modifiedWord/>
      <trackRevisions>false</trackRevisions>
    </reviewItem>
    <reviewItem>
      <errorID>b6c2fdf4-7eef-4d24-aabb-e82103bac04d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3695FE00</paraID>
      <start>0</start>
      <end>2</end>
      <status>unmodified</status>
      <modifiedWord/>
      <trackRevisions>false</trackRevisions>
    </reviewItem>
    <reviewItem>
      <errorID>75bbcf5c-5965-4bdb-ad44-04bb5170728b</errorID>
      <errorWord>与</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 245A754</paraID>
      <start>2</start>
      <end>3</end>
      <status>modified</status>
      <modifiedWord>于</modifiedWord>
      <trackRevisions>false</trackRevisions>
    </reviewItem>
    <reviewItem>
      <errorID>24d4504d-8d31-4bca-9e86-d920ae1e6f60</errorID>
      <errorWord>混合汽</errorWord>
      <group>L1_Word</group>
      <groupName>字词问题</groupName>
      <ability>L2_Typo</ability>
      <abilityName>字词错误</abilityName>
      <candidateList>
        <item>混合气</item>
      </candidateList>
      <explain/>
      <paraID>787FFA87</paraID>
      <start>16</start>
      <end>19</end>
      <status>ignored</status>
      <modifiedWord/>
      <trackRevisions>false</trackRevisions>
    </reviewItem>
    <reviewItem>
      <errorID>16a2ad23-cd6d-45dc-8c9d-47d1193369e3</errorID>
      <errorWord>汽体</errorWord>
      <group>L1_Word</group>
      <groupName>字词问题</groupName>
      <ability>L2_Typo</ability>
      <abilityName>字词错误</abilityName>
      <candidateList>
        <item>气体</item>
      </candidateList>
      <explain>〈名〉没有一定形状，没有一定体积，可以流动的物体。在常温下，空气、氧气、沼气等都是气体。</explain>
      <paraID>787FFA87</paraID>
      <start>87</start>
      <end>89</end>
      <status>modified</status>
      <modifiedWord>气体</modifiedWord>
      <trackRevisions>false</trackRevisions>
    </reviewItem>
    <reviewItem>
      <errorID>8cd53e75-bb26-4299-a97e-0742427a55bf</errorID>
      <errorWord>脱腊</errorWord>
      <group>L1_Word</group>
      <groupName>字词问题</groupName>
      <ability>L2_Typo</ability>
      <abilityName>字词错误</abilityName>
      <candidateList>
        <item>脱蜡</item>
      </candidateList>
      <explain>存在发音相同字词的误用。</explain>
      <paraID>39C8B31E</paraID>
      <start>28</start>
      <end>30</end>
      <status>modified</status>
      <modifiedWord>脱蜡</modifiedWord>
      <trackRevisions>false</trackRevisions>
    </reviewItem>
    <reviewItem>
      <errorID>875e6645-5e72-48cf-b2f4-fd9a6eaa8be3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686852E8</paraID>
      <start>0</start>
      <end>2</end>
      <status>unmodified</status>
      <modifiedWord/>
      <trackRevisions>false</trackRevisions>
    </reviewItem>
    <reviewItem>
      <errorID>7c3f5c14-d49b-4ec2-ab3f-8f8ef221fa7a</errorID>
      <errorWord>石蜡油</errorWord>
      <group>L1_Knowledge</group>
      <groupName>知识性问题</groupName>
      <ability>L2_Term</ability>
      <abilityName>专业术语</abilityName>
      <candidateList>
        <item>液状石蜡</item>
      </candidateList>
      <explain>医学名词[石蜡油]为不规范表述或旧称，其规范书面表述为[液状石蜡]。</explain>
      <paraID>686852E8</paraID>
      <start>55</start>
      <end>58</end>
      <status>unmodified</status>
      <modifiedWord/>
      <trackRevisions>false</trackRevisions>
    </reviewItem>
    <reviewItem>
      <errorID>45c554ff-9fe8-4d66-8c27-e4e8b0ea9861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59C16D5E</paraID>
      <start>0</start>
      <end>2</end>
      <status>unmodified</status>
      <modifiedWord/>
      <trackRevisions>false</trackRevisions>
    </reviewItem>
    <reviewItem>
      <errorID>cb4a9652-c967-4a46-8df3-83b274ef9e43</errorID>
      <errorWord>：/</errorWord>
      <group>L1_Punc</group>
      <groupName>标点问题</groupName>
      <ability>L2_Punc</ability>
      <abilityName>标点符号检查</abilityName>
      <candidateList>
        <item>：</item>
      </candidateList>
      <explain/>
      <paraID>6A044EDC</paraID>
      <start>306</start>
      <end>308</end>
      <status>unmodified</status>
      <modifiedWord/>
      <trackRevisions>false</trackRevisions>
    </reviewItem>
    <reviewItem>
      <errorID>0001f8dc-8d2c-4511-bf8c-585ec1e5fe8d</errorID>
      <errorWord>不需</errorWord>
      <group>L1_Word</group>
      <groupName>字词问题</groupName>
      <ability>L2_Typo</ability>
      <abilityName>字词错误</abilityName>
      <candidateList>
        <item>无需</item>
      </candidateList>
      <explain>同“无须”。</explain>
      <paraID>6A044EDC</paraID>
      <start>372</start>
      <end>374</end>
      <status>modified</status>
      <modifiedWord>无需</modifiedWord>
      <trackRevisions>false</trackRevisions>
    </reviewItem>
    <reviewItem>
      <errorID>850add55-3aed-44ea-b1e7-99e04fdb6567</errorID>
      <errorWord>消音器</errorWord>
      <group>L1_Word</group>
      <groupName>字词问题</groupName>
      <ability>L2_Typo</ability>
      <abilityName>字词错误</abilityName>
      <candidateList>
        <item>消声器</item>
      </candidateList>
      <explain/>
      <paraID>76CD10D0</paraID>
      <start>89</start>
      <end>92</end>
      <status>ignored</status>
      <modifiedWord/>
      <trackRevisions>false</trackRevisions>
    </reviewItem>
    <reviewItem>
      <errorID>3c9f3d9d-aa84-4f68-9b41-6b18e41a5185</errorID>
      <errorWord>)</errorWord>
      <group>L1_Format</group>
      <groupName>格式问题</groupName>
      <ability>L2_HalfPunc</ability>
      <abilityName>全半角检查</abilityName>
      <candidateList>
        <item>）</item>
      </candidateList>
      <explain>文本全半角错误。</explain>
      <paraID>76CD10D0</paraID>
      <start>144</start>
      <end>145</end>
      <status>unmodified</status>
      <modifiedWord/>
      <trackRevisions>false</trackRevisions>
    </reviewItem>
    <reviewItem>
      <errorID>0a9c8eae-c853-4ee2-b943-5f1f3c2562f2</errorID>
      <errorWord>程</errorWord>
      <group>L1_Word</group>
      <groupName>字词问题</groupName>
      <ability>L2_Typo</ability>
      <abilityName>字词错误</abilityName>
      <candidateList>
        <item>程中</item>
      </candidateList>
      <explain/>
      <paraID>7E6B34B5</paraID>
      <start>34</start>
      <end>36</end>
      <status>modified</status>
      <modifiedWord>程中</modifiedWord>
      <trackRevisions>false</trackRevisions>
    </reviewItem>
    <reviewItem>
      <errorID>8ab0ac1d-3897-4cf9-a85f-58d61224325c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540A2D98</paraID>
      <start>0</start>
      <end>2</end>
      <status>unmodified</status>
      <modifiedWord/>
      <trackRevisions>false</trackRevisions>
    </reviewItem>
    <reviewItem>
      <errorID>63ca7341-a21a-44cd-9440-69ec40561856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B9AC807</paraID>
      <start>34</start>
      <end>35</end>
      <status>unmodified</status>
      <modifiedWord/>
      <trackRevisions>false</trackRevisions>
    </reviewItem>
    <reviewItem>
      <errorID>d010c4cf-f9de-42c4-9ece-81cd41b36343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2C38754</paraID>
      <start>0</start>
      <end>2</end>
      <status>unmodified</status>
      <modifiedWord/>
      <trackRevisions>false</trackRevisions>
    </reviewItem>
    <reviewItem>
      <errorID>bfacf0ce-4b59-446f-bbe2-ee1762efa47b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3B607FF1</paraID>
      <start>0</start>
      <end>2</end>
      <status>unmodified</status>
      <modifiedWord/>
      <trackRevisions>false</trackRevisions>
    </reviewItem>
    <reviewItem>
      <errorID>c035afc1-9dbc-479f-aef5-2d7141afa5a9</errorID>
      <errorWord>去年</errorWord>
      <group>L1_Knowledge</group>
      <groupName>知识性问题</groupName>
      <ability>L2_Time</ability>
      <abilityName>日期时间</abilityName>
      <candidateList/>
      <explain>在公文场景，请避免使用“去年”这种模糊表述。</explain>
      <paraID>791808A7</paraID>
      <start>194</start>
      <end>196</end>
      <status>unmodified</status>
      <modifiedWord/>
      <trackRevisions>false</trackRevisions>
    </reviewItem>
    <reviewItem>
      <errorID>a3535580-75e3-492d-a538-009810da04fc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70949648</paraID>
      <start>0</start>
      <end>2</end>
      <status>unmodified</status>
      <modifiedWord/>
      <trackRevisions>false</trackRevisions>
    </reviewItem>
    <reviewItem>
      <errorID>68d6269f-d4cb-4112-8fe9-a52e41aec62c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649CA47E</paraID>
      <start>0</start>
      <end>2</end>
      <status>unmodified</status>
      <modifiedWord/>
      <trackRevisions>false</trackRevisions>
    </reviewItem>
    <reviewItem>
      <errorID>bb8af021-303f-41e8-b39c-f97e166fa80f</errorID>
      <errorWord>）</errorWord>
      <group>L1_Format</group>
      <groupName>格式问题</groupName>
      <ability>L2_HalfPunc</ability>
      <abilityName>全半角检查</abilityName>
      <candidateList>
        <item>)</item>
      </candidateList>
      <explain>文本全半角错误。</explain>
      <paraID>59E08292</paraID>
      <start>54</start>
      <end>55</end>
      <status>unmodified</status>
      <modifiedWord/>
      <trackRevisions>false</trackRevisions>
    </reviewItem>
    <reviewItem>
      <errorID>62ed34e6-df85-40a7-9ecd-c6c69b28c66e</errorID>
      <errorWord>）</errorWord>
      <group>L1_Format</group>
      <groupName>格式问题</groupName>
      <ability>L2_HalfPunc</ability>
      <abilityName>全半角检查</abilityName>
      <candidateList>
        <item>)</item>
      </candidateList>
      <explain>文本全半角错误。</explain>
      <paraID>59E08292</paraID>
      <start>67</start>
      <end>68</end>
      <status>unmodified</status>
      <modifiedWord/>
      <trackRevisions>false</trackRevisions>
    </reviewItem>
    <reviewItem>
      <errorID>367f96e8-c10d-49bb-b70e-14c7eca9b167</errorID>
      <errorWord>）</errorWord>
      <group>L1_Format</group>
      <groupName>格式问题</groupName>
      <ability>L2_HalfPunc</ability>
      <abilityName>全半角检查</abilityName>
      <candidateList>
        <item>)</item>
      </candidateList>
      <explain>文本全半角错误。</explain>
      <paraID>59E08292</paraID>
      <start>128</start>
      <end>129</end>
      <status>unmodified</status>
      <modifiedWord/>
      <trackRevisions>false</trackRevisions>
    </reviewItem>
    <reviewItem>
      <errorID>d512f873-1bfc-48e4-9b3a-11531d9bc827</errorID>
      <errorWord>）</errorWord>
      <group>L1_Format</group>
      <groupName>格式问题</groupName>
      <ability>L2_HalfPunc</ability>
      <abilityName>全半角检查</abilityName>
      <candidateList>
        <item>)</item>
      </candidateList>
      <explain>文本全半角错误。</explain>
      <paraID>59E08292</paraID>
      <start>250</start>
      <end>251</end>
      <status>unmodified</status>
      <modifiedWord/>
      <trackRevisions>false</trackRevisions>
    </reviewItem>
    <reviewItem>
      <errorID>00bea129-bdcb-4a38-b575-1e6ab7da3816</errorID>
      <errorWord>）</errorWord>
      <group>L1_Format</group>
      <groupName>格式问题</groupName>
      <ability>L2_HalfPunc</ability>
      <abilityName>全半角检查</abilityName>
      <candidateList>
        <item>)</item>
      </candidateList>
      <explain>文本全半角错误。</explain>
      <paraID>59E08292</paraID>
      <start>269</start>
      <end>270</end>
      <status>unmodified</status>
      <modifiedWord/>
      <trackRevisions>false</trackRevisions>
    </reviewItem>
    <reviewItem>
      <errorID>05a67f75-f418-4d66-8485-15fa9f1296f4</errorID>
      <errorWord>）</errorWord>
      <group>L1_Format</group>
      <groupName>格式问题</groupName>
      <ability>L2_HalfPunc</ability>
      <abilityName>全半角检查</abilityName>
      <candidateList>
        <item>)</item>
      </candidateList>
      <explain>文本全半角错误。</explain>
      <paraID>59E08292</paraID>
      <start>296</start>
      <end>297</end>
      <status>unmodified</status>
      <modifiedWord/>
      <trackRevisions>false</trackRevisions>
    </reviewItem>
    <reviewItem>
      <errorID>a519aaca-b008-454a-8cfd-72acbdbace7a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77888605</paraID>
      <start>0</start>
      <end>2</end>
      <status>unmodified</status>
      <modifiedWord/>
      <trackRevisions>false</trackRevisions>
    </reviewItem>
    <reviewItem>
      <errorID>e7b754cc-710e-4138-9ab1-b067eb190078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6D5B778D</paraID>
      <start>0</start>
      <end>2</end>
      <status>unmodified</status>
      <modifiedWord/>
      <trackRevisions>false</trackRevisions>
    </reviewItem>
    <reviewItem>
      <errorID>5c27b311-b181-4a50-a5b7-335a97708aa2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194696</paraID>
      <start>0</start>
      <end>2</end>
      <status>unmodified</status>
      <modifiedWord/>
      <trackRevisions>false</trackRevisions>
    </reviewItem>
    <reviewItem>
      <errorID>ab457dd6-c2a1-4a14-a2b0-2773d5a93587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32CE1815</paraID>
      <start>0</start>
      <end>2</end>
      <status>unmodified</status>
      <modifiedWord/>
      <trackRevisions>false</trackRevisions>
    </reviewItem>
    <reviewItem>
      <errorID>6a0adb21-02eb-4319-a5b2-d1e7a70bc3a9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232A05</paraID>
      <start>0</start>
      <end>2</end>
      <status>unmodified</status>
      <modifiedWord/>
      <trackRevisions>false</trackRevisions>
    </reviewItem>
    <reviewItem>
      <errorID>d16ae0c8-a806-490a-be5b-10cae42999cf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67199EF0</paraID>
      <start>0</start>
      <end>2</end>
      <status>unmodified</status>
      <modifiedWord/>
      <trackRevisions>false</trackRevisions>
    </reviewItem>
    <reviewItem>
      <errorID>b1556594-2107-4b2a-9b80-c30d70ffd37e</errorID>
      <errorWord>三本帐</errorWord>
      <group>L1_Word</group>
      <groupName>字词问题</groupName>
      <ability>L2_Alias</ability>
      <abilityName>也作/曾用词</abilityName>
      <candidateList>
        <item>三本账</item>
      </candidateList>
      <explain>词汇[三本帐]为不规范表述或旧称，其规范书面表述为[三本账]。</explain>
      <paraID>3F851018</paraID>
      <start>11</start>
      <end>14</end>
      <status>unmodified</status>
      <modifiedWord/>
      <trackRevisions>false</trackRevisions>
    </reviewItem>
    <reviewItem>
      <errorID>a0049b6d-355d-4c75-80d4-9354b4ac9d80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26C4004B</paraID>
      <start>0</start>
      <end>2</end>
      <status>unmodified</status>
      <modifiedWord/>
      <trackRevisions>false</trackRevisions>
    </reviewItem>
    <reviewItem>
      <errorID>0608e8ba-2708-46ab-ad44-6e102a96ec32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7B7BAD06</paraID>
      <start>0</start>
      <end>2</end>
      <status>unmodified</status>
      <modifiedWord/>
      <trackRevisions>false</trackRevisions>
    </reviewItem>
    <reviewItem>
      <errorID>af8dcdca-3029-4074-ac9a-5504ffca86f8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6827225D</paraID>
      <start>0</start>
      <end>2</end>
      <status>unmodified</status>
      <modifiedWord/>
      <trackRevisions>false</trackRevisions>
    </reviewItem>
    <reviewItem>
      <errorID>5769798f-de76-4351-9c4d-a80796a1a155</errorID>
      <errorWord>经</errorWord>
      <group>L1_Word</group>
      <groupName>字词问题</groupName>
      <ability>L2_Typo</ability>
      <abilityName>字词错误</abilityName>
      <candidateList>
        <item>经过</item>
      </candidateList>
      <explain>❶〈动〉通过（处所、时间、动作等）：从北京坐火车到广州要～武汉｜屋子～打扫，干净多了｜这件事情是～领导上缜密考虑过的。❷〈名〉过程；经历▲：厂长向来宾报告建厂～｜说说你探险的～。</explain>
      <paraID>700575EA</paraID>
      <start>0</start>
      <end>1</end>
      <status>unmodified</status>
      <modifiedWord/>
      <trackRevisions>false</trackRevisions>
    </reviewItem>
    <reviewItem>
      <errorID>831131a0-f289-42f3-be7c-d0365eb9b3a9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15E90DF6</paraID>
      <start>0</start>
      <end>2</end>
      <status>unmodified</status>
      <modifiedWord/>
      <trackRevisions>false</trackRevisions>
    </reviewItem>
    <reviewItem>
      <errorID>c709ef7e-8cec-4c3c-ab52-db69de117ea4</errorID>
      <errorWord>料</errorWord>
      <group>L1_Word</group>
      <groupName>字词问题</groupName>
      <ability>L2_Typo</ability>
      <abilityName>字词错误</abilityName>
      <candidateList>
        <item>料消</item>
      </candidateList>
      <explain/>
      <paraID> 795F276</paraID>
      <start>11</start>
      <end>12</end>
      <status>unmodified</status>
      <modifiedWord/>
      <trackRevisions>false</trackRevisions>
    </reviewItem>
    <reviewItem>
      <errorID>e21a0980-370b-40de-9dc4-d91c837e3417</errorID>
      <errorWord>料</errorWord>
      <group>L1_Word</group>
      <groupName>字词问题</groupName>
      <ability>L2_Typo</ability>
      <abilityName>字词错误</abilityName>
      <candidateList>
        <item>料消</item>
      </candidateList>
      <explain/>
      <paraID>68ED427B</paraID>
      <start>13</start>
      <end>14</end>
      <status>unmodified</status>
      <modifiedWord/>
      <trackRevisions>false</trackRevisions>
    </reviewItem>
    <reviewItem>
      <errorID>69890522-8703-4f2d-9e62-c71d7db9ccf0</errorID>
      <errorWord>5%-15%</errorWord>
      <group>L1_Knowledge</group>
      <groupName>知识性问题</groupName>
      <ability>L2_Knowledge</ability>
      <abilityName>其他知识</abilityName>
      <candidateList>
        <item>5%—15%</item>
      </candidateList>
      <explain>1. “5%-15%”中的单位“%”仅出现在后一个数字上，容易引起歧义；根据《现代汉语标点符号数字用法规范手册》，数字表示范围两边需要使用统一的格式。2. 根据标点国标 4.13 中的规则，数字、时间或地域连接符应使用（视觉上更长的）“—”或“～”。</explain>
      <paraID>2B2DAC4A</paraID>
      <start>39</start>
      <end>45</end>
      <status>unmodified</status>
      <modifiedWord/>
      <trackRevisions>false</trackRevisions>
    </reviewItem>
    <reviewItem>
      <errorID>a61d79a5-7fcd-41d7-bb98-668c8090c5a3</errorID>
      <errorWord>-</errorWord>
      <group>L1_Format</group>
      <groupName>格式问题</groupName>
      <ability>L2_HalfPunc</ability>
      <abilityName>全半角检查</abilityName>
      <candidateList>
        <item>－</item>
      </candidateList>
      <explain>文本全半角错误。</explain>
      <paraID>2474AA54</paraID>
      <start>4</start>
      <end>5</end>
      <status>unmodified</status>
      <modifiedWord/>
      <trackRevisions>false</trackRevisions>
    </reviewItem>
    <reviewItem>
      <errorID>9f015b7b-712e-40cc-a438-0212e76871c8</errorID>
      <errorWord>:</errorWord>
      <group>L1_Format</group>
      <groupName>格式问题</groupName>
      <ability>L2_HalfPunc</ability>
      <abilityName>全半角检查</abilityName>
      <candidateList>
        <item>：</item>
      </candidateList>
      <explain>文本全半角错误。</explain>
      <paraID>238E4C3D</paraID>
      <start>2</start>
      <end>3</end>
      <status>unmodified</status>
      <modifiedWord/>
      <trackRevisions>false</trackRevisions>
    </reviewItem>
    <reviewItem>
      <errorID>49360ceb-c13d-49bf-81a9-2d2ced1c2d91</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37AA9A53</paraID>
      <start>0</start>
      <end>2</end>
      <status>unmodified</status>
      <modifiedWord/>
      <trackRevisions>false</trackRevisions>
    </reviewItem>
    <reviewItem>
      <errorID>6a7f8d8e-bf38-46ff-8c85-70f835c059be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23368616</paraID>
      <start>0</start>
      <end>2</end>
      <status>unmodified</status>
      <modifiedWord/>
      <trackRevisions>false</trackRevisions>
    </reviewItem>
    <reviewItem>
      <errorID>e99e1092-f7f2-4550-a3fe-0ac2d2dc78e8</errorID>
      <errorWord>-</errorWord>
      <group>L1_Format</group>
      <groupName>格式问题</groupName>
      <ability>L2_HalfPunc</ability>
      <abilityName>全半角检查</abilityName>
      <candidateList>
        <item>－</item>
      </candidateList>
      <explain>文本全半角错误。</explain>
      <paraID> D2B46B5</paraID>
      <start>209</start>
      <end>210</end>
      <status>unmodified</status>
      <modifiedWord/>
      <trackRevisions>false</trackRevisions>
    </reviewItem>
    <reviewItem>
      <errorID>3e4abfda-f976-45bf-832a-4eee7b968ef7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38E352F8</paraID>
      <start>0</start>
      <end>2</end>
      <status>unmodified</status>
      <modifiedWord/>
      <trackRevisions>false</trackRevisions>
    </reviewItem>
    <reviewItem>
      <errorID>5841bb9d-17cd-4f6f-baa3-0b9bac9ebc7f</errorID>
      <errorWord>）</errorWord>
      <group>L1_Format</group>
      <groupName>格式问题</groupName>
      <ability>L2_HalfPunc</ability>
      <abilityName>全半角检查</abilityName>
      <candidateList>
        <item>)</item>
      </candidateList>
      <explain>文本全半角错误。</explain>
      <paraID>56B70493</paraID>
      <start>24</start>
      <end>25</end>
      <status>unmodified</status>
      <modifiedWord/>
      <trackRevisions>false</trackRevisions>
    </reviewItem>
    <reviewItem>
      <errorID>c7883c2f-dac4-412e-9780-abfb5e9a5505</errorID>
      <errorWord>）</errorWord>
      <group>L1_Format</group>
      <groupName>格式问题</groupName>
      <ability>L2_HalfPunc</ability>
      <abilityName>全半角检查</abilityName>
      <candidateList>
        <item>)</item>
      </candidateList>
      <explain>文本全半角错误。</explain>
      <paraID> 14F6B73</paraID>
      <start>22</start>
      <end>23</end>
      <status>unmodified</status>
      <modifiedWord/>
      <trackRevisions>false</trackRevisions>
    </reviewItem>
    <reviewItem>
      <errorID>53176305-55d7-4e69-a0ed-4f0919014bd2</errorID>
      <errorWord>）</errorWord>
      <group>L1_Format</group>
      <groupName>格式问题</groupName>
      <ability>L2_HalfPunc</ability>
      <abilityName>全半角检查</abilityName>
      <candidateList>
        <item>)</item>
      </candidateList>
      <explain>文本全半角错误。</explain>
      <paraID>1A226E86</paraID>
      <start>17</start>
      <end>18</end>
      <status>unmodified</status>
      <modifiedWord/>
      <trackRevisions>false</trackRevisions>
    </reviewItem>
    <reviewItem>
      <errorID>53f3ce3a-f8b3-40e6-82c0-8195be15c295</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6C05FD1D</paraID>
      <start>0</start>
      <end>1</end>
      <status>unmodified</status>
      <modifiedWord/>
      <trackRevisions>false</trackRevisions>
    </reviewItem>
    <reviewItem>
      <errorID>4be28140-f957-4359-8341-3cc3e0f07a61</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3D29B02F</paraID>
      <start>0</start>
      <end>1</end>
      <status>unmodified</status>
      <modifiedWord/>
      <trackRevisions>false</trackRevisions>
    </reviewItem>
    <reviewItem>
      <errorID>2eccdd5d-49b8-4d6c-9ba7-770ea4a1f082</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331D4FE6</paraID>
      <start>0</start>
      <end>1</end>
      <status>unmodified</status>
      <modifiedWord/>
      <trackRevisions>false</trackRevisions>
    </reviewItem>
    <reviewItem>
      <errorID>48fd5071-765b-42a6-97f7-a717a5b4514c</errorID>
      <errorWord>输运</errorWord>
      <group>L1_Word</group>
      <groupName>字词问题</groupName>
      <ability>L2_Typo</ability>
      <abilityName>字词错误</abilityName>
      <candidateList>
        <item>运输</item>
      </candidateList>
      <explain/>
      <paraID>6F1CFFC4</paraID>
      <start>0</start>
      <end>2</end>
      <status>unmodified</status>
      <modifiedWord/>
      <trackRevisions>false</trackRevisions>
    </reviewItem>
    <reviewItem>
      <errorID>800c45e0-44c5-49f4-b19b-6e5547a8bd7c</errorID>
      <errorWord>碱练</errorWord>
      <group>L1_Word</group>
      <groupName>字词问题</groupName>
      <ability>L2_Typo</ability>
      <abilityName>字词错误</abilityName>
      <candidateList>
        <item>碱炼</item>
      </candidateList>
      <explain/>
      <paraID>10FFAFF6</paraID>
      <start>0</start>
      <end>2</end>
      <status>unmodified</status>
      <modifiedWord/>
      <trackRevisions>false</trackRevisions>
    </reviewItem>
    <reviewItem>
      <errorID>05391871-1994-4984-bb6a-0f673e0f25c0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6F1AF8E3</paraID>
      <start>0</start>
      <end>2</end>
      <status>unmodified</status>
      <modifiedWord/>
      <trackRevisions>false</trackRevisions>
    </reviewItem>
    <reviewItem>
      <errorID>2fafa454-103f-4db3-943c-3da945233448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4C4B57B</paraID>
      <start>0</start>
      <end>2</end>
      <status>unmodified</status>
      <modifiedWord/>
      <trackRevisions>false</trackRevisions>
    </reviewItem>
    <reviewItem>
      <errorID>e8b05ff9-02b9-41b0-bdbb-f5788841e9b9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4FD38512</paraID>
      <start>0</start>
      <end>2</end>
      <status>unmodified</status>
      <modifiedWord/>
      <trackRevisions>false</trackRevisions>
    </reviewItem>
    <reviewItem>
      <errorID>781fa7eb-bedb-46c1-9940-1a9648ca4e84</errorID>
      <errorWord>，</errorWord>
      <group>L1_Format</group>
      <groupName>格式问题</groupName>
      <ability>L2_HalfPunc</ability>
      <abilityName>全半角检查</abilityName>
      <candidateList>
        <item>, </item>
      </candidateList>
      <explain>文本全半角错误。</explain>
      <paraID>53097F28</paraID>
      <start>1</start>
      <end>2</end>
      <status>unmodified</status>
      <modifiedWord/>
      <trackRevisions>false</trackRevisions>
    </reviewItem>
    <reviewItem>
      <errorID>419ef78b-f6cf-43cb-8d6b-6c69e001444d</errorID>
      <errorWord>，</errorWord>
      <group>L1_Format</group>
      <groupName>格式问题</groupName>
      <ability>L2_HalfPunc</ability>
      <abilityName>全半角检查</abilityName>
      <candidateList>
        <item>, </item>
      </candidateList>
      <explain>文本全半角错误。</explain>
      <paraID> BC81C9B</paraID>
      <start>1</start>
      <end>2</end>
      <status>unmodified</status>
      <modifiedWord/>
      <trackRevisions>false</trackRevisions>
    </reviewItem>
    <reviewItem>
      <errorID>f5daf316-f6db-452c-9a95-92a56dd37f23</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 B1167F8</paraID>
      <start>55</start>
      <end>57</end>
      <status>unmodified</status>
      <modifiedWord/>
      <trackRevisions>false</trackRevisions>
    </reviewItem>
    <reviewItem>
      <errorID>d08c46d9-9b9f-434b-bba3-97387238455e</errorID>
      <errorWord>制</errorWord>
      <group>L1_Word</group>
      <groupName>字词问题</groupName>
      <ability>L2_Typo</ability>
      <abilityName>字词错误</abilityName>
      <candidateList>
        <item>制度</item>
      </candidateList>
      <explain/>
      <paraID>62FB70C6</paraID>
      <start>32</start>
      <end>33</end>
      <status>unmodified</status>
      <modifiedWord/>
      <trackRevisions>false</trackRevisions>
    </reviewItem>
    <reviewItem>
      <errorID>45bfd439-85c8-4623-a11f-d4ad7b95aa62</errorID>
      <errorWord>程</errorWord>
      <group>L1_Word</group>
      <groupName>字词问题</groupName>
      <ability>L2_Typo</ability>
      <abilityName>字词错误</abilityName>
      <candidateList>
        <item>程中</item>
      </candidateList>
      <explain/>
      <paraID>27E8996A</paraID>
      <start>108</start>
      <end>110</end>
      <status>modified</status>
      <modifiedWord>程中</modifiedWord>
      <trackRevisions>false</trackRevisions>
    </reviewItem>
    <reviewItem>
      <errorID>8c88a2d1-0547-4c93-85a0-18df6c00d766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27E8996A</paraID>
      <start>158</start>
      <end>159</end>
      <status>ignored</status>
      <modifiedWord/>
      <trackRevisions>false</trackRevisions>
    </reviewItem>
    <reviewItem>
      <errorID>95120315-b861-4913-a549-00207b32793e</errorID>
      <errorWord>设施都</errorWord>
      <group>L1_Word</group>
      <groupName>字词问题</groupName>
      <ability>L2_Typo</ability>
      <abilityName>字词错误</abilityName>
      <candidateList>
        <item>设施</item>
      </candidateList>
      <explain/>
      <paraID> C2F1793</paraID>
      <start>6</start>
      <end>9</end>
      <status>unmodified</status>
      <modifiedWord/>
      <trackRevisions>false</trackRevisions>
    </reviewItem>
    <reviewItem>
      <errorID>3f21ff3d-c84a-40ba-b94f-5f18ddd76e4d</errorID>
      <errorWord>程</errorWord>
      <group>L1_Word</group>
      <groupName>字词问题</groupName>
      <ability>L2_Typo</ability>
      <abilityName>字词错误</abilityName>
      <candidateList>
        <item>程中</item>
      </candidateList>
      <explain/>
      <paraID>6AB1C211</paraID>
      <start>9</start>
      <end>11</end>
      <status>modified</status>
      <modifiedWord>程中</modifiedWord>
      <trackRevisions>false</trackRevisions>
    </reviewItem>
    <reviewItem>
      <errorID>386177d1-5e64-493c-8e6e-bc5d84c3b02f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6C9E4151</paraID>
      <start>88</start>
      <end>89</end>
      <status>ignored</status>
      <modifiedWord/>
      <trackRevisions>false</trackRevisions>
    </reviewItem>
    <reviewItem>
      <errorID>8e5039a1-bc7c-4f58-b5a6-02c621aa5f2d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6C9E4151</paraID>
      <start>130</start>
      <end>131</end>
      <status>ignored</status>
      <modifiedWord/>
      <trackRevisions>false</trackRevisions>
    </reviewItem>
    <reviewItem>
      <errorID>2da6fc2b-cf0a-4134-abf4-e21104c64935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32898A49</paraID>
      <start>0</start>
      <end>2</end>
      <status>unmodified</status>
      <modifiedWord/>
      <trackRevisions>false</trackRevisions>
    </reviewItem>
    <reviewItem>
      <errorID>5ac99939-8be6-40f2-813a-05bcf3a37cdc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77CA6C83</paraID>
      <start>0</start>
      <end>2</end>
      <status>unmodified</status>
      <modifiedWord/>
      <trackRevisions>false</trackRevisions>
    </reviewItem>
    <reviewItem>
      <errorID>f879106a-7f7a-4eed-87c9-34023a82348b</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47E5C963</paraID>
      <start>78</start>
      <end>81</end>
      <status>unmodified</status>
      <modifiedWord/>
      <trackRevisions>false</trackRevisions>
    </reviewItem>
    <reviewItem>
      <errorID>e5f4d249-5bb0-4fbc-966c-a9960a7cf3e1</errorID>
      <errorWord>佩带防毒面具</errorWord>
      <group>L1_Word</group>
      <groupName>字词问题</groupName>
      <ability>L2_Alias</ability>
      <abilityName>也作/曾用词</abilityName>
      <candidateList>
        <item>佩戴防毒面具</item>
      </candidateList>
      <explain>词汇[佩带防毒面具]为不规范表述或旧称，其规范书面表述为[佩戴防毒面具]。</explain>
      <paraID>32ED94A9</paraID>
      <start>5</start>
      <end>11</end>
      <status>unmodified</status>
      <modifiedWord/>
      <trackRevisions>false</trackRevisions>
    </reviewItem>
    <reviewItem>
      <errorID>ee77d3ac-e342-4d4c-8826-b9c8bd5a889a</errorID>
      <errorWord>限值</errorWord>
      <group>L1_Word</group>
      <groupName>字词问题</groupName>
      <ability>L2_Typo</ability>
      <abilityName>字词错误</abilityName>
      <candidateList>
        <item>限制</item>
      </candidateList>
      <explain/>
      <paraID>25909AAF</paraID>
      <start>4</start>
      <end>6</end>
      <status>unmodified</status>
      <modifiedWord/>
      <trackRevisions>false</trackRevisions>
    </reviewItem>
    <reviewItem>
      <errorID>76e7b8f3-5578-4b2c-9af0-2bfc1d206528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27C4CEDB</paraID>
      <start>0</start>
      <end>2</end>
      <status>unmodified</status>
      <modifiedWord/>
      <trackRevisions>false</trackRevisions>
    </reviewItem>
    <reviewItem>
      <errorID>de9fdecf-2d62-452e-9d77-74dfd073cbf9</errorID>
      <errorWord>与</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27C4CEDB</paraID>
      <start>11</start>
      <end>12</end>
      <status>modified</status>
      <modifiedWord>于</modifiedWord>
      <trackRevisions>false</trackRevisions>
    </reviewItem>
    <reviewItem>
      <errorID>c34a7721-8afa-4f7b-a03b-49add4903f8b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39B242DD</paraID>
      <start>0</start>
      <end>2</end>
      <status>unmodified</status>
      <modifiedWord/>
      <trackRevisions>false</trackRevisions>
    </reviewItem>
    <reviewItem>
      <errorID>b92b8b33-6536-43e0-b57b-c166967de94f</errorID>
      <errorWord>途</errorWord>
      <group>L1_Word</group>
      <groupName>字词问题</groupName>
      <ability>L2_Typo</ability>
      <abilityName>字词错误</abilityName>
      <candidateList>
        <item>与</item>
      </candidateList>
      <explain>存在发音相近字词的误用。</explain>
      <paraID>26AEE759</paraID>
      <start>4</start>
      <end>5</end>
      <status>unmodified</status>
      <modifiedWord/>
      <trackRevisions>false</trackRevisions>
    </reviewItem>
    <reviewItem>
      <errorID>c8a2f6b8-709f-414b-8d90-b83224163e2d</errorID>
      <errorWord>要</errorWord>
      <group>L1_Word</group>
      <groupName>字词问题</groupName>
      <ability>L2_Typo</ability>
      <abilityName>字词错误</abilityName>
      <candidateList>
        <item>要是</item>
      </candidateList>
      <explain/>
      <paraID>4657B034</paraID>
      <start>13</start>
      <end>14</end>
      <status>unmodified</status>
      <modifiedWord/>
      <trackRevisions>false</trackRevisions>
    </reviewItem>
    <reviewItem>
      <errorID>1dd6bee7-d8e0-4a86-a539-ed5b94f49d74</errorID>
      <errorWord>要</errorWord>
      <group>L1_Word</group>
      <groupName>字词问题</groupName>
      <ability>L2_Typo</ability>
      <abilityName>字词错误</abilityName>
      <candidateList>
        <item>要为</item>
      </candidateList>
      <explain/>
      <paraID>4657B034</paraID>
      <start>59</start>
      <end>60</end>
      <status>ignored</status>
      <modifiedWord/>
      <trackRevisions>false</trackRevisions>
    </reviewItem>
    <reviewItem>
      <errorID>f6a6be75-9855-49d6-a9df-6654fa908118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71AE3AD0</paraID>
      <start>0</start>
      <end>2</end>
      <status>unmodified</status>
      <modifiedWord/>
      <trackRevisions>false</trackRevisions>
    </reviewItem>
    <reviewItem>
      <errorID>eeed4bd8-9a14-4e4b-aadd-59cd1c99b513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6E2DB762</paraID>
      <start>75</start>
      <end>76</end>
      <status>ignored</status>
      <modifiedWord/>
      <trackRevisions>false</trackRevisions>
    </reviewItem>
    <reviewItem>
      <errorID>53166305-336c-4a24-89eb-2d0d95786d51</errorID>
      <errorWord>电器设备</errorWord>
      <group>L1_Word</group>
      <groupName>字词问题</groupName>
      <ability>L2_Typo</ability>
      <abilityName>字词错误</abilityName>
      <candidateList>
        <item>电气设备</item>
      </candidateList>
      <explain/>
      <paraID>112CD52D</paraID>
      <start>9</start>
      <end>13</end>
      <status>unmodified</status>
      <modifiedWord/>
      <trackRevisions>false</trackRevisions>
    </reviewItem>
    <reviewItem>
      <errorID>722c2002-4c7a-4a5b-815c-dc99642f3b83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7B6FA398</paraID>
      <start>0</start>
      <end>2</end>
      <status>unmodified</status>
      <modifiedWord/>
      <trackRevisions>false</trackRevisions>
    </reviewItem>
    <reviewItem>
      <errorID>08f61e36-918e-40b7-bac5-8ef374c8ea9c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7B73834</paraID>
      <start>0</start>
      <end>2</end>
      <status>unmodified</status>
      <modifiedWord/>
      <trackRevisions>false</trackRevisions>
    </reviewItem>
    <reviewItem>
      <errorID>595965a8-0a64-4893-80f9-f4f4675a256d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750CAE0A</paraID>
      <start>0</start>
      <end>2</end>
      <status>unmodified</status>
      <modifiedWord/>
      <trackRevisions>false</trackRevisions>
    </reviewItem>
    <reviewItem>
      <errorID>7a073bf4-5b52-43d3-9fad-92421f364622</errorID>
      <errorWord>报告表</errorWord>
      <group>L1_Word</group>
      <groupName>字词问题</groupName>
      <ability>L2_Typo</ability>
      <abilityName>字词错误</abilityName>
      <candidateList>
        <item>报告</item>
      </candidateList>
      <explain>❶〈动〉把事情或意见正式告诉上级或群众：你应当把事情的经过向领导～｜大会主席～了开会宗旨。❷〈名〉用口头或书面的形式向上级或群众所做的正式陈述：总结～｜动员～。</explain>
      <paraID>58CD51B0</paraID>
      <start>11</start>
      <end>14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a73bb0-3e51-4ee5-b2dc-d190d6d445bc}">
  <ds:schemaRefs/>
</ds:datastoreItem>
</file>

<file path=docProps/app.xml><?xml version="1.0" encoding="utf-8"?>
<Properties xmlns="http://schemas.openxmlformats.org/officeDocument/2006/extended-properties" xmlns:vt="http://schemas.openxmlformats.org/officeDocument/2006/docPropsVTypes">
  <Template>wdzx97</Template>
  <Company>Microsoft</Company>
  <Pages>99</Pages>
  <Words>6505</Words>
  <Characters>6833</Characters>
  <Lines>1</Lines>
  <Paragraphs>1</Paragraphs>
  <TotalTime>3</TotalTime>
  <ScaleCrop>false</ScaleCrop>
  <LinksUpToDate>false</LinksUpToDate>
  <CharactersWithSpaces>6839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2021-05-06T01:44:00Z</dcterms:created>
  <dc:creator>lhj</dc:creator>
  <cp:lastModifiedBy></cp:lastModifiedBy>
  <cp:lastPrinted>2022-12-12T03:53:00Z</cp:lastPrinted>
  <dcterms:modified xsi:type="dcterms:W3CDTF">2026-02-12T01:50:42Z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D09ACBB13A7646CCA6D62012BD028E53_13</vt:lpwstr>
  </property>
  <property fmtid="{D5CDD505-2E9C-101B-9397-08002B2CF9AE}" pid="4" name="KSOTemplateDocerSaveRecord">
    <vt:lpwstr>eyJoZGlkIjoiM2ExZGRmNWRiYzEyOWU4ZmJmMTU2MTdmODgyMzBlMzciLCJ1c2VySWQiOiI5MzkwNDMxNjMifQ==</vt:lpwstr>
  </property>
</Properties>
</file>